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color w:val="auto"/>
          <w:highlight w:val="none"/>
        </w:rPr>
      </w:pPr>
      <w:r>
        <w:rPr>
          <w:rFonts w:hint="eastAsia" w:ascii="宋体" w:hAnsi="宋体" w:eastAsia="宋体" w:cs="宋体"/>
          <w:b/>
          <w:bCs/>
          <w:color w:val="auto"/>
          <w:highlight w:val="none"/>
        </w:rPr>
        <w:t>版本号：202</w:t>
      </w:r>
      <w:r>
        <w:rPr>
          <w:rFonts w:hint="default" w:ascii="宋体" w:hAnsi="宋体" w:eastAsia="宋体" w:cs="宋体"/>
          <w:b/>
          <w:bCs/>
          <w:color w:val="auto"/>
          <w:highlight w:val="none"/>
          <w:lang w:val="en"/>
        </w:rPr>
        <w:t>4</w:t>
      </w:r>
      <w:r>
        <w:rPr>
          <w:rFonts w:hint="eastAsia" w:ascii="宋体" w:hAnsi="宋体" w:eastAsia="宋体" w:cs="宋体"/>
          <w:b/>
          <w:bCs/>
          <w:color w:val="auto"/>
          <w:highlight w:val="none"/>
        </w:rPr>
        <w:t>年1</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月版</w:t>
      </w:r>
    </w:p>
    <w:p>
      <w:pPr>
        <w:adjustRightInd w:val="0"/>
        <w:snapToGrid w:val="0"/>
        <w:spacing w:line="360" w:lineRule="auto"/>
        <w:ind w:firstLine="4778" w:firstLineChars="1700"/>
        <w:rPr>
          <w:rFonts w:ascii="宋体" w:hAnsi="宋体" w:eastAsia="宋体" w:cs="宋体"/>
          <w:color w:val="auto"/>
          <w:sz w:val="44"/>
          <w:highlight w:val="none"/>
        </w:rPr>
      </w:pPr>
      <w:r>
        <w:rPr>
          <w:rFonts w:hint="eastAsia" w:ascii="宋体" w:hAnsi="宋体" w:eastAsia="宋体" w:cs="宋体"/>
          <w:b/>
          <w:bCs/>
          <w:color w:val="auto"/>
          <w:sz w:val="28"/>
          <w:highlight w:val="none"/>
        </w:rPr>
        <w:t>标段编号：</w:t>
      </w:r>
      <w:r>
        <w:rPr>
          <w:rFonts w:hint="eastAsia" w:ascii="宋体" w:hAnsi="宋体" w:eastAsia="宋体" w:cs="宋体"/>
          <w:bCs/>
          <w:color w:val="auto"/>
          <w:sz w:val="28"/>
          <w:highlight w:val="none"/>
          <w:u w:val="single"/>
        </w:rPr>
        <w:t xml:space="preserve">      </w:t>
      </w:r>
    </w:p>
    <w:p>
      <w:pPr>
        <w:adjustRightInd w:val="0"/>
        <w:snapToGrid w:val="0"/>
        <w:spacing w:line="360" w:lineRule="auto"/>
        <w:rPr>
          <w:rFonts w:ascii="黑体" w:eastAsia="黑体"/>
          <w:b/>
          <w:bCs/>
          <w:color w:val="auto"/>
          <w:sz w:val="52"/>
          <w:szCs w:val="52"/>
          <w:highlight w:val="none"/>
        </w:rPr>
      </w:pPr>
    </w:p>
    <w:p>
      <w:pPr>
        <w:adjustRightInd w:val="0"/>
        <w:snapToGrid w:val="0"/>
        <w:spacing w:line="360" w:lineRule="auto"/>
        <w:rPr>
          <w:rFonts w:ascii="黑体" w:eastAsia="黑体"/>
          <w:b/>
          <w:bCs/>
          <w:color w:val="auto"/>
          <w:sz w:val="52"/>
          <w:szCs w:val="52"/>
          <w:highlight w:val="none"/>
        </w:rPr>
      </w:pPr>
    </w:p>
    <w:p>
      <w:pPr>
        <w:adjustRightInd w:val="0"/>
        <w:snapToGrid w:val="0"/>
        <w:spacing w:line="360" w:lineRule="auto"/>
        <w:rPr>
          <w:rFonts w:ascii="黑体" w:eastAsia="黑体"/>
          <w:b/>
          <w:bCs/>
          <w:color w:val="auto"/>
          <w:sz w:val="52"/>
          <w:szCs w:val="52"/>
          <w:highlight w:val="none"/>
        </w:rPr>
      </w:pPr>
    </w:p>
    <w:p>
      <w:pPr>
        <w:adjustRightInd w:val="0"/>
        <w:snapToGrid w:val="0"/>
        <w:spacing w:line="360" w:lineRule="auto"/>
        <w:jc w:val="center"/>
        <w:rPr>
          <w:rFonts w:ascii="黑体" w:eastAsia="黑体"/>
          <w:b/>
          <w:bCs/>
          <w:color w:val="auto"/>
          <w:sz w:val="72"/>
          <w:highlight w:val="none"/>
        </w:rPr>
      </w:pPr>
      <w:r>
        <w:rPr>
          <w:rFonts w:hint="eastAsia" w:ascii="黑体" w:eastAsia="黑体"/>
          <w:b/>
          <w:bCs/>
          <w:color w:val="auto"/>
          <w:sz w:val="72"/>
          <w:highlight w:val="none"/>
        </w:rPr>
        <w:t>深圳市建设工程</w:t>
      </w:r>
    </w:p>
    <w:p>
      <w:pPr>
        <w:adjustRightInd w:val="0"/>
        <w:snapToGrid w:val="0"/>
        <w:spacing w:line="360" w:lineRule="auto"/>
        <w:jc w:val="center"/>
        <w:rPr>
          <w:rFonts w:ascii="黑体" w:eastAsia="黑体"/>
          <w:b/>
          <w:bCs/>
          <w:color w:val="auto"/>
          <w:sz w:val="72"/>
          <w:highlight w:val="none"/>
        </w:rPr>
      </w:pPr>
      <w:r>
        <w:rPr>
          <w:rFonts w:hint="eastAsia" w:ascii="黑体" w:eastAsia="黑体"/>
          <w:b/>
          <w:bCs/>
          <w:color w:val="auto"/>
          <w:sz w:val="72"/>
          <w:highlight w:val="none"/>
        </w:rPr>
        <w:t>施工类招标文件</w:t>
      </w:r>
    </w:p>
    <w:p>
      <w:pPr>
        <w:adjustRightInd w:val="0"/>
        <w:snapToGrid w:val="0"/>
        <w:spacing w:line="360" w:lineRule="auto"/>
        <w:jc w:val="center"/>
        <w:rPr>
          <w:b/>
          <w:color w:val="auto"/>
          <w:sz w:val="36"/>
          <w:szCs w:val="36"/>
          <w:highlight w:val="none"/>
        </w:rPr>
      </w:pPr>
      <w:r>
        <w:rPr>
          <w:rFonts w:hint="eastAsia"/>
          <w:b/>
          <w:color w:val="auto"/>
          <w:sz w:val="36"/>
          <w:szCs w:val="36"/>
          <w:highlight w:val="none"/>
        </w:rPr>
        <w:t>（示范文本）</w:t>
      </w:r>
    </w:p>
    <w:p>
      <w:pPr>
        <w:adjustRightInd w:val="0"/>
        <w:snapToGrid w:val="0"/>
        <w:spacing w:line="360" w:lineRule="auto"/>
        <w:ind w:firstLine="1561" w:firstLineChars="300"/>
        <w:rPr>
          <w:b/>
          <w:bCs/>
          <w:color w:val="auto"/>
          <w:sz w:val="52"/>
          <w:szCs w:val="52"/>
          <w:highlight w:val="none"/>
        </w:rPr>
      </w:pPr>
    </w:p>
    <w:p>
      <w:pPr>
        <w:adjustRightInd w:val="0"/>
        <w:snapToGrid w:val="0"/>
        <w:spacing w:line="360" w:lineRule="auto"/>
        <w:ind w:firstLine="1561" w:firstLineChars="300"/>
        <w:rPr>
          <w:b/>
          <w:bCs/>
          <w:color w:val="auto"/>
          <w:sz w:val="52"/>
          <w:szCs w:val="52"/>
          <w:highlight w:val="none"/>
        </w:rPr>
      </w:pPr>
    </w:p>
    <w:p>
      <w:pPr>
        <w:adjustRightInd w:val="0"/>
        <w:snapToGrid w:val="0"/>
        <w:spacing w:line="360" w:lineRule="auto"/>
        <w:ind w:firstLine="840" w:firstLineChars="300"/>
        <w:rPr>
          <w:b/>
          <w:bCs/>
          <w:color w:val="auto"/>
          <w:sz w:val="28"/>
          <w:highlight w:val="none"/>
        </w:rPr>
      </w:pPr>
    </w:p>
    <w:p>
      <w:pPr>
        <w:adjustRightInd w:val="0"/>
        <w:snapToGrid w:val="0"/>
        <w:spacing w:line="360" w:lineRule="auto"/>
        <w:ind w:firstLine="843" w:firstLineChars="300"/>
        <w:rPr>
          <w:rFonts w:ascii="宋体" w:hAnsi="宋体" w:eastAsia="宋体" w:cs="宋体"/>
          <w:b/>
          <w:bCs/>
          <w:color w:val="auto"/>
          <w:sz w:val="28"/>
          <w:highlight w:val="none"/>
        </w:rPr>
      </w:pPr>
      <w:r>
        <w:rPr>
          <w:rFonts w:hint="eastAsia" w:ascii="宋体" w:hAnsi="宋体" w:eastAsia="宋体" w:cs="宋体"/>
          <w:b/>
          <w:bCs/>
          <w:color w:val="auto"/>
          <w:sz w:val="28"/>
          <w:highlight w:val="none"/>
        </w:rPr>
        <w:t>标段名称：</w:t>
      </w:r>
      <w:r>
        <w:rPr>
          <w:rFonts w:hint="eastAsia" w:ascii="宋体" w:hAnsi="宋体" w:eastAsia="宋体" w:cs="宋体"/>
          <w:bCs/>
          <w:color w:val="auto"/>
          <w:sz w:val="28"/>
          <w:highlight w:val="none"/>
          <w:u w:val="single"/>
        </w:rPr>
        <w:t xml:space="preserve">      </w:t>
      </w:r>
    </w:p>
    <w:p>
      <w:pPr>
        <w:adjustRightInd w:val="0"/>
        <w:snapToGrid w:val="0"/>
        <w:spacing w:line="360" w:lineRule="auto"/>
        <w:ind w:firstLine="843" w:firstLineChars="300"/>
        <w:rPr>
          <w:rFonts w:ascii="宋体" w:hAnsi="宋体" w:eastAsia="宋体" w:cs="宋体"/>
          <w:b/>
          <w:bCs/>
          <w:color w:val="auto"/>
          <w:sz w:val="28"/>
          <w:highlight w:val="none"/>
        </w:rPr>
      </w:pPr>
      <w:r>
        <w:rPr>
          <w:rFonts w:hint="eastAsia" w:ascii="宋体" w:hAnsi="宋体" w:eastAsia="宋体" w:cs="宋体"/>
          <w:b/>
          <w:bCs/>
          <w:color w:val="auto"/>
          <w:sz w:val="28"/>
          <w:highlight w:val="none"/>
        </w:rPr>
        <w:t>招 标 人：</w:t>
      </w:r>
      <w:r>
        <w:rPr>
          <w:rFonts w:hint="eastAsia" w:ascii="宋体" w:hAnsi="宋体" w:eastAsia="宋体" w:cs="宋体"/>
          <w:bCs/>
          <w:color w:val="auto"/>
          <w:sz w:val="28"/>
          <w:highlight w:val="none"/>
          <w:u w:val="single"/>
        </w:rPr>
        <w:t xml:space="preserve">      </w:t>
      </w:r>
    </w:p>
    <w:p>
      <w:pPr>
        <w:adjustRightInd w:val="0"/>
        <w:snapToGrid w:val="0"/>
        <w:spacing w:line="360" w:lineRule="auto"/>
        <w:ind w:firstLine="843" w:firstLineChars="300"/>
        <w:rPr>
          <w:rFonts w:ascii="宋体" w:hAnsi="宋体" w:eastAsia="宋体" w:cs="宋体"/>
          <w:b/>
          <w:bCs/>
          <w:color w:val="auto"/>
          <w:sz w:val="28"/>
          <w:highlight w:val="none"/>
        </w:rPr>
      </w:pPr>
      <w:r>
        <w:rPr>
          <w:rFonts w:hint="eastAsia" w:ascii="宋体" w:hAnsi="宋体" w:eastAsia="宋体" w:cs="宋体"/>
          <w:b/>
          <w:bCs/>
          <w:color w:val="auto"/>
          <w:sz w:val="28"/>
          <w:highlight w:val="none"/>
        </w:rPr>
        <w:t>法定代表人或其委托代理人：</w:t>
      </w:r>
      <w:r>
        <w:rPr>
          <w:rFonts w:hint="eastAsia" w:ascii="宋体" w:hAnsi="宋体" w:eastAsia="宋体" w:cs="宋体"/>
          <w:bCs/>
          <w:color w:val="auto"/>
          <w:sz w:val="28"/>
          <w:highlight w:val="none"/>
          <w:u w:val="single"/>
        </w:rPr>
        <w:t xml:space="preserve">      </w:t>
      </w:r>
    </w:p>
    <w:p>
      <w:pPr>
        <w:adjustRightInd w:val="0"/>
        <w:snapToGrid w:val="0"/>
        <w:spacing w:line="360" w:lineRule="auto"/>
        <w:ind w:firstLine="843" w:firstLineChars="300"/>
        <w:rPr>
          <w:rFonts w:ascii="宋体" w:hAnsi="宋体" w:eastAsia="宋体" w:cs="宋体"/>
          <w:b/>
          <w:bCs/>
          <w:color w:val="auto"/>
          <w:sz w:val="28"/>
          <w:highlight w:val="none"/>
        </w:rPr>
      </w:pPr>
      <w:r>
        <w:rPr>
          <w:rFonts w:hint="eastAsia" w:ascii="宋体" w:hAnsi="宋体" w:eastAsia="宋体" w:cs="宋体"/>
          <w:b/>
          <w:bCs/>
          <w:color w:val="auto"/>
          <w:sz w:val="28"/>
          <w:highlight w:val="none"/>
        </w:rPr>
        <w:t>招标代理机构：</w:t>
      </w:r>
      <w:r>
        <w:rPr>
          <w:rFonts w:hint="eastAsia" w:ascii="宋体" w:hAnsi="宋体" w:eastAsia="宋体" w:cs="宋体"/>
          <w:bCs/>
          <w:color w:val="auto"/>
          <w:sz w:val="28"/>
          <w:highlight w:val="none"/>
          <w:u w:val="single"/>
        </w:rPr>
        <w:t xml:space="preserve">      </w:t>
      </w:r>
    </w:p>
    <w:p>
      <w:pPr>
        <w:adjustRightInd w:val="0"/>
        <w:snapToGrid w:val="0"/>
        <w:spacing w:line="360" w:lineRule="auto"/>
        <w:ind w:firstLine="843" w:firstLineChars="300"/>
        <w:rPr>
          <w:rFonts w:ascii="宋体" w:hAnsi="宋体" w:eastAsia="宋体" w:cs="宋体"/>
          <w:b/>
          <w:bCs/>
          <w:color w:val="auto"/>
          <w:sz w:val="28"/>
          <w:highlight w:val="none"/>
        </w:rPr>
      </w:pPr>
      <w:r>
        <w:rPr>
          <w:rFonts w:hint="eastAsia" w:ascii="宋体" w:hAnsi="宋体" w:eastAsia="宋体" w:cs="宋体"/>
          <w:b/>
          <w:bCs/>
          <w:color w:val="auto"/>
          <w:sz w:val="28"/>
          <w:highlight w:val="none"/>
        </w:rPr>
        <w:t>法定代表人或其委托代理人：</w:t>
      </w:r>
      <w:r>
        <w:rPr>
          <w:rFonts w:hint="eastAsia" w:ascii="宋体" w:hAnsi="宋体" w:eastAsia="宋体" w:cs="宋体"/>
          <w:bCs/>
          <w:color w:val="auto"/>
          <w:sz w:val="28"/>
          <w:highlight w:val="none"/>
          <w:u w:val="single"/>
        </w:rPr>
        <w:t xml:space="preserve">      </w:t>
      </w:r>
    </w:p>
    <w:p>
      <w:pPr>
        <w:adjustRightInd w:val="0"/>
        <w:snapToGrid w:val="0"/>
        <w:spacing w:line="360" w:lineRule="auto"/>
        <w:jc w:val="center"/>
        <w:rPr>
          <w:b/>
          <w:bCs/>
          <w:color w:val="auto"/>
          <w:sz w:val="28"/>
          <w:highlight w:val="none"/>
        </w:rPr>
      </w:pPr>
    </w:p>
    <w:p>
      <w:pPr>
        <w:adjustRightInd w:val="0"/>
        <w:snapToGrid w:val="0"/>
        <w:spacing w:line="360" w:lineRule="auto"/>
        <w:jc w:val="center"/>
        <w:rPr>
          <w:b/>
          <w:bCs/>
          <w:color w:val="auto"/>
          <w:sz w:val="28"/>
          <w:highlight w:val="none"/>
        </w:rPr>
      </w:pPr>
    </w:p>
    <w:p>
      <w:pPr>
        <w:adjustRightInd w:val="0"/>
        <w:snapToGrid w:val="0"/>
        <w:spacing w:line="360" w:lineRule="auto"/>
        <w:jc w:val="center"/>
        <w:rPr>
          <w:color w:val="auto"/>
          <w:highlight w:val="none"/>
        </w:rPr>
      </w:pPr>
      <w:r>
        <w:rPr>
          <w:color w:val="auto"/>
          <w:highlight w:val="none"/>
        </w:rPr>
        <w:br w:type="page"/>
      </w:r>
    </w:p>
    <w:p>
      <w:pPr>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pPr>
        <w:pStyle w:val="27"/>
        <w:tabs>
          <w:tab w:val="right" w:leader="dot" w:pos="9073"/>
        </w:tabs>
        <w:rPr>
          <w:color w:val="auto"/>
          <w:highlight w:val="none"/>
        </w:rPr>
      </w:pPr>
      <w:r>
        <w:rPr>
          <w:rFonts w:hint="eastAsia"/>
          <w:b w:val="0"/>
          <w:caps w:val="0"/>
          <w:color w:val="auto"/>
          <w:sz w:val="24"/>
          <w:szCs w:val="24"/>
          <w:highlight w:val="none"/>
        </w:rPr>
        <w:fldChar w:fldCharType="begin"/>
      </w:r>
      <w:r>
        <w:rPr>
          <w:rFonts w:hint="eastAsia"/>
          <w:b w:val="0"/>
          <w:caps w:val="0"/>
          <w:color w:val="auto"/>
          <w:sz w:val="24"/>
          <w:szCs w:val="24"/>
          <w:highlight w:val="none"/>
        </w:rPr>
        <w:instrText xml:space="preserve">TOC \o "1-3" \h \u </w:instrText>
      </w:r>
      <w:r>
        <w:rPr>
          <w:rFonts w:hint="eastAsia"/>
          <w:b w:val="0"/>
          <w:caps w:val="0"/>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_Toc21400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32"/>
          <w:highlight w:val="none"/>
        </w:rPr>
        <w:t>第一章  使用说明</w:t>
      </w:r>
      <w:r>
        <w:rPr>
          <w:color w:val="auto"/>
          <w:highlight w:val="none"/>
        </w:rPr>
        <w:tab/>
      </w:r>
      <w:r>
        <w:rPr>
          <w:color w:val="auto"/>
          <w:highlight w:val="none"/>
        </w:rPr>
        <w:fldChar w:fldCharType="begin"/>
      </w:r>
      <w:r>
        <w:rPr>
          <w:color w:val="auto"/>
          <w:highlight w:val="none"/>
        </w:rPr>
        <w:instrText xml:space="preserve"> PAGEREF _Toc21400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pPr>
        <w:pStyle w:val="27"/>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_Toc15779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32"/>
          <w:highlight w:val="none"/>
        </w:rPr>
        <w:t>第二章  投标须知</w:t>
      </w:r>
      <w:r>
        <w:rPr>
          <w:color w:val="auto"/>
          <w:highlight w:val="none"/>
        </w:rPr>
        <w:tab/>
      </w:r>
      <w:r>
        <w:rPr>
          <w:color w:val="auto"/>
          <w:highlight w:val="none"/>
        </w:rPr>
        <w:fldChar w:fldCharType="begin"/>
      </w:r>
      <w:r>
        <w:rPr>
          <w:color w:val="auto"/>
          <w:highlight w:val="none"/>
        </w:rPr>
        <w:instrText xml:space="preserve"> PAGEREF _Toc15779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_Toc3225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32"/>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_Toc3225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_Toc6954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32"/>
          <w:highlight w:val="none"/>
        </w:rPr>
        <w:t>二、投标文件否决性条款</w:t>
      </w:r>
      <w:r>
        <w:rPr>
          <w:color w:val="auto"/>
          <w:highlight w:val="none"/>
        </w:rPr>
        <w:tab/>
      </w:r>
      <w:r>
        <w:rPr>
          <w:color w:val="auto"/>
          <w:highlight w:val="none"/>
        </w:rPr>
        <w:fldChar w:fldCharType="begin"/>
      </w:r>
      <w:r>
        <w:rPr>
          <w:color w:val="auto"/>
          <w:highlight w:val="none"/>
        </w:rPr>
        <w:instrText xml:space="preserve"> PAGEREF _Toc6954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_Toc20415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32"/>
          <w:highlight w:val="none"/>
        </w:rPr>
        <w:t>三、招投标须知正文</w:t>
      </w:r>
      <w:r>
        <w:rPr>
          <w:color w:val="auto"/>
          <w:highlight w:val="none"/>
        </w:rPr>
        <w:tab/>
      </w:r>
      <w:r>
        <w:rPr>
          <w:color w:val="auto"/>
          <w:highlight w:val="none"/>
        </w:rPr>
        <w:fldChar w:fldCharType="begin"/>
      </w:r>
      <w:r>
        <w:rPr>
          <w:color w:val="auto"/>
          <w:highlight w:val="none"/>
        </w:rPr>
        <w:instrText xml:space="preserve"> PAGEREF _Toc20415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_Toc19475 </w:instrText>
      </w:r>
      <w:r>
        <w:rPr>
          <w:rFonts w:hint="eastAsia" w:ascii="宋体" w:hAnsi="宋体" w:eastAsia="宋体" w:cs="宋体"/>
          <w:color w:val="auto"/>
          <w:szCs w:val="24"/>
          <w:highlight w:val="none"/>
        </w:rPr>
        <w:fldChar w:fldCharType="separate"/>
      </w:r>
      <w:r>
        <w:rPr>
          <w:rFonts w:hint="eastAsia" w:eastAsia="宋体"/>
          <w:bCs w:val="0"/>
          <w:color w:val="auto"/>
          <w:highlight w:val="none"/>
          <w:lang w:val="en-US"/>
        </w:rPr>
        <w:t>（一）招标</w:t>
      </w:r>
      <w:r>
        <w:rPr>
          <w:color w:val="auto"/>
          <w:highlight w:val="none"/>
        </w:rPr>
        <w:tab/>
      </w:r>
      <w:r>
        <w:rPr>
          <w:color w:val="auto"/>
          <w:highlight w:val="none"/>
        </w:rPr>
        <w:fldChar w:fldCharType="begin"/>
      </w:r>
      <w:r>
        <w:rPr>
          <w:color w:val="auto"/>
          <w:highlight w:val="none"/>
        </w:rPr>
        <w:instrText xml:space="preserve"> PAGEREF _Toc19475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_Toc8539 </w:instrText>
      </w:r>
      <w:r>
        <w:rPr>
          <w:rFonts w:hint="eastAsia" w:ascii="宋体" w:hAnsi="宋体" w:eastAsia="宋体" w:cs="宋体"/>
          <w:color w:val="auto"/>
          <w:szCs w:val="24"/>
          <w:highlight w:val="none"/>
        </w:rPr>
        <w:fldChar w:fldCharType="separate"/>
      </w:r>
      <w:r>
        <w:rPr>
          <w:rFonts w:hint="eastAsia" w:eastAsia="宋体"/>
          <w:bCs w:val="0"/>
          <w:color w:val="auto"/>
          <w:highlight w:val="none"/>
          <w:lang w:val="en-US"/>
        </w:rPr>
        <w:t>（二）投标</w:t>
      </w:r>
      <w:r>
        <w:rPr>
          <w:color w:val="auto"/>
          <w:highlight w:val="none"/>
        </w:rPr>
        <w:tab/>
      </w:r>
      <w:r>
        <w:rPr>
          <w:color w:val="auto"/>
          <w:highlight w:val="none"/>
        </w:rPr>
        <w:fldChar w:fldCharType="begin"/>
      </w:r>
      <w:r>
        <w:rPr>
          <w:color w:val="auto"/>
          <w:highlight w:val="none"/>
        </w:rPr>
        <w:instrText xml:space="preserve"> PAGEREF _Toc8539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_Toc19176 </w:instrText>
      </w:r>
      <w:r>
        <w:rPr>
          <w:rFonts w:hint="eastAsia" w:ascii="宋体" w:hAnsi="宋体" w:eastAsia="宋体" w:cs="宋体"/>
          <w:color w:val="auto"/>
          <w:szCs w:val="24"/>
          <w:highlight w:val="none"/>
        </w:rPr>
        <w:fldChar w:fldCharType="separate"/>
      </w:r>
      <w:r>
        <w:rPr>
          <w:rFonts w:hint="eastAsia" w:eastAsia="宋体"/>
          <w:bCs w:val="0"/>
          <w:color w:val="auto"/>
          <w:highlight w:val="none"/>
          <w:lang w:val="en-US"/>
        </w:rPr>
        <w:t>（三）资格后审</w:t>
      </w:r>
      <w:r>
        <w:rPr>
          <w:color w:val="auto"/>
          <w:highlight w:val="none"/>
        </w:rPr>
        <w:tab/>
      </w:r>
      <w:r>
        <w:rPr>
          <w:color w:val="auto"/>
          <w:highlight w:val="none"/>
        </w:rPr>
        <w:fldChar w:fldCharType="begin"/>
      </w:r>
      <w:r>
        <w:rPr>
          <w:color w:val="auto"/>
          <w:highlight w:val="none"/>
        </w:rPr>
        <w:instrText xml:space="preserve"> PAGEREF _Toc19176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_Toc31112 </w:instrText>
      </w:r>
      <w:r>
        <w:rPr>
          <w:rFonts w:hint="eastAsia" w:ascii="宋体" w:hAnsi="宋体" w:eastAsia="宋体" w:cs="宋体"/>
          <w:color w:val="auto"/>
          <w:szCs w:val="24"/>
          <w:highlight w:val="none"/>
        </w:rPr>
        <w:fldChar w:fldCharType="separate"/>
      </w:r>
      <w:r>
        <w:rPr>
          <w:rFonts w:hint="eastAsia" w:eastAsia="宋体"/>
          <w:bCs w:val="0"/>
          <w:color w:val="auto"/>
          <w:highlight w:val="none"/>
          <w:lang w:val="en-US"/>
        </w:rPr>
        <w:t>（四）开标</w:t>
      </w:r>
      <w:r>
        <w:rPr>
          <w:color w:val="auto"/>
          <w:highlight w:val="none"/>
        </w:rPr>
        <w:tab/>
      </w:r>
      <w:r>
        <w:rPr>
          <w:color w:val="auto"/>
          <w:highlight w:val="none"/>
        </w:rPr>
        <w:fldChar w:fldCharType="begin"/>
      </w:r>
      <w:r>
        <w:rPr>
          <w:color w:val="auto"/>
          <w:highlight w:val="none"/>
        </w:rPr>
        <w:instrText xml:space="preserve"> PAGEREF _Toc31112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_Toc13700 </w:instrText>
      </w:r>
      <w:r>
        <w:rPr>
          <w:rFonts w:hint="eastAsia" w:ascii="宋体" w:hAnsi="宋体" w:eastAsia="宋体" w:cs="宋体"/>
          <w:color w:val="auto"/>
          <w:szCs w:val="24"/>
          <w:highlight w:val="none"/>
        </w:rPr>
        <w:fldChar w:fldCharType="separate"/>
      </w:r>
      <w:r>
        <w:rPr>
          <w:rFonts w:hint="eastAsia" w:eastAsia="宋体"/>
          <w:bCs w:val="0"/>
          <w:color w:val="auto"/>
          <w:highlight w:val="none"/>
          <w:lang w:val="en-US"/>
        </w:rPr>
        <w:t>（五）评标</w:t>
      </w:r>
      <w:r>
        <w:rPr>
          <w:color w:val="auto"/>
          <w:highlight w:val="none"/>
        </w:rPr>
        <w:tab/>
      </w:r>
      <w:r>
        <w:rPr>
          <w:color w:val="auto"/>
          <w:highlight w:val="none"/>
        </w:rPr>
        <w:fldChar w:fldCharType="begin"/>
      </w:r>
      <w:r>
        <w:rPr>
          <w:color w:val="auto"/>
          <w:highlight w:val="none"/>
        </w:rPr>
        <w:instrText xml:space="preserve"> PAGEREF _Toc13700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_Toc31697 </w:instrText>
      </w:r>
      <w:r>
        <w:rPr>
          <w:rFonts w:hint="eastAsia" w:ascii="宋体" w:hAnsi="宋体" w:eastAsia="宋体" w:cs="宋体"/>
          <w:color w:val="auto"/>
          <w:szCs w:val="24"/>
          <w:highlight w:val="none"/>
        </w:rPr>
        <w:fldChar w:fldCharType="separate"/>
      </w:r>
      <w:r>
        <w:rPr>
          <w:rFonts w:hint="eastAsia" w:eastAsia="宋体"/>
          <w:bCs w:val="0"/>
          <w:color w:val="auto"/>
          <w:highlight w:val="none"/>
          <w:lang w:val="en-US"/>
        </w:rPr>
        <w:t>（六）定标</w:t>
      </w:r>
      <w:r>
        <w:rPr>
          <w:color w:val="auto"/>
          <w:highlight w:val="none"/>
        </w:rPr>
        <w:tab/>
      </w:r>
      <w:r>
        <w:rPr>
          <w:color w:val="auto"/>
          <w:highlight w:val="none"/>
        </w:rPr>
        <w:fldChar w:fldCharType="begin"/>
      </w:r>
      <w:r>
        <w:rPr>
          <w:color w:val="auto"/>
          <w:highlight w:val="none"/>
        </w:rPr>
        <w:instrText xml:space="preserve"> PAGEREF _Toc31697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_Toc19005 </w:instrText>
      </w:r>
      <w:r>
        <w:rPr>
          <w:rFonts w:hint="eastAsia" w:ascii="宋体" w:hAnsi="宋体" w:eastAsia="宋体" w:cs="宋体"/>
          <w:color w:val="auto"/>
          <w:szCs w:val="24"/>
          <w:highlight w:val="none"/>
        </w:rPr>
        <w:fldChar w:fldCharType="separate"/>
      </w:r>
      <w:r>
        <w:rPr>
          <w:rFonts w:hint="eastAsia" w:eastAsia="宋体"/>
          <w:bCs w:val="0"/>
          <w:color w:val="auto"/>
          <w:highlight w:val="none"/>
          <w:lang w:val="en-US"/>
        </w:rPr>
        <w:t>（七）中标通知书</w:t>
      </w:r>
      <w:r>
        <w:rPr>
          <w:color w:val="auto"/>
          <w:highlight w:val="none"/>
        </w:rPr>
        <w:tab/>
      </w:r>
      <w:r>
        <w:rPr>
          <w:color w:val="auto"/>
          <w:highlight w:val="none"/>
        </w:rPr>
        <w:fldChar w:fldCharType="begin"/>
      </w:r>
      <w:r>
        <w:rPr>
          <w:color w:val="auto"/>
          <w:highlight w:val="none"/>
        </w:rPr>
        <w:instrText xml:space="preserve"> PAGEREF _Toc19005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_Toc24147 </w:instrText>
      </w:r>
      <w:r>
        <w:rPr>
          <w:rFonts w:hint="eastAsia" w:ascii="宋体" w:hAnsi="宋体" w:eastAsia="宋体" w:cs="宋体"/>
          <w:color w:val="auto"/>
          <w:szCs w:val="24"/>
          <w:highlight w:val="none"/>
        </w:rPr>
        <w:fldChar w:fldCharType="separate"/>
      </w:r>
      <w:r>
        <w:rPr>
          <w:rFonts w:hint="eastAsia" w:eastAsia="宋体"/>
          <w:bCs w:val="0"/>
          <w:color w:val="auto"/>
          <w:highlight w:val="none"/>
          <w:lang w:val="en-US"/>
        </w:rPr>
        <w:t>（八）合同的授予</w:t>
      </w:r>
      <w:r>
        <w:rPr>
          <w:color w:val="auto"/>
          <w:highlight w:val="none"/>
        </w:rPr>
        <w:tab/>
      </w:r>
      <w:r>
        <w:rPr>
          <w:color w:val="auto"/>
          <w:highlight w:val="none"/>
        </w:rPr>
        <w:fldChar w:fldCharType="begin"/>
      </w:r>
      <w:r>
        <w:rPr>
          <w:color w:val="auto"/>
          <w:highlight w:val="none"/>
        </w:rPr>
        <w:instrText xml:space="preserve"> PAGEREF _Toc24147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4"/>
          <w:highlight w:val="none"/>
        </w:rPr>
        <w:fldChar w:fldCharType="end"/>
      </w:r>
    </w:p>
    <w:p>
      <w:pPr>
        <w:pStyle w:val="27"/>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_Toc29169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44"/>
          <w:highlight w:val="none"/>
        </w:rPr>
        <w:t>第三章  招标人对招标文件及合同范本的补充/修改</w:t>
      </w:r>
      <w:r>
        <w:rPr>
          <w:color w:val="auto"/>
          <w:highlight w:val="none"/>
        </w:rPr>
        <w:tab/>
      </w:r>
      <w:r>
        <w:rPr>
          <w:color w:val="auto"/>
          <w:highlight w:val="none"/>
        </w:rPr>
        <w:fldChar w:fldCharType="begin"/>
      </w:r>
      <w:r>
        <w:rPr>
          <w:color w:val="auto"/>
          <w:highlight w:val="none"/>
        </w:rPr>
        <w:instrText xml:space="preserve"> PAGEREF _Toc29169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pPr>
        <w:pStyle w:val="27"/>
        <w:tabs>
          <w:tab w:val="right" w:leader="dot" w:pos="9073"/>
        </w:tabs>
        <w:rPr>
          <w:rFonts w:hint="eastAsia" w:ascii="黑体" w:hAnsi="黑体" w:eastAsia="黑体" w:cs="黑体"/>
          <w:color w:val="auto"/>
          <w:szCs w:val="44"/>
          <w:highlight w:val="none"/>
        </w:rPr>
      </w:pPr>
      <w:r>
        <w:rPr>
          <w:rFonts w:hint="eastAsia" w:ascii="黑体" w:hAnsi="黑体" w:eastAsia="黑体" w:cs="黑体"/>
          <w:color w:val="auto"/>
          <w:szCs w:val="44"/>
          <w:highlight w:val="none"/>
        </w:rPr>
        <w:fldChar w:fldCharType="begin"/>
      </w:r>
      <w:r>
        <w:rPr>
          <w:rFonts w:hint="eastAsia" w:ascii="黑体" w:hAnsi="黑体" w:eastAsia="黑体" w:cs="黑体"/>
          <w:color w:val="auto"/>
          <w:szCs w:val="44"/>
          <w:highlight w:val="none"/>
        </w:rPr>
        <w:instrText xml:space="preserve"> HYPERLINK \l _Toc7592 </w:instrText>
      </w:r>
      <w:r>
        <w:rPr>
          <w:rFonts w:hint="eastAsia" w:ascii="黑体" w:hAnsi="黑体" w:eastAsia="黑体" w:cs="黑体"/>
          <w:color w:val="auto"/>
          <w:szCs w:val="44"/>
          <w:highlight w:val="none"/>
        </w:rPr>
        <w:fldChar w:fldCharType="separate"/>
      </w:r>
      <w:r>
        <w:rPr>
          <w:rFonts w:hint="eastAsia" w:ascii="黑体" w:hAnsi="黑体" w:eastAsia="黑体" w:cs="黑体"/>
          <w:bCs/>
          <w:color w:val="auto"/>
          <w:szCs w:val="44"/>
          <w:highlight w:val="none"/>
        </w:rPr>
        <w:t>第四章  合同条款</w:t>
      </w:r>
      <w:r>
        <w:rPr>
          <w:rFonts w:hint="eastAsia" w:ascii="黑体" w:hAnsi="黑体" w:eastAsia="黑体" w:cs="黑体"/>
          <w:color w:val="auto"/>
          <w:szCs w:val="44"/>
          <w:highlight w:val="none"/>
        </w:rPr>
        <w:tab/>
      </w:r>
      <w:r>
        <w:rPr>
          <w:rFonts w:hint="eastAsia" w:ascii="黑体" w:hAnsi="黑体" w:eastAsia="黑体" w:cs="黑体"/>
          <w:color w:val="auto"/>
          <w:szCs w:val="44"/>
          <w:highlight w:val="none"/>
        </w:rPr>
        <w:fldChar w:fldCharType="begin"/>
      </w:r>
      <w:r>
        <w:rPr>
          <w:rFonts w:hint="eastAsia" w:ascii="黑体" w:hAnsi="黑体" w:eastAsia="黑体" w:cs="黑体"/>
          <w:color w:val="auto"/>
          <w:szCs w:val="44"/>
          <w:highlight w:val="none"/>
        </w:rPr>
        <w:instrText xml:space="preserve"> PAGEREF _Toc7592 \h </w:instrText>
      </w:r>
      <w:r>
        <w:rPr>
          <w:rFonts w:hint="eastAsia" w:ascii="黑体" w:hAnsi="黑体" w:eastAsia="黑体" w:cs="黑体"/>
          <w:color w:val="auto"/>
          <w:szCs w:val="44"/>
          <w:highlight w:val="none"/>
        </w:rPr>
        <w:fldChar w:fldCharType="separate"/>
      </w:r>
      <w:r>
        <w:rPr>
          <w:rFonts w:hint="eastAsia" w:ascii="黑体" w:hAnsi="黑体" w:eastAsia="黑体" w:cs="黑体"/>
          <w:color w:val="auto"/>
          <w:szCs w:val="44"/>
          <w:highlight w:val="none"/>
        </w:rPr>
        <w:t>39</w:t>
      </w:r>
      <w:r>
        <w:rPr>
          <w:rFonts w:hint="eastAsia" w:ascii="黑体" w:hAnsi="黑体" w:eastAsia="黑体" w:cs="黑体"/>
          <w:color w:val="auto"/>
          <w:szCs w:val="44"/>
          <w:highlight w:val="none"/>
        </w:rPr>
        <w:fldChar w:fldCharType="end"/>
      </w:r>
      <w:r>
        <w:rPr>
          <w:rFonts w:hint="eastAsia" w:ascii="黑体" w:hAnsi="黑体" w:eastAsia="黑体" w:cs="黑体"/>
          <w:color w:val="auto"/>
          <w:szCs w:val="44"/>
          <w:highlight w:val="none"/>
        </w:rPr>
        <w:fldChar w:fldCharType="end"/>
      </w:r>
    </w:p>
    <w:p>
      <w:pPr>
        <w:pStyle w:val="33"/>
        <w:tabs>
          <w:tab w:val="right" w:leader="dot" w:pos="9073"/>
        </w:tabs>
        <w:rPr>
          <w:rFonts w:hint="eastAsia" w:eastAsia="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_Toc3225 </w:instrText>
      </w:r>
      <w:r>
        <w:rPr>
          <w:rFonts w:hint="eastAsia" w:ascii="宋体" w:hAnsi="宋体" w:eastAsia="宋体" w:cs="宋体"/>
          <w:color w:val="auto"/>
          <w:szCs w:val="24"/>
          <w:highlight w:val="none"/>
        </w:rPr>
        <w:fldChar w:fldCharType="separate"/>
      </w:r>
      <w:r>
        <w:rPr>
          <w:rFonts w:hint="eastAsia" w:ascii="黑体" w:hAnsi="黑体" w:eastAsia="黑体" w:cs="黑体"/>
          <w:bCs w:val="0"/>
          <w:snapToGrid/>
          <w:color w:val="auto"/>
          <w:kern w:val="0"/>
          <w:szCs w:val="24"/>
          <w:highlight w:val="none"/>
          <w:lang w:val="en-US" w:eastAsia="zh-CN" w:bidi="ar-SA"/>
        </w:rPr>
        <w:t>第一部分 协议书</w:t>
      </w:r>
      <w:r>
        <w:rPr>
          <w:color w:val="auto"/>
          <w:highlight w:val="none"/>
        </w:rPr>
        <w:tab/>
      </w:r>
      <w:r>
        <w:rPr>
          <w:rFonts w:hint="eastAsia"/>
          <w:color w:val="auto"/>
          <w:highlight w:val="none"/>
          <w:lang w:val="en-US" w:eastAsia="zh-CN"/>
        </w:rPr>
        <w:t>4</w:t>
      </w:r>
      <w:r>
        <w:rPr>
          <w:rFonts w:hint="eastAsia" w:ascii="宋体" w:hAnsi="宋体" w:eastAsia="宋体" w:cs="宋体"/>
          <w:color w:val="auto"/>
          <w:szCs w:val="24"/>
          <w:highlight w:val="none"/>
        </w:rPr>
        <w:fldChar w:fldCharType="end"/>
      </w:r>
      <w:r>
        <w:rPr>
          <w:rFonts w:hint="eastAsia" w:cs="宋体"/>
          <w:color w:val="auto"/>
          <w:szCs w:val="24"/>
          <w:highlight w:val="none"/>
          <w:lang w:val="en-US" w:eastAsia="zh-CN"/>
        </w:rPr>
        <w:t>3</w:t>
      </w:r>
    </w:p>
    <w:p>
      <w:pPr>
        <w:pStyle w:val="33"/>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_Toc6954 </w:instrText>
      </w:r>
      <w:r>
        <w:rPr>
          <w:rFonts w:hint="eastAsia" w:ascii="宋体" w:hAnsi="宋体" w:eastAsia="宋体" w:cs="宋体"/>
          <w:color w:val="auto"/>
          <w:szCs w:val="24"/>
          <w:highlight w:val="none"/>
        </w:rPr>
        <w:fldChar w:fldCharType="separate"/>
      </w:r>
      <w:r>
        <w:rPr>
          <w:rFonts w:hint="eastAsia" w:ascii="黑体" w:hAnsi="黑体" w:eastAsia="黑体" w:cs="黑体"/>
          <w:bCs w:val="0"/>
          <w:snapToGrid/>
          <w:color w:val="auto"/>
          <w:kern w:val="0"/>
          <w:szCs w:val="24"/>
          <w:highlight w:val="none"/>
          <w:lang w:val="en-US" w:eastAsia="zh-CN" w:bidi="ar-SA"/>
        </w:rPr>
        <w:t>第二部分  通用条款</w:t>
      </w:r>
      <w:r>
        <w:rPr>
          <w:color w:val="auto"/>
          <w:highlight w:val="none"/>
        </w:rPr>
        <w:tab/>
      </w:r>
      <w:r>
        <w:rPr>
          <w:color w:val="auto"/>
          <w:highlight w:val="none"/>
        </w:rPr>
        <w:fldChar w:fldCharType="begin"/>
      </w:r>
      <w:r>
        <w:rPr>
          <w:color w:val="auto"/>
          <w:highlight w:val="none"/>
        </w:rPr>
        <w:instrText xml:space="preserve"> PAGEREF _Toc6954 \h </w:instrText>
      </w:r>
      <w:r>
        <w:rPr>
          <w:color w:val="auto"/>
          <w:highlight w:val="none"/>
        </w:rPr>
        <w:fldChar w:fldCharType="separate"/>
      </w:r>
      <w:r>
        <w:rPr>
          <w:rFonts w:hint="eastAsia"/>
          <w:color w:val="auto"/>
          <w:highlight w:val="none"/>
          <w:lang w:val="en-US" w:eastAsia="zh-CN"/>
        </w:rPr>
        <w:t>48</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9073"/>
        </w:tabs>
        <w:rPr>
          <w:rFonts w:hint="default" w:eastAsia="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_Toc20415 </w:instrText>
      </w:r>
      <w:r>
        <w:rPr>
          <w:rFonts w:hint="eastAsia" w:ascii="宋体" w:hAnsi="宋体" w:eastAsia="宋体" w:cs="宋体"/>
          <w:color w:val="auto"/>
          <w:szCs w:val="24"/>
          <w:highlight w:val="none"/>
        </w:rPr>
        <w:fldChar w:fldCharType="separate"/>
      </w:r>
      <w:r>
        <w:rPr>
          <w:rFonts w:hint="eastAsia" w:ascii="黑体" w:hAnsi="黑体" w:eastAsia="黑体" w:cs="黑体"/>
          <w:bCs w:val="0"/>
          <w:snapToGrid/>
          <w:color w:val="auto"/>
          <w:kern w:val="0"/>
          <w:szCs w:val="24"/>
          <w:highlight w:val="none"/>
          <w:lang w:val="en-US" w:eastAsia="zh-CN" w:bidi="ar-SA"/>
        </w:rPr>
        <w:t>第三部分 专用条款</w:t>
      </w:r>
      <w:r>
        <w:rPr>
          <w:color w:val="auto"/>
          <w:highlight w:val="none"/>
        </w:rPr>
        <w:tab/>
      </w:r>
      <w:r>
        <w:rPr>
          <w:rFonts w:hint="eastAsia"/>
          <w:color w:val="auto"/>
          <w:highlight w:val="none"/>
          <w:lang w:val="en-US" w:eastAsia="zh-CN"/>
        </w:rPr>
        <w:t>1</w:t>
      </w:r>
      <w:r>
        <w:rPr>
          <w:rFonts w:hint="eastAsia" w:ascii="宋体" w:hAnsi="宋体" w:eastAsia="宋体" w:cs="宋体"/>
          <w:color w:val="auto"/>
          <w:szCs w:val="24"/>
          <w:highlight w:val="none"/>
        </w:rPr>
        <w:fldChar w:fldCharType="end"/>
      </w:r>
      <w:r>
        <w:rPr>
          <w:rFonts w:hint="eastAsia" w:cs="宋体"/>
          <w:color w:val="auto"/>
          <w:szCs w:val="24"/>
          <w:highlight w:val="none"/>
          <w:lang w:val="en-US" w:eastAsia="zh-CN"/>
        </w:rPr>
        <w:t>04</w:t>
      </w:r>
    </w:p>
    <w:p>
      <w:pPr>
        <w:pStyle w:val="33"/>
        <w:tabs>
          <w:tab w:val="right" w:leader="dot" w:pos="9073"/>
        </w:tabs>
        <w:rPr>
          <w:rFonts w:hint="default" w:eastAsia="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_Toc20415 </w:instrText>
      </w:r>
      <w:r>
        <w:rPr>
          <w:rFonts w:hint="eastAsia" w:ascii="宋体" w:hAnsi="宋体" w:eastAsia="宋体" w:cs="宋体"/>
          <w:color w:val="auto"/>
          <w:szCs w:val="24"/>
          <w:highlight w:val="none"/>
        </w:rPr>
        <w:fldChar w:fldCharType="separate"/>
      </w:r>
      <w:r>
        <w:rPr>
          <w:rFonts w:hint="eastAsia" w:ascii="黑体" w:hAnsi="黑体" w:eastAsia="黑体" w:cs="黑体"/>
          <w:bCs w:val="0"/>
          <w:snapToGrid/>
          <w:color w:val="auto"/>
          <w:kern w:val="0"/>
          <w:szCs w:val="24"/>
          <w:highlight w:val="none"/>
          <w:lang w:val="en-US" w:eastAsia="zh-CN" w:bidi="ar-SA"/>
        </w:rPr>
        <w:t>第四部分 补充条款</w:t>
      </w:r>
      <w:r>
        <w:rPr>
          <w:color w:val="auto"/>
          <w:highlight w:val="none"/>
        </w:rPr>
        <w:tab/>
      </w:r>
      <w:r>
        <w:rPr>
          <w:rFonts w:hint="eastAsia"/>
          <w:color w:val="auto"/>
          <w:highlight w:val="none"/>
          <w:lang w:val="en-US" w:eastAsia="zh-CN"/>
        </w:rPr>
        <w:t>1</w:t>
      </w:r>
      <w:r>
        <w:rPr>
          <w:rFonts w:hint="eastAsia" w:ascii="宋体" w:hAnsi="宋体" w:eastAsia="宋体" w:cs="宋体"/>
          <w:color w:val="auto"/>
          <w:szCs w:val="24"/>
          <w:highlight w:val="none"/>
        </w:rPr>
        <w:fldChar w:fldCharType="end"/>
      </w:r>
      <w:r>
        <w:rPr>
          <w:rFonts w:hint="eastAsia" w:cs="宋体"/>
          <w:color w:val="auto"/>
          <w:szCs w:val="24"/>
          <w:highlight w:val="none"/>
          <w:lang w:val="en-US" w:eastAsia="zh-CN"/>
        </w:rPr>
        <w:t>32</w:t>
      </w:r>
    </w:p>
    <w:p>
      <w:pPr>
        <w:pStyle w:val="27"/>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_Toc17066 </w:instrText>
      </w:r>
      <w:r>
        <w:rPr>
          <w:rFonts w:hint="eastAsia" w:ascii="宋体" w:hAnsi="宋体" w:eastAsia="宋体" w:cs="宋体"/>
          <w:color w:val="auto"/>
          <w:szCs w:val="24"/>
          <w:highlight w:val="none"/>
        </w:rPr>
        <w:fldChar w:fldCharType="separate"/>
      </w:r>
      <w:r>
        <w:rPr>
          <w:rFonts w:hint="eastAsia" w:ascii="黑体" w:hAnsi="黑体" w:eastAsia="黑体" w:cs="黑体"/>
          <w:bCs w:val="0"/>
          <w:color w:val="auto"/>
          <w:szCs w:val="32"/>
          <w:highlight w:val="none"/>
        </w:rPr>
        <w:t>第</w:t>
      </w:r>
      <w:r>
        <w:rPr>
          <w:rFonts w:hint="eastAsia" w:ascii="黑体" w:hAnsi="黑体" w:eastAsia="黑体" w:cs="黑体"/>
          <w:bCs w:val="0"/>
          <w:color w:val="auto"/>
          <w:szCs w:val="32"/>
          <w:highlight w:val="none"/>
          <w:lang w:eastAsia="zh-CN"/>
        </w:rPr>
        <w:t>五</w:t>
      </w:r>
      <w:r>
        <w:rPr>
          <w:rFonts w:hint="eastAsia" w:ascii="黑体" w:hAnsi="黑体" w:eastAsia="黑体" w:cs="黑体"/>
          <w:bCs w:val="0"/>
          <w:color w:val="auto"/>
          <w:szCs w:val="32"/>
          <w:highlight w:val="none"/>
        </w:rPr>
        <w:t xml:space="preserve">章  </w:t>
      </w:r>
      <w:r>
        <w:rPr>
          <w:rFonts w:hint="eastAsia" w:ascii="黑体" w:hAnsi="黑体" w:eastAsia="黑体" w:cs="黑体"/>
          <w:bCs w:val="0"/>
          <w:color w:val="auto"/>
          <w:szCs w:val="32"/>
          <w:highlight w:val="none"/>
          <w:lang w:eastAsia="zh-CN"/>
        </w:rPr>
        <w:t>合同附件格式</w:t>
      </w:r>
      <w:r>
        <w:rPr>
          <w:color w:val="auto"/>
          <w:highlight w:val="none"/>
        </w:rPr>
        <w:tab/>
      </w:r>
      <w:r>
        <w:rPr>
          <w:color w:val="auto"/>
          <w:highlight w:val="none"/>
        </w:rPr>
        <w:fldChar w:fldCharType="begin"/>
      </w:r>
      <w:r>
        <w:rPr>
          <w:color w:val="auto"/>
          <w:highlight w:val="none"/>
        </w:rPr>
        <w:instrText xml:space="preserve"> PAGEREF _Toc17066 \h </w:instrText>
      </w:r>
      <w:r>
        <w:rPr>
          <w:color w:val="auto"/>
          <w:highlight w:val="none"/>
        </w:rPr>
        <w:fldChar w:fldCharType="separate"/>
      </w:r>
      <w:r>
        <w:rPr>
          <w:color w:val="auto"/>
          <w:highlight w:val="none"/>
        </w:rPr>
        <w:t>133</w:t>
      </w:r>
      <w:r>
        <w:rPr>
          <w:color w:val="auto"/>
          <w:highlight w:val="none"/>
        </w:rPr>
        <w:fldChar w:fldCharType="end"/>
      </w:r>
      <w:r>
        <w:rPr>
          <w:rFonts w:hint="eastAsia" w:ascii="宋体" w:hAnsi="宋体" w:eastAsia="宋体" w:cs="宋体"/>
          <w:color w:val="auto"/>
          <w:szCs w:val="24"/>
          <w:highlight w:val="none"/>
        </w:rPr>
        <w:fldChar w:fldCharType="end"/>
      </w:r>
    </w:p>
    <w:p>
      <w:pPr>
        <w:pStyle w:val="27"/>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_Toc21821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32"/>
          <w:highlight w:val="none"/>
        </w:rPr>
        <w:t>第六章  标准、规范和技术要求</w:t>
      </w:r>
      <w:r>
        <w:rPr>
          <w:color w:val="auto"/>
          <w:highlight w:val="none"/>
        </w:rPr>
        <w:tab/>
      </w:r>
      <w:r>
        <w:rPr>
          <w:color w:val="auto"/>
          <w:highlight w:val="none"/>
        </w:rPr>
        <w:fldChar w:fldCharType="begin"/>
      </w:r>
      <w:r>
        <w:rPr>
          <w:color w:val="auto"/>
          <w:highlight w:val="none"/>
        </w:rPr>
        <w:instrText xml:space="preserve"> PAGEREF _Toc21821 \h </w:instrText>
      </w:r>
      <w:r>
        <w:rPr>
          <w:color w:val="auto"/>
          <w:highlight w:val="none"/>
        </w:rPr>
        <w:fldChar w:fldCharType="separate"/>
      </w:r>
      <w:r>
        <w:rPr>
          <w:color w:val="auto"/>
          <w:highlight w:val="none"/>
        </w:rPr>
        <w:t>137</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_Toc21838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32"/>
          <w:highlight w:val="none"/>
        </w:rPr>
        <w:t>一、一般标准和技术规范</w:t>
      </w:r>
      <w:r>
        <w:rPr>
          <w:color w:val="auto"/>
          <w:highlight w:val="none"/>
        </w:rPr>
        <w:tab/>
      </w:r>
      <w:r>
        <w:rPr>
          <w:color w:val="auto"/>
          <w:highlight w:val="none"/>
        </w:rPr>
        <w:fldChar w:fldCharType="begin"/>
      </w:r>
      <w:r>
        <w:rPr>
          <w:color w:val="auto"/>
          <w:highlight w:val="none"/>
        </w:rPr>
        <w:instrText xml:space="preserve"> PAGEREF _Toc21838 \h </w:instrText>
      </w:r>
      <w:r>
        <w:rPr>
          <w:color w:val="auto"/>
          <w:highlight w:val="none"/>
        </w:rPr>
        <w:fldChar w:fldCharType="separate"/>
      </w:r>
      <w:r>
        <w:rPr>
          <w:color w:val="auto"/>
          <w:highlight w:val="none"/>
        </w:rPr>
        <w:t>137</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_Toc13031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32"/>
          <w:highlight w:val="none"/>
        </w:rPr>
        <w:t>二、特殊标准和技术规范</w:t>
      </w:r>
      <w:r>
        <w:rPr>
          <w:color w:val="auto"/>
          <w:highlight w:val="none"/>
        </w:rPr>
        <w:tab/>
      </w:r>
      <w:r>
        <w:rPr>
          <w:color w:val="auto"/>
          <w:highlight w:val="none"/>
        </w:rPr>
        <w:fldChar w:fldCharType="begin"/>
      </w:r>
      <w:r>
        <w:rPr>
          <w:color w:val="auto"/>
          <w:highlight w:val="none"/>
        </w:rPr>
        <w:instrText xml:space="preserve"> PAGEREF _Toc13031 \h </w:instrText>
      </w:r>
      <w:r>
        <w:rPr>
          <w:color w:val="auto"/>
          <w:highlight w:val="none"/>
        </w:rPr>
        <w:fldChar w:fldCharType="separate"/>
      </w:r>
      <w:r>
        <w:rPr>
          <w:color w:val="auto"/>
          <w:highlight w:val="none"/>
        </w:rPr>
        <w:t>137</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_Toc22470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32"/>
          <w:highlight w:val="none"/>
        </w:rPr>
        <w:t>三、工程技术要求</w:t>
      </w:r>
      <w:r>
        <w:rPr>
          <w:color w:val="auto"/>
          <w:highlight w:val="none"/>
        </w:rPr>
        <w:tab/>
      </w:r>
      <w:r>
        <w:rPr>
          <w:color w:val="auto"/>
          <w:highlight w:val="none"/>
        </w:rPr>
        <w:fldChar w:fldCharType="begin"/>
      </w:r>
      <w:r>
        <w:rPr>
          <w:color w:val="auto"/>
          <w:highlight w:val="none"/>
        </w:rPr>
        <w:instrText xml:space="preserve"> PAGEREF _Toc22470 \h </w:instrText>
      </w:r>
      <w:r>
        <w:rPr>
          <w:color w:val="auto"/>
          <w:highlight w:val="none"/>
        </w:rPr>
        <w:fldChar w:fldCharType="separate"/>
      </w:r>
      <w:r>
        <w:rPr>
          <w:color w:val="auto"/>
          <w:highlight w:val="none"/>
        </w:rPr>
        <w:t>138</w:t>
      </w:r>
      <w:r>
        <w:rPr>
          <w:color w:val="auto"/>
          <w:highlight w:val="none"/>
        </w:rPr>
        <w:fldChar w:fldCharType="end"/>
      </w:r>
      <w:r>
        <w:rPr>
          <w:rFonts w:hint="eastAsia" w:ascii="宋体" w:hAnsi="宋体" w:eastAsia="宋体" w:cs="宋体"/>
          <w:color w:val="auto"/>
          <w:szCs w:val="24"/>
          <w:highlight w:val="none"/>
        </w:rPr>
        <w:fldChar w:fldCharType="end"/>
      </w:r>
    </w:p>
    <w:p>
      <w:pPr>
        <w:pStyle w:val="27"/>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_Toc27841 </w:instrText>
      </w:r>
      <w:r>
        <w:rPr>
          <w:rFonts w:hint="eastAsia" w:ascii="宋体" w:hAnsi="宋体" w:eastAsia="宋体" w:cs="宋体"/>
          <w:color w:val="auto"/>
          <w:szCs w:val="24"/>
          <w:highlight w:val="none"/>
        </w:rPr>
        <w:fldChar w:fldCharType="separate"/>
      </w:r>
      <w:r>
        <w:rPr>
          <w:rFonts w:hint="eastAsia" w:ascii="黑体" w:hAnsi="黑体" w:eastAsia="黑体" w:cs="黑体"/>
          <w:color w:val="auto"/>
          <w:szCs w:val="32"/>
          <w:highlight w:val="none"/>
        </w:rPr>
        <w:t>第七章  图纸</w:t>
      </w:r>
      <w:r>
        <w:rPr>
          <w:color w:val="auto"/>
          <w:highlight w:val="none"/>
        </w:rPr>
        <w:tab/>
      </w:r>
      <w:r>
        <w:rPr>
          <w:color w:val="auto"/>
          <w:highlight w:val="none"/>
        </w:rPr>
        <w:fldChar w:fldCharType="begin"/>
      </w:r>
      <w:r>
        <w:rPr>
          <w:color w:val="auto"/>
          <w:highlight w:val="none"/>
        </w:rPr>
        <w:instrText xml:space="preserve"> PAGEREF _Toc27841 \h </w:instrText>
      </w:r>
      <w:r>
        <w:rPr>
          <w:color w:val="auto"/>
          <w:highlight w:val="none"/>
        </w:rPr>
        <w:fldChar w:fldCharType="separate"/>
      </w:r>
      <w:r>
        <w:rPr>
          <w:color w:val="auto"/>
          <w:highlight w:val="none"/>
        </w:rPr>
        <w:t>139</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_Toc29501 </w:instrText>
      </w:r>
      <w:r>
        <w:rPr>
          <w:rFonts w:hint="eastAsia" w:ascii="宋体" w:hAnsi="宋体" w:eastAsia="宋体" w:cs="宋体"/>
          <w:color w:val="auto"/>
          <w:szCs w:val="24"/>
          <w:highlight w:val="none"/>
        </w:rPr>
        <w:fldChar w:fldCharType="separate"/>
      </w:r>
      <w:r>
        <w:rPr>
          <w:rFonts w:hint="eastAsia" w:ascii="黑体" w:hAnsi="黑体" w:eastAsia="黑体" w:cs="黑体"/>
          <w:color w:val="auto"/>
          <w:szCs w:val="32"/>
          <w:highlight w:val="none"/>
        </w:rPr>
        <w:t>一、图纸清单</w:t>
      </w:r>
      <w:r>
        <w:rPr>
          <w:color w:val="auto"/>
          <w:highlight w:val="none"/>
        </w:rPr>
        <w:tab/>
      </w:r>
      <w:r>
        <w:rPr>
          <w:color w:val="auto"/>
          <w:highlight w:val="none"/>
        </w:rPr>
        <w:fldChar w:fldCharType="begin"/>
      </w:r>
      <w:r>
        <w:rPr>
          <w:color w:val="auto"/>
          <w:highlight w:val="none"/>
        </w:rPr>
        <w:instrText xml:space="preserve"> PAGEREF _Toc29501 \h </w:instrText>
      </w:r>
      <w:r>
        <w:rPr>
          <w:color w:val="auto"/>
          <w:highlight w:val="none"/>
        </w:rPr>
        <w:fldChar w:fldCharType="separate"/>
      </w:r>
      <w:r>
        <w:rPr>
          <w:color w:val="auto"/>
          <w:highlight w:val="none"/>
        </w:rPr>
        <w:t>139</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_Toc24305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32"/>
          <w:highlight w:val="none"/>
        </w:rPr>
        <w:t>二、标准图集清单</w:t>
      </w:r>
      <w:r>
        <w:rPr>
          <w:color w:val="auto"/>
          <w:highlight w:val="none"/>
        </w:rPr>
        <w:tab/>
      </w:r>
      <w:r>
        <w:rPr>
          <w:color w:val="auto"/>
          <w:highlight w:val="none"/>
        </w:rPr>
        <w:fldChar w:fldCharType="begin"/>
      </w:r>
      <w:r>
        <w:rPr>
          <w:color w:val="auto"/>
          <w:highlight w:val="none"/>
        </w:rPr>
        <w:instrText xml:space="preserve"> PAGEREF _Toc24305 \h </w:instrText>
      </w:r>
      <w:r>
        <w:rPr>
          <w:color w:val="auto"/>
          <w:highlight w:val="none"/>
        </w:rPr>
        <w:fldChar w:fldCharType="separate"/>
      </w:r>
      <w:r>
        <w:rPr>
          <w:color w:val="auto"/>
          <w:highlight w:val="none"/>
        </w:rPr>
        <w:t>140</w:t>
      </w:r>
      <w:r>
        <w:rPr>
          <w:color w:val="auto"/>
          <w:highlight w:val="none"/>
        </w:rPr>
        <w:fldChar w:fldCharType="end"/>
      </w:r>
      <w:r>
        <w:rPr>
          <w:rFonts w:hint="eastAsia" w:ascii="宋体" w:hAnsi="宋体" w:eastAsia="宋体" w:cs="宋体"/>
          <w:color w:val="auto"/>
          <w:szCs w:val="24"/>
          <w:highlight w:val="none"/>
        </w:rPr>
        <w:fldChar w:fldCharType="end"/>
      </w:r>
    </w:p>
    <w:p>
      <w:pPr>
        <w:pStyle w:val="27"/>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_Toc28685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32"/>
          <w:highlight w:val="none"/>
        </w:rPr>
        <w:t>第八章  工程量清单</w:t>
      </w:r>
      <w:r>
        <w:rPr>
          <w:color w:val="auto"/>
          <w:highlight w:val="none"/>
        </w:rPr>
        <w:tab/>
      </w:r>
      <w:r>
        <w:rPr>
          <w:color w:val="auto"/>
          <w:highlight w:val="none"/>
        </w:rPr>
        <w:fldChar w:fldCharType="begin"/>
      </w:r>
      <w:r>
        <w:rPr>
          <w:color w:val="auto"/>
          <w:highlight w:val="none"/>
        </w:rPr>
        <w:instrText xml:space="preserve"> PAGEREF _Toc28685 \h </w:instrText>
      </w:r>
      <w:r>
        <w:rPr>
          <w:color w:val="auto"/>
          <w:highlight w:val="none"/>
        </w:rPr>
        <w:fldChar w:fldCharType="separate"/>
      </w:r>
      <w:r>
        <w:rPr>
          <w:color w:val="auto"/>
          <w:highlight w:val="none"/>
        </w:rPr>
        <w:t>141</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_Toc2822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32"/>
          <w:highlight w:val="none"/>
        </w:rPr>
        <w:t>一、工程量清单的说明及投标报价要求</w:t>
      </w:r>
      <w:r>
        <w:rPr>
          <w:color w:val="auto"/>
          <w:highlight w:val="none"/>
        </w:rPr>
        <w:tab/>
      </w:r>
      <w:r>
        <w:rPr>
          <w:color w:val="auto"/>
          <w:highlight w:val="none"/>
        </w:rPr>
        <w:fldChar w:fldCharType="begin"/>
      </w:r>
      <w:r>
        <w:rPr>
          <w:color w:val="auto"/>
          <w:highlight w:val="none"/>
        </w:rPr>
        <w:instrText xml:space="preserve"> PAGEREF _Toc2822 \h </w:instrText>
      </w:r>
      <w:r>
        <w:rPr>
          <w:color w:val="auto"/>
          <w:highlight w:val="none"/>
        </w:rPr>
        <w:fldChar w:fldCharType="separate"/>
      </w:r>
      <w:r>
        <w:rPr>
          <w:color w:val="auto"/>
          <w:highlight w:val="none"/>
        </w:rPr>
        <w:t>141</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_Toc11872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32"/>
          <w:highlight w:val="none"/>
        </w:rPr>
        <w:t>二、工程量清单格式</w:t>
      </w:r>
      <w:r>
        <w:rPr>
          <w:color w:val="auto"/>
          <w:highlight w:val="none"/>
        </w:rPr>
        <w:tab/>
      </w:r>
      <w:r>
        <w:rPr>
          <w:color w:val="auto"/>
          <w:highlight w:val="none"/>
        </w:rPr>
        <w:fldChar w:fldCharType="begin"/>
      </w:r>
      <w:r>
        <w:rPr>
          <w:color w:val="auto"/>
          <w:highlight w:val="none"/>
        </w:rPr>
        <w:instrText xml:space="preserve"> PAGEREF _Toc11872 \h </w:instrText>
      </w:r>
      <w:r>
        <w:rPr>
          <w:color w:val="auto"/>
          <w:highlight w:val="none"/>
        </w:rPr>
        <w:fldChar w:fldCharType="separate"/>
      </w:r>
      <w:r>
        <w:rPr>
          <w:color w:val="auto"/>
          <w:highlight w:val="none"/>
        </w:rPr>
        <w:t>145</w:t>
      </w:r>
      <w:r>
        <w:rPr>
          <w:color w:val="auto"/>
          <w:highlight w:val="none"/>
        </w:rPr>
        <w:fldChar w:fldCharType="end"/>
      </w:r>
      <w:r>
        <w:rPr>
          <w:rFonts w:hint="eastAsia" w:ascii="宋体" w:hAnsi="宋体" w:eastAsia="宋体" w:cs="宋体"/>
          <w:color w:val="auto"/>
          <w:szCs w:val="24"/>
          <w:highlight w:val="none"/>
        </w:rPr>
        <w:fldChar w:fldCharType="end"/>
      </w:r>
    </w:p>
    <w:p>
      <w:pPr>
        <w:pStyle w:val="27"/>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_Toc2544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32"/>
          <w:highlight w:val="none"/>
        </w:rPr>
        <w:t>第九章  投标文件格式</w:t>
      </w:r>
      <w:r>
        <w:rPr>
          <w:color w:val="auto"/>
          <w:highlight w:val="none"/>
        </w:rPr>
        <w:tab/>
      </w:r>
      <w:r>
        <w:rPr>
          <w:color w:val="auto"/>
          <w:highlight w:val="none"/>
        </w:rPr>
        <w:fldChar w:fldCharType="begin"/>
      </w:r>
      <w:r>
        <w:rPr>
          <w:color w:val="auto"/>
          <w:highlight w:val="none"/>
        </w:rPr>
        <w:instrText xml:space="preserve"> PAGEREF _Toc2544 \h </w:instrText>
      </w:r>
      <w:r>
        <w:rPr>
          <w:color w:val="auto"/>
          <w:highlight w:val="none"/>
        </w:rPr>
        <w:fldChar w:fldCharType="separate"/>
      </w:r>
      <w:r>
        <w:rPr>
          <w:color w:val="auto"/>
          <w:highlight w:val="none"/>
        </w:rPr>
        <w:t>159</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_Toc32533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投标文件内容：商务标部分</w:t>
      </w:r>
      <w:r>
        <w:rPr>
          <w:color w:val="auto"/>
          <w:highlight w:val="none"/>
        </w:rPr>
        <w:tab/>
      </w:r>
      <w:r>
        <w:rPr>
          <w:color w:val="auto"/>
          <w:highlight w:val="none"/>
        </w:rPr>
        <w:fldChar w:fldCharType="begin"/>
      </w:r>
      <w:r>
        <w:rPr>
          <w:color w:val="auto"/>
          <w:highlight w:val="none"/>
        </w:rPr>
        <w:instrText xml:space="preserve"> PAGEREF _Toc32533 \h </w:instrText>
      </w:r>
      <w:r>
        <w:rPr>
          <w:color w:val="auto"/>
          <w:highlight w:val="none"/>
        </w:rPr>
        <w:fldChar w:fldCharType="separate"/>
      </w:r>
      <w:r>
        <w:rPr>
          <w:color w:val="auto"/>
          <w:highlight w:val="none"/>
        </w:rPr>
        <w:t>166</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_Toc15897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投标文件内容：技术标部分</w:t>
      </w:r>
      <w:r>
        <w:rPr>
          <w:color w:val="auto"/>
          <w:highlight w:val="none"/>
        </w:rPr>
        <w:tab/>
      </w:r>
      <w:r>
        <w:rPr>
          <w:color w:val="auto"/>
          <w:highlight w:val="none"/>
        </w:rPr>
        <w:fldChar w:fldCharType="begin"/>
      </w:r>
      <w:r>
        <w:rPr>
          <w:color w:val="auto"/>
          <w:highlight w:val="none"/>
        </w:rPr>
        <w:instrText xml:space="preserve"> PAGEREF _Toc15897 \h </w:instrText>
      </w:r>
      <w:r>
        <w:rPr>
          <w:color w:val="auto"/>
          <w:highlight w:val="none"/>
        </w:rPr>
        <w:fldChar w:fldCharType="separate"/>
      </w:r>
      <w:r>
        <w:rPr>
          <w:color w:val="auto"/>
          <w:highlight w:val="none"/>
        </w:rPr>
        <w:t>176</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_Toc17383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投标文件内容：BIM标部分</w:t>
      </w:r>
      <w:r>
        <w:rPr>
          <w:color w:val="auto"/>
          <w:highlight w:val="none"/>
        </w:rPr>
        <w:tab/>
      </w:r>
      <w:r>
        <w:rPr>
          <w:color w:val="auto"/>
          <w:highlight w:val="none"/>
        </w:rPr>
        <w:fldChar w:fldCharType="begin"/>
      </w:r>
      <w:r>
        <w:rPr>
          <w:color w:val="auto"/>
          <w:highlight w:val="none"/>
        </w:rPr>
        <w:instrText xml:space="preserve"> PAGEREF _Toc17383 \h </w:instrText>
      </w:r>
      <w:r>
        <w:rPr>
          <w:color w:val="auto"/>
          <w:highlight w:val="none"/>
        </w:rPr>
        <w:fldChar w:fldCharType="separate"/>
      </w:r>
      <w:r>
        <w:rPr>
          <w:color w:val="auto"/>
          <w:highlight w:val="none"/>
        </w:rPr>
        <w:t>189</w:t>
      </w:r>
      <w:r>
        <w:rPr>
          <w:color w:val="auto"/>
          <w:highlight w:val="none"/>
        </w:rPr>
        <w:fldChar w:fldCharType="end"/>
      </w:r>
      <w:r>
        <w:rPr>
          <w:rFonts w:hint="eastAsia" w:ascii="宋体" w:hAnsi="宋体" w:eastAsia="宋体" w:cs="宋体"/>
          <w:color w:val="auto"/>
          <w:szCs w:val="24"/>
          <w:highlight w:val="none"/>
        </w:rPr>
        <w:fldChar w:fldCharType="end"/>
      </w:r>
    </w:p>
    <w:p>
      <w:pPr>
        <w:pStyle w:val="27"/>
        <w:tabs>
          <w:tab w:val="right" w:leader="dot" w:pos="9073"/>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_Toc20318 </w:instrText>
      </w:r>
      <w:r>
        <w:rPr>
          <w:rFonts w:hint="eastAsia" w:ascii="宋体" w:hAnsi="宋体" w:eastAsia="宋体" w:cs="宋体"/>
          <w:color w:val="auto"/>
          <w:szCs w:val="24"/>
          <w:highlight w:val="none"/>
        </w:rPr>
        <w:fldChar w:fldCharType="separate"/>
      </w:r>
      <w:r>
        <w:rPr>
          <w:rFonts w:hint="eastAsia" w:ascii="黑体" w:hAnsi="黑体" w:eastAsia="黑体" w:cs="黑体"/>
          <w:bCs/>
          <w:color w:val="auto"/>
          <w:szCs w:val="32"/>
          <w:highlight w:val="none"/>
        </w:rPr>
        <w:t>第十章  担保书格式</w:t>
      </w:r>
      <w:r>
        <w:rPr>
          <w:color w:val="auto"/>
          <w:highlight w:val="none"/>
        </w:rPr>
        <w:tab/>
      </w:r>
      <w:r>
        <w:rPr>
          <w:color w:val="auto"/>
          <w:highlight w:val="none"/>
        </w:rPr>
        <w:fldChar w:fldCharType="begin"/>
      </w:r>
      <w:r>
        <w:rPr>
          <w:color w:val="auto"/>
          <w:highlight w:val="none"/>
        </w:rPr>
        <w:instrText xml:space="preserve"> PAGEREF _Toc20318 \h </w:instrText>
      </w:r>
      <w:r>
        <w:rPr>
          <w:color w:val="auto"/>
          <w:highlight w:val="none"/>
        </w:rPr>
        <w:fldChar w:fldCharType="separate"/>
      </w:r>
      <w:r>
        <w:rPr>
          <w:color w:val="auto"/>
          <w:highlight w:val="none"/>
        </w:rPr>
        <w:t>192</w:t>
      </w:r>
      <w:r>
        <w:rPr>
          <w:color w:val="auto"/>
          <w:highlight w:val="none"/>
        </w:rPr>
        <w:fldChar w:fldCharType="end"/>
      </w:r>
      <w:r>
        <w:rPr>
          <w:rFonts w:hint="eastAsia" w:ascii="宋体" w:hAnsi="宋体" w:eastAsia="宋体" w:cs="宋体"/>
          <w:color w:val="auto"/>
          <w:szCs w:val="24"/>
          <w:highlight w:val="none"/>
        </w:rPr>
        <w:fldChar w:fldCharType="end"/>
      </w:r>
    </w:p>
    <w:p>
      <w:pPr>
        <w:jc w:val="left"/>
        <w:rPr>
          <w:color w:val="auto"/>
          <w:highlight w:val="none"/>
        </w:rPr>
      </w:pPr>
      <w:r>
        <w:rPr>
          <w:rFonts w:hint="eastAsia" w:ascii="宋体" w:hAnsi="宋体" w:eastAsia="宋体" w:cs="宋体"/>
          <w:color w:val="auto"/>
          <w:szCs w:val="24"/>
          <w:highlight w:val="none"/>
        </w:rPr>
        <w:fldChar w:fldCharType="end"/>
      </w:r>
      <w:r>
        <w:rPr>
          <w:rFonts w:hint="eastAsia"/>
          <w:color w:val="auto"/>
          <w:highlight w:val="none"/>
        </w:rPr>
        <w:br w:type="page"/>
      </w:r>
    </w:p>
    <w:p>
      <w:pPr>
        <w:adjustRightInd w:val="0"/>
        <w:snapToGrid w:val="0"/>
        <w:spacing w:line="360" w:lineRule="auto"/>
        <w:jc w:val="center"/>
        <w:outlineLvl w:val="0"/>
        <w:rPr>
          <w:rFonts w:ascii="黑体" w:hAnsi="黑体" w:eastAsia="黑体" w:cs="黑体"/>
          <w:bCs/>
          <w:color w:val="auto"/>
          <w:sz w:val="32"/>
          <w:szCs w:val="32"/>
          <w:highlight w:val="none"/>
        </w:rPr>
      </w:pPr>
      <w:bookmarkStart w:id="0" w:name="_Toc19718"/>
      <w:bookmarkStart w:id="1" w:name="_Toc4975"/>
      <w:bookmarkStart w:id="2" w:name="_Toc12134"/>
      <w:bookmarkStart w:id="3" w:name="_Toc30186"/>
      <w:bookmarkStart w:id="4" w:name="_Toc16"/>
      <w:bookmarkStart w:id="5" w:name="_Toc21400"/>
      <w:r>
        <w:rPr>
          <w:rFonts w:hint="eastAsia" w:ascii="黑体" w:hAnsi="黑体" w:eastAsia="黑体" w:cs="黑体"/>
          <w:bCs/>
          <w:color w:val="auto"/>
          <w:sz w:val="32"/>
          <w:szCs w:val="32"/>
          <w:highlight w:val="none"/>
        </w:rPr>
        <w:t>第一章  使用说明</w:t>
      </w:r>
      <w:bookmarkEnd w:id="0"/>
      <w:bookmarkEnd w:id="1"/>
      <w:bookmarkEnd w:id="2"/>
      <w:bookmarkEnd w:id="3"/>
      <w:bookmarkEnd w:id="4"/>
      <w:bookmarkEnd w:id="5"/>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为了规范工程施工招标投标活动，保障招标人和投标人的合法权益，根据国家及深圳市有关法律、法规、规章和规范性文件的规定，结合我市实际，遵循公开、公平、公正和诚实信用的原则，深圳市住房和建设局制定了《深圳市建设工程施工类招标文件示范文本》（以下简称“本范本”）。</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范本适用于采用评定分离、资格后审、实行《建设工程工程量清单计价规范》(GB50500-2013)并采用计算机评标系统（含BIM评审）评标的施工招标工程。因采用总价包干、单位经济指标包干、设计施工总承包等方式招标而无法采用计算机评标系统评标的，招标人需对本范本进行修改后方可使用，但仍应使用电子标书</w:t>
      </w:r>
      <w:r>
        <w:rPr>
          <w:rFonts w:hint="eastAsia" w:ascii="宋体" w:hAnsi="宋体" w:eastAsia="宋体" w:cs="宋体"/>
          <w:color w:val="auto"/>
          <w:szCs w:val="21"/>
          <w:highlight w:val="none"/>
          <w:lang w:eastAsia="zh-CN"/>
        </w:rPr>
        <w:t>编制工具</w:t>
      </w:r>
      <w:r>
        <w:rPr>
          <w:rFonts w:hint="eastAsia" w:ascii="宋体" w:hAnsi="宋体" w:eastAsia="宋体" w:cs="宋体"/>
          <w:color w:val="auto"/>
          <w:szCs w:val="21"/>
          <w:highlight w:val="none"/>
        </w:rPr>
        <w:t>进行招标文件的编制。</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三、本施工招标文件示范文本的主要编写依据：</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1．《中华人民共和国建筑法》；</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2．《中华人民共和国招标投标法》；</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3．《中华人民共和国民法典》；</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《电子招标投标办法》；</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5．《保障农民工工资支付条例》；</w:t>
      </w:r>
    </w:p>
    <w:p>
      <w:pPr>
        <w:adjustRightInd w:val="0"/>
        <w:snapToGrid w:val="0"/>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 《关于创新完善体制机制推动招标投标市场规范健康发展的意见》(国办发〔2024〕21号）；</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．《深圳经济特区建设工程施工招标投标条例》；</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．《建设工程工程量清单计价规范》（GB50500-2013）；</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．《关于建设工程招标投标改革的若干规定》(深府〔2015〕73号)；</w:t>
      </w:r>
    </w:p>
    <w:p>
      <w:pPr>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《关于进一步规范建设工程招标投标活动的通知》</w:t>
      </w:r>
      <w:r>
        <w:rPr>
          <w:rFonts w:hint="eastAsia" w:ascii="宋体" w:hAnsi="宋体" w:eastAsia="宋体" w:cs="宋体"/>
          <w:color w:val="auto"/>
          <w:szCs w:val="21"/>
          <w:highlight w:val="none"/>
        </w:rPr>
        <w:t>(深府</w:t>
      </w:r>
      <w:r>
        <w:rPr>
          <w:rFonts w:hint="eastAsia" w:ascii="宋体" w:hAnsi="宋体" w:eastAsia="宋体" w:cs="宋体"/>
          <w:color w:val="auto"/>
          <w:szCs w:val="21"/>
          <w:highlight w:val="none"/>
          <w:lang w:val="en-US" w:eastAsia="zh-CN"/>
        </w:rPr>
        <w:t>规</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lang w:eastAsia="zh-CN"/>
        </w:rPr>
        <w:t>；</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．《关于进一步完善建设工程招标投标制度的若干措施》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深建规〔2020〕1号)</w:t>
      </w:r>
      <w:r>
        <w:rPr>
          <w:rFonts w:hint="eastAsia" w:ascii="宋体" w:hAnsi="宋体" w:eastAsia="宋体" w:cs="宋体"/>
          <w:color w:val="auto"/>
          <w:szCs w:val="21"/>
          <w:highlight w:val="none"/>
        </w:rPr>
        <w:t>；</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．《深圳市建筑废弃物管理办法》（市政府令第330号）；</w:t>
      </w:r>
    </w:p>
    <w:p>
      <w:pPr>
        <w:adjustRightInd w:val="0"/>
        <w:snapToGri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《工程信息模型应用统一标准》（GB/T51212-2016）；</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《建筑信息模型设计交付标准》（GB/T51301-2018）</w:t>
      </w:r>
      <w:r>
        <w:rPr>
          <w:rFonts w:hint="eastAsia" w:ascii="宋体" w:hAnsi="宋体" w:eastAsia="宋体" w:cs="宋体"/>
          <w:color w:val="auto"/>
          <w:szCs w:val="21"/>
          <w:highlight w:val="none"/>
        </w:rPr>
        <w:t>；</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．其他有关工程建设的法律、法规、规章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规范性文件</w:t>
      </w:r>
      <w:r>
        <w:rPr>
          <w:rFonts w:hint="eastAsia" w:ascii="宋体" w:hAnsi="宋体" w:eastAsia="宋体" w:cs="宋体"/>
          <w:color w:val="auto"/>
          <w:szCs w:val="21"/>
          <w:highlight w:val="none"/>
          <w:lang w:val="en-US" w:eastAsia="zh-CN"/>
        </w:rPr>
        <w:t>和政策文件</w:t>
      </w:r>
      <w:r>
        <w:rPr>
          <w:rFonts w:hint="eastAsia" w:ascii="宋体" w:hAnsi="宋体" w:eastAsia="宋体" w:cs="宋体"/>
          <w:color w:val="auto"/>
          <w:szCs w:val="21"/>
          <w:highlight w:val="none"/>
        </w:rPr>
        <w:t>。</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四、本工程招标投标活动在</w:t>
      </w:r>
      <w:bookmarkStart w:id="6" w:name="市局4"/>
      <w:r>
        <w:rPr>
          <w:rFonts w:hint="eastAsia" w:ascii="宋体" w:hAnsi="宋体" w:eastAsia="宋体" w:cs="宋体"/>
          <w:b w:val="0"/>
          <w:bCs w:val="0"/>
          <w:i w:val="0"/>
          <w:iCs w:val="0"/>
          <w:color w:val="auto"/>
          <w:spacing w:val="0"/>
          <w:w w:val="100"/>
          <w:sz w:val="21"/>
          <w:szCs w:val="21"/>
          <w:highlight w:val="none"/>
          <w:vertAlign w:val="baseline"/>
        </w:rPr>
        <w:t>深圳交易集团有限公司（深圳公共资源交易中心）</w:t>
      </w:r>
      <w:bookmarkEnd w:id="6"/>
      <w:r>
        <w:rPr>
          <w:rFonts w:hint="eastAsia" w:ascii="宋体" w:hAnsi="宋体" w:eastAsia="宋体" w:cs="宋体"/>
          <w:color w:val="auto"/>
          <w:szCs w:val="21"/>
          <w:highlight w:val="none"/>
        </w:rPr>
        <w:t>进行。</w:t>
      </w:r>
    </w:p>
    <w:p>
      <w:pPr>
        <w:wordWrap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五、本招标文件所指交易网为：深圳公共资源交易网（http://www.szggzy.com/）</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本招标文件所指交易平台的网址详见投标须知前附表。</w:t>
      </w:r>
    </w:p>
    <w:p>
      <w:pPr>
        <w:wordWrap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六、招标人和投标人应事先办理企业的数字证书或电子营业执照，同时应事先办理相关人员的数字证书（</w:t>
      </w:r>
      <w:r>
        <w:rPr>
          <w:rFonts w:hint="eastAsia" w:ascii="宋体" w:hAnsi="宋体" w:eastAsia="宋体" w:cs="宋体"/>
          <w:color w:val="auto"/>
          <w:szCs w:val="21"/>
          <w:highlight w:val="none"/>
          <w:lang w:val="en-US" w:eastAsia="zh-CN"/>
        </w:rPr>
        <w:t>投标人委托</w:t>
      </w:r>
      <w:r>
        <w:rPr>
          <w:rFonts w:hint="eastAsia" w:ascii="宋体" w:hAnsi="宋体" w:eastAsia="宋体" w:cs="宋体"/>
          <w:color w:val="auto"/>
          <w:szCs w:val="21"/>
          <w:highlight w:val="none"/>
        </w:rPr>
        <w:t>工程造价咨询企业</w:t>
      </w:r>
      <w:r>
        <w:rPr>
          <w:rFonts w:hint="eastAsia" w:ascii="宋体" w:hAnsi="宋体" w:eastAsia="宋体" w:cs="宋体"/>
          <w:color w:val="auto"/>
          <w:szCs w:val="21"/>
          <w:highlight w:val="none"/>
          <w:lang w:val="en-US" w:eastAsia="zh-CN"/>
        </w:rPr>
        <w:t>编制商务标书的，需上传委托协议，且</w:t>
      </w:r>
      <w:r>
        <w:rPr>
          <w:rFonts w:hint="eastAsia" w:ascii="宋体" w:hAnsi="宋体" w:eastAsia="宋体" w:cs="宋体"/>
          <w:color w:val="auto"/>
          <w:szCs w:val="21"/>
          <w:highlight w:val="none"/>
        </w:rPr>
        <w:t>工程造价咨询企业</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造价工程师也应办理数字证书）。有关手续请查看交易网中的“</w:t>
      </w:r>
      <w:r>
        <w:rPr>
          <w:rFonts w:hint="eastAsia" w:ascii="宋体" w:hAnsi="宋体" w:eastAsia="宋体" w:cs="宋体"/>
          <w:color w:val="auto"/>
          <w:szCs w:val="21"/>
          <w:highlight w:val="none"/>
          <w:lang w:val="en-US" w:eastAsia="zh-CN"/>
        </w:rPr>
        <w:t>建设工程</w:t>
      </w:r>
      <w:r>
        <w:rPr>
          <w:rFonts w:hint="eastAsia" w:ascii="宋体" w:hAnsi="宋体" w:eastAsia="宋体" w:cs="宋体"/>
          <w:color w:val="auto"/>
          <w:szCs w:val="21"/>
          <w:highlight w:val="none"/>
        </w:rPr>
        <w:t>数字证书办事指南”。使用电子营业执照的，须提前在国家市场监督管理总局“电子营业执照”微信小程序电子营业执照应用程序中下载本企业电子营业执照，</w:t>
      </w:r>
      <w:r>
        <w:rPr>
          <w:rFonts w:hint="eastAsia" w:ascii="宋体" w:hAnsi="宋体" w:eastAsia="宋体" w:cs="宋体"/>
          <w:b w:val="0"/>
          <w:bCs w:val="0"/>
          <w:i w:val="0"/>
          <w:iCs w:val="0"/>
          <w:color w:val="auto"/>
          <w:spacing w:val="0"/>
          <w:w w:val="100"/>
          <w:sz w:val="21"/>
          <w:szCs w:val="21"/>
          <w:highlight w:val="none"/>
          <w:vertAlign w:val="baseline"/>
        </w:rPr>
        <w:t>有关手续请查看交易网“电子营业执照用户使用手册”。</w:t>
      </w:r>
    </w:p>
    <w:p>
      <w:pPr>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七、电子招标文件通过</w:t>
      </w:r>
      <w:r>
        <w:rPr>
          <w:rFonts w:hint="eastAsia" w:ascii="宋体" w:hAnsi="宋体" w:eastAsia="宋体" w:cs="宋体"/>
          <w:color w:val="auto"/>
          <w:szCs w:val="21"/>
          <w:highlight w:val="none"/>
          <w:lang w:val="en-US" w:eastAsia="zh-CN"/>
        </w:rPr>
        <w:t>交易平台在线编制</w:t>
      </w:r>
      <w:r>
        <w:rPr>
          <w:rFonts w:hint="eastAsia" w:ascii="宋体" w:hAnsi="宋体" w:eastAsia="宋体" w:cs="宋体"/>
          <w:color w:val="auto"/>
          <w:szCs w:val="21"/>
          <w:highlight w:val="none"/>
          <w:lang w:eastAsia="zh-CN"/>
        </w:rPr>
        <w:t>，电子投标文件编制工具在交易网的服务</w:t>
      </w:r>
      <w:r>
        <w:rPr>
          <w:rFonts w:hint="eastAsia" w:ascii="宋体" w:hAnsi="宋体" w:eastAsia="宋体" w:cs="宋体"/>
          <w:color w:val="auto"/>
          <w:szCs w:val="21"/>
          <w:highlight w:val="none"/>
          <w:lang w:val="en-US" w:eastAsia="zh-CN"/>
        </w:rPr>
        <w:t>指南</w:t>
      </w:r>
      <w:r>
        <w:rPr>
          <w:rFonts w:hint="eastAsia" w:ascii="宋体" w:hAnsi="宋体" w:eastAsia="宋体" w:cs="宋体"/>
          <w:color w:val="auto"/>
          <w:szCs w:val="21"/>
          <w:highlight w:val="none"/>
          <w:lang w:eastAsia="zh-CN"/>
        </w:rPr>
        <w:t>-建设工程-资料下载-工具下载（</w:t>
      </w:r>
      <w:r>
        <w:rPr>
          <w:rFonts w:hint="eastAsia" w:ascii="宋体" w:hAnsi="宋体" w:eastAsia="宋体" w:cs="宋体"/>
          <w:color w:val="auto"/>
          <w:szCs w:val="21"/>
          <w:highlight w:val="none"/>
          <w:lang w:val="en-US" w:eastAsia="zh-CN"/>
        </w:rPr>
        <w:t>投标编制文件</w:t>
      </w:r>
      <w:r>
        <w:rPr>
          <w:rFonts w:hint="eastAsia" w:ascii="宋体" w:hAnsi="宋体" w:eastAsia="宋体" w:cs="宋体"/>
          <w:color w:val="auto"/>
          <w:szCs w:val="21"/>
          <w:highlight w:val="none"/>
          <w:lang w:eastAsia="zh-CN"/>
        </w:rPr>
        <w:t>）页面获取。</w:t>
      </w:r>
    </w:p>
    <w:p>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项目的招标公告在深圳公共资源交易网(https://www.szggzy.com/)、广东省公共资源交易平台（https://ygp.gdzwfw.gov.cn/#/44/index）、广东省招标投标监管网(网址:http://zbtb.gd.gov.sn/)和中国招标投标公共服务平台(网址:http://www.cebpubservice.com/)发布。</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八、有关招标问题的说明</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文件中的所有空格招标人必须按实填写，无内容或不采用应填写“无”。对本招标文件（含合同）示范文本进行补充、删除或修改的内容，应统一写入本招标文件的第三章。同时，应明确注明是对招标文件示范文本具体章节条款进行补充或修改。第三章内容与其他部分有冲突时，以第三章内容为准，但与相关法律、法规、政策相冲突的除外。</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2．招标文件的建设规模应描述整个建设项目的规模情况和使用功能。</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3．招标文件的招标范围，应详细说明本次招标工程的具体项目、结构类型等定量规模和项目特征。</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4．采用本范本以外的评标方法应经建设、交通行政主管部门批准，并且必须在招标文件的评标方法中进行详细描述。</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5.采用本范本以外的定标方法应经建设、交通行政主管部门批准，并且必须在招标文件中进行详细描述。</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6.招标人注意事项：</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6.1招标人提交的电子招标文件格式为*SGZB（简称“SGZB文件”），招标工程量清单电子文件格式为*.</w:t>
      </w:r>
      <w:r>
        <w:rPr>
          <w:rFonts w:hint="eastAsia" w:ascii="宋体" w:hAnsi="宋体" w:eastAsia="宋体" w:cs="宋体"/>
          <w:color w:val="auto"/>
          <w:highlight w:val="none"/>
        </w:rPr>
        <w:t>SGZQD</w:t>
      </w:r>
      <w:r>
        <w:rPr>
          <w:rFonts w:hint="eastAsia" w:ascii="宋体" w:hAnsi="宋体" w:eastAsia="宋体" w:cs="宋体"/>
          <w:color w:val="auto"/>
          <w:szCs w:val="21"/>
          <w:highlight w:val="none"/>
        </w:rPr>
        <w:t>（简称“SGZQD文件”），送审招标控制价电子文件格式为*.SGKZJ（简称“</w:t>
      </w:r>
      <w:r>
        <w:rPr>
          <w:rFonts w:hint="eastAsia" w:ascii="宋体" w:hAnsi="宋体" w:eastAsia="宋体" w:cs="宋体"/>
          <w:color w:val="auto"/>
          <w:highlight w:val="none"/>
        </w:rPr>
        <w:t>SGKZJ</w:t>
      </w:r>
      <w:r>
        <w:rPr>
          <w:rFonts w:hint="eastAsia" w:ascii="宋体" w:hAnsi="宋体" w:eastAsia="宋体" w:cs="宋体"/>
          <w:color w:val="auto"/>
          <w:szCs w:val="21"/>
          <w:highlight w:val="none"/>
        </w:rPr>
        <w:t>文件”），且必须是</w:t>
      </w:r>
      <w:r>
        <w:rPr>
          <w:rFonts w:hint="eastAsia" w:ascii="宋体" w:hAnsi="宋体" w:eastAsia="宋体" w:cs="宋体"/>
          <w:color w:val="auto"/>
          <w:szCs w:val="21"/>
          <w:highlight w:val="none"/>
          <w:lang w:val="en-US" w:eastAsia="zh-CN"/>
        </w:rPr>
        <w:t>交易平台编制生成</w:t>
      </w:r>
      <w:r>
        <w:rPr>
          <w:rFonts w:hint="eastAsia" w:ascii="宋体" w:hAnsi="宋体" w:eastAsia="宋体" w:cs="宋体"/>
          <w:color w:val="auto"/>
          <w:szCs w:val="21"/>
          <w:highlight w:val="none"/>
        </w:rPr>
        <w:t>的。</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6.2电子招标文件备案时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如果需要投标人提交SWT格式的投标清单，还必须在提交招标文件（“</w:t>
      </w:r>
      <w:r>
        <w:rPr>
          <w:rFonts w:hint="eastAsia" w:ascii="宋体" w:hAnsi="宋体" w:eastAsia="宋体" w:cs="宋体"/>
          <w:color w:val="auto"/>
          <w:highlight w:val="none"/>
        </w:rPr>
        <w:t>SGZB</w:t>
      </w:r>
      <w:r>
        <w:rPr>
          <w:rFonts w:hint="eastAsia" w:ascii="宋体" w:hAnsi="宋体" w:eastAsia="宋体" w:cs="宋体"/>
          <w:color w:val="auto"/>
          <w:szCs w:val="21"/>
          <w:highlight w:val="none"/>
        </w:rPr>
        <w:t>文件”）备案的同时提交招标工程量清单电子文件（“</w:t>
      </w:r>
      <w:r>
        <w:rPr>
          <w:rFonts w:hint="eastAsia" w:ascii="宋体" w:hAnsi="宋体" w:eastAsia="宋体" w:cs="宋体"/>
          <w:color w:val="auto"/>
          <w:highlight w:val="none"/>
        </w:rPr>
        <w:t>SGZQD</w:t>
      </w:r>
      <w:r>
        <w:rPr>
          <w:rFonts w:hint="eastAsia" w:ascii="宋体" w:hAnsi="宋体" w:eastAsia="宋体" w:cs="宋体"/>
          <w:color w:val="auto"/>
          <w:szCs w:val="21"/>
          <w:highlight w:val="none"/>
        </w:rPr>
        <w:t>文件”）。</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 有关招标工程量清单的任何变更或者补遗，都需要重新生成完整的“</w:t>
      </w:r>
      <w:r>
        <w:rPr>
          <w:rFonts w:hint="eastAsia" w:ascii="宋体" w:hAnsi="宋体" w:eastAsia="宋体" w:cs="宋体"/>
          <w:color w:val="auto"/>
          <w:highlight w:val="none"/>
        </w:rPr>
        <w:t>SGZQD</w:t>
      </w:r>
      <w:r>
        <w:rPr>
          <w:rFonts w:hint="eastAsia" w:ascii="宋体" w:hAnsi="宋体" w:eastAsia="宋体" w:cs="宋体"/>
          <w:color w:val="auto"/>
          <w:szCs w:val="21"/>
          <w:highlight w:val="none"/>
        </w:rPr>
        <w:t>文件”，招标文件有关评标方法、评审项目等重要评审内容变更或者补遗，都需要重新生成完整的“</w:t>
      </w:r>
      <w:r>
        <w:rPr>
          <w:rFonts w:hint="eastAsia" w:ascii="宋体" w:hAnsi="宋体" w:eastAsia="宋体" w:cs="宋体"/>
          <w:color w:val="auto"/>
          <w:highlight w:val="none"/>
        </w:rPr>
        <w:t>SGZB</w:t>
      </w:r>
      <w:r>
        <w:rPr>
          <w:rFonts w:hint="eastAsia" w:ascii="宋体" w:hAnsi="宋体" w:eastAsia="宋体" w:cs="宋体"/>
          <w:color w:val="auto"/>
          <w:szCs w:val="21"/>
          <w:highlight w:val="none"/>
        </w:rPr>
        <w:t>文件”，并重新备案，不得以其他文件格式（比如Word、Excel等）进行变更或者补遗。招标人应及时将变更后的“</w:t>
      </w:r>
      <w:r>
        <w:rPr>
          <w:rFonts w:hint="eastAsia" w:ascii="宋体" w:hAnsi="宋体" w:eastAsia="宋体" w:cs="宋体"/>
          <w:color w:val="auto"/>
          <w:highlight w:val="none"/>
        </w:rPr>
        <w:t>SGZQD</w:t>
      </w:r>
      <w:r>
        <w:rPr>
          <w:rFonts w:hint="eastAsia" w:ascii="宋体" w:hAnsi="宋体" w:eastAsia="宋体" w:cs="宋体"/>
          <w:color w:val="auto"/>
          <w:szCs w:val="21"/>
          <w:highlight w:val="none"/>
        </w:rPr>
        <w:t>文件”和“</w:t>
      </w:r>
      <w:r>
        <w:rPr>
          <w:rFonts w:hint="eastAsia" w:ascii="宋体" w:hAnsi="宋体" w:eastAsia="宋体" w:cs="宋体"/>
          <w:color w:val="auto"/>
          <w:highlight w:val="none"/>
        </w:rPr>
        <w:t>SGZB</w:t>
      </w:r>
      <w:r>
        <w:rPr>
          <w:rFonts w:hint="eastAsia" w:ascii="宋体" w:hAnsi="宋体" w:eastAsia="宋体" w:cs="宋体"/>
          <w:color w:val="auto"/>
          <w:szCs w:val="21"/>
          <w:highlight w:val="none"/>
        </w:rPr>
        <w:t>文件”在“招标文件”模块与原文件进行替换。</w:t>
      </w:r>
    </w:p>
    <w:p>
      <w:pPr>
        <w:tabs>
          <w:tab w:val="left" w:pos="7140"/>
        </w:tabs>
        <w:adjustRightInd w:val="0"/>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 根据《深圳市人民政府办公厅关于印发加快推进建筑信息模型（BIM）技术应用的实施意见（试行）的通知》（深府办函〔2021〕103号）的规定，2022年1月1日起，新建（立项、核准备案）市区政府投资和国有资金投资建设项目、市区重大项目、重点片区工程项目全面实施BIM技术应用，上述项目于2022年6月1日起，在办理规划许可、施工许可、竣工验收各审批报建环节提交BIM模型，市区政府投资和国有资金投资建设项目在招投标环节采用BIM电子招投标系统。招标人应严格落实上述要求，并在招标策划时明确BIM技术应用阶段、内容、费用和成果文件等内容。</w:t>
      </w:r>
    </w:p>
    <w:p>
      <w:pPr>
        <w:adjustRightInd w:val="0"/>
        <w:snapToGri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 招标人应在招标文件中明确实施BIM的具体要求（如BIM应用范围、内容、深度、成果文件格式等），并提供设计阶段BIM成果文件（如有），同时充分考虑投标人编制BIM标书的时间。</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6.6 招标控制价公布在交易网的交易</w:t>
      </w:r>
      <w:r>
        <w:rPr>
          <w:rFonts w:hint="eastAsia" w:ascii="宋体" w:hAnsi="宋体" w:eastAsia="宋体" w:cs="宋体"/>
          <w:color w:val="auto"/>
          <w:szCs w:val="21"/>
          <w:highlight w:val="none"/>
          <w:lang w:val="en-US" w:eastAsia="zh-CN"/>
        </w:rPr>
        <w:t>公告</w:t>
      </w:r>
      <w:r>
        <w:rPr>
          <w:rFonts w:hint="eastAsia" w:ascii="宋体" w:hAnsi="宋体" w:eastAsia="宋体" w:cs="宋体"/>
          <w:color w:val="auto"/>
          <w:szCs w:val="21"/>
          <w:highlight w:val="none"/>
        </w:rPr>
        <w:t>-建设工程-招标控制价公示模块，“附件信息”所挂文件均为参考文件，如果“附件信息”所挂文件中有关数据与“招标控制价公示”模块公示数据不一致的，以“招标控制价公示”模块公示数据为准。如招标人需更改“招标控制价公示”模块公示数据，则按照重新公示方式进行办理，并确保公示时间符合要求。</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“附件信息”所挂文件需包含标底公示表（PDF格式）及送审招标控制价电子文件（“</w:t>
      </w:r>
      <w:r>
        <w:rPr>
          <w:rFonts w:hint="eastAsia" w:ascii="宋体" w:hAnsi="宋体" w:eastAsia="宋体" w:cs="宋体"/>
          <w:color w:val="auto"/>
          <w:highlight w:val="none"/>
        </w:rPr>
        <w:t>SGKZJ</w:t>
      </w:r>
      <w:r>
        <w:rPr>
          <w:rFonts w:hint="eastAsia" w:ascii="宋体" w:hAnsi="宋体" w:eastAsia="宋体" w:cs="宋体"/>
          <w:color w:val="auto"/>
          <w:szCs w:val="21"/>
          <w:highlight w:val="none"/>
        </w:rPr>
        <w:t>文件”），公示的送审招标控制价电子文件（“</w:t>
      </w:r>
      <w:r>
        <w:rPr>
          <w:rFonts w:hint="eastAsia" w:ascii="宋体" w:hAnsi="宋体" w:eastAsia="宋体" w:cs="宋体"/>
          <w:color w:val="auto"/>
          <w:highlight w:val="none"/>
        </w:rPr>
        <w:t>SGKZJ</w:t>
      </w:r>
      <w:r>
        <w:rPr>
          <w:rFonts w:hint="eastAsia" w:ascii="宋体" w:hAnsi="宋体" w:eastAsia="宋体" w:cs="宋体"/>
          <w:color w:val="auto"/>
          <w:szCs w:val="21"/>
          <w:highlight w:val="none"/>
        </w:rPr>
        <w:t>文件”）可以是</w:t>
      </w:r>
      <w:r>
        <w:rPr>
          <w:rFonts w:hint="eastAsia" w:ascii="宋体" w:hAnsi="宋体" w:eastAsia="宋体" w:cs="宋体"/>
          <w:color w:val="auto"/>
          <w:highlight w:val="none"/>
        </w:rPr>
        <w:t>SGKZJ</w:t>
      </w:r>
      <w:r>
        <w:rPr>
          <w:rFonts w:hint="eastAsia" w:ascii="宋体" w:hAnsi="宋体" w:eastAsia="宋体" w:cs="宋体"/>
          <w:color w:val="auto"/>
          <w:szCs w:val="21"/>
          <w:highlight w:val="none"/>
        </w:rPr>
        <w:t>格式，也可以是JPG、Word、Excel等其他格式，由招标人自行选择。</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w:t>
      </w:r>
      <w:r>
        <w:rPr>
          <w:rFonts w:hint="eastAsia" w:ascii="宋体" w:hAnsi="宋体" w:eastAsia="宋体" w:cs="宋体"/>
          <w:color w:val="auto"/>
          <w:highlight w:val="none"/>
        </w:rPr>
        <w:t>SGKZJ</w:t>
      </w:r>
      <w:r>
        <w:rPr>
          <w:rFonts w:hint="eastAsia" w:ascii="宋体" w:hAnsi="宋体" w:eastAsia="宋体" w:cs="宋体"/>
          <w:color w:val="auto"/>
          <w:szCs w:val="21"/>
          <w:highlight w:val="none"/>
        </w:rPr>
        <w:t>格式的送审招标控制价电子文件用于商务标评审，分部分项工程量清单综合单价应当按照工程量清单的项目特征提供其组价过程中的各项数据，如：材料费及其组成。</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SGKZJ</w:t>
      </w:r>
      <w:r>
        <w:rPr>
          <w:rFonts w:hint="eastAsia" w:ascii="宋体" w:hAnsi="宋体" w:eastAsia="宋体" w:cs="宋体"/>
          <w:color w:val="auto"/>
          <w:szCs w:val="21"/>
          <w:highlight w:val="none"/>
        </w:rPr>
        <w:t>文件由招标人在招标控制价公示或商务标开标时自行导入开标系统，评标结束后，</w:t>
      </w:r>
      <w:r>
        <w:rPr>
          <w:rFonts w:hint="eastAsia" w:ascii="宋体" w:hAnsi="宋体" w:eastAsia="宋体" w:cs="宋体"/>
          <w:color w:val="auto"/>
          <w:highlight w:val="none"/>
        </w:rPr>
        <w:t>SGKZJ</w:t>
      </w:r>
      <w:r>
        <w:rPr>
          <w:rFonts w:hint="eastAsia" w:ascii="宋体" w:hAnsi="宋体" w:eastAsia="宋体" w:cs="宋体"/>
          <w:color w:val="auto"/>
          <w:szCs w:val="21"/>
          <w:highlight w:val="none"/>
        </w:rPr>
        <w:t>格式的送审招标控制价电子文件与评标报告一同公示。</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SGKZJ</w:t>
      </w:r>
      <w:r>
        <w:rPr>
          <w:rFonts w:hint="eastAsia" w:ascii="宋体" w:hAnsi="宋体" w:eastAsia="宋体" w:cs="宋体"/>
          <w:color w:val="auto"/>
          <w:szCs w:val="21"/>
          <w:highlight w:val="none"/>
        </w:rPr>
        <w:t>格式的送审招标控制价电子文件中的工程量清单必须与招标工程量清单电子文件（“</w:t>
      </w:r>
      <w:r>
        <w:rPr>
          <w:rFonts w:hint="eastAsia" w:ascii="宋体" w:hAnsi="宋体" w:eastAsia="宋体" w:cs="宋体"/>
          <w:color w:val="auto"/>
          <w:highlight w:val="none"/>
        </w:rPr>
        <w:t>SGZQD</w:t>
      </w:r>
      <w:r>
        <w:rPr>
          <w:rFonts w:hint="eastAsia" w:ascii="宋体" w:hAnsi="宋体" w:eastAsia="宋体" w:cs="宋体"/>
          <w:color w:val="auto"/>
          <w:szCs w:val="21"/>
          <w:highlight w:val="none"/>
        </w:rPr>
        <w:t>文件”）中的工程量清单保持一致，且必须与交易网“招标控制价公示”模块中公示的数据一致，否则招标人需以“</w:t>
      </w:r>
      <w:r>
        <w:rPr>
          <w:rFonts w:hint="eastAsia" w:ascii="宋体" w:hAnsi="宋体" w:eastAsia="宋体" w:cs="宋体"/>
          <w:color w:val="auto"/>
          <w:highlight w:val="none"/>
        </w:rPr>
        <w:t>SGZQD</w:t>
      </w:r>
      <w:r>
        <w:rPr>
          <w:rFonts w:hint="eastAsia" w:ascii="宋体" w:hAnsi="宋体" w:eastAsia="宋体" w:cs="宋体"/>
          <w:color w:val="auto"/>
          <w:szCs w:val="21"/>
          <w:highlight w:val="none"/>
        </w:rPr>
        <w:t>文件”中的工程量清单或交易网“招标控制价公示”模块中公示的数据为依据重新编制*.</w:t>
      </w:r>
      <w:r>
        <w:rPr>
          <w:rFonts w:hint="eastAsia" w:ascii="宋体" w:hAnsi="宋体" w:eastAsia="宋体" w:cs="宋体"/>
          <w:color w:val="auto"/>
          <w:highlight w:val="none"/>
        </w:rPr>
        <w:t>SGKZJ</w:t>
      </w:r>
      <w:r>
        <w:rPr>
          <w:rFonts w:hint="eastAsia" w:ascii="宋体" w:hAnsi="宋体" w:eastAsia="宋体" w:cs="宋体"/>
          <w:color w:val="auto"/>
          <w:szCs w:val="21"/>
          <w:highlight w:val="none"/>
        </w:rPr>
        <w:t>格式的送审招标控制价电子文件。</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用于商务标评审的送审招标控制价电子文件（</w:t>
      </w:r>
      <w:r>
        <w:rPr>
          <w:rFonts w:hint="eastAsia" w:ascii="宋体" w:hAnsi="宋体" w:eastAsia="宋体" w:cs="宋体"/>
          <w:color w:val="auto"/>
          <w:highlight w:val="none"/>
        </w:rPr>
        <w:t>SGKZJ</w:t>
      </w:r>
      <w:r>
        <w:rPr>
          <w:rFonts w:hint="eastAsia" w:ascii="宋体" w:hAnsi="宋体" w:eastAsia="宋体" w:cs="宋体"/>
          <w:color w:val="auto"/>
          <w:szCs w:val="21"/>
          <w:highlight w:val="none"/>
        </w:rPr>
        <w:t>格式）原则上应与招标控制价公示时所挂送审招标控制价电子文件（</w:t>
      </w:r>
      <w:r>
        <w:rPr>
          <w:rFonts w:hint="eastAsia" w:ascii="宋体" w:hAnsi="宋体" w:eastAsia="宋体" w:cs="宋体"/>
          <w:color w:val="auto"/>
          <w:highlight w:val="none"/>
        </w:rPr>
        <w:t>SGKZJ</w:t>
      </w:r>
      <w:r>
        <w:rPr>
          <w:rFonts w:hint="eastAsia" w:ascii="宋体" w:hAnsi="宋体" w:eastAsia="宋体" w:cs="宋体"/>
          <w:color w:val="auto"/>
          <w:szCs w:val="21"/>
          <w:highlight w:val="none"/>
        </w:rPr>
        <w:t>、JPG、Word、Excel等格式）一致，如有不同，则应说明理由并在评标结束后与</w:t>
      </w:r>
      <w:r>
        <w:rPr>
          <w:rFonts w:hint="eastAsia" w:ascii="宋体" w:hAnsi="宋体" w:eastAsia="宋体" w:cs="宋体"/>
          <w:color w:val="auto"/>
          <w:highlight w:val="none"/>
        </w:rPr>
        <w:t>SGKZJ</w:t>
      </w:r>
      <w:r>
        <w:rPr>
          <w:rFonts w:hint="eastAsia" w:ascii="宋体" w:hAnsi="宋体" w:eastAsia="宋体" w:cs="宋体"/>
          <w:color w:val="auto"/>
          <w:szCs w:val="21"/>
          <w:highlight w:val="none"/>
        </w:rPr>
        <w:t>格式的送审招标控制价电子文件一同公示。</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九、有关投标问题的说明</w:t>
      </w:r>
    </w:p>
    <w:p>
      <w:pPr>
        <w:adjustRightInd w:val="0"/>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1.参加投标的单位（包含联合体投标的各成员）</w:t>
      </w:r>
      <w:r>
        <w:rPr>
          <w:rFonts w:hint="eastAsia" w:ascii="宋体" w:hAnsi="宋体" w:eastAsia="宋体" w:cs="宋体"/>
          <w:color w:val="auto"/>
          <w:kern w:val="0"/>
          <w:szCs w:val="21"/>
          <w:highlight w:val="none"/>
        </w:rPr>
        <w:t>须办理企业信息登记。勘察、设计、施工、监理、造价、检测等企业须在深圳市住房和建设局“企业与人员信息诚信申报平台”办理信息登记，</w:t>
      </w:r>
      <w:r>
        <w:rPr>
          <w:rFonts w:hint="eastAsia" w:ascii="宋体" w:hAnsi="宋体" w:eastAsia="宋体" w:cs="宋体"/>
          <w:b w:val="0"/>
          <w:bCs w:val="0"/>
          <w:i w:val="0"/>
          <w:iCs w:val="0"/>
          <w:color w:val="auto"/>
          <w:spacing w:val="0"/>
          <w:w w:val="100"/>
          <w:sz w:val="21"/>
          <w:szCs w:val="21"/>
          <w:highlight w:val="none"/>
          <w:vertAlign w:val="baseline"/>
        </w:rPr>
        <w:t>其他企业在深圳交易集团有限公司（深圳公共资源交易中心）-统一用户中心办理企业信息登记（https://trade.szggzy.com/ggzy/center/#/login）。</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2.投标人获取招标文件后，应仔细阅读招标文件及附件的全部内容，附件与招标文件具有同等效力。</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3.投标人应在投标截止时间前，登录</w:t>
      </w:r>
      <w:r>
        <w:rPr>
          <w:rFonts w:hint="eastAsia" w:ascii="宋体" w:hAnsi="宋体" w:eastAsia="宋体" w:cs="宋体"/>
          <w:color w:val="auto"/>
          <w:szCs w:val="21"/>
          <w:highlight w:val="none"/>
          <w:lang w:val="en-US" w:eastAsia="zh-CN"/>
        </w:rPr>
        <w:t>交易网</w:t>
      </w:r>
      <w:r>
        <w:rPr>
          <w:rFonts w:hint="eastAsia" w:ascii="宋体" w:hAnsi="宋体" w:eastAsia="宋体" w:cs="宋体"/>
          <w:color w:val="auto"/>
          <w:szCs w:val="21"/>
          <w:highlight w:val="none"/>
        </w:rPr>
        <w:t>免费查阅或下载招标文件、答疑及招标文件补充通知。</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4.投标人对招标文件有不同意见或不明之处，应在</w:t>
      </w:r>
      <w:r>
        <w:rPr>
          <w:rFonts w:hint="eastAsia" w:ascii="宋体" w:hAnsi="宋体" w:eastAsia="宋体" w:cs="宋体"/>
          <w:color w:val="auto"/>
          <w:szCs w:val="21"/>
          <w:highlight w:val="none"/>
          <w:lang w:val="en-US" w:eastAsia="zh-CN"/>
        </w:rPr>
        <w:t>交易平台</w:t>
      </w:r>
      <w:r>
        <w:rPr>
          <w:rFonts w:hint="eastAsia" w:ascii="宋体" w:hAnsi="宋体" w:eastAsia="宋体" w:cs="宋体"/>
          <w:color w:val="auto"/>
          <w:szCs w:val="21"/>
          <w:highlight w:val="none"/>
        </w:rPr>
        <w:t>向招标人提出。</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5.投标人应在遵循招标文件的各项规定和要求的前提下，编制投标文件。投标文件必须满足招标文件中的实质性要求和条件。投标文件若出现否决性条款的情形其投标将会被否决。</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6.投标人应严格按招标文件要求，在截标前使用投标人（或联合体主体）企业机构数字证书或电子营业执照，通过</w:t>
      </w:r>
      <w:r>
        <w:rPr>
          <w:rFonts w:hint="eastAsia" w:ascii="宋体" w:hAnsi="宋体" w:eastAsia="宋体" w:cs="宋体"/>
          <w:color w:val="auto"/>
          <w:szCs w:val="21"/>
          <w:highlight w:val="none"/>
          <w:lang w:val="en-US" w:eastAsia="zh-CN"/>
        </w:rPr>
        <w:t>交易平台</w:t>
      </w:r>
      <w:r>
        <w:rPr>
          <w:rFonts w:hint="eastAsia" w:ascii="宋体" w:hAnsi="宋体" w:eastAsia="宋体" w:cs="宋体"/>
          <w:color w:val="auto"/>
          <w:szCs w:val="21"/>
          <w:highlight w:val="none"/>
        </w:rPr>
        <w:t>递交电子投标文件，上传成功后打印回执；为防止网络阻塞，建议预留充足时间上传投标文件。</w:t>
      </w:r>
      <w:r>
        <w:rPr>
          <w:rFonts w:hint="eastAsia" w:ascii="宋体" w:hAnsi="宋体" w:eastAsia="宋体" w:cs="宋体"/>
          <w:color w:val="auto"/>
          <w:kern w:val="0"/>
          <w:szCs w:val="21"/>
          <w:highlight w:val="none"/>
        </w:rPr>
        <w:t>投标人在递交投标文件时登记的投标员应为本单位在职人员</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在该</w:t>
      </w:r>
      <w:r>
        <w:rPr>
          <w:rFonts w:hint="eastAsia" w:ascii="宋体" w:hAnsi="宋体" w:eastAsia="宋体" w:cs="宋体"/>
          <w:color w:val="auto"/>
          <w:kern w:val="0"/>
          <w:szCs w:val="21"/>
          <w:highlight w:val="none"/>
          <w:lang w:eastAsia="zh-CN"/>
        </w:rPr>
        <w:t>单位工作且签订劳动合同,并</w:t>
      </w:r>
      <w:r>
        <w:rPr>
          <w:rFonts w:hint="eastAsia" w:ascii="宋体" w:hAnsi="宋体" w:eastAsia="宋体" w:cs="宋体"/>
          <w:color w:val="auto"/>
          <w:kern w:val="0"/>
          <w:szCs w:val="21"/>
          <w:highlight w:val="none"/>
          <w:lang w:val="en-US" w:eastAsia="zh-CN"/>
        </w:rPr>
        <w:t>由该</w:t>
      </w:r>
      <w:r>
        <w:rPr>
          <w:rFonts w:hint="eastAsia" w:ascii="宋体" w:hAnsi="宋体" w:eastAsia="宋体" w:cs="宋体"/>
          <w:color w:val="auto"/>
          <w:kern w:val="0"/>
          <w:szCs w:val="21"/>
          <w:highlight w:val="none"/>
          <w:lang w:eastAsia="zh-CN"/>
        </w:rPr>
        <w:t>单位</w:t>
      </w:r>
      <w:r>
        <w:rPr>
          <w:rFonts w:hint="eastAsia" w:ascii="宋体" w:hAnsi="宋体" w:eastAsia="宋体" w:cs="宋体"/>
          <w:color w:val="auto"/>
          <w:kern w:val="0"/>
          <w:szCs w:val="21"/>
          <w:highlight w:val="none"/>
          <w:lang w:val="en-US" w:eastAsia="zh-CN"/>
        </w:rPr>
        <w:t>购买</w:t>
      </w:r>
      <w:r>
        <w:rPr>
          <w:rFonts w:hint="eastAsia" w:ascii="宋体" w:hAnsi="宋体" w:eastAsia="宋体" w:cs="宋体"/>
          <w:color w:val="auto"/>
          <w:kern w:val="0"/>
          <w:szCs w:val="21"/>
          <w:highlight w:val="none"/>
          <w:lang w:eastAsia="zh-CN"/>
        </w:rPr>
        <w:t>社会保险</w:t>
      </w:r>
      <w:r>
        <w:rPr>
          <w:rFonts w:hint="eastAsia" w:ascii="宋体" w:hAnsi="宋体" w:eastAsia="宋体" w:cs="宋体"/>
          <w:color w:val="auto"/>
          <w:kern w:val="0"/>
          <w:szCs w:val="21"/>
          <w:highlight w:val="none"/>
          <w:lang w:val="en-US" w:eastAsia="zh-CN"/>
        </w:rPr>
        <w:t>的人员</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，投标人应对投标员身份信息的真实性、有效性负责。</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交易网</w:t>
      </w:r>
      <w:r>
        <w:rPr>
          <w:rFonts w:hint="eastAsia" w:ascii="宋体" w:hAnsi="宋体" w:eastAsia="宋体" w:cs="宋体"/>
          <w:color w:val="auto"/>
          <w:szCs w:val="21"/>
          <w:highlight w:val="none"/>
        </w:rPr>
        <w:t>是投标人获取建设工程电子招标文件和电子送审招标控制价文件的唯一合法渠道。投标人需随时关注交易网</w:t>
      </w:r>
      <w:r>
        <w:rPr>
          <w:rFonts w:hint="eastAsia" w:ascii="宋体" w:hAnsi="宋体" w:eastAsia="宋体" w:cs="宋体"/>
          <w:color w:val="auto"/>
          <w:szCs w:val="21"/>
          <w:highlight w:val="none"/>
          <w:lang w:val="en-US" w:eastAsia="zh-CN"/>
        </w:rPr>
        <w:t>或交易平台</w:t>
      </w:r>
      <w:r>
        <w:rPr>
          <w:rFonts w:hint="eastAsia" w:ascii="宋体" w:hAnsi="宋体" w:eastAsia="宋体" w:cs="宋体"/>
          <w:color w:val="auto"/>
          <w:szCs w:val="21"/>
          <w:highlight w:val="none"/>
        </w:rPr>
        <w:t>，确认所投标的项目招标文件（</w:t>
      </w:r>
      <w:r>
        <w:rPr>
          <w:rFonts w:hint="eastAsia" w:ascii="宋体" w:hAnsi="宋体" w:eastAsia="宋体" w:cs="宋体"/>
          <w:color w:val="auto"/>
          <w:highlight w:val="none"/>
        </w:rPr>
        <w:t>SGZQD</w:t>
      </w:r>
      <w:r>
        <w:rPr>
          <w:rFonts w:hint="eastAsia" w:ascii="宋体" w:hAnsi="宋体" w:eastAsia="宋体" w:cs="宋体"/>
          <w:color w:val="auto"/>
          <w:szCs w:val="21"/>
          <w:highlight w:val="none"/>
        </w:rPr>
        <w:t>、</w:t>
      </w:r>
      <w:r>
        <w:rPr>
          <w:rFonts w:hint="eastAsia" w:ascii="宋体" w:hAnsi="宋体" w:eastAsia="宋体" w:cs="宋体"/>
          <w:color w:val="auto"/>
          <w:highlight w:val="none"/>
        </w:rPr>
        <w:t>SGZB</w:t>
      </w:r>
      <w:r>
        <w:rPr>
          <w:rFonts w:hint="eastAsia" w:ascii="宋体" w:hAnsi="宋体" w:eastAsia="宋体" w:cs="宋体"/>
          <w:color w:val="auto"/>
          <w:szCs w:val="21"/>
          <w:highlight w:val="none"/>
        </w:rPr>
        <w:t>）和电子送审招标控制价文件（</w:t>
      </w:r>
      <w:r>
        <w:rPr>
          <w:rFonts w:hint="eastAsia" w:ascii="宋体" w:hAnsi="宋体" w:eastAsia="宋体" w:cs="宋体"/>
          <w:color w:val="auto"/>
          <w:highlight w:val="none"/>
        </w:rPr>
        <w:t>SGKZJ</w:t>
      </w:r>
      <w:r>
        <w:rPr>
          <w:rFonts w:hint="eastAsia" w:ascii="宋体" w:hAnsi="宋体" w:eastAsia="宋体" w:cs="宋体"/>
          <w:color w:val="auto"/>
          <w:szCs w:val="21"/>
          <w:highlight w:val="none"/>
        </w:rPr>
        <w:t>）是否更新。如果有更新，须下载最新的招标文件和电子送审招标控制价文件用于制作电子投标文件，否则后果由投标人自行承担。</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8.投标人应当遵守深圳交易集团有限公司（深圳公共资源交易中心）的相关规定，违反规定导致的不利后果，由投标人自行承担。</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人须对投标资料的真实性负责。招标人有权将投标文件的部分或全部内容向外公示，若公示期间收到有关弄虚作假投诉的，招标人将提请建设、交通行政主管部门查处。一旦查实将严格按照法律法规以及《施工投标承诺函》的有关承诺作出处理。</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10.若投标人资质证书或安全生产许可证被暂扣或吊销，但仍参与投标的，招标人将取消其投标或中标资格、没收其投标保证金，建设、交通行政主管部门将按弄虚作假行为对其进行行政处罚。</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11.投标人注意事项：</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r>
        <w:rPr>
          <w:rFonts w:hint="eastAsia" w:ascii="宋体" w:hAnsi="宋体" w:eastAsia="宋体" w:cs="宋体"/>
          <w:b w:val="0"/>
          <w:bCs w:val="0"/>
          <w:i w:val="0"/>
          <w:iCs w:val="0"/>
          <w:color w:val="auto"/>
          <w:spacing w:val="0"/>
          <w:w w:val="100"/>
          <w:sz w:val="21"/>
          <w:szCs w:val="21"/>
          <w:highlight w:val="none"/>
          <w:vertAlign w:val="baseline"/>
        </w:rPr>
        <w:t>电子文件编制工具</w:t>
      </w:r>
      <w:r>
        <w:rPr>
          <w:rFonts w:hint="eastAsia" w:ascii="宋体" w:hAnsi="宋体" w:eastAsia="宋体" w:cs="宋体"/>
          <w:color w:val="auto"/>
          <w:szCs w:val="21"/>
          <w:highlight w:val="none"/>
        </w:rPr>
        <w:t>》安装软件可在</w:t>
      </w:r>
      <w:r>
        <w:rPr>
          <w:rFonts w:hint="eastAsia" w:ascii="宋体" w:hAnsi="宋体" w:eastAsia="宋体" w:cs="宋体"/>
          <w:color w:val="auto"/>
          <w:szCs w:val="21"/>
          <w:highlight w:val="none"/>
          <w:lang w:eastAsia="zh-CN"/>
        </w:rPr>
        <w:t>交易网的服务</w:t>
      </w:r>
      <w:r>
        <w:rPr>
          <w:rFonts w:hint="eastAsia" w:ascii="宋体" w:hAnsi="宋体" w:eastAsia="宋体" w:cs="宋体"/>
          <w:color w:val="auto"/>
          <w:szCs w:val="21"/>
          <w:highlight w:val="none"/>
          <w:lang w:val="en-US" w:eastAsia="zh-CN"/>
        </w:rPr>
        <w:t>指南</w:t>
      </w:r>
      <w:r>
        <w:rPr>
          <w:rFonts w:hint="eastAsia" w:ascii="宋体" w:hAnsi="宋体" w:eastAsia="宋体" w:cs="宋体"/>
          <w:color w:val="auto"/>
          <w:szCs w:val="21"/>
          <w:highlight w:val="none"/>
          <w:lang w:eastAsia="zh-CN"/>
        </w:rPr>
        <w:t>-建设工程-资料下载-工具下载（</w:t>
      </w:r>
      <w:r>
        <w:rPr>
          <w:rFonts w:hint="eastAsia" w:ascii="宋体" w:hAnsi="宋体" w:eastAsia="宋体" w:cs="宋体"/>
          <w:color w:val="auto"/>
          <w:szCs w:val="21"/>
          <w:highlight w:val="none"/>
          <w:lang w:val="en-US" w:eastAsia="zh-CN"/>
        </w:rPr>
        <w:t>投标编制文件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中下载，请注意使用正确的版本，并及时更新；</w:t>
      </w:r>
      <w:r>
        <w:rPr>
          <w:rFonts w:hint="eastAsia" w:ascii="宋体" w:hAnsi="宋体" w:eastAsia="宋体" w:cs="宋体"/>
          <w:b w:val="0"/>
          <w:bCs w:val="0"/>
          <w:i w:val="0"/>
          <w:iCs w:val="0"/>
          <w:color w:val="auto"/>
          <w:spacing w:val="0"/>
          <w:w w:val="100"/>
          <w:sz w:val="21"/>
          <w:szCs w:val="21"/>
          <w:highlight w:val="none"/>
          <w:vertAlign w:val="baseline"/>
        </w:rPr>
        <w:t>编制BIM招标项目的BIM模型文件需要使用交易网公示的施工模型标书编制软件。</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电子投标文件必须按招标文件要求有数字证书或电子营业执照签名方为合法的投标文件。未对电子文件进行数字证书或电子营业执照签名的以及对投标文件进行加密但在开标会规定的时间内没有进行解密的，开标会现场将作为不予受理的投标文件处理。</w:t>
      </w:r>
    </w:p>
    <w:p>
      <w:pPr>
        <w:adjustRightInd w:val="0"/>
        <w:snapToGrid w:val="0"/>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11.3在电子标书</w:t>
      </w:r>
      <w:r>
        <w:rPr>
          <w:rFonts w:hint="eastAsia" w:ascii="宋体" w:hAnsi="宋体" w:eastAsia="宋体" w:cs="宋体"/>
          <w:color w:val="auto"/>
          <w:szCs w:val="21"/>
          <w:highlight w:val="none"/>
          <w:lang w:eastAsia="zh-CN"/>
        </w:rPr>
        <w:t>编制工具</w:t>
      </w:r>
      <w:r>
        <w:rPr>
          <w:rFonts w:hint="eastAsia" w:ascii="宋体" w:hAnsi="宋体" w:eastAsia="宋体" w:cs="宋体"/>
          <w:color w:val="auto"/>
          <w:szCs w:val="21"/>
          <w:highlight w:val="none"/>
        </w:rPr>
        <w:t>中，生成电子标书时，须将所签名的证书或电子营业执照的电子签名签署到相应的位置中。共包括三类签名：（1）机构证书或电子营业执照；（2）法定代表人证书；（3）人员证书[技术标部分指建造师（项目经理)，商务标部分指注册造价工程师]。</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11.4招标文件导入计价软件时，请勿修改招标文件的标段结构形式及单位工程名称等。</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11.5在电子文件编制工具中导入投标数据交换文件(*.SWT)后，请注意检查措施项目“安全文明施工措施费”是否有报价,且该项报价需要满足招标文件的要求。</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11.6如招标人未在招标工程量清单中提供“暂列金额”，而在招标控制价公示时公布，请投标人在【单项工程其他费】界面中的“暂列金额”处录入相应的金额。</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11.7生成电子投标数据后，点击【浏览投标清单】按钮，核对报价的内容。施工投标承诺函</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，金额必须与电子投标文件中的金额完全一致。</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11.8评标时以电子标书为准，因此在制作电子标书的时候，需要反复核对单位工程、单项工程、工程项目的相关报价。</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11.9投标人可使用投标文件</w:t>
      </w:r>
      <w:r>
        <w:rPr>
          <w:rFonts w:hint="eastAsia" w:ascii="宋体" w:hAnsi="宋体" w:eastAsia="宋体" w:cs="宋体"/>
          <w:color w:val="auto"/>
          <w:szCs w:val="21"/>
          <w:highlight w:val="none"/>
          <w:lang w:eastAsia="zh-CN"/>
        </w:rPr>
        <w:t>编制工具</w:t>
      </w:r>
      <w:r>
        <w:rPr>
          <w:rFonts w:hint="eastAsia" w:ascii="宋体" w:hAnsi="宋体" w:eastAsia="宋体" w:cs="宋体"/>
          <w:color w:val="auto"/>
          <w:szCs w:val="21"/>
          <w:highlight w:val="none"/>
        </w:rPr>
        <w:t>中的加密功能对网上传输的投标文件进行加密</w:t>
      </w:r>
      <w:bookmarkStart w:id="7" w:name="_Hlk87635778"/>
      <w:r>
        <w:rPr>
          <w:rFonts w:hint="eastAsia" w:ascii="宋体" w:hAnsi="宋体" w:eastAsia="宋体" w:cs="宋体"/>
          <w:color w:val="auto"/>
          <w:szCs w:val="21"/>
          <w:highlight w:val="none"/>
        </w:rPr>
        <w:t>（可使用数字证书或电子营业执照进行加密）</w:t>
      </w:r>
      <w:bookmarkEnd w:id="7"/>
      <w:r>
        <w:rPr>
          <w:rFonts w:hint="eastAsia" w:ascii="宋体" w:hAnsi="宋体" w:eastAsia="宋体" w:cs="宋体"/>
          <w:color w:val="auto"/>
          <w:szCs w:val="21"/>
          <w:highlight w:val="none"/>
        </w:rPr>
        <w:t>，其中：用于投标文件加密的数字证书必须是本单位的任意一个数字证书，包括机构数字证书、机构个人数字证书。用于投标文件加密的电子营业执照必须是由本单位法定代表人在市场监督管理总局的电子营业执照应用程序中下载的真实有效的电子营业执照，且投标操作人员须法定代表人授权并下载本单位电子营业执照后才可进行标书加密等相关操作。</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i w:val="0"/>
          <w:iCs w:val="0"/>
          <w:color w:val="auto"/>
          <w:spacing w:val="0"/>
          <w:w w:val="100"/>
          <w:sz w:val="21"/>
          <w:szCs w:val="21"/>
          <w:highlight w:val="none"/>
          <w:vertAlign w:val="baseline"/>
        </w:rPr>
        <w:t>11.10在编制</w:t>
      </w:r>
      <w:r>
        <w:rPr>
          <w:rFonts w:hint="eastAsia" w:ascii="宋体" w:hAnsi="宋体" w:eastAsia="宋体" w:cs="宋体"/>
          <w:b w:val="0"/>
          <w:bCs w:val="0"/>
          <w:i w:val="0"/>
          <w:iCs w:val="0"/>
          <w:color w:val="auto"/>
          <w:spacing w:val="0"/>
          <w:w w:val="100"/>
          <w:sz w:val="21"/>
          <w:szCs w:val="21"/>
          <w:highlight w:val="none"/>
          <w:vertAlign w:val="baseline"/>
          <w:lang w:val="en-US" w:eastAsia="zh-CN"/>
        </w:rPr>
        <w:t>技术</w:t>
      </w:r>
      <w:r>
        <w:rPr>
          <w:rFonts w:hint="eastAsia" w:ascii="宋体" w:hAnsi="宋体" w:eastAsia="宋体" w:cs="宋体"/>
          <w:b w:val="0"/>
          <w:bCs w:val="0"/>
          <w:i w:val="0"/>
          <w:iCs w:val="0"/>
          <w:color w:val="auto"/>
          <w:spacing w:val="0"/>
          <w:w w:val="100"/>
          <w:sz w:val="21"/>
          <w:szCs w:val="21"/>
          <w:highlight w:val="none"/>
          <w:vertAlign w:val="baseline"/>
        </w:rPr>
        <w:t>标投标文件时，如果需要粘贴图片，可使用JPG/PNG/BMP格式的文件，并且每张图片的分辨率应小于100dpi，不含BIM文件时，最终的标书文件所占用的磁盘空间必须小于500</w:t>
      </w:r>
      <w:r>
        <w:rPr>
          <w:rFonts w:hint="eastAsia" w:ascii="宋体" w:hAnsi="宋体" w:eastAsia="宋体" w:cs="宋体"/>
          <w:b w:val="0"/>
          <w:bCs w:val="0"/>
          <w:i w:val="0"/>
          <w:iCs w:val="0"/>
          <w:color w:val="auto"/>
          <w:spacing w:val="0"/>
          <w:w w:val="100"/>
          <w:sz w:val="21"/>
          <w:szCs w:val="21"/>
          <w:highlight w:val="none"/>
          <w:vertAlign w:val="baseline"/>
          <w:lang w:val="en-US" w:eastAsia="zh-CN"/>
        </w:rPr>
        <w:t>0</w:t>
      </w:r>
      <w:r>
        <w:rPr>
          <w:rFonts w:hint="eastAsia" w:ascii="宋体" w:hAnsi="宋体" w:eastAsia="宋体" w:cs="宋体"/>
          <w:b w:val="0"/>
          <w:bCs w:val="0"/>
          <w:i w:val="0"/>
          <w:iCs w:val="0"/>
          <w:color w:val="auto"/>
          <w:spacing w:val="0"/>
          <w:w w:val="100"/>
          <w:sz w:val="21"/>
          <w:szCs w:val="21"/>
          <w:highlight w:val="none"/>
          <w:vertAlign w:val="baseline"/>
        </w:rPr>
        <w:t>M；资审文件占用的磁盘空间必须小于</w:t>
      </w:r>
      <w:r>
        <w:rPr>
          <w:rFonts w:hint="eastAsia" w:ascii="宋体" w:hAnsi="宋体" w:eastAsia="宋体" w:cs="宋体"/>
          <w:b w:val="0"/>
          <w:bCs w:val="0"/>
          <w:i w:val="0"/>
          <w:iCs w:val="0"/>
          <w:color w:val="auto"/>
          <w:spacing w:val="0"/>
          <w:w w:val="100"/>
          <w:sz w:val="21"/>
          <w:szCs w:val="21"/>
          <w:highlight w:val="none"/>
          <w:vertAlign w:val="baseline"/>
          <w:lang w:val="en-US" w:eastAsia="zh-CN"/>
        </w:rPr>
        <w:t>2</w:t>
      </w:r>
      <w:r>
        <w:rPr>
          <w:rFonts w:hint="eastAsia" w:ascii="宋体" w:hAnsi="宋体" w:eastAsia="宋体" w:cs="宋体"/>
          <w:b w:val="0"/>
          <w:bCs w:val="0"/>
          <w:i w:val="0"/>
          <w:iCs w:val="0"/>
          <w:color w:val="auto"/>
          <w:spacing w:val="0"/>
          <w:w w:val="100"/>
          <w:sz w:val="21"/>
          <w:szCs w:val="21"/>
          <w:highlight w:val="none"/>
          <w:vertAlign w:val="baseline"/>
        </w:rPr>
        <w:t>00M</w:t>
      </w:r>
      <w:r>
        <w:rPr>
          <w:rFonts w:hint="eastAsia" w:ascii="宋体" w:hAnsi="宋体" w:eastAsia="宋体" w:cs="宋体"/>
          <w:b w:val="0"/>
          <w:bCs w:val="0"/>
          <w:i w:val="0"/>
          <w:iCs w:val="0"/>
          <w:color w:val="auto"/>
          <w:spacing w:val="0"/>
          <w:w w:val="100"/>
          <w:sz w:val="21"/>
          <w:szCs w:val="21"/>
          <w:highlight w:val="none"/>
          <w:vertAlign w:val="baseline"/>
          <w:lang w:eastAsia="zh-CN"/>
        </w:rPr>
        <w:t>。</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 招标人提供了设计阶段BIM成果文件的，投标人应在该文件的基础上应用BIM技术进行深化应用，编制施工阶段BIM标书文件。在编制技术标投标文件时应使用符合</w:t>
      </w:r>
      <w:r>
        <w:rPr>
          <w:rFonts w:hint="eastAsia" w:ascii="宋体" w:hAnsi="宋体" w:eastAsia="宋体" w:cs="宋体"/>
          <w:color w:val="auto"/>
          <w:kern w:val="0"/>
          <w:szCs w:val="21"/>
          <w:highlight w:val="none"/>
          <w:lang w:val="en-US" w:eastAsia="zh-CN"/>
        </w:rPr>
        <w:t>交易平台</w:t>
      </w:r>
      <w:r>
        <w:rPr>
          <w:rFonts w:hint="eastAsia" w:ascii="宋体" w:hAnsi="宋体" w:eastAsia="宋体" w:cs="宋体"/>
          <w:color w:val="auto"/>
          <w:szCs w:val="21"/>
          <w:highlight w:val="none"/>
        </w:rPr>
        <w:t xml:space="preserve"> BIM 电子招投标系统兼容要求的施工模型标书编制工具，并根据招标文件要求进行BIM模型、商务报价、进度计划等文件的整合，整合完成后，将输出资料导入“电子文件编制工具”进行签名，生成BIM投标文件（格式为*.SGTB）。BIM模型的建模范围、建模精度等应当符合招标文件的要求。BIM投标文件所占用磁盘空间建议小于400M。</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本工程采用</w:t>
      </w:r>
      <w:r>
        <w:rPr>
          <w:rFonts w:hint="eastAsia" w:ascii="宋体" w:hAnsi="宋体" w:eastAsia="宋体" w:cs="宋体"/>
          <w:color w:val="auto"/>
          <w:szCs w:val="21"/>
          <w:highlight w:val="none"/>
          <w:lang w:val="en-US" w:eastAsia="zh-CN"/>
        </w:rPr>
        <w:t>交易平台</w:t>
      </w:r>
      <w:r>
        <w:rPr>
          <w:rFonts w:hint="eastAsia" w:ascii="宋体" w:hAnsi="宋体" w:eastAsia="宋体" w:cs="宋体"/>
          <w:color w:val="auto"/>
          <w:kern w:val="0"/>
          <w:szCs w:val="21"/>
          <w:highlight w:val="none"/>
        </w:rPr>
        <w:t>进行投标、开标及评标</w:t>
      </w:r>
      <w:r>
        <w:rPr>
          <w:rFonts w:hint="eastAsia" w:ascii="宋体" w:hAnsi="宋体" w:eastAsia="宋体" w:cs="宋体"/>
          <w:color w:val="auto"/>
          <w:szCs w:val="21"/>
          <w:highlight w:val="none"/>
        </w:rPr>
        <w:t>，请认真阅读本说明，若有疑问可通过载明的联系方式要求技术咨询。</w:t>
      </w:r>
    </w:p>
    <w:p>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十、关于</w:t>
      </w:r>
      <w:r>
        <w:rPr>
          <w:rFonts w:hint="eastAsia" w:ascii="宋体" w:hAnsi="宋体" w:eastAsia="宋体" w:cs="宋体"/>
          <w:color w:val="auto"/>
          <w:szCs w:val="21"/>
          <w:highlight w:val="none"/>
          <w:lang w:val="en-US" w:eastAsia="zh-CN"/>
        </w:rPr>
        <w:t>交易平台</w:t>
      </w:r>
      <w:r>
        <w:rPr>
          <w:rFonts w:hint="eastAsia" w:ascii="宋体" w:hAnsi="宋体" w:eastAsia="宋体" w:cs="宋体"/>
          <w:color w:val="auto"/>
          <w:szCs w:val="21"/>
          <w:highlight w:val="none"/>
        </w:rPr>
        <w:t>咨询方式：</w:t>
      </w:r>
    </w:p>
    <w:p>
      <w:pPr>
        <w:adjustRightInd w:val="0"/>
        <w:snapToGrid w:val="0"/>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建设工程技术咨询电话:0755-36568999、0755-88653390</w:t>
      </w:r>
      <w:r>
        <w:rPr>
          <w:rFonts w:hint="eastAsia" w:ascii="宋体" w:hAnsi="宋体" w:eastAsia="宋体" w:cs="宋体"/>
          <w:color w:val="auto"/>
          <w:szCs w:val="21"/>
          <w:highlight w:val="none"/>
          <w:lang w:val="en-US" w:eastAsia="zh-CN"/>
        </w:rPr>
        <w:t>。</w:t>
      </w:r>
    </w:p>
    <w:p>
      <w:pPr>
        <w:ind w:firstLine="420" w:firstLineChars="200"/>
        <w:rPr>
          <w:rFonts w:hint="eastAsia" w:ascii="宋体" w:hAnsi="宋体" w:eastAsia="宋体" w:cs="宋体"/>
          <w:color w:val="auto"/>
          <w:szCs w:val="21"/>
          <w:highlight w:val="none"/>
        </w:rPr>
      </w:pPr>
    </w:p>
    <w:tbl>
      <w:tblPr>
        <w:tblStyle w:val="41"/>
        <w:tblpPr w:leftFromText="180" w:rightFromText="180" w:vertAnchor="text" w:horzAnchor="page" w:tblpX="1399" w:tblpY="433"/>
        <w:tblOverlap w:val="never"/>
        <w:tblW w:w="92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9"/>
        <w:gridCol w:w="2835"/>
        <w:gridCol w:w="1873"/>
        <w:gridCol w:w="2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69"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 标 人：</w:t>
            </w:r>
          </w:p>
        </w:tc>
        <w:tc>
          <w:tcPr>
            <w:tcW w:w="2835" w:type="dxa"/>
            <w:shd w:val="clear" w:color="auto" w:fill="auto"/>
            <w:vAlign w:val="center"/>
          </w:tcPr>
          <w:p>
            <w:pPr>
              <w:adjustRightInd w:val="0"/>
              <w:snapToGrid w:val="0"/>
              <w:spacing w:line="360" w:lineRule="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w:t>
            </w:r>
          </w:p>
        </w:tc>
        <w:tc>
          <w:tcPr>
            <w:tcW w:w="1873" w:type="dxa"/>
            <w:shd w:val="clear" w:color="auto" w:fill="auto"/>
            <w:vAlign w:val="center"/>
          </w:tcPr>
          <w:p>
            <w:pPr>
              <w:adjustRightInd w:val="0"/>
              <w:snapToGrid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招标代理机构：</w:t>
            </w:r>
          </w:p>
        </w:tc>
        <w:tc>
          <w:tcPr>
            <w:tcW w:w="2913" w:type="dxa"/>
            <w:shd w:val="clear" w:color="auto" w:fill="auto"/>
            <w:vAlign w:val="center"/>
          </w:tcPr>
          <w:p>
            <w:pPr>
              <w:adjustRightInd w:val="0"/>
              <w:snapToGrid w:val="0"/>
              <w:spacing w:line="360" w:lineRule="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69"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p>
        </w:tc>
        <w:tc>
          <w:tcPr>
            <w:tcW w:w="2835" w:type="dxa"/>
            <w:shd w:val="clear" w:color="auto" w:fill="auto"/>
            <w:vAlign w:val="center"/>
          </w:tcPr>
          <w:p>
            <w:pPr>
              <w:adjustRightInd w:val="0"/>
              <w:snapToGrid w:val="0"/>
              <w:spacing w:line="360" w:lineRule="auto"/>
              <w:rPr>
                <w:rFonts w:ascii="宋体" w:hAnsi="宋体" w:eastAsia="宋体" w:cs="宋体"/>
                <w:bCs/>
                <w:color w:val="auto"/>
                <w:kern w:val="0"/>
                <w:szCs w:val="21"/>
                <w:highlight w:val="none"/>
                <w:u w:val="single"/>
              </w:rPr>
            </w:pPr>
            <w:r>
              <w:rPr>
                <w:rFonts w:hint="eastAsia" w:ascii="宋体" w:hAnsi="宋体" w:eastAsia="宋体" w:cs="宋体"/>
                <w:color w:val="auto"/>
                <w:kern w:val="0"/>
                <w:szCs w:val="21"/>
                <w:highlight w:val="none"/>
                <w:u w:val="single"/>
              </w:rPr>
              <w:t xml:space="preserve">      </w:t>
            </w:r>
          </w:p>
        </w:tc>
        <w:tc>
          <w:tcPr>
            <w:tcW w:w="1873" w:type="dxa"/>
            <w:shd w:val="clear" w:color="auto" w:fill="auto"/>
            <w:vAlign w:val="center"/>
          </w:tcPr>
          <w:p>
            <w:pPr>
              <w:adjustRightInd w:val="0"/>
              <w:snapToGrid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w:t>
            </w:r>
          </w:p>
          <w:p>
            <w:pPr>
              <w:adjustRightInd w:val="0"/>
              <w:snapToGrid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其委托代理人：</w:t>
            </w:r>
          </w:p>
        </w:tc>
        <w:tc>
          <w:tcPr>
            <w:tcW w:w="2913" w:type="dxa"/>
            <w:shd w:val="clear" w:color="auto" w:fill="auto"/>
            <w:vAlign w:val="center"/>
          </w:tcPr>
          <w:p>
            <w:pPr>
              <w:adjustRightInd w:val="0"/>
              <w:snapToGrid w:val="0"/>
              <w:spacing w:line="360" w:lineRule="auto"/>
              <w:rPr>
                <w:rFonts w:ascii="宋体" w:hAnsi="宋体" w:eastAsia="宋体" w:cs="宋体"/>
                <w:bCs/>
                <w:color w:val="auto"/>
                <w:kern w:val="0"/>
                <w:szCs w:val="21"/>
                <w:highlight w:val="none"/>
                <w:u w:val="single"/>
              </w:rPr>
            </w:pPr>
            <w:r>
              <w:rPr>
                <w:rFonts w:hint="eastAsia" w:ascii="宋体" w:hAnsi="宋体" w:eastAsia="宋体" w:cs="宋体"/>
                <w:color w:val="auto"/>
                <w:kern w:val="0"/>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69"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联系地址：</w:t>
            </w:r>
          </w:p>
        </w:tc>
        <w:tc>
          <w:tcPr>
            <w:tcW w:w="2835" w:type="dxa"/>
            <w:shd w:val="clear" w:color="auto" w:fill="auto"/>
            <w:vAlign w:val="center"/>
          </w:tcPr>
          <w:p>
            <w:pPr>
              <w:adjustRightInd w:val="0"/>
              <w:snapToGrid w:val="0"/>
              <w:spacing w:line="360" w:lineRule="auto"/>
              <w:rPr>
                <w:rFonts w:ascii="宋体" w:hAnsi="宋体" w:eastAsia="宋体" w:cs="宋体"/>
                <w:color w:val="auto"/>
                <w:kern w:val="0"/>
                <w:szCs w:val="21"/>
                <w:highlight w:val="none"/>
                <w:u w:val="single"/>
              </w:rPr>
            </w:pPr>
            <w:r>
              <w:rPr>
                <w:rFonts w:hint="eastAsia" w:ascii="宋体" w:hAnsi="宋体" w:eastAsia="宋体" w:cs="宋体"/>
                <w:bCs/>
                <w:color w:val="auto"/>
                <w:kern w:val="0"/>
                <w:szCs w:val="21"/>
                <w:highlight w:val="none"/>
                <w:u w:val="single"/>
              </w:rPr>
              <w:t xml:space="preserve">      </w:t>
            </w:r>
          </w:p>
        </w:tc>
        <w:tc>
          <w:tcPr>
            <w:tcW w:w="1873" w:type="dxa"/>
            <w:shd w:val="clear" w:color="auto" w:fill="auto"/>
            <w:vAlign w:val="center"/>
          </w:tcPr>
          <w:p>
            <w:pPr>
              <w:adjustRightInd w:val="0"/>
              <w:snapToGrid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联系地址：</w:t>
            </w:r>
          </w:p>
        </w:tc>
        <w:tc>
          <w:tcPr>
            <w:tcW w:w="2913" w:type="dxa"/>
            <w:shd w:val="clear" w:color="auto" w:fill="auto"/>
            <w:vAlign w:val="center"/>
          </w:tcPr>
          <w:p>
            <w:pPr>
              <w:adjustRightInd w:val="0"/>
              <w:snapToGrid w:val="0"/>
              <w:spacing w:line="360" w:lineRule="auto"/>
              <w:rPr>
                <w:rFonts w:ascii="宋体" w:hAnsi="宋体" w:eastAsia="宋体" w:cs="宋体"/>
                <w:color w:val="auto"/>
                <w:kern w:val="0"/>
                <w:szCs w:val="21"/>
                <w:highlight w:val="none"/>
                <w:u w:val="single"/>
              </w:rPr>
            </w:pPr>
            <w:r>
              <w:rPr>
                <w:rFonts w:hint="eastAsia" w:ascii="宋体" w:hAnsi="宋体" w:eastAsia="宋体" w:cs="宋体"/>
                <w:bCs/>
                <w:color w:val="auto"/>
                <w:kern w:val="0"/>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69"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tc>
        <w:tc>
          <w:tcPr>
            <w:tcW w:w="2835" w:type="dxa"/>
            <w:shd w:val="clear" w:color="auto" w:fill="auto"/>
            <w:vAlign w:val="center"/>
          </w:tcPr>
          <w:p>
            <w:pPr>
              <w:adjustRightInd w:val="0"/>
              <w:snapToGrid w:val="0"/>
              <w:spacing w:line="360" w:lineRule="auto"/>
              <w:rPr>
                <w:rFonts w:ascii="宋体" w:hAnsi="宋体" w:eastAsia="宋体" w:cs="宋体"/>
                <w:color w:val="auto"/>
                <w:kern w:val="0"/>
                <w:szCs w:val="21"/>
                <w:highlight w:val="none"/>
                <w:u w:val="single"/>
              </w:rPr>
            </w:pPr>
            <w:r>
              <w:rPr>
                <w:rFonts w:hint="eastAsia" w:ascii="宋体" w:hAnsi="宋体" w:eastAsia="宋体" w:cs="宋体"/>
                <w:bCs/>
                <w:color w:val="auto"/>
                <w:kern w:val="0"/>
                <w:szCs w:val="21"/>
                <w:highlight w:val="none"/>
                <w:u w:val="single"/>
              </w:rPr>
              <w:t xml:space="preserve">      </w:t>
            </w:r>
          </w:p>
        </w:tc>
        <w:tc>
          <w:tcPr>
            <w:tcW w:w="1873"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tc>
        <w:tc>
          <w:tcPr>
            <w:tcW w:w="2913" w:type="dxa"/>
            <w:shd w:val="clear" w:color="auto" w:fill="auto"/>
            <w:vAlign w:val="center"/>
          </w:tcPr>
          <w:p>
            <w:pPr>
              <w:adjustRightInd w:val="0"/>
              <w:snapToGrid w:val="0"/>
              <w:spacing w:line="360" w:lineRule="auto"/>
              <w:rPr>
                <w:rFonts w:ascii="宋体" w:hAnsi="宋体" w:eastAsia="宋体" w:cs="宋体"/>
                <w:color w:val="auto"/>
                <w:kern w:val="0"/>
                <w:szCs w:val="21"/>
                <w:highlight w:val="none"/>
                <w:u w:val="single"/>
              </w:rPr>
            </w:pPr>
            <w:r>
              <w:rPr>
                <w:rFonts w:hint="eastAsia" w:ascii="宋体" w:hAnsi="宋体" w:eastAsia="宋体" w:cs="宋体"/>
                <w:bCs/>
                <w:color w:val="auto"/>
                <w:kern w:val="0"/>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69"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传真电话：</w:t>
            </w:r>
          </w:p>
        </w:tc>
        <w:tc>
          <w:tcPr>
            <w:tcW w:w="2835" w:type="dxa"/>
            <w:shd w:val="clear" w:color="auto" w:fill="auto"/>
            <w:vAlign w:val="center"/>
          </w:tcPr>
          <w:p>
            <w:pPr>
              <w:adjustRightInd w:val="0"/>
              <w:snapToGrid w:val="0"/>
              <w:spacing w:line="360" w:lineRule="auto"/>
              <w:rPr>
                <w:rFonts w:ascii="宋体" w:hAnsi="宋体" w:eastAsia="宋体" w:cs="宋体"/>
                <w:color w:val="auto"/>
                <w:kern w:val="0"/>
                <w:szCs w:val="21"/>
                <w:highlight w:val="none"/>
                <w:u w:val="single"/>
              </w:rPr>
            </w:pPr>
            <w:r>
              <w:rPr>
                <w:rFonts w:hint="eastAsia" w:ascii="宋体" w:hAnsi="宋体" w:eastAsia="宋体" w:cs="宋体"/>
                <w:bCs/>
                <w:color w:val="auto"/>
                <w:kern w:val="0"/>
                <w:szCs w:val="21"/>
                <w:highlight w:val="none"/>
                <w:u w:val="single"/>
              </w:rPr>
              <w:t xml:space="preserve">      </w:t>
            </w:r>
          </w:p>
        </w:tc>
        <w:tc>
          <w:tcPr>
            <w:tcW w:w="1873"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传真电话：</w:t>
            </w:r>
          </w:p>
        </w:tc>
        <w:tc>
          <w:tcPr>
            <w:tcW w:w="2913" w:type="dxa"/>
            <w:shd w:val="clear" w:color="auto" w:fill="auto"/>
            <w:vAlign w:val="center"/>
          </w:tcPr>
          <w:p>
            <w:pPr>
              <w:adjustRightInd w:val="0"/>
              <w:snapToGrid w:val="0"/>
              <w:spacing w:line="360" w:lineRule="auto"/>
              <w:rPr>
                <w:rFonts w:ascii="宋体" w:hAnsi="宋体" w:eastAsia="宋体" w:cs="宋体"/>
                <w:color w:val="auto"/>
                <w:kern w:val="0"/>
                <w:szCs w:val="21"/>
                <w:highlight w:val="none"/>
                <w:u w:val="single"/>
              </w:rPr>
            </w:pPr>
            <w:r>
              <w:rPr>
                <w:rFonts w:hint="eastAsia" w:ascii="宋体" w:hAnsi="宋体" w:eastAsia="宋体" w:cs="宋体"/>
                <w:bCs/>
                <w:color w:val="auto"/>
                <w:kern w:val="0"/>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69"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p>
        </w:tc>
        <w:tc>
          <w:tcPr>
            <w:tcW w:w="2835" w:type="dxa"/>
            <w:shd w:val="clear" w:color="auto" w:fill="auto"/>
            <w:vAlign w:val="center"/>
          </w:tcPr>
          <w:p>
            <w:pPr>
              <w:adjustRightInd w:val="0"/>
              <w:snapToGrid w:val="0"/>
              <w:spacing w:line="360" w:lineRule="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w:t>
            </w:r>
          </w:p>
        </w:tc>
        <w:tc>
          <w:tcPr>
            <w:tcW w:w="1873"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p>
        </w:tc>
        <w:tc>
          <w:tcPr>
            <w:tcW w:w="2913" w:type="dxa"/>
            <w:shd w:val="clear" w:color="auto" w:fill="auto"/>
            <w:vAlign w:val="center"/>
          </w:tcPr>
          <w:p>
            <w:pPr>
              <w:adjustRightInd w:val="0"/>
              <w:snapToGrid w:val="0"/>
              <w:spacing w:line="360" w:lineRule="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69"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p>
        </w:tc>
        <w:tc>
          <w:tcPr>
            <w:tcW w:w="2835" w:type="dxa"/>
            <w:shd w:val="clear" w:color="auto" w:fill="auto"/>
            <w:vAlign w:val="center"/>
          </w:tcPr>
          <w:p>
            <w:pPr>
              <w:adjustRightInd w:val="0"/>
              <w:snapToGrid w:val="0"/>
              <w:spacing w:line="360" w:lineRule="auto"/>
              <w:rPr>
                <w:rFonts w:ascii="宋体" w:hAnsi="宋体" w:eastAsia="宋体" w:cs="宋体"/>
                <w:color w:val="auto"/>
                <w:kern w:val="0"/>
                <w:szCs w:val="21"/>
                <w:highlight w:val="none"/>
                <w:u w:val="single"/>
              </w:rPr>
            </w:pPr>
            <w:r>
              <w:rPr>
                <w:rFonts w:hint="eastAsia" w:ascii="宋体" w:hAnsi="宋体" w:eastAsia="宋体" w:cs="宋体"/>
                <w:bCs/>
                <w:color w:val="auto"/>
                <w:kern w:val="0"/>
                <w:szCs w:val="21"/>
                <w:highlight w:val="none"/>
                <w:u w:val="single"/>
              </w:rPr>
              <w:t xml:space="preserve">      </w:t>
            </w:r>
          </w:p>
        </w:tc>
        <w:tc>
          <w:tcPr>
            <w:tcW w:w="1873"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p>
        </w:tc>
        <w:tc>
          <w:tcPr>
            <w:tcW w:w="2913" w:type="dxa"/>
            <w:shd w:val="clear" w:color="auto" w:fill="auto"/>
            <w:vAlign w:val="center"/>
          </w:tcPr>
          <w:p>
            <w:pPr>
              <w:adjustRightInd w:val="0"/>
              <w:snapToGrid w:val="0"/>
              <w:spacing w:line="360" w:lineRule="auto"/>
              <w:rPr>
                <w:rFonts w:ascii="宋体" w:hAnsi="宋体" w:eastAsia="宋体" w:cs="宋体"/>
                <w:color w:val="auto"/>
                <w:kern w:val="0"/>
                <w:szCs w:val="21"/>
                <w:highlight w:val="none"/>
                <w:u w:val="single"/>
              </w:rPr>
            </w:pPr>
            <w:r>
              <w:rPr>
                <w:rFonts w:hint="eastAsia" w:ascii="宋体" w:hAnsi="宋体" w:eastAsia="宋体" w:cs="宋体"/>
                <w:bCs/>
                <w:color w:val="auto"/>
                <w:kern w:val="0"/>
                <w:szCs w:val="21"/>
                <w:highlight w:val="none"/>
                <w:u w:val="single"/>
              </w:rPr>
              <w:t xml:space="preserve">      </w:t>
            </w:r>
          </w:p>
        </w:tc>
      </w:tr>
    </w:tbl>
    <w:p>
      <w:pPr>
        <w:adjustRightInd w:val="0"/>
        <w:snapToGrid w:val="0"/>
        <w:spacing w:line="20" w:lineRule="exact"/>
        <w:rPr>
          <w:color w:val="auto"/>
          <w:highlight w:val="none"/>
        </w:rPr>
      </w:pPr>
      <w:r>
        <w:rPr>
          <w:color w:val="auto"/>
          <w:highlight w:val="none"/>
        </w:rPr>
        <w:br w:type="page"/>
      </w:r>
    </w:p>
    <w:p>
      <w:pPr>
        <w:adjustRightInd w:val="0"/>
        <w:snapToGrid w:val="0"/>
        <w:spacing w:line="360" w:lineRule="auto"/>
        <w:jc w:val="center"/>
        <w:outlineLvl w:val="0"/>
        <w:rPr>
          <w:rFonts w:ascii="黑体" w:hAnsi="黑体" w:eastAsia="黑体" w:cs="黑体"/>
          <w:bCs/>
          <w:color w:val="auto"/>
          <w:sz w:val="32"/>
          <w:szCs w:val="32"/>
          <w:highlight w:val="none"/>
        </w:rPr>
      </w:pPr>
      <w:bookmarkStart w:id="8" w:name="_Toc17213"/>
      <w:bookmarkStart w:id="9" w:name="_Toc4234"/>
      <w:bookmarkStart w:id="10" w:name="_Toc32104"/>
      <w:bookmarkStart w:id="11" w:name="_Toc2221"/>
      <w:bookmarkStart w:id="12" w:name="_Toc15779"/>
      <w:bookmarkStart w:id="13" w:name="_Toc23009"/>
      <w:r>
        <w:rPr>
          <w:rFonts w:hint="eastAsia" w:ascii="黑体" w:hAnsi="黑体" w:eastAsia="黑体" w:cs="黑体"/>
          <w:bCs/>
          <w:color w:val="auto"/>
          <w:sz w:val="32"/>
          <w:szCs w:val="32"/>
          <w:highlight w:val="none"/>
        </w:rPr>
        <w:t>第二章  投标须知</w:t>
      </w:r>
      <w:bookmarkEnd w:id="8"/>
      <w:bookmarkEnd w:id="9"/>
      <w:bookmarkEnd w:id="10"/>
      <w:bookmarkEnd w:id="11"/>
      <w:bookmarkEnd w:id="12"/>
      <w:bookmarkEnd w:id="13"/>
    </w:p>
    <w:p>
      <w:pPr>
        <w:adjustRightInd w:val="0"/>
        <w:snapToGrid w:val="0"/>
        <w:spacing w:line="360" w:lineRule="auto"/>
        <w:jc w:val="center"/>
        <w:outlineLvl w:val="1"/>
        <w:rPr>
          <w:rFonts w:ascii="黑体" w:hAnsi="黑体" w:eastAsia="黑体" w:cs="黑体"/>
          <w:bCs/>
          <w:color w:val="auto"/>
          <w:sz w:val="32"/>
          <w:szCs w:val="32"/>
          <w:highlight w:val="none"/>
        </w:rPr>
      </w:pPr>
      <w:bookmarkStart w:id="14" w:name="_Toc3225"/>
      <w:bookmarkStart w:id="15" w:name="_Toc10357"/>
      <w:bookmarkStart w:id="16" w:name="_Toc30690"/>
      <w:bookmarkStart w:id="17" w:name="_Toc25588"/>
      <w:bookmarkStart w:id="18" w:name="_Toc29683"/>
      <w:bookmarkStart w:id="19" w:name="_Toc6351"/>
      <w:r>
        <w:rPr>
          <w:rFonts w:hint="eastAsia" w:ascii="黑体" w:hAnsi="黑体" w:eastAsia="黑体" w:cs="黑体"/>
          <w:bCs/>
          <w:color w:val="auto"/>
          <w:sz w:val="32"/>
          <w:szCs w:val="32"/>
          <w:highlight w:val="none"/>
        </w:rPr>
        <w:t>一、投标须知前附表</w:t>
      </w:r>
      <w:bookmarkEnd w:id="14"/>
      <w:bookmarkEnd w:id="15"/>
      <w:bookmarkEnd w:id="16"/>
      <w:bookmarkEnd w:id="17"/>
      <w:bookmarkEnd w:id="18"/>
      <w:bookmarkEnd w:id="19"/>
    </w:p>
    <w:tbl>
      <w:tblPr>
        <w:tblStyle w:val="41"/>
        <w:tblW w:w="9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036"/>
        <w:gridCol w:w="1485"/>
        <w:gridCol w:w="6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678" w:type="dxa"/>
            <w:shd w:val="clear" w:color="auto" w:fill="auto"/>
            <w:vAlign w:val="center"/>
          </w:tcPr>
          <w:p>
            <w:pPr>
              <w:adjustRightInd w:val="0"/>
              <w:snapToGrid w:val="0"/>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项号</w:t>
            </w:r>
          </w:p>
        </w:tc>
        <w:tc>
          <w:tcPr>
            <w:tcW w:w="1036" w:type="dxa"/>
            <w:shd w:val="clear" w:color="auto" w:fill="auto"/>
            <w:vAlign w:val="center"/>
          </w:tcPr>
          <w:p>
            <w:pPr>
              <w:adjustRightInd w:val="0"/>
              <w:snapToGrid w:val="0"/>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条款号</w:t>
            </w:r>
          </w:p>
        </w:tc>
        <w:tc>
          <w:tcPr>
            <w:tcW w:w="1485" w:type="dxa"/>
            <w:shd w:val="clear" w:color="auto" w:fill="auto"/>
            <w:vAlign w:val="center"/>
          </w:tcPr>
          <w:p>
            <w:pPr>
              <w:adjustRightInd w:val="0"/>
              <w:snapToGrid w:val="0"/>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内  容</w:t>
            </w:r>
          </w:p>
        </w:tc>
        <w:tc>
          <w:tcPr>
            <w:tcW w:w="6785" w:type="dxa"/>
            <w:shd w:val="clear" w:color="auto" w:fill="auto"/>
            <w:vAlign w:val="center"/>
          </w:tcPr>
          <w:p>
            <w:pPr>
              <w:adjustRightInd w:val="0"/>
              <w:snapToGrid w:val="0"/>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标段名称</w:t>
            </w:r>
          </w:p>
        </w:tc>
        <w:tc>
          <w:tcPr>
            <w:tcW w:w="6785"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工程地点</w:t>
            </w:r>
          </w:p>
        </w:tc>
        <w:tc>
          <w:tcPr>
            <w:tcW w:w="6785"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是否场外工程</w:t>
            </w:r>
          </w:p>
        </w:tc>
        <w:tc>
          <w:tcPr>
            <w:tcW w:w="6785" w:type="dxa"/>
            <w:shd w:val="clear" w:color="auto" w:fill="auto"/>
            <w:vAlign w:val="center"/>
          </w:tcPr>
          <w:p>
            <w:pPr>
              <w:adjustRightInd w:val="0"/>
              <w:snapToGrid w:val="0"/>
              <w:spacing w:line="360" w:lineRule="auto"/>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是   □ 否</w:t>
            </w:r>
          </w:p>
          <w:p>
            <w:pPr>
              <w:adjustRightInd w:val="0"/>
              <w:snapToGrid w:val="0"/>
              <w:spacing w:line="360" w:lineRule="auto"/>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行政监督部门</w:t>
            </w:r>
            <w:r>
              <w:rPr>
                <w:rFonts w:hint="eastAsia" w:ascii="宋体" w:hAnsi="宋体" w:eastAsia="宋体" w:cs="宋体"/>
                <w:bCs/>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工程规模</w:t>
            </w:r>
          </w:p>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及特征</w:t>
            </w:r>
          </w:p>
        </w:tc>
        <w:tc>
          <w:tcPr>
            <w:tcW w:w="6785"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招标范围</w:t>
            </w:r>
          </w:p>
        </w:tc>
        <w:tc>
          <w:tcPr>
            <w:tcW w:w="6785"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036"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w:t>
            </w:r>
          </w:p>
        </w:tc>
        <w:tc>
          <w:tcPr>
            <w:tcW w:w="1485" w:type="dxa"/>
            <w:vMerge w:val="restart"/>
            <w:shd w:val="clear" w:color="auto" w:fill="auto"/>
            <w:vAlign w:val="center"/>
          </w:tcPr>
          <w:p>
            <w:pPr>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资金来源</w:t>
            </w:r>
            <w:r>
              <w:rPr>
                <w:rFonts w:hint="eastAsia" w:ascii="宋体" w:hAnsi="宋体" w:eastAsia="宋体" w:cs="宋体"/>
                <w:color w:val="auto"/>
                <w:kern w:val="0"/>
                <w:szCs w:val="21"/>
                <w:highlight w:val="none"/>
                <w:lang w:eastAsia="zh-CN"/>
              </w:rPr>
              <w:t>及支持中小企业发展措施</w:t>
            </w:r>
          </w:p>
        </w:tc>
        <w:tc>
          <w:tcPr>
            <w:tcW w:w="6785" w:type="dxa"/>
            <w:shd w:val="clear" w:color="auto" w:fill="auto"/>
            <w:vAlign w:val="center"/>
          </w:tcPr>
          <w:p>
            <w:pPr>
              <w:adjustRightInd w:val="0"/>
              <w:snapToGrid w:val="0"/>
              <w:spacing w:line="360" w:lineRule="auto"/>
              <w:rPr>
                <w:rFonts w:hint="eastAsia" w:ascii="宋体" w:hAnsi="宋体" w:eastAsia="宋体" w:cs="宋体"/>
                <w:bCs/>
                <w:color w:val="auto"/>
                <w:kern w:val="0"/>
                <w:szCs w:val="21"/>
                <w:highlight w:val="none"/>
                <w:u w:val="none"/>
              </w:rPr>
            </w:pPr>
            <w:r>
              <w:rPr>
                <w:rFonts w:hint="eastAsia" w:ascii="宋体" w:hAnsi="宋体" w:eastAsia="宋体" w:cs="宋体"/>
                <w:bCs/>
                <w:color w:val="auto"/>
                <w:kern w:val="0"/>
                <w:szCs w:val="21"/>
                <w:highlight w:val="none"/>
                <w:u w:val="none"/>
                <w:lang w:eastAsia="zh-CN"/>
              </w:rPr>
              <w:t>资金来源：</w:t>
            </w:r>
            <w:r>
              <w:rPr>
                <w:rFonts w:hint="eastAsia" w:ascii="宋体" w:hAnsi="宋体" w:eastAsia="宋体" w:cs="宋体"/>
                <w:bCs/>
                <w:color w:val="auto"/>
                <w:kern w:val="0"/>
                <w:szCs w:val="21"/>
                <w:highlight w:val="none"/>
                <w:u w:val="none"/>
              </w:rPr>
              <w:t xml:space="preserve"> </w:t>
            </w:r>
            <w:r>
              <w:rPr>
                <w:rFonts w:hint="eastAsia" w:ascii="宋体" w:hAnsi="宋体" w:eastAsia="宋体" w:cs="宋体"/>
                <w:bCs/>
                <w:color w:val="auto"/>
                <w:kern w:val="0"/>
                <w:szCs w:val="21"/>
                <w:highlight w:val="none"/>
                <w:u w:val="none"/>
                <w:lang w:val="en-US" w:eastAsia="zh-CN"/>
              </w:rPr>
              <w:t xml:space="preserve">     </w:t>
            </w:r>
            <w:r>
              <w:rPr>
                <w:rFonts w:hint="eastAsia" w:ascii="宋体" w:hAnsi="宋体" w:eastAsia="宋体" w:cs="宋体"/>
                <w:bCs/>
                <w:color w:val="auto"/>
                <w:kern w:val="0"/>
                <w:szCs w:val="21"/>
                <w:highlight w:val="none"/>
                <w:u w:val="none"/>
              </w:rPr>
              <w:t xml:space="preserve">     </w:t>
            </w:r>
          </w:p>
          <w:p>
            <w:pPr>
              <w:adjustRightInd w:val="0"/>
              <w:snapToGrid w:val="0"/>
              <w:spacing w:line="360" w:lineRule="auto"/>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w:t>
            </w:r>
            <w:r>
              <w:rPr>
                <w:rFonts w:hint="eastAsia" w:ascii="宋体" w:hAnsi="宋体" w:eastAsia="宋体" w:cs="宋体"/>
                <w:color w:val="auto"/>
                <w:kern w:val="0"/>
                <w:szCs w:val="21"/>
                <w:highlight w:val="none"/>
                <w:u w:val="none"/>
                <w:lang w:eastAsia="zh-CN"/>
              </w:rPr>
              <w:t>政府投资</w:t>
            </w:r>
            <w:r>
              <w:rPr>
                <w:rFonts w:hint="eastAsia" w:ascii="宋体" w:hAnsi="宋体" w:eastAsia="宋体" w:cs="宋体"/>
                <w:color w:val="auto"/>
                <w:kern w:val="0"/>
                <w:szCs w:val="21"/>
                <w:highlight w:val="none"/>
                <w:u w:val="none"/>
                <w:lang w:val="en-US" w:eastAsia="zh-CN"/>
              </w:rPr>
              <w:t xml:space="preserve"> 占比</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p>
          <w:p>
            <w:pPr>
              <w:adjustRightInd w:val="0"/>
              <w:snapToGrid w:val="0"/>
              <w:spacing w:line="360" w:lineRule="auto"/>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lang w:eastAsia="zh-CN"/>
              </w:rPr>
              <w:t>□国有企业投资</w:t>
            </w:r>
            <w:r>
              <w:rPr>
                <w:rFonts w:hint="eastAsia" w:ascii="宋体" w:hAnsi="宋体" w:eastAsia="宋体" w:cs="宋体"/>
                <w:color w:val="auto"/>
                <w:kern w:val="0"/>
                <w:szCs w:val="21"/>
                <w:highlight w:val="none"/>
                <w:u w:val="none"/>
                <w:lang w:val="en-US" w:eastAsia="zh-CN"/>
              </w:rPr>
              <w:t xml:space="preserve">  占比</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p>
          <w:p>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□集体资金投资</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u w:val="none"/>
                <w:lang w:val="en-US" w:eastAsia="zh-CN"/>
              </w:rPr>
              <w:t xml:space="preserve"> 占比</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p>
          <w:p>
            <w:pPr>
              <w:adjustRightInd w:val="0"/>
              <w:snapToGrid w:val="0"/>
              <w:spacing w:line="360" w:lineRule="auto"/>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占比</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vMerge w:val="continue"/>
            <w:shd w:val="clear" w:color="auto" w:fill="auto"/>
            <w:vAlign w:val="center"/>
          </w:tcPr>
          <w:p>
            <w:pPr>
              <w:adjustRightInd w:val="0"/>
              <w:snapToGrid w:val="0"/>
              <w:jc w:val="center"/>
              <w:rPr>
                <w:rFonts w:hint="eastAsia" w:ascii="宋体" w:hAnsi="宋体" w:eastAsia="宋体" w:cs="宋体"/>
                <w:color w:val="auto"/>
                <w:kern w:val="0"/>
                <w:szCs w:val="21"/>
                <w:highlight w:val="none"/>
              </w:rPr>
            </w:pPr>
          </w:p>
        </w:tc>
        <w:tc>
          <w:tcPr>
            <w:tcW w:w="1036" w:type="dxa"/>
            <w:vMerge w:val="continue"/>
            <w:shd w:val="clear" w:color="auto" w:fill="auto"/>
            <w:vAlign w:val="center"/>
          </w:tcPr>
          <w:p>
            <w:pPr>
              <w:adjustRightInd w:val="0"/>
              <w:snapToGrid w:val="0"/>
              <w:jc w:val="center"/>
              <w:rPr>
                <w:rFonts w:hint="eastAsia" w:ascii="宋体" w:hAnsi="宋体" w:eastAsia="宋体" w:cs="宋体"/>
                <w:color w:val="auto"/>
                <w:kern w:val="0"/>
                <w:szCs w:val="21"/>
                <w:highlight w:val="none"/>
              </w:rPr>
            </w:pPr>
          </w:p>
        </w:tc>
        <w:tc>
          <w:tcPr>
            <w:tcW w:w="1485" w:type="dxa"/>
            <w:vMerge w:val="continue"/>
            <w:shd w:val="clear" w:color="auto" w:fill="auto"/>
            <w:vAlign w:val="center"/>
          </w:tcPr>
          <w:p>
            <w:pPr>
              <w:adjustRightInd w:val="0"/>
              <w:snapToGrid w:val="0"/>
              <w:jc w:val="center"/>
              <w:rPr>
                <w:rFonts w:hint="eastAsia" w:ascii="宋体" w:hAnsi="宋体" w:eastAsia="宋体" w:cs="宋体"/>
                <w:color w:val="auto"/>
                <w:kern w:val="0"/>
                <w:szCs w:val="21"/>
                <w:highlight w:val="none"/>
              </w:rPr>
            </w:pPr>
          </w:p>
        </w:tc>
        <w:tc>
          <w:tcPr>
            <w:tcW w:w="6785" w:type="dxa"/>
            <w:shd w:val="clear" w:color="auto" w:fill="auto"/>
            <w:vAlign w:val="center"/>
          </w:tcPr>
          <w:p>
            <w:pPr>
              <w:adjustRightInd w:val="0"/>
              <w:snapToGrid w:val="0"/>
              <w:spacing w:line="360" w:lineRule="auto"/>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lang w:val="en-US" w:eastAsia="zh-CN"/>
              </w:rPr>
              <w:t>是否采取下列支持中小企业发展措施：</w:t>
            </w:r>
            <w:r>
              <w:rPr>
                <w:rFonts w:hint="eastAsia" w:ascii="宋体" w:hAnsi="宋体" w:eastAsia="宋体" w:cs="宋体"/>
                <w:color w:val="auto"/>
                <w:kern w:val="0"/>
                <w:szCs w:val="21"/>
                <w:highlight w:val="none"/>
                <w:u w:val="none"/>
              </w:rPr>
              <w:t>□</w:t>
            </w:r>
            <w:r>
              <w:rPr>
                <w:rFonts w:hint="eastAsia" w:ascii="宋体" w:hAnsi="宋体" w:eastAsia="宋体" w:cs="宋体"/>
                <w:color w:val="auto"/>
                <w:kern w:val="0"/>
                <w:szCs w:val="21"/>
                <w:highlight w:val="none"/>
                <w:u w:val="none"/>
                <w:lang w:eastAsia="zh-CN"/>
              </w:rPr>
              <w:t>是</w:t>
            </w: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kern w:val="0"/>
                <w:szCs w:val="21"/>
                <w:highlight w:val="none"/>
                <w:u w:val="none"/>
                <w:lang w:eastAsia="zh-CN"/>
              </w:rPr>
              <w:t>□否</w:t>
            </w:r>
          </w:p>
          <w:p>
            <w:pPr>
              <w:adjustRightInd w:val="0"/>
              <w:snapToGrid w:val="0"/>
              <w:spacing w:line="360" w:lineRule="auto"/>
              <w:ind w:firstLine="0" w:firstLineChars="0"/>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kern w:val="0"/>
                <w:szCs w:val="21"/>
                <w:highlight w:val="none"/>
                <w:u w:val="none"/>
                <w:lang w:val="en-US" w:eastAsia="zh-CN"/>
              </w:rPr>
              <w:t>同等条件下优先选择符合条件的中小企业中标。</w:t>
            </w:r>
          </w:p>
          <w:p>
            <w:pPr>
              <w:adjustRightInd w:val="0"/>
              <w:snapToGrid w:val="0"/>
              <w:spacing w:line="360" w:lineRule="auto"/>
              <w:ind w:firstLine="0" w:firstLineChars="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kern w:val="0"/>
                <w:szCs w:val="21"/>
                <w:highlight w:val="none"/>
                <w:u w:val="none"/>
                <w:lang w:val="en-US" w:eastAsia="zh-CN"/>
              </w:rPr>
              <w:t>投标人为大型企业的，中标后需将合同金额的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%依法分包给符合条件的中小企业。</w:t>
            </w:r>
          </w:p>
          <w:p>
            <w:pPr>
              <w:adjustRightInd w:val="0"/>
              <w:snapToGrid w:val="0"/>
              <w:spacing w:line="360" w:lineRule="auto"/>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w:t>
            </w:r>
            <w:r>
              <w:rPr>
                <w:rFonts w:hint="default" w:ascii="宋体" w:hAnsi="宋体" w:eastAsia="宋体" w:cs="宋体"/>
                <w:color w:val="auto"/>
                <w:kern w:val="0"/>
                <w:szCs w:val="21"/>
                <w:highlight w:val="none"/>
                <w:u w:val="none"/>
                <w:lang w:val="en-US" w:eastAsia="zh-CN"/>
              </w:rPr>
              <w:t>以联合体形式参加本次投标的，</w:t>
            </w:r>
            <w:r>
              <w:rPr>
                <w:rFonts w:hint="eastAsia" w:ascii="宋体" w:hAnsi="宋体" w:eastAsia="宋体" w:cs="宋体"/>
                <w:color w:val="auto"/>
                <w:kern w:val="0"/>
                <w:szCs w:val="21"/>
                <w:highlight w:val="none"/>
                <w:u w:val="none"/>
                <w:lang w:val="en-US" w:eastAsia="zh-CN"/>
              </w:rPr>
              <w:t>联合体中中小企业承担的</w:t>
            </w:r>
            <w:r>
              <w:rPr>
                <w:rFonts w:hint="default" w:ascii="宋体" w:hAnsi="宋体" w:eastAsia="宋体" w:cs="宋体"/>
                <w:color w:val="auto"/>
                <w:kern w:val="0"/>
                <w:szCs w:val="21"/>
                <w:highlight w:val="none"/>
                <w:u w:val="none"/>
                <w:lang w:val="en-US" w:eastAsia="zh-CN"/>
              </w:rPr>
              <w:t>合同份额需达到</w:t>
            </w:r>
            <w:r>
              <w:rPr>
                <w:rFonts w:hint="eastAsia" w:ascii="宋体" w:hAnsi="宋体" w:eastAsia="宋体" w:cs="宋体"/>
                <w:color w:val="auto"/>
                <w:kern w:val="0"/>
                <w:szCs w:val="21"/>
                <w:highlight w:val="none"/>
                <w:u w:val="single"/>
                <w:lang w:val="en-US" w:eastAsia="zh-CN"/>
              </w:rPr>
              <w:t xml:space="preserve">   </w:t>
            </w:r>
            <w:r>
              <w:rPr>
                <w:rFonts w:hint="default" w:ascii="宋体" w:hAnsi="宋体" w:eastAsia="宋体" w:cs="宋体"/>
                <w:color w:val="auto"/>
                <w:kern w:val="0"/>
                <w:szCs w:val="21"/>
                <w:highlight w:val="none"/>
                <w:u w:val="none"/>
                <w:lang w:val="en-US" w:eastAsia="zh-CN"/>
              </w:rPr>
              <w:t>%以上。</w:t>
            </w:r>
          </w:p>
          <w:p>
            <w:pPr>
              <w:adjustRightInd w:val="0"/>
              <w:snapToGrid w:val="0"/>
              <w:spacing w:line="360" w:lineRule="auto"/>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none"/>
              </w:rPr>
              <w:t>□</w:t>
            </w:r>
            <w:r>
              <w:rPr>
                <w:rFonts w:hint="eastAsia" w:ascii="宋体" w:hAnsi="宋体" w:eastAsia="宋体" w:cs="宋体"/>
                <w:color w:val="auto"/>
                <w:kern w:val="0"/>
                <w:szCs w:val="21"/>
                <w:highlight w:val="none"/>
                <w:u w:val="none"/>
                <w:lang w:val="en-US" w:eastAsia="zh-CN"/>
              </w:rPr>
              <w:t>其他措施</w:t>
            </w:r>
            <w:r>
              <w:rPr>
                <w:rFonts w:hint="eastAsia" w:ascii="宋体" w:hAnsi="宋体" w:eastAsia="宋体" w:cs="宋体"/>
                <w:color w:val="auto"/>
                <w:kern w:val="0"/>
                <w:szCs w:val="21"/>
                <w:highlight w:val="none"/>
                <w:u w:val="single"/>
                <w:lang w:val="en-US" w:eastAsia="zh-CN"/>
              </w:rPr>
              <w:t xml:space="preserve">            </w:t>
            </w:r>
          </w:p>
          <w:p>
            <w:pPr>
              <w:adjustRightInd w:val="0"/>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u w:val="none"/>
                <w:lang w:eastAsia="zh-CN"/>
              </w:rPr>
              <w:t>注：根据《深圳市住房和建设局关于在政府投资建设工程招标投标中落实支持中小企业发展政策的通知》（深建市场〔2024〕3号）的规定，依法必须进行招标且适宜由中小企业承接的</w:t>
            </w:r>
            <w:r>
              <w:rPr>
                <w:rFonts w:hint="eastAsia" w:ascii="宋体" w:hAnsi="宋体" w:eastAsia="宋体" w:cs="宋体"/>
                <w:b/>
                <w:bCs/>
                <w:color w:val="auto"/>
                <w:kern w:val="0"/>
                <w:szCs w:val="21"/>
                <w:highlight w:val="none"/>
                <w:u w:val="none"/>
                <w:lang w:eastAsia="zh-CN"/>
              </w:rPr>
              <w:t>政府投资建设工程项目</w:t>
            </w:r>
            <w:r>
              <w:rPr>
                <w:rFonts w:hint="eastAsia" w:ascii="宋体" w:hAnsi="宋体" w:eastAsia="宋体" w:cs="宋体"/>
                <w:color w:val="auto"/>
                <w:kern w:val="0"/>
                <w:szCs w:val="21"/>
                <w:highlight w:val="none"/>
                <w:u w:val="none"/>
                <w:lang w:eastAsia="zh-CN"/>
              </w:rPr>
              <w:t>，建设单位可以采取相应措施促进中小企业发展，并确保中小企业承接（含分包）部分的预算金额达到项目预算总额的40%</w:t>
            </w:r>
            <w:r>
              <w:rPr>
                <w:rFonts w:hint="eastAsia" w:ascii="宋体" w:hAnsi="宋体" w:eastAsia="宋体" w:cs="宋体"/>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采用的币种</w:t>
            </w:r>
          </w:p>
        </w:tc>
        <w:tc>
          <w:tcPr>
            <w:tcW w:w="6785"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结合项目选择币种</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工程质量</w:t>
            </w:r>
          </w:p>
        </w:tc>
        <w:tc>
          <w:tcPr>
            <w:tcW w:w="6785"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工期要求</w:t>
            </w:r>
          </w:p>
        </w:tc>
        <w:tc>
          <w:tcPr>
            <w:tcW w:w="6785"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678"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036"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w:t>
            </w:r>
          </w:p>
        </w:tc>
        <w:tc>
          <w:tcPr>
            <w:tcW w:w="1485"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投标人要求</w:t>
            </w:r>
          </w:p>
        </w:tc>
        <w:tc>
          <w:tcPr>
            <w:tcW w:w="6785"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资质等级:</w:t>
            </w:r>
            <w:r>
              <w:rPr>
                <w:rFonts w:hint="eastAsia" w:ascii="宋体" w:hAnsi="宋体" w:eastAsia="宋体" w:cs="宋体"/>
                <w:bCs/>
                <w:color w:val="auto"/>
                <w:kern w:val="0"/>
                <w:szCs w:val="21"/>
                <w:highlight w:val="none"/>
                <w:u w:val="single"/>
              </w:rPr>
              <w:t xml:space="preserve">      </w:t>
            </w:r>
          </w:p>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联合体投标：□接受    □不接受</w:t>
            </w:r>
          </w:p>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r>
              <w:rPr>
                <w:rFonts w:hint="eastAsia" w:ascii="宋体" w:hAnsi="宋体" w:eastAsia="宋体" w:cs="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78" w:type="dxa"/>
            <w:vMerge w:val="continue"/>
            <w:shd w:val="clear" w:color="auto" w:fill="auto"/>
            <w:vAlign w:val="center"/>
          </w:tcPr>
          <w:p>
            <w:pPr>
              <w:adjustRightInd w:val="0"/>
              <w:snapToGrid w:val="0"/>
              <w:jc w:val="center"/>
              <w:rPr>
                <w:rFonts w:hint="eastAsia" w:ascii="宋体" w:hAnsi="宋体" w:eastAsia="宋体" w:cs="宋体"/>
                <w:color w:val="auto"/>
                <w:kern w:val="0"/>
                <w:szCs w:val="21"/>
                <w:highlight w:val="none"/>
              </w:rPr>
            </w:pPr>
          </w:p>
        </w:tc>
        <w:tc>
          <w:tcPr>
            <w:tcW w:w="1036" w:type="dxa"/>
            <w:vMerge w:val="continue"/>
            <w:shd w:val="clear" w:color="auto" w:fill="auto"/>
            <w:vAlign w:val="center"/>
          </w:tcPr>
          <w:p>
            <w:pPr>
              <w:adjustRightInd w:val="0"/>
              <w:snapToGrid w:val="0"/>
              <w:jc w:val="center"/>
              <w:rPr>
                <w:rFonts w:hint="eastAsia" w:ascii="宋体" w:hAnsi="宋体" w:eastAsia="宋体" w:cs="宋体"/>
                <w:color w:val="auto"/>
                <w:kern w:val="0"/>
                <w:szCs w:val="21"/>
                <w:highlight w:val="none"/>
              </w:rPr>
            </w:pPr>
          </w:p>
        </w:tc>
        <w:tc>
          <w:tcPr>
            <w:tcW w:w="1485" w:type="dxa"/>
            <w:vMerge w:val="continue"/>
            <w:shd w:val="clear" w:color="auto" w:fill="auto"/>
            <w:vAlign w:val="center"/>
          </w:tcPr>
          <w:p>
            <w:pPr>
              <w:adjustRightInd w:val="0"/>
              <w:snapToGrid w:val="0"/>
              <w:jc w:val="center"/>
              <w:rPr>
                <w:rFonts w:hint="eastAsia" w:ascii="宋体" w:hAnsi="宋体" w:eastAsia="宋体" w:cs="宋体"/>
                <w:color w:val="auto"/>
                <w:kern w:val="0"/>
                <w:szCs w:val="21"/>
                <w:highlight w:val="none"/>
              </w:rPr>
            </w:pPr>
          </w:p>
        </w:tc>
        <w:tc>
          <w:tcPr>
            <w:tcW w:w="6785" w:type="dxa"/>
            <w:shd w:val="clear" w:color="auto" w:fill="auto"/>
            <w:vAlign w:val="center"/>
          </w:tcPr>
          <w:p>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利害关系单位投标：</w:t>
            </w:r>
            <w:r>
              <w:rPr>
                <w:rFonts w:hint="eastAsia" w:ascii="宋体" w:hAnsi="宋体" w:eastAsia="宋体" w:cs="宋体"/>
                <w:color w:val="auto"/>
                <w:kern w:val="0"/>
                <w:szCs w:val="21"/>
                <w:highlight w:val="none"/>
              </w:rPr>
              <w:t>□接受    □不接受</w:t>
            </w:r>
          </w:p>
          <w:p>
            <w:pPr>
              <w:adjustRightInd w:val="0"/>
              <w:snapToGrid w:val="0"/>
              <w:spacing w:line="360" w:lineRule="auto"/>
              <w:rPr>
                <w:rFonts w:hint="default" w:ascii="宋体" w:hAnsi="宋体" w:eastAsia="宋体" w:cs="宋体"/>
                <w:color w:val="auto"/>
                <w:kern w:val="0"/>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招标人可接受与其存在利害关系单位的投标，但在评标委员会评审合格投标人中，按照投标报价由低往高排序，该利害关系单位的排位未在前1/2（含与其中投标报价差价不超过1%的投标人）人数时，不得确定其为中标人</w:t>
            </w:r>
            <w:r>
              <w:rPr>
                <w:rFonts w:hint="eastAsia" w:ascii="宋体" w:hAnsi="宋体" w:eastAsia="宋体" w:cs="宋体"/>
                <w:b w:val="0"/>
                <w:bCs w:val="0"/>
                <w:color w:val="auto"/>
                <w:kern w:val="0"/>
                <w:sz w:val="21"/>
                <w:szCs w:val="21"/>
                <w:highlight w:val="none"/>
                <w:vertAlign w:val="superscript"/>
                <w:lang w:val="en-US" w:eastAsia="zh-CN"/>
              </w:rPr>
              <w:t>[</w:t>
            </w:r>
            <w:r>
              <w:rPr>
                <w:rStyle w:val="49"/>
                <w:rFonts w:hint="eastAsia" w:ascii="宋体" w:hAnsi="宋体" w:eastAsia="宋体" w:cs="宋体"/>
                <w:b w:val="0"/>
                <w:bCs w:val="0"/>
                <w:color w:val="auto"/>
                <w:kern w:val="0"/>
                <w:sz w:val="21"/>
                <w:szCs w:val="21"/>
                <w:highlight w:val="none"/>
                <w:lang w:val="en-US" w:eastAsia="zh-CN"/>
              </w:rPr>
              <w:footnoteReference w:id="0"/>
            </w:r>
            <w:r>
              <w:rPr>
                <w:rFonts w:hint="eastAsia" w:ascii="宋体" w:hAnsi="宋体" w:eastAsia="宋体" w:cs="宋体"/>
                <w:b w:val="0"/>
                <w:bCs w:val="0"/>
                <w:color w:val="auto"/>
                <w:kern w:val="0"/>
                <w:sz w:val="21"/>
                <w:szCs w:val="21"/>
                <w:highlight w:val="none"/>
                <w:vertAlign w:val="superscript"/>
                <w:lang w:val="en-US" w:eastAsia="zh-CN"/>
              </w:rPr>
              <w:t>]</w:t>
            </w:r>
            <w:r>
              <w:rPr>
                <w:rFonts w:hint="default" w:ascii="宋体" w:hAnsi="宋体" w:eastAsia="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投标人业绩</w:t>
            </w:r>
          </w:p>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要求</w:t>
            </w:r>
          </w:p>
        </w:tc>
        <w:tc>
          <w:tcPr>
            <w:tcW w:w="6785" w:type="dxa"/>
            <w:shd w:val="clear" w:color="auto" w:fill="auto"/>
            <w:vAlign w:val="center"/>
          </w:tcPr>
          <w:p>
            <w:pPr>
              <w:adjustRightInd w:val="0"/>
              <w:snapToGrid w:val="0"/>
              <w:spacing w:line="360" w:lineRule="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8.1</w:t>
            </w:r>
          </w:p>
        </w:tc>
        <w:tc>
          <w:tcPr>
            <w:tcW w:w="1485" w:type="dxa"/>
            <w:shd w:val="clear" w:color="auto" w:fill="auto"/>
            <w:vAlign w:val="center"/>
          </w:tcPr>
          <w:p>
            <w:pPr>
              <w:adjustRightInd w:val="0"/>
              <w:snapToGrid w:val="0"/>
              <w:ind w:left="-143" w:leftChars="-68" w:right="-126" w:rightChars="-6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投标人项目经理</w:t>
            </w:r>
          </w:p>
          <w:p>
            <w:pPr>
              <w:adjustRightInd w:val="0"/>
              <w:snapToGrid w:val="0"/>
              <w:ind w:left="-143" w:leftChars="-68" w:right="-126" w:rightChars="-6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（建造师）要求</w:t>
            </w:r>
          </w:p>
        </w:tc>
        <w:tc>
          <w:tcPr>
            <w:tcW w:w="6785" w:type="dxa"/>
            <w:shd w:val="clear" w:color="auto" w:fill="auto"/>
            <w:vAlign w:val="center"/>
          </w:tcPr>
          <w:p>
            <w:pPr>
              <w:topLinePunct/>
              <w:adjustRightInd w:val="0"/>
              <w:snapToGrid w:val="0"/>
              <w:spacing w:line="360" w:lineRule="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项目经理：</w:t>
            </w:r>
            <w:r>
              <w:rPr>
                <w:rFonts w:hint="eastAsia" w:ascii="宋体" w:hAnsi="宋体" w:eastAsia="宋体" w:cs="宋体"/>
                <w:color w:val="auto"/>
                <w:kern w:val="0"/>
                <w:szCs w:val="21"/>
                <w:highlight w:val="none"/>
                <w:u w:val="single"/>
              </w:rPr>
              <w:t xml:space="preserve">      </w:t>
            </w:r>
          </w:p>
          <w:p>
            <w:pPr>
              <w:topLinePunct/>
              <w:adjustRightInd w:val="0"/>
              <w:snapToGrid w:val="0"/>
              <w:spacing w:line="360" w:lineRule="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其他：</w:t>
            </w:r>
            <w:r>
              <w:rPr>
                <w:rFonts w:hint="eastAsia" w:ascii="宋体" w:hAnsi="宋体" w:eastAsia="宋体" w:cs="宋体"/>
                <w:color w:val="auto"/>
                <w:kern w:val="0"/>
                <w:szCs w:val="21"/>
                <w:highlight w:val="none"/>
                <w:u w:val="single"/>
              </w:rPr>
              <w:t xml:space="preserve">      </w:t>
            </w:r>
          </w:p>
          <w:p>
            <w:pPr>
              <w:topLinePunct/>
              <w:adjustRightInd w:val="0"/>
              <w:snapToGrid w:val="0"/>
              <w:spacing w:line="360" w:lineRule="auto"/>
              <w:rPr>
                <w:rFonts w:hint="eastAsia" w:ascii="宋体" w:hAnsi="宋体" w:eastAsia="宋体" w:cs="宋体"/>
                <w:strike/>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是否将项目经理的资历、能力、信誉作为重要择优因素：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是</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否</w:t>
            </w:r>
          </w:p>
          <w:p>
            <w:pPr>
              <w:topLinePunct/>
              <w:adjustRightInd w:val="0"/>
              <w:snapToGrid w:val="0"/>
              <w:spacing w:line="360" w:lineRule="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注：1.招标人在任何一个环节（包括过多投标人淘汰、评标、定标等），将</w:t>
            </w:r>
            <w:r>
              <w:rPr>
                <w:rFonts w:hint="eastAsia" w:ascii="宋体" w:hAnsi="宋体" w:eastAsia="宋体" w:cs="宋体"/>
                <w:color w:val="auto"/>
                <w:kern w:val="0"/>
                <w:szCs w:val="21"/>
                <w:highlight w:val="none"/>
                <w:u w:val="single"/>
                <w:lang w:val="en-US" w:eastAsia="zh-CN"/>
              </w:rPr>
              <w:t>项目经理资历、能力、信誉作为择优因素的，不能勾选否。</w:t>
            </w:r>
          </w:p>
          <w:p>
            <w:pPr>
              <w:topLinePunct/>
              <w:adjustRightInd w:val="0"/>
              <w:snapToGrid w:val="0"/>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2.招标人应督促投标人严格履行投标承诺，在招标文件（含合同）中明确投标人未履行投标承诺的违约责任</w:t>
            </w:r>
            <w:r>
              <w:rPr>
                <w:rStyle w:val="49"/>
                <w:rFonts w:hint="eastAsia" w:ascii="宋体" w:hAnsi="宋体" w:eastAsia="宋体" w:cs="宋体"/>
                <w:b w:val="0"/>
                <w:bCs w:val="0"/>
                <w:color w:val="auto"/>
                <w:kern w:val="0"/>
                <w:sz w:val="21"/>
                <w:szCs w:val="21"/>
                <w:highlight w:val="none"/>
                <w:lang w:val="en-US" w:eastAsia="zh-CN"/>
              </w:rPr>
              <w:t>[</w:t>
            </w:r>
            <w:r>
              <w:rPr>
                <w:rStyle w:val="49"/>
                <w:rFonts w:hint="eastAsia" w:ascii="宋体" w:hAnsi="宋体" w:eastAsia="宋体" w:cs="宋体"/>
                <w:b w:val="0"/>
                <w:bCs w:val="0"/>
                <w:color w:val="auto"/>
                <w:kern w:val="0"/>
                <w:sz w:val="21"/>
                <w:szCs w:val="21"/>
                <w:highlight w:val="none"/>
                <w:lang w:val="en-US" w:eastAsia="zh-CN"/>
              </w:rPr>
              <w:footnoteReference w:id="1"/>
            </w:r>
            <w:r>
              <w:rPr>
                <w:rStyle w:val="49"/>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color w:val="auto"/>
                <w:szCs w:val="21"/>
                <w:highlight w:val="none"/>
                <w:u w:val="single"/>
                <w:lang w:val="en-US" w:eastAsia="zh-CN"/>
              </w:rPr>
              <w:t>：</w:t>
            </w:r>
          </w:p>
          <w:p>
            <w:pPr>
              <w:topLinePunct/>
              <w:adjustRightInd w:val="0"/>
              <w:snapToGrid w:val="0"/>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（1）</w:t>
            </w:r>
            <w:r>
              <w:rPr>
                <w:rFonts w:hint="default" w:ascii="宋体" w:hAnsi="宋体" w:eastAsia="宋体" w:cs="宋体"/>
                <w:color w:val="auto"/>
                <w:szCs w:val="21"/>
                <w:highlight w:val="none"/>
                <w:u w:val="single"/>
                <w:lang w:val="en-US" w:eastAsia="zh-CN"/>
              </w:rPr>
              <w:t>在取得施工许可或者相关主管部门批准开工（含开工备案）手续前，中标人确认项目经理无法到岗的，取消其中标资格并解除合同</w:t>
            </w:r>
            <w:r>
              <w:rPr>
                <w:rFonts w:hint="eastAsia" w:ascii="宋体" w:hAnsi="宋体" w:eastAsia="宋体" w:cs="宋体"/>
                <w:color w:val="auto"/>
                <w:szCs w:val="21"/>
                <w:highlight w:val="none"/>
                <w:u w:val="single"/>
                <w:lang w:val="en-US" w:eastAsia="zh-CN"/>
              </w:rPr>
              <w:t>。</w:t>
            </w:r>
          </w:p>
          <w:p>
            <w:pPr>
              <w:topLinePunct/>
              <w:adjustRightInd w:val="0"/>
              <w:snapToGrid w:val="0"/>
              <w:spacing w:line="360" w:lineRule="auto"/>
              <w:rPr>
                <w:rFonts w:hint="eastAsia" w:ascii="宋体" w:hAnsi="宋体" w:eastAsia="宋体" w:cs="宋体"/>
                <w:strike/>
                <w:color w:val="auto"/>
                <w:kern w:val="0"/>
                <w:szCs w:val="21"/>
                <w:highlight w:val="none"/>
                <w:lang w:val="en-US" w:eastAsia="zh-CN"/>
              </w:rPr>
            </w:pPr>
            <w:r>
              <w:rPr>
                <w:rFonts w:hint="eastAsia" w:ascii="宋体" w:hAnsi="宋体" w:eastAsia="宋体" w:cs="宋体"/>
                <w:color w:val="auto"/>
                <w:szCs w:val="21"/>
                <w:highlight w:val="none"/>
                <w:u w:val="single"/>
                <w:lang w:val="en-US" w:eastAsia="zh-CN"/>
              </w:rPr>
              <w:t>（2）取得上述</w:t>
            </w:r>
            <w:r>
              <w:rPr>
                <w:rFonts w:hint="default" w:ascii="宋体" w:hAnsi="宋体" w:eastAsia="宋体" w:cs="宋体"/>
                <w:color w:val="auto"/>
                <w:szCs w:val="21"/>
                <w:highlight w:val="none"/>
                <w:u w:val="single"/>
                <w:lang w:val="en-US" w:eastAsia="zh-CN"/>
              </w:rPr>
              <w:t>施工许可</w:t>
            </w:r>
            <w:r>
              <w:rPr>
                <w:rFonts w:hint="eastAsia" w:ascii="宋体" w:hAnsi="宋体" w:eastAsia="宋体" w:cs="宋体"/>
                <w:color w:val="auto"/>
                <w:szCs w:val="21"/>
                <w:highlight w:val="none"/>
                <w:u w:val="single"/>
                <w:lang w:val="en-US" w:eastAsia="zh-CN"/>
              </w:rPr>
              <w:t>或者开工手续后更换项目经理或管理团队成员的，约定处罚条款。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资格审查方式</w:t>
            </w:r>
          </w:p>
        </w:tc>
        <w:tc>
          <w:tcPr>
            <w:tcW w:w="6785" w:type="dxa"/>
            <w:shd w:val="clear" w:color="auto" w:fill="auto"/>
            <w:vAlign w:val="center"/>
          </w:tcPr>
          <w:p>
            <w:pPr>
              <w:adjustRightInd w:val="0"/>
              <w:snapToGrid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工程量的确定方法</w:t>
            </w:r>
          </w:p>
        </w:tc>
        <w:tc>
          <w:tcPr>
            <w:tcW w:w="6785" w:type="dxa"/>
            <w:shd w:val="clear" w:color="auto" w:fill="auto"/>
            <w:vAlign w:val="center"/>
          </w:tcPr>
          <w:p>
            <w:pPr>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□《建设工程工程量清单计价规范》（GB50500-2013）</w:t>
            </w:r>
          </w:p>
          <w:p>
            <w:pPr>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r>
              <w:rPr>
                <w:rFonts w:hint="eastAsia" w:ascii="宋体" w:hAnsi="宋体" w:eastAsia="宋体" w:cs="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工程计价方法</w:t>
            </w:r>
          </w:p>
        </w:tc>
        <w:tc>
          <w:tcPr>
            <w:tcW w:w="6785" w:type="dxa"/>
            <w:shd w:val="clear" w:color="auto" w:fill="auto"/>
            <w:vAlign w:val="center"/>
          </w:tcPr>
          <w:p>
            <w:pPr>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□综合单价法</w:t>
            </w:r>
          </w:p>
          <w:p>
            <w:pPr>
              <w:adjustRightInd w:val="0"/>
              <w:snapToGrid w:val="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总价包干</w:t>
            </w:r>
          </w:p>
          <w:p>
            <w:pPr>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r>
              <w:rPr>
                <w:rFonts w:hint="eastAsia" w:ascii="宋体" w:hAnsi="宋体" w:eastAsia="宋体" w:cs="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投标报价要求</w:t>
            </w:r>
          </w:p>
        </w:tc>
        <w:tc>
          <w:tcPr>
            <w:tcW w:w="6785"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投标报价上限为：</w:t>
            </w:r>
          </w:p>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  □公示招标控制价净下浮</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color w:val="auto"/>
                <w:kern w:val="0"/>
                <w:szCs w:val="21"/>
                <w:highlight w:val="none"/>
              </w:rPr>
              <w:t>%</w:t>
            </w:r>
          </w:p>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注：BIM应用费用在工程建设其他费中单独计列</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投标人在报价时应充分考虑实施BIM所需的</w:t>
            </w:r>
            <w:r>
              <w:rPr>
                <w:rFonts w:ascii="宋体" w:hAnsi="宋体" w:eastAsia="宋体" w:cs="宋体"/>
                <w:color w:val="auto"/>
                <w:kern w:val="0"/>
                <w:szCs w:val="21"/>
                <w:highlight w:val="none"/>
              </w:rPr>
              <w:t>软件、硬件、人员</w:t>
            </w:r>
            <w:r>
              <w:rPr>
                <w:rFonts w:hint="eastAsia" w:ascii="宋体" w:hAnsi="宋体" w:eastAsia="宋体" w:cs="宋体"/>
                <w:color w:val="auto"/>
                <w:kern w:val="0"/>
                <w:szCs w:val="21"/>
                <w:highlight w:val="none"/>
              </w:rPr>
              <w:t>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78"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036"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485"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投标担保</w:t>
            </w:r>
          </w:p>
        </w:tc>
        <w:tc>
          <w:tcPr>
            <w:tcW w:w="6785" w:type="dxa"/>
            <w:shd w:val="clear" w:color="auto" w:fill="auto"/>
            <w:vAlign w:val="center"/>
          </w:tcPr>
          <w:p>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投标保证金额:</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color w:val="auto"/>
                <w:kern w:val="0"/>
                <w:szCs w:val="21"/>
                <w:highlight w:val="none"/>
              </w:rPr>
              <w:t>万元</w:t>
            </w:r>
          </w:p>
          <w:p>
            <w:pPr>
              <w:adjustRightInd w:val="0"/>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无需提供投标担保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78"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036"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85"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6785"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是否推行差异化缴纳投标保证金：</w:t>
            </w:r>
            <w:r>
              <w:rPr>
                <w:rFonts w:hint="eastAsia" w:ascii="宋体" w:hAnsi="宋体" w:eastAsia="宋体" w:cs="宋体"/>
                <w:color w:val="auto"/>
                <w:kern w:val="0"/>
                <w:szCs w:val="21"/>
                <w:highlight w:val="none"/>
              </w:rPr>
              <w:t>□是    □否</w:t>
            </w:r>
          </w:p>
          <w:p>
            <w:pPr>
              <w:adjustRightInd w:val="0"/>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推行差异化缴纳投标保证金的具体措施</w:t>
            </w:r>
            <w:r>
              <w:rPr>
                <w:rStyle w:val="49"/>
                <w:rFonts w:hint="eastAsia" w:ascii="宋体" w:hAnsi="宋体" w:eastAsia="宋体" w:cs="宋体"/>
                <w:color w:val="auto"/>
                <w:kern w:val="0"/>
                <w:szCs w:val="21"/>
                <w:highlight w:val="none"/>
                <w:lang w:val="en-US" w:eastAsia="zh-CN"/>
              </w:rPr>
              <w:t>[</w:t>
            </w:r>
            <w:r>
              <w:rPr>
                <w:rStyle w:val="49"/>
                <w:rFonts w:hint="eastAsia" w:ascii="宋体" w:hAnsi="宋体" w:eastAsia="宋体" w:cs="宋体"/>
                <w:color w:val="auto"/>
                <w:kern w:val="0"/>
                <w:szCs w:val="21"/>
                <w:highlight w:val="none"/>
                <w:lang w:val="en-US" w:eastAsia="zh-CN"/>
              </w:rPr>
              <w:footnoteReference w:id="2"/>
            </w:r>
            <w:r>
              <w:rPr>
                <w:rStyle w:val="49"/>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□投标截止日前，投标人为无失信记录中小微企业，采用投标保证金承诺函替代投标保证金。</w:t>
            </w:r>
          </w:p>
          <w:p>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日前，投标人在深圳市建筑市场主体信用管理系统中信用等级为A时，采用投标保证金承诺函替代投标保证金；信用等级为B+时，减半缴纳投标保证金；采用联合体投标的，按联合体牵头单位在深圳市建筑市场主体信用管理系统中信用等级确定相应减免标准。</w:t>
            </w:r>
          </w:p>
          <w:p>
            <w:pPr>
              <w:adjustRightInd w:val="0"/>
              <w:snapToGrid w:val="0"/>
              <w:spacing w:line="360" w:lineRule="auto"/>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其他措施</w:t>
            </w:r>
            <w:r>
              <w:rPr>
                <w:rFonts w:hint="eastAsia" w:ascii="宋体" w:hAnsi="宋体" w:eastAsia="宋体" w:cs="宋体"/>
                <w:color w:val="auto"/>
                <w:kern w:val="0"/>
                <w:szCs w:val="21"/>
                <w:highlight w:val="none"/>
                <w:u w:val="single"/>
                <w:lang w:val="en-US" w:eastAsia="zh-CN"/>
              </w:rPr>
              <w:t xml:space="preserve">          </w:t>
            </w:r>
          </w:p>
          <w:p>
            <w:pPr>
              <w:adjustRightInd w:val="0"/>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注：</w:t>
            </w:r>
            <w:r>
              <w:rPr>
                <w:rFonts w:hint="eastAsia" w:ascii="宋体" w:hAnsi="宋体" w:eastAsia="宋体" w:cs="宋体"/>
                <w:color w:val="auto"/>
                <w:kern w:val="0"/>
                <w:szCs w:val="21"/>
                <w:highlight w:val="none"/>
                <w:lang w:val="en-US" w:eastAsia="zh-CN"/>
              </w:rPr>
              <w:t>投标人采用投标保证金承诺函替代投标保证金的，承诺函应包括企业规模、信用状况等内容，并对真实性负责。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036"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85"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6785"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担保形式：</w:t>
            </w:r>
          </w:p>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1.银行保函（电子/纸质），由投标人基本账户开户银行所在网点或其上级银行机构出具</w:t>
            </w:r>
          </w:p>
          <w:p>
            <w:pPr>
              <w:adjustRightInd w:val="0"/>
              <w:snapToGrid w:val="0"/>
              <w:spacing w:line="360" w:lineRule="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2.保证金（现金/支票），从投标人基本账户汇出</w:t>
            </w:r>
            <w:r>
              <w:rPr>
                <w:rFonts w:hint="eastAsia" w:ascii="宋体" w:hAnsi="宋体" w:eastAsia="宋体" w:cs="宋体"/>
                <w:color w:val="auto"/>
                <w:kern w:val="0"/>
                <w:szCs w:val="21"/>
                <w:highlight w:val="none"/>
                <w:u w:val="single"/>
              </w:rPr>
              <w:t xml:space="preserve">      </w:t>
            </w:r>
          </w:p>
          <w:p>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3.保证保险（电子/纸质），保费通过投标人基本账户支付</w:t>
            </w:r>
          </w:p>
          <w:p>
            <w:pPr>
              <w:adjustRightInd w:val="0"/>
              <w:snapToGrid w:val="0"/>
              <w:spacing w:line="360" w:lineRule="auto"/>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lang w:val="en-US" w:eastAsia="zh-CN"/>
              </w:rPr>
              <w:t>4.其他</w:t>
            </w:r>
            <w:r>
              <w:rPr>
                <w:rFonts w:hint="eastAsia" w:ascii="宋体" w:hAnsi="宋体" w:eastAsia="宋体" w:cs="宋体"/>
                <w:color w:val="auto"/>
                <w:kern w:val="0"/>
                <w:szCs w:val="21"/>
                <w:highlight w:val="none"/>
                <w:u w:val="single"/>
                <w:lang w:val="en-US" w:eastAsia="zh-CN"/>
              </w:rPr>
              <w:t xml:space="preserve">                 </w:t>
            </w:r>
          </w:p>
          <w:p>
            <w:pPr>
              <w:adjustRightInd w:val="0"/>
              <w:snapToGrid w:val="0"/>
              <w:spacing w:line="360" w:lineRule="auto"/>
              <w:rPr>
                <w:rFonts w:hint="eastAsia" w:ascii="宋体" w:hAnsi="宋体" w:eastAsia="宋体" w:cs="宋体"/>
                <w:strike w:val="0"/>
                <w:color w:val="auto"/>
                <w:kern w:val="0"/>
                <w:szCs w:val="21"/>
                <w:highlight w:val="none"/>
                <w:lang w:eastAsia="zh-CN"/>
              </w:rPr>
            </w:pPr>
            <w:r>
              <w:rPr>
                <w:rFonts w:hint="eastAsia" w:ascii="宋体" w:hAnsi="宋体" w:eastAsia="宋体" w:cs="宋体"/>
                <w:color w:val="auto"/>
                <w:kern w:val="0"/>
                <w:szCs w:val="21"/>
                <w:highlight w:val="none"/>
                <w:lang w:val="en-US" w:eastAsia="zh-CN"/>
              </w:rPr>
              <w:t>注：1.</w:t>
            </w:r>
            <w:r>
              <w:rPr>
                <w:rFonts w:hint="eastAsia" w:ascii="宋体" w:hAnsi="宋体" w:eastAsia="宋体" w:cs="宋体"/>
                <w:strike w:val="0"/>
                <w:color w:val="auto"/>
                <w:kern w:val="0"/>
                <w:szCs w:val="21"/>
                <w:highlight w:val="none"/>
                <w:lang w:val="en-US" w:eastAsia="zh-CN"/>
              </w:rPr>
              <w:t>招标人可自主选择是否允许其他方式，如担保公司保函等，采用其他方式的应要求</w:t>
            </w:r>
            <w:r>
              <w:rPr>
                <w:rFonts w:hint="eastAsia" w:ascii="宋体" w:hAnsi="宋体" w:eastAsia="宋体" w:cs="宋体"/>
                <w:strike w:val="0"/>
                <w:color w:val="auto"/>
                <w:kern w:val="0"/>
                <w:szCs w:val="21"/>
                <w:highlight w:val="none"/>
              </w:rPr>
              <w:t>保费通过投标人基本账户支付</w:t>
            </w:r>
            <w:r>
              <w:rPr>
                <w:rFonts w:hint="eastAsia" w:ascii="宋体" w:hAnsi="宋体" w:eastAsia="宋体" w:cs="宋体"/>
                <w:strike w:val="0"/>
                <w:color w:val="auto"/>
                <w:kern w:val="0"/>
                <w:szCs w:val="21"/>
                <w:highlight w:val="none"/>
                <w:lang w:eastAsia="zh-CN"/>
              </w:rPr>
              <w:t>。</w:t>
            </w:r>
          </w:p>
          <w:p>
            <w:pPr>
              <w:adjustRightInd w:val="0"/>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2.鼓励投标人使用电子保函、保险。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18</w:t>
            </w:r>
          </w:p>
        </w:tc>
        <w:tc>
          <w:tcPr>
            <w:tcW w:w="1036" w:type="dxa"/>
            <w:shd w:val="clear" w:color="auto" w:fill="auto"/>
            <w:vAlign w:val="center"/>
          </w:tcPr>
          <w:p>
            <w:pPr>
              <w:adjustRightInd w:val="0"/>
              <w:snapToGrid w:val="0"/>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18</w:t>
            </w:r>
          </w:p>
        </w:tc>
        <w:tc>
          <w:tcPr>
            <w:tcW w:w="1485" w:type="dxa"/>
            <w:shd w:val="clear" w:color="auto" w:fill="auto"/>
            <w:vAlign w:val="center"/>
          </w:tcPr>
          <w:p>
            <w:pPr>
              <w:adjustRightInd w:val="0"/>
              <w:snapToGrid w:val="0"/>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投标文件组成</w:t>
            </w:r>
          </w:p>
        </w:tc>
        <w:tc>
          <w:tcPr>
            <w:tcW w:w="6785"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电子投标文件组成：资格审查文件标书1份</w:t>
            </w:r>
          </w:p>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□资信标或资信内容1份</w:t>
            </w:r>
          </w:p>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□商务标部分标书1份</w:t>
            </w:r>
          </w:p>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□技术标部分标书1份</w:t>
            </w:r>
          </w:p>
          <w:p>
            <w:pPr>
              <w:adjustRightInd w:val="0"/>
              <w:snapToGrid w:val="0"/>
              <w:spacing w:line="360" w:lineRule="auto"/>
              <w:jc w:val="left"/>
              <w:rPr>
                <w:color w:val="auto"/>
                <w:highlight w:val="none"/>
              </w:rPr>
            </w:pPr>
            <w:r>
              <w:rPr>
                <w:rFonts w:hint="eastAsia" w:ascii="宋体" w:hAnsi="宋体" w:eastAsia="宋体" w:cs="宋体"/>
                <w:color w:val="auto"/>
                <w:kern w:val="0"/>
                <w:szCs w:val="21"/>
                <w:highlight w:val="none"/>
              </w:rPr>
              <w:sym w:font="Wingdings 2" w:char="00A3"/>
            </w:r>
            <w:r>
              <w:rPr>
                <w:rFonts w:ascii="宋体" w:hAnsi="宋体" w:eastAsia="宋体" w:cs="宋体"/>
                <w:color w:val="auto"/>
                <w:kern w:val="0"/>
                <w:szCs w:val="21"/>
                <w:highlight w:val="none"/>
              </w:rPr>
              <w:t>BIM标部分标书1份</w:t>
            </w:r>
            <w:r>
              <w:rPr>
                <w:rFonts w:hint="eastAsia" w:ascii="宋体" w:hAnsi="宋体" w:eastAsia="宋体" w:cs="宋体"/>
                <w:color w:val="auto"/>
                <w:kern w:val="0"/>
                <w:szCs w:val="21"/>
                <w:highlight w:val="none"/>
              </w:rPr>
              <w:t>（含BIM实施方案）</w:t>
            </w:r>
          </w:p>
          <w:p>
            <w:pPr>
              <w:adjustRightInd w:val="0"/>
              <w:snapToGrid w:val="0"/>
              <w:spacing w:line="360" w:lineRule="auto"/>
              <w:ind w:firstLine="0" w:firstLineChars="0"/>
              <w:jc w:val="left"/>
              <w:rPr>
                <w:rFonts w:ascii="宋体" w:hAnsi="宋体" w:eastAsia="宋体" w:cs="宋体"/>
                <w:color w:val="auto"/>
                <w:kern w:val="0"/>
                <w:szCs w:val="21"/>
                <w:highlight w:val="none"/>
              </w:rPr>
            </w:pPr>
            <w:r>
              <w:rPr>
                <w:rFonts w:hint="eastAsia" w:ascii="微软雅黑" w:hAnsi="微软雅黑" w:eastAsia="微软雅黑" w:cs="微软雅黑"/>
                <w:b/>
                <w:bCs/>
                <w:color w:val="auto"/>
                <w:sz w:val="18"/>
                <w:szCs w:val="18"/>
                <w:highlight w:val="none"/>
              </w:rPr>
              <w:t>本项目属于☐</w:t>
            </w:r>
            <w:r>
              <w:rPr>
                <w:rFonts w:hint="eastAsia"/>
                <w:b/>
                <w:bCs/>
                <w:color w:val="auto"/>
                <w:sz w:val="18"/>
                <w:szCs w:val="18"/>
                <w:highlight w:val="none"/>
              </w:rPr>
              <w:t xml:space="preserve">房建BIM项目  </w:t>
            </w:r>
            <w:r>
              <w:rPr>
                <w:rFonts w:hint="eastAsia" w:ascii="微软雅黑" w:hAnsi="微软雅黑" w:eastAsia="微软雅黑" w:cs="微软雅黑"/>
                <w:b/>
                <w:bCs/>
                <w:color w:val="auto"/>
                <w:sz w:val="18"/>
                <w:szCs w:val="18"/>
                <w:highlight w:val="none"/>
              </w:rPr>
              <w:t>☐</w:t>
            </w:r>
            <w:r>
              <w:rPr>
                <w:rFonts w:hint="eastAsia"/>
                <w:b/>
                <w:bCs/>
                <w:color w:val="auto"/>
                <w:sz w:val="18"/>
                <w:szCs w:val="18"/>
                <w:highlight w:val="none"/>
              </w:rPr>
              <w:t xml:space="preserve">市政基础设施BIM项目  </w:t>
            </w:r>
            <w:r>
              <w:rPr>
                <w:rFonts w:hint="eastAsia" w:ascii="微软雅黑" w:hAnsi="微软雅黑" w:eastAsia="微软雅黑" w:cs="微软雅黑"/>
                <w:b/>
                <w:bCs/>
                <w:color w:val="auto"/>
                <w:sz w:val="18"/>
                <w:szCs w:val="18"/>
                <w:highlight w:val="none"/>
              </w:rPr>
              <w:t>☐</w:t>
            </w:r>
            <w:r>
              <w:rPr>
                <w:rFonts w:hint="eastAsia"/>
                <w:b/>
                <w:bCs/>
                <w:color w:val="auto"/>
                <w:sz w:val="18"/>
                <w:szCs w:val="18"/>
                <w:highlight w:val="none"/>
              </w:rPr>
              <w:t>水务工程BIM项目</w:t>
            </w:r>
          </w:p>
          <w:p>
            <w:pPr>
              <w:adjustRightInd w:val="0"/>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注：如窗口方式递交时应一式两份，以光盘形式（资格审查文件需单独刻盘封装）递交至</w:t>
            </w:r>
            <w:r>
              <w:rPr>
                <w:rFonts w:hint="eastAsia" w:ascii="宋体" w:hAnsi="宋体" w:eastAsia="宋体" w:cs="宋体"/>
                <w:color w:val="auto"/>
                <w:szCs w:val="21"/>
                <w:highlight w:val="none"/>
              </w:rPr>
              <w:t>深圳公共资源交易中心 深圳交易集团有限公司建设工程招标业务分公司/龙岗分公司/宝安分公司</w:t>
            </w:r>
            <w:r>
              <w:rPr>
                <w:rFonts w:hint="eastAsia" w:ascii="宋体" w:hAnsi="宋体" w:eastAsia="宋体" w:cs="宋体"/>
                <w:color w:val="auto"/>
                <w:kern w:val="0"/>
                <w:szCs w:val="21"/>
                <w:highlight w:val="none"/>
              </w:rPr>
              <w:t>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是否有危险性较大的分部分项工程</w:t>
            </w:r>
          </w:p>
        </w:tc>
        <w:tc>
          <w:tcPr>
            <w:tcW w:w="6785"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    □否</w:t>
            </w:r>
          </w:p>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注：1.危险性较大的分部分项工程（以下简称危大工程）范围详见《广东省住房和城乡建设厅关于印发房屋市政工程危险性较大的分部分项工程安全管理实施细则的通知》（粤建规范〔2019〕2号）；</w:t>
            </w:r>
          </w:p>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2.如是，招标人应填写《危大工程清单》（详见第九章投标文件格式--技术标编写目录及要求）；投标人根据工程实际特点，在技术标中补充完善危大工程清单并明确相应的安全管理措施。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踏勘现场</w:t>
            </w:r>
          </w:p>
        </w:tc>
        <w:tc>
          <w:tcPr>
            <w:tcW w:w="6785"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详细地点：</w:t>
            </w:r>
            <w:r>
              <w:rPr>
                <w:rFonts w:hint="eastAsia" w:ascii="宋体" w:hAnsi="宋体" w:eastAsia="宋体" w:cs="宋体"/>
                <w:bCs/>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公布招标控制价、投标报价上限地址</w:t>
            </w:r>
          </w:p>
        </w:tc>
        <w:tc>
          <w:tcPr>
            <w:tcW w:w="6785"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网址：深圳公共资源交易网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w:t>
            </w:r>
          </w:p>
        </w:tc>
        <w:tc>
          <w:tcPr>
            <w:tcW w:w="6785" w:type="dxa"/>
            <w:shd w:val="clear" w:color="auto" w:fill="auto"/>
            <w:vAlign w:val="center"/>
          </w:tcPr>
          <w:p>
            <w:pPr>
              <w:adjustRightInd w:val="0"/>
              <w:snapToGri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u w:val="single"/>
              </w:rPr>
              <w:t xml:space="preserve">      </w:t>
            </w:r>
          </w:p>
          <w:p>
            <w:pPr>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递交方式：</w:t>
            </w:r>
          </w:p>
          <w:p>
            <w:pPr>
              <w:adjustRightInd w:val="0"/>
              <w:snapToGrid w:val="0"/>
              <w:spacing w:line="360" w:lineRule="auto"/>
              <w:jc w:val="left"/>
              <w:rPr>
                <w:rFonts w:hint="eastAsia" w:ascii="宋体" w:hAnsi="宋体" w:eastAsia="宋体" w:cs="宋体"/>
                <w:i w:val="0"/>
                <w:iCs w:val="0"/>
                <w:color w:val="auto"/>
                <w:kern w:val="0"/>
                <w:szCs w:val="21"/>
                <w:highlight w:val="none"/>
                <w:u w:val="singl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电子招标投标交易平台</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网址：</w:t>
            </w:r>
            <w:r>
              <w:rPr>
                <w:rFonts w:hint="eastAsia" w:ascii="宋体" w:hAnsi="宋体" w:eastAsia="宋体" w:cs="宋体"/>
                <w:color w:val="auto"/>
                <w:kern w:val="0"/>
                <w:szCs w:val="21"/>
                <w:highlight w:val="none"/>
                <w:u w:val="single"/>
                <w:lang w:val="en-US" w:eastAsia="zh-CN"/>
              </w:rPr>
              <w:t xml:space="preserve">           </w:t>
            </w:r>
          </w:p>
          <w:p>
            <w:pPr>
              <w:adjustRightInd w:val="0"/>
              <w:snapToGrid w:val="0"/>
              <w:spacing w:line="360" w:lineRule="auto"/>
              <w:jc w:val="left"/>
              <w:rPr>
                <w:rFonts w:hint="eastAsia" w:ascii="宋体" w:hAnsi="宋体" w:eastAsia="宋体" w:cs="宋体"/>
                <w:i w:val="0"/>
                <w:iCs w:val="0"/>
                <w:color w:val="auto"/>
                <w:kern w:val="0"/>
                <w:szCs w:val="21"/>
                <w:highlight w:val="none"/>
                <w:u w:val="singl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其他</w:t>
            </w:r>
            <w:r>
              <w:rPr>
                <w:rFonts w:hint="eastAsia" w:ascii="宋体" w:hAnsi="宋体" w:eastAsia="宋体" w:cs="宋体"/>
                <w:color w:val="auto"/>
                <w:kern w:val="0"/>
                <w:szCs w:val="21"/>
                <w:highlight w:val="none"/>
                <w:lang w:val="en-US" w:eastAsia="zh-CN"/>
              </w:rPr>
              <w:t>方式</w:t>
            </w:r>
            <w:r>
              <w:rPr>
                <w:rFonts w:hint="eastAsia" w:ascii="宋体" w:hAnsi="宋体" w:eastAsia="宋体" w:cs="宋体"/>
                <w:color w:val="auto"/>
                <w:kern w:val="0"/>
                <w:szCs w:val="21"/>
                <w:highlight w:val="none"/>
              </w:rPr>
              <w:t>：</w:t>
            </w:r>
            <w:r>
              <w:rPr>
                <w:rFonts w:hint="eastAsia" w:ascii="宋体" w:hAnsi="宋体" w:eastAsia="宋体" w:cs="宋体"/>
                <w:i w:val="0"/>
                <w:iCs w:val="0"/>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投标有效期</w:t>
            </w:r>
          </w:p>
        </w:tc>
        <w:tc>
          <w:tcPr>
            <w:tcW w:w="6785"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招标会议时间</w:t>
            </w:r>
          </w:p>
        </w:tc>
        <w:tc>
          <w:tcPr>
            <w:tcW w:w="6785"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资审会、开标会、评标会、定标会议时间及地点，在交易网进行查询。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678"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w:t>
            </w:r>
          </w:p>
        </w:tc>
        <w:tc>
          <w:tcPr>
            <w:tcW w:w="1036"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27.6</w:t>
            </w:r>
          </w:p>
        </w:tc>
        <w:tc>
          <w:tcPr>
            <w:tcW w:w="1485"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过多投标人淘汰环节（资格审查合格的投标人＞20名）</w:t>
            </w:r>
          </w:p>
        </w:tc>
        <w:tc>
          <w:tcPr>
            <w:tcW w:w="6785"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资格审查合格的投标人＞20名时，经淘汰进入后续招标程序的投标人为15至20名，具体数量产生方式为：</w:t>
            </w:r>
          </w:p>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由计算机随机产生</w:t>
            </w:r>
          </w:p>
          <w:p>
            <w:pPr>
              <w:adjustRightInd w:val="0"/>
              <w:snapToGrid w:val="0"/>
              <w:spacing w:line="360" w:lineRule="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□招标人自行确定：</w:t>
            </w:r>
            <w:r>
              <w:rPr>
                <w:rFonts w:hint="eastAsia" w:ascii="宋体" w:hAnsi="宋体" w:eastAsia="宋体" w:cs="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678" w:type="dxa"/>
            <w:vMerge w:val="continue"/>
            <w:shd w:val="clear" w:color="auto" w:fill="auto"/>
            <w:vAlign w:val="center"/>
          </w:tcPr>
          <w:p>
            <w:pPr>
              <w:adjustRightInd w:val="0"/>
              <w:snapToGrid w:val="0"/>
              <w:jc w:val="center"/>
              <w:rPr>
                <w:rFonts w:hint="eastAsia" w:ascii="宋体" w:hAnsi="宋体" w:eastAsia="宋体" w:cs="宋体"/>
                <w:color w:val="auto"/>
                <w:kern w:val="0"/>
                <w:szCs w:val="21"/>
                <w:highlight w:val="none"/>
              </w:rPr>
            </w:pPr>
          </w:p>
        </w:tc>
        <w:tc>
          <w:tcPr>
            <w:tcW w:w="1036" w:type="dxa"/>
            <w:vMerge w:val="continue"/>
            <w:shd w:val="clear" w:color="auto" w:fill="auto"/>
            <w:vAlign w:val="center"/>
          </w:tcPr>
          <w:p>
            <w:pPr>
              <w:adjustRightInd w:val="0"/>
              <w:snapToGrid w:val="0"/>
              <w:jc w:val="center"/>
              <w:rPr>
                <w:rFonts w:hint="eastAsia" w:ascii="宋体" w:hAnsi="宋体" w:eastAsia="宋体" w:cs="宋体"/>
                <w:color w:val="auto"/>
                <w:kern w:val="0"/>
                <w:szCs w:val="21"/>
                <w:highlight w:val="none"/>
              </w:rPr>
            </w:pPr>
          </w:p>
        </w:tc>
        <w:tc>
          <w:tcPr>
            <w:tcW w:w="1485" w:type="dxa"/>
            <w:vMerge w:val="continue"/>
            <w:shd w:val="clear" w:color="auto" w:fill="auto"/>
            <w:vAlign w:val="center"/>
          </w:tcPr>
          <w:p>
            <w:pPr>
              <w:adjustRightInd w:val="0"/>
              <w:snapToGrid w:val="0"/>
              <w:jc w:val="center"/>
              <w:rPr>
                <w:rFonts w:hint="eastAsia" w:ascii="宋体" w:hAnsi="宋体" w:eastAsia="宋体" w:cs="宋体"/>
                <w:color w:val="auto"/>
                <w:kern w:val="0"/>
                <w:szCs w:val="21"/>
                <w:highlight w:val="none"/>
              </w:rPr>
            </w:pPr>
          </w:p>
        </w:tc>
        <w:tc>
          <w:tcPr>
            <w:tcW w:w="6785" w:type="dxa"/>
            <w:shd w:val="clear" w:color="auto" w:fill="auto"/>
            <w:vAlign w:val="center"/>
          </w:tcPr>
          <w:p>
            <w:pPr>
              <w:widowControl/>
              <w:adjustRightInd w:val="0"/>
              <w:snapToGrid w:val="0"/>
              <w:spacing w:line="360" w:lineRule="auto"/>
              <w:ind w:firstLine="0" w:firstLineChars="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过多投标人淘汰</w:t>
            </w:r>
            <w:r>
              <w:rPr>
                <w:rFonts w:hint="eastAsia" w:ascii="宋体" w:hAnsi="宋体" w:eastAsia="宋体" w:cs="宋体"/>
                <w:color w:val="auto"/>
                <w:kern w:val="0"/>
                <w:szCs w:val="21"/>
                <w:highlight w:val="none"/>
                <w:lang w:val="en-US" w:eastAsia="zh-CN"/>
              </w:rPr>
              <w:t>方案</w:t>
            </w:r>
            <w:r>
              <w:rPr>
                <w:rStyle w:val="49"/>
                <w:rFonts w:hint="eastAsia" w:ascii="宋体" w:hAnsi="宋体" w:eastAsia="宋体" w:cs="宋体"/>
                <w:color w:val="auto"/>
                <w:kern w:val="0"/>
                <w:szCs w:val="21"/>
                <w:highlight w:val="none"/>
                <w:lang w:val="en-US" w:eastAsia="zh-CN"/>
              </w:rPr>
              <w:t>[</w:t>
            </w:r>
            <w:r>
              <w:rPr>
                <w:rStyle w:val="49"/>
                <w:rFonts w:hint="eastAsia" w:ascii="宋体" w:hAnsi="宋体" w:eastAsia="宋体" w:cs="宋体"/>
                <w:color w:val="auto"/>
                <w:kern w:val="0"/>
                <w:szCs w:val="21"/>
                <w:highlight w:val="none"/>
                <w:lang w:val="en-US" w:eastAsia="zh-CN"/>
              </w:rPr>
              <w:footnoteReference w:id="3"/>
            </w:r>
            <w:r>
              <w:rPr>
                <w:rStyle w:val="49"/>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p>
          <w:p>
            <w:pPr>
              <w:widowControl/>
              <w:adjustRightInd w:val="0"/>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注：1.招标人应结合项目实际，提前制定规则清晰、可操作性强的过多投标人淘汰方案，并在过多投标人淘汰方案中合规合理设置择优因素，明确各择优因素的优先程度。</w:t>
            </w:r>
          </w:p>
          <w:p>
            <w:pPr>
              <w:widowControl/>
              <w:adjustRightInd w:val="0"/>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2.择优因素的设置应以投标人能否高质量履约为导向，可以突出投标人</w:t>
            </w:r>
            <w:r>
              <w:rPr>
                <w:rFonts w:hint="eastAsia" w:ascii="宋体" w:hAnsi="宋体" w:eastAsia="宋体" w:cs="宋体"/>
                <w:color w:val="auto"/>
                <w:sz w:val="21"/>
                <w:szCs w:val="21"/>
                <w:highlight w:val="none"/>
                <w:lang w:val="en-US" w:eastAsia="zh-CN"/>
              </w:rPr>
              <w:t>拟派项目经理及管理团队成员的资历、能力、信誉，企业资质、业绩、履约等，具体择优因素由招标人根据实际确定。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78"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036"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85"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6785" w:type="dxa"/>
            <w:shd w:val="clear" w:color="auto" w:fill="auto"/>
            <w:vAlign w:val="center"/>
          </w:tcPr>
          <w:p>
            <w:pPr>
              <w:adjustRightInd w:val="0"/>
              <w:snapToGrid w:val="0"/>
              <w:spacing w:line="360" w:lineRule="auto"/>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过多投标人淘汰方式：</w:t>
            </w:r>
          </w:p>
          <w:p>
            <w:p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□直接票决  □逐轮票决  </w:t>
            </w:r>
          </w:p>
          <w:p>
            <w:pPr>
              <w:adjustRightInd w:val="0"/>
              <w:snapToGrid w:val="0"/>
              <w:spacing w:line="360" w:lineRule="auto"/>
              <w:ind w:firstLine="420" w:firstLineChars="200"/>
              <w:rPr>
                <w:rFonts w:hint="eastAsia" w:ascii="宋体" w:hAnsi="宋体" w:eastAsia="宋体" w:cs="宋体"/>
                <w:strike/>
                <w:color w:val="auto"/>
                <w:kern w:val="0"/>
                <w:szCs w:val="21"/>
                <w:highlight w:val="none"/>
              </w:rPr>
            </w:pPr>
            <w:r>
              <w:rPr>
                <w:rFonts w:hint="eastAsia" w:ascii="宋体" w:hAnsi="宋体" w:eastAsia="宋体" w:cs="宋体"/>
                <w:color w:val="auto"/>
                <w:kern w:val="0"/>
                <w:szCs w:val="21"/>
                <w:highlight w:val="none"/>
              </w:rPr>
              <w:t>计算规则（采用直接票决或逐轮票决的）：简单多数。当被淘汰最后一名有并列情况以至超过应淘汰投标人数时，对此并列的投标人采取</w:t>
            </w:r>
            <w:r>
              <w:rPr>
                <w:rFonts w:hint="eastAsia" w:ascii="宋体" w:hAnsi="宋体" w:eastAsia="宋体" w:cs="宋体"/>
                <w:color w:val="auto"/>
                <w:kern w:val="0"/>
                <w:szCs w:val="21"/>
                <w:highlight w:val="none"/>
                <w:lang w:val="en-US" w:eastAsia="zh-CN"/>
              </w:rPr>
              <w:t>继续票决方式</w:t>
            </w:r>
            <w:r>
              <w:rPr>
                <w:rFonts w:hint="eastAsia" w:ascii="宋体" w:hAnsi="宋体" w:eastAsia="宋体" w:cs="宋体"/>
                <w:color w:val="auto"/>
                <w:kern w:val="0"/>
                <w:szCs w:val="21"/>
                <w:highlight w:val="none"/>
              </w:rPr>
              <w:t>确定</w:t>
            </w:r>
            <w:r>
              <w:rPr>
                <w:rFonts w:hint="eastAsia" w:ascii="宋体" w:hAnsi="宋体" w:eastAsia="宋体" w:cs="宋体"/>
                <w:color w:val="auto"/>
                <w:kern w:val="0"/>
                <w:szCs w:val="21"/>
                <w:highlight w:val="none"/>
                <w:lang w:val="en-US" w:eastAsia="zh-CN"/>
              </w:rPr>
              <w:t>入围投标人</w:t>
            </w:r>
            <w:r>
              <w:rPr>
                <w:rFonts w:hint="eastAsia" w:ascii="宋体" w:hAnsi="宋体" w:eastAsia="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29.1</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评标方法</w:t>
            </w:r>
          </w:p>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及标准</w:t>
            </w:r>
          </w:p>
        </w:tc>
        <w:tc>
          <w:tcPr>
            <w:tcW w:w="6785"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sym w:font="Wingdings 2" w:char="00A3"/>
            </w:r>
            <w:r>
              <w:rPr>
                <w:rFonts w:hint="eastAsia" w:ascii="宋体" w:hAnsi="宋体" w:eastAsia="宋体" w:cs="宋体"/>
                <w:color w:val="auto"/>
                <w:kern w:val="0"/>
                <w:szCs w:val="21"/>
                <w:highlight w:val="none"/>
              </w:rPr>
              <w:t>定性评审法</w:t>
            </w:r>
          </w:p>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sym w:font="Wingdings 2" w:char="00A3"/>
            </w:r>
            <w:r>
              <w:rPr>
                <w:rFonts w:hint="eastAsia" w:ascii="宋体" w:hAnsi="宋体" w:eastAsia="宋体" w:cs="宋体"/>
                <w:color w:val="auto"/>
                <w:kern w:val="0"/>
                <w:szCs w:val="21"/>
                <w:highlight w:val="none"/>
              </w:rPr>
              <w:t>经建设、交通</w:t>
            </w:r>
            <w:r>
              <w:rPr>
                <w:rFonts w:hint="eastAsia" w:ascii="宋体" w:hAnsi="宋体" w:eastAsia="宋体" w:cs="宋体"/>
                <w:color w:val="auto"/>
                <w:kern w:val="0"/>
                <w:szCs w:val="21"/>
                <w:highlight w:val="none"/>
                <w:lang w:val="en-US" w:eastAsia="zh-CN"/>
              </w:rPr>
              <w:t>行政</w:t>
            </w:r>
            <w:r>
              <w:rPr>
                <w:rFonts w:hint="eastAsia" w:ascii="宋体" w:hAnsi="宋体" w:eastAsia="宋体" w:cs="宋体"/>
                <w:color w:val="auto"/>
                <w:kern w:val="0"/>
                <w:szCs w:val="21"/>
                <w:highlight w:val="none"/>
              </w:rPr>
              <w:t>主管部门批准的其他方法:</w:t>
            </w:r>
            <w:r>
              <w:rPr>
                <w:rFonts w:hint="eastAsia" w:ascii="宋体" w:hAnsi="宋体" w:eastAsia="宋体" w:cs="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专家推荐原则</w:t>
            </w:r>
          </w:p>
        </w:tc>
        <w:tc>
          <w:tcPr>
            <w:tcW w:w="6785" w:type="dxa"/>
            <w:shd w:val="clear" w:color="auto" w:fill="auto"/>
            <w:vAlign w:val="center"/>
          </w:tcPr>
          <w:p>
            <w:pPr>
              <w:numPr>
                <w:ilvl w:val="-1"/>
                <w:numId w:val="0"/>
              </w:numPr>
              <w:adjustRightInd w:val="0"/>
              <w:snapToGri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招标人应根据项目实际合理设置评审要素，对专家评标质量提出要求，并明确专家推荐</w:t>
            </w:r>
            <w:r>
              <w:rPr>
                <w:rFonts w:hint="eastAsia" w:ascii="宋体" w:hAnsi="宋体" w:eastAsia="宋体" w:cs="宋体"/>
                <w:color w:val="auto"/>
                <w:kern w:val="0"/>
                <w:szCs w:val="21"/>
                <w:highlight w:val="none"/>
                <w:lang w:eastAsia="zh-CN"/>
              </w:rPr>
              <w:t>中标候选人</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原则</w:t>
            </w:r>
            <w:r>
              <w:rPr>
                <w:rStyle w:val="49"/>
                <w:rFonts w:hint="eastAsia" w:ascii="宋体" w:hAnsi="宋体" w:eastAsia="宋体" w:cs="宋体"/>
                <w:color w:val="auto"/>
                <w:kern w:val="0"/>
                <w:szCs w:val="21"/>
                <w:highlight w:val="none"/>
              </w:rPr>
              <w:t>[</w:t>
            </w:r>
            <w:r>
              <w:rPr>
                <w:rStyle w:val="49"/>
                <w:rFonts w:hint="eastAsia" w:ascii="宋体" w:hAnsi="宋体" w:eastAsia="宋体" w:cs="宋体"/>
                <w:color w:val="auto"/>
                <w:kern w:val="0"/>
                <w:szCs w:val="21"/>
                <w:highlight w:val="none"/>
              </w:rPr>
              <w:footnoteReference w:id="4"/>
            </w:r>
            <w:r>
              <w:rPr>
                <w:rStyle w:val="49"/>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p>
          <w:p>
            <w:pPr>
              <w:numPr>
                <w:ilvl w:val="-1"/>
                <w:numId w:val="0"/>
              </w:numPr>
              <w:adjustRightInd w:val="0"/>
              <w:snapToGrid w:val="0"/>
              <w:spacing w:line="360" w:lineRule="auto"/>
              <w:jc w:val="left"/>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注：1.招标人应分别设置规则清晰、可操作性强的技术标和商务标推荐中标候选人原则。</w:t>
            </w:r>
          </w:p>
          <w:p>
            <w:pPr>
              <w:numPr>
                <w:ilvl w:val="-1"/>
                <w:numId w:val="0"/>
              </w:numPr>
              <w:adjustRightInd w:val="0"/>
              <w:snapToGrid w:val="0"/>
              <w:spacing w:line="360" w:lineRule="auto"/>
              <w:jc w:val="left"/>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2.技术复杂、专业性强或者有特殊要求的建设工程项目，可以重点考虑下列因素，</w:t>
            </w:r>
            <w:r>
              <w:rPr>
                <w:rFonts w:hint="eastAsia" w:ascii="宋体" w:hAnsi="宋体" w:eastAsia="宋体" w:cs="宋体"/>
                <w:color w:val="auto"/>
                <w:sz w:val="21"/>
                <w:szCs w:val="21"/>
                <w:highlight w:val="none"/>
                <w:lang w:val="en-US" w:eastAsia="zh-CN"/>
              </w:rPr>
              <w:t>具体因素由招标人根据实际确定。</w:t>
            </w:r>
          </w:p>
          <w:p>
            <w:pPr>
              <w:numPr>
                <w:ilvl w:val="-1"/>
                <w:numId w:val="0"/>
              </w:numPr>
              <w:adjustRightInd w:val="0"/>
              <w:snapToGrid w:val="0"/>
              <w:spacing w:line="360" w:lineRule="auto"/>
              <w:jc w:val="left"/>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（1）技术标考虑工程建设重难点解决方案、项目管理人员配置、工程质量安全保障措施，以及四新（新材料、新设备、新工艺、新技术）技术应用等因素。</w:t>
            </w:r>
          </w:p>
          <w:p>
            <w:pPr>
              <w:numPr>
                <w:ilvl w:val="-1"/>
                <w:numId w:val="0"/>
              </w:numPr>
              <w:adjustRightInd w:val="0"/>
              <w:snapToGrid w:val="0"/>
              <w:spacing w:line="360" w:lineRule="auto"/>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（2）商务标坚持优质优价原则，避免恶性价格竞争。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评标地点</w:t>
            </w:r>
          </w:p>
        </w:tc>
        <w:tc>
          <w:tcPr>
            <w:tcW w:w="6785"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交易场所评标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29</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30.1</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w:t>
            </w:r>
          </w:p>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的人员组成</w:t>
            </w:r>
          </w:p>
        </w:tc>
        <w:tc>
          <w:tcPr>
            <w:tcW w:w="6785"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由招标人依法</w:t>
            </w:r>
            <w:r>
              <w:rPr>
                <w:rFonts w:hint="eastAsia" w:ascii="宋体" w:hAnsi="宋体" w:eastAsia="宋体" w:cs="宋体"/>
                <w:color w:val="auto"/>
                <w:kern w:val="0"/>
                <w:szCs w:val="21"/>
                <w:highlight w:val="none"/>
                <w:lang w:val="en-US" w:eastAsia="zh-CN"/>
              </w:rPr>
              <w:t>依规</w:t>
            </w:r>
            <w:r>
              <w:rPr>
                <w:rFonts w:hint="eastAsia" w:ascii="宋体" w:hAnsi="宋体" w:eastAsia="宋体" w:cs="宋体"/>
                <w:color w:val="auto"/>
                <w:kern w:val="0"/>
                <w:szCs w:val="21"/>
                <w:highlight w:val="none"/>
              </w:rPr>
              <w:t>组建</w:t>
            </w:r>
          </w:p>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注：采用BIM技术的招标项目</w:t>
            </w:r>
            <w:r>
              <w:rPr>
                <w:rFonts w:ascii="宋体" w:hAnsi="宋体" w:eastAsia="宋体" w:cs="宋体"/>
                <w:color w:val="auto"/>
                <w:kern w:val="0"/>
                <w:szCs w:val="21"/>
                <w:highlight w:val="none"/>
              </w:rPr>
              <w:t>，评标专家应</w:t>
            </w:r>
            <w:r>
              <w:rPr>
                <w:rFonts w:hint="eastAsia" w:ascii="宋体" w:hAnsi="宋体" w:eastAsia="宋体" w:cs="宋体"/>
                <w:color w:val="auto"/>
                <w:kern w:val="0"/>
                <w:szCs w:val="21"/>
                <w:highlight w:val="none"/>
              </w:rPr>
              <w:t>具备评审</w:t>
            </w:r>
            <w:r>
              <w:rPr>
                <w:rFonts w:ascii="宋体" w:hAnsi="宋体" w:eastAsia="宋体" w:cs="宋体"/>
                <w:color w:val="auto"/>
                <w:kern w:val="0"/>
                <w:szCs w:val="21"/>
                <w:highlight w:val="none"/>
              </w:rPr>
              <w:t>BIM</w:t>
            </w:r>
            <w:r>
              <w:rPr>
                <w:rFonts w:hint="eastAsia" w:ascii="宋体" w:hAnsi="宋体" w:eastAsia="宋体" w:cs="宋体"/>
                <w:color w:val="auto"/>
                <w:kern w:val="0"/>
                <w:szCs w:val="21"/>
                <w:highlight w:val="none"/>
              </w:rPr>
              <w:t>模型的能力</w:t>
            </w:r>
            <w:r>
              <w:rPr>
                <w:rFonts w:ascii="宋体" w:hAnsi="宋体" w:eastAsia="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67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w:t>
            </w:r>
          </w:p>
        </w:tc>
        <w:tc>
          <w:tcPr>
            <w:tcW w:w="103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w:t>
            </w:r>
          </w:p>
        </w:tc>
        <w:tc>
          <w:tcPr>
            <w:tcW w:w="1485" w:type="dxa"/>
            <w:shd w:val="clear" w:color="auto" w:fill="auto"/>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定标工作规则和项目定标方案</w:t>
            </w:r>
          </w:p>
        </w:tc>
        <w:tc>
          <w:tcPr>
            <w:tcW w:w="6785"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定标工作规则：</w:t>
            </w:r>
            <w:r>
              <w:rPr>
                <w:rFonts w:hint="eastAsia" w:ascii="宋体" w:hAnsi="宋体" w:eastAsia="宋体" w:cs="宋体"/>
                <w:color w:val="auto"/>
                <w:kern w:val="0"/>
                <w:szCs w:val="21"/>
                <w:highlight w:val="none"/>
                <w:u w:val="single"/>
              </w:rPr>
              <w:t xml:space="preserve">             </w:t>
            </w:r>
          </w:p>
          <w:p>
            <w:pPr>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项目定标方案：在报招标人内设（上级）的纪检监察机构（或督察机构）备案的基础上，于招标公告备案时上传至备案系统加密保存</w:t>
            </w:r>
            <w:r>
              <w:rPr>
                <w:rStyle w:val="49"/>
                <w:rFonts w:hint="eastAsia" w:ascii="宋体" w:hAnsi="宋体" w:eastAsia="宋体" w:cs="宋体"/>
                <w:color w:val="auto"/>
                <w:kern w:val="0"/>
                <w:szCs w:val="21"/>
                <w:highlight w:val="none"/>
              </w:rPr>
              <w:t>[</w:t>
            </w:r>
            <w:r>
              <w:rPr>
                <w:rStyle w:val="49"/>
                <w:rFonts w:hint="eastAsia" w:ascii="宋体" w:hAnsi="宋体" w:eastAsia="宋体" w:cs="宋体"/>
                <w:color w:val="auto"/>
                <w:kern w:val="0"/>
                <w:szCs w:val="21"/>
                <w:highlight w:val="none"/>
              </w:rPr>
              <w:footnoteReference w:id="5"/>
            </w:r>
            <w:r>
              <w:rPr>
                <w:rStyle w:val="49"/>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w:t>
            </w:r>
          </w:p>
          <w:p>
            <w:pPr>
              <w:adjustRightInd w:val="0"/>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注 ：1.招标人应事先制定定标工作规则，</w:t>
            </w:r>
            <w:r>
              <w:rPr>
                <w:rFonts w:hint="eastAsia" w:ascii="宋体" w:hAnsi="宋体" w:eastAsia="宋体" w:cs="宋体"/>
                <w:color w:val="auto"/>
                <w:szCs w:val="21"/>
                <w:highlight w:val="none"/>
              </w:rPr>
              <w:t>对不同类别项目择优竞价结合方式、择优因素、竞价方法予以明确</w:t>
            </w:r>
            <w:r>
              <w:rPr>
                <w:rFonts w:hint="eastAsia" w:ascii="宋体" w:hAnsi="宋体" w:eastAsia="宋体" w:cs="宋体"/>
                <w:color w:val="auto"/>
                <w:szCs w:val="21"/>
                <w:highlight w:val="none"/>
                <w:lang w:val="en-US" w:eastAsia="zh-CN"/>
              </w:rPr>
              <w:t>。</w:t>
            </w:r>
          </w:p>
          <w:p>
            <w:pPr>
              <w:adjustRightInd w:val="0"/>
              <w:snapToGrid w:val="0"/>
              <w:spacing w:line="36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kern w:val="0"/>
                <w:szCs w:val="21"/>
                <w:highlight w:val="none"/>
              </w:rPr>
              <w:t>在招标公告发布前，招标人应结合定标工作规则和项目实际，制定</w:t>
            </w:r>
            <w:r>
              <w:rPr>
                <w:rFonts w:hint="eastAsia" w:ascii="宋体" w:hAnsi="宋体" w:eastAsia="宋体" w:cs="宋体"/>
                <w:color w:val="auto"/>
                <w:kern w:val="0"/>
                <w:szCs w:val="21"/>
                <w:highlight w:val="none"/>
                <w:lang w:val="en-US" w:eastAsia="zh-CN"/>
              </w:rPr>
              <w:t>详细的</w:t>
            </w:r>
            <w:r>
              <w:rPr>
                <w:rFonts w:hint="eastAsia" w:ascii="宋体" w:hAnsi="宋体" w:eastAsia="宋体" w:cs="宋体"/>
                <w:color w:val="auto"/>
                <w:kern w:val="0"/>
                <w:szCs w:val="21"/>
                <w:highlight w:val="none"/>
              </w:rPr>
              <w:t>项目定标方案，细化择优要素、竞价因素，明确</w:t>
            </w:r>
            <w:r>
              <w:rPr>
                <w:rFonts w:hint="eastAsia" w:ascii="宋体" w:hAnsi="宋体" w:eastAsia="宋体" w:cs="宋体"/>
                <w:color w:val="auto"/>
                <w:kern w:val="0"/>
                <w:szCs w:val="21"/>
                <w:highlight w:val="none"/>
                <w:lang w:val="en-US" w:eastAsia="zh-CN"/>
              </w:rPr>
              <w:t>定标委员会成员构成、</w:t>
            </w:r>
            <w:r>
              <w:rPr>
                <w:rFonts w:hint="eastAsia" w:ascii="宋体" w:hAnsi="宋体" w:eastAsia="宋体" w:cs="宋体"/>
                <w:color w:val="auto"/>
                <w:kern w:val="0"/>
                <w:szCs w:val="21"/>
                <w:highlight w:val="none"/>
              </w:rPr>
              <w:t>定标流程、投票规则等内容</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鼓励招标人对择优要素及优先级别进行客观量化，提升定标质量效率</w:t>
            </w:r>
            <w:r>
              <w:rPr>
                <w:rFonts w:hint="eastAsia" w:ascii="宋体" w:hAnsi="宋体" w:eastAsia="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78"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w:t>
            </w:r>
          </w:p>
        </w:tc>
        <w:tc>
          <w:tcPr>
            <w:tcW w:w="1036"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43</w:t>
            </w:r>
          </w:p>
        </w:tc>
        <w:tc>
          <w:tcPr>
            <w:tcW w:w="1485"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定标方法</w:t>
            </w:r>
          </w:p>
        </w:tc>
        <w:tc>
          <w:tcPr>
            <w:tcW w:w="6785"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直接票决定标法   </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票决方式：</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简单多数     □简单多数（且过半数）    □对比胜出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shd w:val="clear" w:color="auto" w:fill="auto"/>
            <w:vAlign w:val="center"/>
          </w:tcPr>
          <w:p>
            <w:pPr>
              <w:adjustRightInd w:val="0"/>
              <w:snapToGrid w:val="0"/>
              <w:spacing w:line="360" w:lineRule="auto"/>
              <w:ind w:firstLine="420" w:firstLineChars="200"/>
              <w:jc w:val="left"/>
              <w:rPr>
                <w:color w:val="auto"/>
                <w:highlight w:val="none"/>
              </w:rPr>
            </w:pPr>
          </w:p>
        </w:tc>
        <w:tc>
          <w:tcPr>
            <w:tcW w:w="1036" w:type="dxa"/>
            <w:vMerge w:val="continue"/>
            <w:shd w:val="clear" w:color="auto" w:fill="auto"/>
            <w:vAlign w:val="center"/>
          </w:tcPr>
          <w:p>
            <w:pPr>
              <w:adjustRightInd w:val="0"/>
              <w:snapToGrid w:val="0"/>
              <w:spacing w:line="360" w:lineRule="auto"/>
              <w:ind w:firstLine="420" w:firstLineChars="200"/>
              <w:jc w:val="left"/>
              <w:rPr>
                <w:color w:val="auto"/>
                <w:highlight w:val="none"/>
              </w:rPr>
            </w:pPr>
          </w:p>
        </w:tc>
        <w:tc>
          <w:tcPr>
            <w:tcW w:w="1485" w:type="dxa"/>
            <w:vMerge w:val="continue"/>
            <w:shd w:val="clear" w:color="auto" w:fill="auto"/>
            <w:vAlign w:val="center"/>
          </w:tcPr>
          <w:p>
            <w:pPr>
              <w:adjustRightInd w:val="0"/>
              <w:snapToGrid w:val="0"/>
              <w:spacing w:line="360" w:lineRule="auto"/>
              <w:ind w:firstLine="420" w:firstLineChars="200"/>
              <w:jc w:val="left"/>
              <w:rPr>
                <w:color w:val="auto"/>
                <w:highlight w:val="none"/>
              </w:rPr>
            </w:pPr>
          </w:p>
        </w:tc>
        <w:tc>
          <w:tcPr>
            <w:tcW w:w="6785"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逐轮票决定标法</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票决方式：</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□简单多数       □对比胜出        □先票决后淘汰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8" w:type="dxa"/>
            <w:vMerge w:val="continue"/>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p>
        </w:tc>
        <w:tc>
          <w:tcPr>
            <w:tcW w:w="1036" w:type="dxa"/>
            <w:vMerge w:val="continue"/>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p>
        </w:tc>
        <w:tc>
          <w:tcPr>
            <w:tcW w:w="1485" w:type="dxa"/>
            <w:vMerge w:val="continue"/>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p>
        </w:tc>
        <w:tc>
          <w:tcPr>
            <w:tcW w:w="6785"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集体议事定标法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8" w:type="dxa"/>
            <w:vMerge w:val="continue"/>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p>
        </w:tc>
        <w:tc>
          <w:tcPr>
            <w:tcW w:w="1036" w:type="dxa"/>
            <w:vMerge w:val="continue"/>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p>
        </w:tc>
        <w:tc>
          <w:tcPr>
            <w:tcW w:w="1485" w:type="dxa"/>
            <w:vMerge w:val="continue"/>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p>
        </w:tc>
        <w:tc>
          <w:tcPr>
            <w:tcW w:w="6785"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经建设、交通</w:t>
            </w:r>
            <w:r>
              <w:rPr>
                <w:rFonts w:hint="eastAsia" w:ascii="宋体" w:hAnsi="宋体" w:eastAsia="宋体" w:cs="宋体"/>
                <w:color w:val="auto"/>
                <w:kern w:val="0"/>
                <w:szCs w:val="21"/>
                <w:highlight w:val="none"/>
                <w:lang w:val="en-US" w:eastAsia="zh-CN"/>
              </w:rPr>
              <w:t>行政</w:t>
            </w:r>
            <w:r>
              <w:rPr>
                <w:rFonts w:hint="eastAsia" w:ascii="宋体" w:hAnsi="宋体" w:eastAsia="宋体" w:cs="宋体"/>
                <w:color w:val="auto"/>
                <w:kern w:val="0"/>
                <w:szCs w:val="21"/>
                <w:highlight w:val="none"/>
              </w:rPr>
              <w:t>主管部门批准的其他方法:</w:t>
            </w:r>
            <w:r>
              <w:rPr>
                <w:rFonts w:hint="eastAsia" w:ascii="宋体" w:hAnsi="宋体" w:eastAsia="宋体" w:cs="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8"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w:t>
            </w:r>
          </w:p>
        </w:tc>
        <w:tc>
          <w:tcPr>
            <w:tcW w:w="1036"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51.1</w:t>
            </w:r>
          </w:p>
        </w:tc>
        <w:tc>
          <w:tcPr>
            <w:tcW w:w="1485"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6785"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r>
              <w:rPr>
                <w:rFonts w:hint="eastAsia" w:ascii="宋体" w:hAnsi="宋体" w:eastAsia="宋体" w:cs="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78"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036"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85"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6785" w:type="dxa"/>
            <w:shd w:val="clear" w:color="auto" w:fill="auto"/>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担保形式：</w:t>
            </w:r>
          </w:p>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□银行保函 □保证保险 □专业工程担保公司担保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78"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w:t>
            </w:r>
          </w:p>
        </w:tc>
        <w:tc>
          <w:tcPr>
            <w:tcW w:w="1036"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51.2</w:t>
            </w:r>
          </w:p>
        </w:tc>
        <w:tc>
          <w:tcPr>
            <w:tcW w:w="1485"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支付担保</w:t>
            </w:r>
          </w:p>
        </w:tc>
        <w:tc>
          <w:tcPr>
            <w:tcW w:w="6785" w:type="dxa"/>
            <w:shd w:val="clear" w:color="auto" w:fill="auto"/>
            <w:vAlign w:val="center"/>
          </w:tcPr>
          <w:p>
            <w:pPr>
              <w:adjustRightInd w:val="0"/>
              <w:snapToGrid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r>
              <w:rPr>
                <w:rFonts w:hint="eastAsia" w:ascii="宋体" w:hAnsi="宋体" w:eastAsia="宋体" w:cs="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78"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036"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85"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6785" w:type="dxa"/>
            <w:shd w:val="clear" w:color="auto" w:fill="auto"/>
            <w:vAlign w:val="center"/>
          </w:tcPr>
          <w:p>
            <w:pPr>
              <w:adjustRightInd w:val="0"/>
              <w:snapToGrid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担保形式：</w:t>
            </w:r>
          </w:p>
          <w:p>
            <w:pPr>
              <w:adjustRightInd w:val="0"/>
              <w:snapToGrid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□银行保函 □保证保险 □专业工程担保公司担保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78" w:type="dxa"/>
            <w:shd w:val="clear" w:color="auto" w:fill="auto"/>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w:t>
            </w:r>
          </w:p>
        </w:tc>
        <w:tc>
          <w:tcPr>
            <w:tcW w:w="1036" w:type="dxa"/>
            <w:shd w:val="clear" w:color="auto" w:fill="auto"/>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48.1</w:t>
            </w:r>
          </w:p>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50.1</w:t>
            </w:r>
          </w:p>
        </w:tc>
        <w:tc>
          <w:tcPr>
            <w:tcW w:w="148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发出中标通知书及签订合同</w:t>
            </w:r>
          </w:p>
        </w:tc>
        <w:tc>
          <w:tcPr>
            <w:tcW w:w="6785" w:type="dxa"/>
            <w:shd w:val="clear" w:color="auto" w:fill="auto"/>
            <w:vAlign w:val="center"/>
          </w:tcPr>
          <w:p>
            <w:pPr>
              <w:adjustRightInd w:val="0"/>
              <w:snapToGrid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招标人和中标人应当自中标通知书发出之日起三十日内，按照招标文件和中标人的投标文件签订合同（因投诉暂停的除外）。</w:t>
            </w:r>
          </w:p>
        </w:tc>
      </w:tr>
    </w:tbl>
    <w:p>
      <w:pPr>
        <w:adjustRightInd w:val="0"/>
        <w:snapToGrid w:val="0"/>
        <w:rPr>
          <w:rFonts w:hint="eastAsia" w:ascii="宋体" w:hAnsi="宋体" w:eastAsia="宋体" w:cs="宋体"/>
          <w:color w:val="auto"/>
          <w:szCs w:val="21"/>
          <w:highlight w:val="none"/>
        </w:rPr>
      </w:pPr>
    </w:p>
    <w:p>
      <w:pPr>
        <w:adjustRightInd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备注：此前附表中的“条款号”相对应“三、招投标须知正文”中的条款，条款内容作为补充规定及注释，招标人及投标人应仔细阅读并参照执行。</w:t>
      </w:r>
    </w:p>
    <w:p>
      <w:pPr>
        <w:spacing w:line="20" w:lineRule="exact"/>
        <w:rPr>
          <w:color w:val="auto"/>
          <w:highlight w:val="none"/>
        </w:rPr>
      </w:pPr>
      <w:r>
        <w:rPr>
          <w:color w:val="auto"/>
          <w:highlight w:val="none"/>
        </w:rPr>
        <w:br w:type="page"/>
      </w:r>
    </w:p>
    <w:p>
      <w:pPr>
        <w:adjustRightInd w:val="0"/>
        <w:snapToGrid w:val="0"/>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（一）招标工程情况介绍</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（提示招标人：本章节为必填内容，招标人应当如实详细填写，并作为投标、评标的重要参考。如因招标人未填写或未如实填写本章节内容，造成的不利后果应由招标人承担。）</w:t>
      </w:r>
    </w:p>
    <w:p>
      <w:pPr>
        <w:adjustRightInd w:val="0"/>
        <w:snapToGrid w:val="0"/>
        <w:spacing w:line="360" w:lineRule="auto"/>
        <w:ind w:firstLine="421"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一、工程概况、工程规模、结构型式的介绍</w:t>
      </w:r>
    </w:p>
    <w:p>
      <w:pPr>
        <w:tabs>
          <w:tab w:val="left" w:pos="72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1.工程地址：</w:t>
      </w:r>
    </w:p>
    <w:p>
      <w:pPr>
        <w:adjustRightInd w:val="0"/>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pPr>
        <w:tabs>
          <w:tab w:val="left" w:pos="72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2.工程规模：</w:t>
      </w:r>
    </w:p>
    <w:p>
      <w:pPr>
        <w:adjustRightInd w:val="0"/>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pPr>
        <w:tabs>
          <w:tab w:val="left" w:pos="72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工期、质量及安全文明施工要求：</w:t>
      </w:r>
    </w:p>
    <w:p>
      <w:pPr>
        <w:adjustRightInd w:val="0"/>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pPr>
        <w:tabs>
          <w:tab w:val="left" w:pos="72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4.现场条件及周围环境情况：</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p>
      <w:pPr>
        <w:tabs>
          <w:tab w:val="left" w:pos="72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5.工程地质情况：</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p>
      <w:pPr>
        <w:tabs>
          <w:tab w:val="left" w:pos="72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6.工程主要部位特征：</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p>
      <w:pPr>
        <w:tabs>
          <w:tab w:val="left" w:pos="72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7.其它：</w:t>
      </w:r>
    </w:p>
    <w:p>
      <w:pPr>
        <w:tabs>
          <w:tab w:val="left" w:pos="72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p>
      <w:pPr>
        <w:adjustRightInd w:val="0"/>
        <w:snapToGrid w:val="0"/>
        <w:spacing w:line="360" w:lineRule="auto"/>
        <w:ind w:firstLine="421"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二、工程主要特点、技术要求、施工重点和难点、施工采用的新方法、新工艺和新材料等内容的介绍</w:t>
      </w:r>
    </w:p>
    <w:p>
      <w:pPr>
        <w:tabs>
          <w:tab w:val="left" w:pos="720"/>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p>
      <w:pPr>
        <w:adjustRightInd w:val="0"/>
        <w:snapToGrid w:val="0"/>
        <w:spacing w:line="360" w:lineRule="auto"/>
        <w:ind w:firstLine="421" w:firstLineChars="200"/>
        <w:rPr>
          <w:rFonts w:ascii="宋体" w:hAnsi="宋体" w:eastAsia="宋体" w:cs="宋体"/>
          <w:b/>
          <w:color w:val="auto"/>
          <w:szCs w:val="21"/>
          <w:highlight w:val="none"/>
        </w:rPr>
      </w:pPr>
    </w:p>
    <w:p>
      <w:pPr>
        <w:adjustRightInd w:val="0"/>
        <w:snapToGrid w:val="0"/>
        <w:spacing w:line="360" w:lineRule="auto"/>
        <w:ind w:firstLine="421"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三、与《招标文件》示范文本有较大变动的评标方法及主要条款的介绍</w:t>
      </w:r>
    </w:p>
    <w:p>
      <w:pPr>
        <w:tabs>
          <w:tab w:val="left" w:pos="720"/>
        </w:tabs>
        <w:adjustRightInd w:val="0"/>
        <w:snapToGrid w:val="0"/>
        <w:spacing w:line="360" w:lineRule="auto"/>
        <w:ind w:firstLine="420" w:firstLineChars="200"/>
        <w:rPr>
          <w:b/>
          <w:color w:val="auto"/>
          <w:szCs w:val="21"/>
          <w:highlight w:val="none"/>
          <w:u w:val="single"/>
        </w:rPr>
      </w:pPr>
      <w:r>
        <w:rPr>
          <w:rFonts w:hint="eastAsia" w:ascii="宋体" w:hAnsi="宋体" w:eastAsia="宋体" w:cs="宋体"/>
          <w:color w:val="auto"/>
          <w:szCs w:val="21"/>
          <w:highlight w:val="none"/>
        </w:rPr>
        <w:t>详见招标文件第三章。</w:t>
      </w:r>
      <w:r>
        <w:rPr>
          <w:color w:val="auto"/>
          <w:szCs w:val="21"/>
          <w:highlight w:val="none"/>
        </w:rPr>
        <w:br w:type="page"/>
      </w:r>
    </w:p>
    <w:p>
      <w:pPr>
        <w:adjustRightInd w:val="0"/>
        <w:snapToGrid w:val="0"/>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（二）招标投标分段限时投诉的规定</w:t>
      </w:r>
    </w:p>
    <w:p>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深圳市工程建设项目招标投标实行招标人负责制。招标人应当依法处理异议，配合行政监督部门处理投诉。</w:t>
      </w:r>
      <w:r>
        <w:rPr>
          <w:rFonts w:hint="eastAsia" w:ascii="宋体" w:hAnsi="宋体" w:eastAsia="宋体" w:cs="宋体"/>
          <w:bCs/>
          <w:color w:val="auto"/>
          <w:szCs w:val="21"/>
          <w:highlight w:val="none"/>
          <w:lang w:val="en-US" w:eastAsia="zh-CN"/>
        </w:rPr>
        <w:t>市（区）</w:t>
      </w:r>
      <w:r>
        <w:rPr>
          <w:rFonts w:hint="eastAsia" w:ascii="宋体" w:hAnsi="宋体" w:eastAsia="宋体" w:cs="宋体"/>
          <w:bCs/>
          <w:color w:val="auto"/>
          <w:szCs w:val="21"/>
          <w:highlight w:val="none"/>
        </w:rPr>
        <w:t>建设</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交通</w:t>
      </w:r>
      <w:r>
        <w:rPr>
          <w:rFonts w:hint="eastAsia" w:ascii="宋体" w:hAnsi="宋体" w:eastAsia="宋体" w:cs="宋体"/>
          <w:bCs/>
          <w:color w:val="auto"/>
          <w:szCs w:val="21"/>
          <w:highlight w:val="none"/>
        </w:rPr>
        <w:t>行政主管部门按照职责分工和监管权限，受理和处理工程建设项目招标投标投诉，对工程建设项目招标投标的异议处理进行监督。</w:t>
      </w:r>
    </w:p>
    <w:p>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投标人或者其他利害关系人认为招标投标活动不符合法律、法规和规章规定的，可以依法向招标人提出异议，或者向有关行政监督部门投诉，但就《中华人民共和国招标投标法实施条例》第二十二条、第四十四条、第五十四条规定事项进行投诉的，应当依法先向招标人提出异议。异议和投诉分别按照“书面、限时、实名”的原则进行处理。招标投标活动异议和投诉的提出期限以及处理，具体见《关于建设工程招标投标改革的若干规定》（深府</w:t>
      </w:r>
      <w:r>
        <w:rPr>
          <w:rFonts w:hint="eastAsia" w:ascii="仿宋_GB2312" w:hAnsi="仿宋_GB2312" w:eastAsia="仿宋_GB2312" w:cs="仿宋_GB2312"/>
          <w:bCs/>
          <w:color w:val="auto"/>
          <w:szCs w:val="21"/>
          <w:highlight w:val="none"/>
        </w:rPr>
        <w:t>〔</w:t>
      </w:r>
      <w:r>
        <w:rPr>
          <w:rFonts w:hint="eastAsia" w:ascii="宋体" w:hAnsi="宋体" w:eastAsia="宋体" w:cs="宋体"/>
          <w:bCs/>
          <w:color w:val="auto"/>
          <w:szCs w:val="21"/>
          <w:highlight w:val="none"/>
        </w:rPr>
        <w:t>2015</w:t>
      </w:r>
      <w:r>
        <w:rPr>
          <w:rFonts w:hint="eastAsia" w:ascii="仿宋_GB2312" w:hAnsi="仿宋_GB2312" w:eastAsia="仿宋_GB2312" w:cs="仿宋_GB2312"/>
          <w:bCs/>
          <w:color w:val="auto"/>
          <w:szCs w:val="21"/>
          <w:highlight w:val="none"/>
        </w:rPr>
        <w:t>〕</w:t>
      </w:r>
      <w:r>
        <w:rPr>
          <w:rFonts w:hint="eastAsia" w:ascii="宋体" w:hAnsi="宋体" w:eastAsia="宋体" w:cs="宋体"/>
          <w:bCs/>
          <w:color w:val="auto"/>
          <w:szCs w:val="21"/>
          <w:highlight w:val="none"/>
        </w:rPr>
        <w:t>73号）、《深圳市工程建设项目招标投标活动异议和投诉处理办法》（深建规</w:t>
      </w:r>
      <w:r>
        <w:rPr>
          <w:rFonts w:hint="eastAsia" w:ascii="仿宋_GB2312" w:hAnsi="仿宋_GB2312" w:eastAsia="仿宋_GB2312" w:cs="仿宋_GB2312"/>
          <w:bCs/>
          <w:color w:val="auto"/>
          <w:szCs w:val="21"/>
          <w:highlight w:val="none"/>
        </w:rPr>
        <w:t>〔</w:t>
      </w:r>
      <w:r>
        <w:rPr>
          <w:rFonts w:hint="eastAsia" w:ascii="宋体" w:hAnsi="宋体" w:eastAsia="宋体" w:cs="宋体"/>
          <w:bCs/>
          <w:color w:val="auto"/>
          <w:szCs w:val="21"/>
          <w:highlight w:val="none"/>
        </w:rPr>
        <w:t>2020</w:t>
      </w:r>
      <w:r>
        <w:rPr>
          <w:rFonts w:hint="eastAsia" w:ascii="仿宋_GB2312" w:hAnsi="仿宋_GB2312" w:eastAsia="仿宋_GB2312" w:cs="仿宋_GB2312"/>
          <w:bCs/>
          <w:color w:val="auto"/>
          <w:szCs w:val="21"/>
          <w:highlight w:val="none"/>
        </w:rPr>
        <w:t>〕</w:t>
      </w:r>
      <w:r>
        <w:rPr>
          <w:rFonts w:hint="eastAsia" w:ascii="宋体" w:hAnsi="宋体" w:eastAsia="宋体" w:cs="宋体"/>
          <w:bCs/>
          <w:color w:val="auto"/>
          <w:szCs w:val="21"/>
          <w:highlight w:val="none"/>
        </w:rPr>
        <w:t>16号）的规定。</w:t>
      </w:r>
    </w:p>
    <w:p>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我市已建立全市统一的工程建设项目招标投标活动异议和投诉处理电子平台（https://zjj.sz.gov.cn/xxgk/ztzl/jsjd/），对相关异议或者投诉的受理，以及答复或者处理决定的告知和公开，均在电子平台上进行，异议和投诉处理的往来资料均在电子平台永久保存。招标投标当事人及其他利害关系人凭数字证书或电子营业执照直接登录电子平台提出异议或者投诉，跟踪处理进程，签收异议答复函和投诉处理决定书。</w:t>
      </w:r>
    </w:p>
    <w:p>
      <w:pPr>
        <w:ind w:firstLine="420" w:firstLineChars="200"/>
        <w:rPr>
          <w:bCs/>
          <w:color w:val="auto"/>
          <w:szCs w:val="21"/>
          <w:highlight w:val="none"/>
        </w:rPr>
      </w:pPr>
      <w:r>
        <w:rPr>
          <w:bCs/>
          <w:color w:val="auto"/>
          <w:szCs w:val="21"/>
          <w:highlight w:val="none"/>
        </w:rPr>
        <w:br w:type="page"/>
      </w:r>
    </w:p>
    <w:p>
      <w:pPr>
        <w:adjustRightInd w:val="0"/>
        <w:snapToGrid w:val="0"/>
        <w:spacing w:line="360" w:lineRule="auto"/>
        <w:jc w:val="center"/>
        <w:outlineLvl w:val="1"/>
        <w:rPr>
          <w:rFonts w:ascii="黑体" w:hAnsi="黑体" w:eastAsia="黑体" w:cs="黑体"/>
          <w:bCs/>
          <w:color w:val="auto"/>
          <w:sz w:val="32"/>
          <w:szCs w:val="32"/>
          <w:highlight w:val="none"/>
        </w:rPr>
      </w:pPr>
      <w:bookmarkStart w:id="20" w:name="_Toc3169"/>
      <w:bookmarkStart w:id="21" w:name="_Toc5615"/>
      <w:bookmarkStart w:id="22" w:name="_Toc26379"/>
      <w:bookmarkStart w:id="23" w:name="_Toc24277"/>
      <w:bookmarkStart w:id="24" w:name="_Toc6954"/>
      <w:bookmarkStart w:id="25" w:name="_Toc28395"/>
      <w:r>
        <w:rPr>
          <w:rFonts w:hint="eastAsia" w:ascii="黑体" w:hAnsi="黑体" w:eastAsia="黑体" w:cs="黑体"/>
          <w:bCs/>
          <w:color w:val="auto"/>
          <w:sz w:val="32"/>
          <w:szCs w:val="32"/>
          <w:highlight w:val="none"/>
        </w:rPr>
        <w:t>二、投标文件否决性条款</w:t>
      </w:r>
      <w:bookmarkEnd w:id="20"/>
      <w:bookmarkEnd w:id="21"/>
      <w:bookmarkEnd w:id="22"/>
      <w:bookmarkEnd w:id="23"/>
      <w:bookmarkEnd w:id="24"/>
      <w:bookmarkEnd w:id="25"/>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【提示招标人】</w:t>
      </w:r>
      <w:r>
        <w:rPr>
          <w:rFonts w:hint="eastAsia" w:ascii="宋体" w:hAnsi="宋体" w:eastAsia="宋体" w:cs="宋体"/>
          <w:bCs/>
          <w:color w:val="auto"/>
          <w:szCs w:val="21"/>
          <w:highlight w:val="none"/>
        </w:rPr>
        <w:t>如招标文件的澄清、答疑、补充文件中增加否决性条款的，招标人应当重新编写本章节内容，将新增否决性条款列入本章节，并发布新的完整的《投标文件否决性条款》。否则，增加的否决性条款无效。</w:t>
      </w:r>
    </w:p>
    <w:p>
      <w:pPr>
        <w:adjustRightInd w:val="0"/>
        <w:snapToGrid w:val="0"/>
        <w:spacing w:line="360" w:lineRule="auto"/>
        <w:ind w:firstLine="421" w:firstLineChars="200"/>
        <w:rPr>
          <w:rFonts w:ascii="宋体" w:hAnsi="宋体" w:eastAsia="宋体" w:cs="宋体"/>
          <w:bCs/>
          <w:color w:val="auto"/>
          <w:szCs w:val="21"/>
          <w:highlight w:val="none"/>
        </w:rPr>
      </w:pPr>
      <w:r>
        <w:rPr>
          <w:rFonts w:hint="eastAsia" w:ascii="宋体" w:hAnsi="宋体" w:eastAsia="宋体" w:cs="宋体"/>
          <w:b/>
          <w:bCs/>
          <w:color w:val="auto"/>
          <w:szCs w:val="21"/>
          <w:highlight w:val="none"/>
        </w:rPr>
        <w:t>【提示投标人和评标委员会】</w:t>
      </w:r>
      <w:r>
        <w:rPr>
          <w:rFonts w:hint="eastAsia" w:ascii="宋体" w:hAnsi="宋体" w:eastAsia="宋体" w:cs="宋体"/>
          <w:bCs/>
          <w:color w:val="auto"/>
          <w:szCs w:val="21"/>
          <w:highlight w:val="none"/>
        </w:rPr>
        <w:t>本章节是本工程招标文件（含招标文件的澄清、补充文件等）中涉及的所有否决性条款，否决性条款包括：招标文件不予受理（开标阶段）、无效标（初步评审）、废标（详细评审）条款。除出现以下情形外，投标文件的其他任何情形均不得作否决处理。招标文件中有关否决性条款的阐述与本章节不一致的，以本章节内容为准。</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（一）开标阶段不予受理的情形：（由招标人或其委派人员负责判定）</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逾期提交投标文件的；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2.资格审查不合格的；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rPr>
        <w:t>投标文件中各电子投标文件未加签有效数字证书或电子营业执照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以及企业法定代表人数字证书</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4.</w:t>
      </w:r>
      <w:r>
        <w:rPr>
          <w:rFonts w:hint="eastAsia" w:ascii="宋体" w:hAnsi="宋体" w:eastAsia="宋体" w:cs="宋体"/>
          <w:color w:val="auto"/>
          <w:szCs w:val="21"/>
          <w:highlight w:val="none"/>
        </w:rPr>
        <w:t>投标文件的投标报价高于公布招标控制价或投标报价上限的；</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5.投标文件承诺的工期超过招标文件中工期要求的；</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6.项目经理（建造师）被建设行政主管部门给予红色警示且在警示期内的；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7.投标人提交的电子标书格式不符合招标文件要求或开标后无法在交易平台读取导入的；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8.组成联合体投标时，未提交联合体共同投标协议书的；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9.联合体各方在同一招标项目中以自己名义单独投标或者参加其他联合体投标的；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10.单位负责人为同一人或者存在控股、管理关系的不同单位提交投标文件的，在资格审查阶段，当部分相关单位自愿退出后仍有两家或两家以上要求继续进入后续招投标环节的；</w:t>
      </w:r>
    </w:p>
    <w:p>
      <w:pPr>
        <w:adjustRightInd w:val="0"/>
        <w:snapToGrid w:val="0"/>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11.</w:t>
      </w:r>
      <w:r>
        <w:rPr>
          <w:rFonts w:hint="eastAsia" w:ascii="宋体" w:hAnsi="宋体" w:eastAsia="宋体" w:cs="宋体"/>
          <w:bCs/>
          <w:color w:val="auto"/>
          <w:szCs w:val="21"/>
          <w:highlight w:val="none"/>
        </w:rPr>
        <w:t>未按招标文件要求提交投标担保的；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bCs/>
          <w:color w:val="auto"/>
          <w:szCs w:val="21"/>
          <w:highlight w:val="none"/>
        </w:rPr>
        <w:t>投标人或相关</w:t>
      </w:r>
      <w:r>
        <w:rPr>
          <w:rFonts w:hint="eastAsia" w:ascii="宋体" w:hAnsi="宋体" w:eastAsia="宋体" w:cs="宋体"/>
          <w:bCs/>
          <w:color w:val="auto"/>
          <w:szCs w:val="21"/>
          <w:highlight w:val="none"/>
          <w:lang w:val="en-US" w:eastAsia="zh-CN"/>
        </w:rPr>
        <w:t>从业</w:t>
      </w:r>
      <w:r>
        <w:rPr>
          <w:rFonts w:hint="eastAsia" w:ascii="宋体" w:hAnsi="宋体" w:eastAsia="宋体" w:cs="宋体"/>
          <w:bCs/>
          <w:color w:val="auto"/>
          <w:szCs w:val="21"/>
          <w:highlight w:val="none"/>
        </w:rPr>
        <w:t>人员具有下列情形之一的：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12.1近3年内（从招标公告发布之日起倒算）投标人或者其法定代表人有行贿犯罪记录的；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12.2近1年内（从截标之日起倒算）因串通投标、转包、以他人名义投标或者违法分包等违法行为受到建设、交通或者财政部门行政处罚的；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12.3因违反工程质量、安全生产管理规定等原因被建设部门给予红色警示且在警示期内的；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12.4拖欠工人工资被有关部门责令改正而未改正的；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12.5依法应当拒绝投标的其他情形；</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sym w:font="Wingdings 2" w:char="00A3"/>
      </w:r>
      <w:r>
        <w:rPr>
          <w:rFonts w:hint="eastAsia" w:ascii="宋体" w:hAnsi="宋体" w:eastAsia="宋体" w:cs="宋体"/>
          <w:color w:val="auto"/>
          <w:szCs w:val="21"/>
          <w:highlight w:val="none"/>
        </w:rPr>
        <w:t>根据《关于建设工程招标投标改革的若干规定》（深府〔2015〕</w:t>
      </w:r>
      <w:r>
        <w:rPr>
          <w:rFonts w:ascii="宋体" w:hAnsi="宋体" w:eastAsia="宋体" w:cs="宋体"/>
          <w:color w:val="auto"/>
          <w:szCs w:val="21"/>
          <w:highlight w:val="none"/>
        </w:rPr>
        <w:t>73</w:t>
      </w:r>
      <w:r>
        <w:rPr>
          <w:rFonts w:hint="eastAsia" w:ascii="宋体" w:hAnsi="宋体" w:eastAsia="宋体" w:cs="宋体"/>
          <w:color w:val="auto"/>
          <w:szCs w:val="21"/>
          <w:highlight w:val="none"/>
        </w:rPr>
        <w:t>号）的规定，招标人可以拒绝下列情形之一的企业或者从业人员参与投标，勾选后本次招标下述</w:t>
      </w:r>
      <w:r>
        <w:rPr>
          <w:rFonts w:ascii="宋体" w:hAnsi="宋体" w:eastAsia="宋体" w:cs="宋体"/>
          <w:color w:val="auto"/>
          <w:szCs w:val="21"/>
          <w:highlight w:val="none"/>
        </w:rPr>
        <w:t>12.6</w:t>
      </w:r>
      <w:r>
        <w:rPr>
          <w:rFonts w:hint="eastAsia" w:ascii="宋体" w:hAnsi="宋体" w:eastAsia="宋体" w:cs="宋体"/>
          <w:color w:val="auto"/>
          <w:szCs w:val="21"/>
          <w:highlight w:val="none"/>
        </w:rPr>
        <w:t>至</w:t>
      </w:r>
      <w:r>
        <w:rPr>
          <w:rFonts w:ascii="宋体" w:hAnsi="宋体" w:eastAsia="宋体" w:cs="宋体"/>
          <w:color w:val="auto"/>
          <w:szCs w:val="21"/>
          <w:highlight w:val="none"/>
        </w:rPr>
        <w:t>12.9</w:t>
      </w:r>
      <w:r>
        <w:rPr>
          <w:rFonts w:hint="eastAsia" w:ascii="宋体" w:hAnsi="宋体" w:eastAsia="宋体" w:cs="宋体"/>
          <w:color w:val="auto"/>
          <w:szCs w:val="21"/>
          <w:highlight w:val="none"/>
        </w:rPr>
        <w:t>条款生效：</w:t>
      </w:r>
    </w:p>
    <w:p>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12.6</w:t>
      </w:r>
      <w:r>
        <w:rPr>
          <w:rFonts w:hint="eastAsia" w:ascii="宋体" w:hAnsi="宋体" w:eastAsia="宋体" w:cs="宋体"/>
          <w:color w:val="auto"/>
          <w:szCs w:val="21"/>
          <w:highlight w:val="none"/>
        </w:rPr>
        <w:t>被建设或者交通部门信用评价为红色且正处在信用评价结果公示期内的；</w:t>
      </w:r>
    </w:p>
    <w:p>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12.7</w:t>
      </w:r>
      <w:r>
        <w:rPr>
          <w:rFonts w:hint="eastAsia" w:ascii="宋体" w:hAnsi="宋体" w:eastAsia="宋体" w:cs="宋体"/>
          <w:color w:val="auto"/>
          <w:szCs w:val="21"/>
          <w:highlight w:val="none"/>
        </w:rPr>
        <w:t>近</w:t>
      </w:r>
      <w:r>
        <w:rPr>
          <w:rFonts w:ascii="宋体" w:hAnsi="宋体" w:eastAsia="宋体" w:cs="宋体"/>
          <w:color w:val="auto"/>
          <w:szCs w:val="21"/>
          <w:highlight w:val="none"/>
        </w:rPr>
        <w:t>3</w:t>
      </w:r>
      <w:r>
        <w:rPr>
          <w:rFonts w:hint="eastAsia" w:ascii="宋体" w:hAnsi="宋体" w:eastAsia="宋体" w:cs="宋体"/>
          <w:color w:val="auto"/>
          <w:szCs w:val="21"/>
          <w:highlight w:val="none"/>
        </w:rPr>
        <w:t>年内（从截标之日起倒算）曾被本项目招标人履约评价为不合格的；</w:t>
      </w:r>
    </w:p>
    <w:p>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12.8</w:t>
      </w:r>
      <w:r>
        <w:rPr>
          <w:rFonts w:hint="eastAsia" w:ascii="宋体" w:hAnsi="宋体" w:eastAsia="宋体" w:cs="宋体"/>
          <w:color w:val="auto"/>
          <w:szCs w:val="21"/>
          <w:highlight w:val="none"/>
        </w:rPr>
        <w:t>近</w:t>
      </w:r>
      <w:r>
        <w:rPr>
          <w:rFonts w:ascii="宋体" w:hAnsi="宋体" w:eastAsia="宋体" w:cs="宋体"/>
          <w:color w:val="auto"/>
          <w:szCs w:val="21"/>
          <w:highlight w:val="none"/>
        </w:rPr>
        <w:t>2</w:t>
      </w:r>
      <w:r>
        <w:rPr>
          <w:rFonts w:hint="eastAsia" w:ascii="宋体" w:hAnsi="宋体" w:eastAsia="宋体" w:cs="宋体"/>
          <w:color w:val="auto"/>
          <w:szCs w:val="21"/>
          <w:highlight w:val="none"/>
        </w:rPr>
        <w:t>年内（从截标之日起倒算）曾有放弃中标资格、拒不签订合同、拒不提供履约担保情形的；</w:t>
      </w:r>
    </w:p>
    <w:p>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12.9</w:t>
      </w:r>
      <w:r>
        <w:rPr>
          <w:rFonts w:hint="eastAsia" w:ascii="宋体" w:hAnsi="宋体" w:eastAsia="宋体" w:cs="宋体"/>
          <w:color w:val="auto"/>
          <w:szCs w:val="21"/>
          <w:highlight w:val="none"/>
        </w:rPr>
        <w:t>因违反工程质量、安全生产管理规定，或者因串通投标、转包、以他人名义投标或者违法分包等违法行为，正在接受建设、交通或者财政部门立案调查的；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sym w:font="Wingdings 2" w:char="00A3"/>
      </w:r>
      <w:r>
        <w:rPr>
          <w:rFonts w:hint="eastAsia" w:ascii="宋体" w:hAnsi="宋体" w:eastAsia="宋体" w:cs="宋体"/>
          <w:color w:val="auto"/>
          <w:szCs w:val="21"/>
          <w:highlight w:val="none"/>
        </w:rPr>
        <w:t>根据《深圳市</w:t>
      </w:r>
      <w:r>
        <w:rPr>
          <w:rFonts w:ascii="宋体" w:hAnsi="宋体" w:eastAsia="宋体" w:cs="宋体"/>
          <w:color w:val="auto"/>
          <w:szCs w:val="21"/>
          <w:highlight w:val="none"/>
        </w:rPr>
        <w:t>“</w:t>
      </w:r>
      <w:r>
        <w:rPr>
          <w:rFonts w:hint="eastAsia" w:ascii="宋体" w:hAnsi="宋体" w:eastAsia="宋体" w:cs="宋体"/>
          <w:color w:val="auto"/>
          <w:szCs w:val="21"/>
          <w:highlight w:val="none"/>
        </w:rPr>
        <w:t>十四五</w:t>
      </w:r>
      <w:r>
        <w:rPr>
          <w:rFonts w:ascii="宋体" w:hAnsi="宋体" w:eastAsia="宋体" w:cs="宋体"/>
          <w:color w:val="auto"/>
          <w:szCs w:val="21"/>
          <w:highlight w:val="none"/>
        </w:rPr>
        <w:t>”</w:t>
      </w:r>
      <w:r>
        <w:rPr>
          <w:rFonts w:hint="eastAsia" w:ascii="宋体" w:hAnsi="宋体" w:eastAsia="宋体" w:cs="宋体"/>
          <w:color w:val="auto"/>
          <w:szCs w:val="21"/>
          <w:highlight w:val="none"/>
        </w:rPr>
        <w:t>时期</w:t>
      </w:r>
      <w:r>
        <w:rPr>
          <w:rFonts w:ascii="宋体" w:hAnsi="宋体" w:eastAsia="宋体" w:cs="宋体"/>
          <w:color w:val="auto"/>
          <w:szCs w:val="21"/>
          <w:highlight w:val="none"/>
        </w:rPr>
        <w:t>“</w:t>
      </w:r>
      <w:r>
        <w:rPr>
          <w:rFonts w:hint="eastAsia" w:ascii="宋体" w:hAnsi="宋体" w:eastAsia="宋体" w:cs="宋体"/>
          <w:color w:val="auto"/>
          <w:szCs w:val="21"/>
          <w:highlight w:val="none"/>
        </w:rPr>
        <w:t>无废城市</w:t>
      </w:r>
      <w:r>
        <w:rPr>
          <w:rFonts w:ascii="宋体" w:hAnsi="宋体" w:eastAsia="宋体" w:cs="宋体"/>
          <w:color w:val="auto"/>
          <w:szCs w:val="21"/>
          <w:highlight w:val="none"/>
        </w:rPr>
        <w:t>”</w:t>
      </w:r>
      <w:r>
        <w:rPr>
          <w:rFonts w:hint="eastAsia" w:ascii="宋体" w:hAnsi="宋体" w:eastAsia="宋体" w:cs="宋体"/>
          <w:color w:val="auto"/>
          <w:szCs w:val="21"/>
          <w:highlight w:val="none"/>
        </w:rPr>
        <w:t>建设工作建筑废弃物治理领域实施方案》的规定，招标人可以拒绝下列情形的企业参与投标，勾选后</w:t>
      </w:r>
      <w:r>
        <w:rPr>
          <w:rFonts w:ascii="宋体" w:hAnsi="宋体" w:eastAsia="宋体" w:cs="宋体"/>
          <w:color w:val="auto"/>
          <w:szCs w:val="21"/>
          <w:highlight w:val="none"/>
        </w:rPr>
        <w:t>12.10</w:t>
      </w:r>
      <w:r>
        <w:rPr>
          <w:rFonts w:hint="eastAsia" w:ascii="宋体" w:hAnsi="宋体" w:eastAsia="宋体" w:cs="宋体"/>
          <w:color w:val="auto"/>
          <w:szCs w:val="21"/>
          <w:highlight w:val="none"/>
        </w:rPr>
        <w:t>条款生效：</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12.10</w:t>
      </w:r>
      <w:r>
        <w:rPr>
          <w:rFonts w:hint="eastAsia" w:ascii="宋体" w:hAnsi="宋体" w:eastAsia="宋体" w:cs="宋体"/>
          <w:color w:val="auto"/>
          <w:szCs w:val="21"/>
          <w:highlight w:val="none"/>
        </w:rPr>
        <w:t>近</w:t>
      </w:r>
      <w:r>
        <w:rPr>
          <w:rFonts w:ascii="宋体" w:hAnsi="宋体" w:eastAsia="宋体" w:cs="宋体"/>
          <w:color w:val="auto"/>
          <w:szCs w:val="21"/>
          <w:highlight w:val="none"/>
        </w:rPr>
        <w:t>1</w:t>
      </w:r>
      <w:r>
        <w:rPr>
          <w:rFonts w:hint="eastAsia" w:ascii="宋体" w:hAnsi="宋体" w:eastAsia="宋体" w:cs="宋体"/>
          <w:color w:val="auto"/>
          <w:szCs w:val="21"/>
          <w:highlight w:val="none"/>
        </w:rPr>
        <w:t>年内（从截标之日起倒算）因未经核准排放建筑废弃物、未按核准内容处置建筑废弃物（使用未备案车辆运输建筑废弃物行为），涂改、倒卖、出租、出借或者以其他形式非法转让建筑废弃物排放核准文件，受到住建、交通、水务部门行政处罚的。</w:t>
      </w:r>
    </w:p>
    <w:p>
      <w:pPr>
        <w:adjustRightInd w:val="0"/>
        <w:snapToGrid w:val="0"/>
        <w:spacing w:line="360" w:lineRule="auto"/>
        <w:ind w:firstLine="421"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（二）评标阶段有关无效标的情形：</w:t>
      </w:r>
      <w:r>
        <w:rPr>
          <w:rFonts w:hint="eastAsia" w:ascii="宋体" w:hAnsi="宋体" w:eastAsia="宋体" w:cs="宋体"/>
          <w:b/>
          <w:bCs/>
          <w:color w:val="auto"/>
          <w:szCs w:val="21"/>
          <w:highlight w:val="none"/>
        </w:rPr>
        <w:t>（由评标委员会负责判定）</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1.计算机评标系统对电子标书进行自动清标分析，出现下列情形之一的</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1.1投标人的清单和招标文件清单不一致情形的；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1.2投标报价中擅自修改招标文件（包括补遗文件、招标控制价文件）中规定不可竞争的固定单价或合价的，如安全文明措施费、</w:t>
      </w:r>
      <w:r>
        <w:rPr>
          <w:rFonts w:hint="eastAsia" w:ascii="宋体" w:hAnsi="宋体" w:eastAsia="宋体" w:cs="宋体"/>
          <w:color w:val="auto"/>
          <w:szCs w:val="21"/>
          <w:highlight w:val="none"/>
          <w:lang w:val="en-US" w:eastAsia="zh-CN"/>
        </w:rPr>
        <w:t>暂列金额、</w:t>
      </w:r>
      <w:r>
        <w:rPr>
          <w:rFonts w:hint="eastAsia" w:ascii="宋体" w:hAnsi="宋体" w:eastAsia="宋体" w:cs="宋体"/>
          <w:color w:val="auto"/>
          <w:szCs w:val="21"/>
          <w:highlight w:val="none"/>
        </w:rPr>
        <w:t>专业工程暂估价、材料设备暂估价、优质优价奖励费等；</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1.3投标报价中规费取费超过现行《深圳市建设工程计价费率标准》的费率参考范围的；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2.投标人以他人的名义投标或出现下列串通投标、弄虚作假投标嫌疑情形之一的：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2.1投标人在投标文件商务标书上电子签名的造价工程师与其他投标人在投标文件商务标书上电子签名的造价工程师为同一人的；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2.2不同投标人的投标文件内容存在非正常一致的；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2.3不同投标人的投标文件错漏之处一致的；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2.4不同投标人的投标报价或者报价组成异常一致或者呈规律性变化的；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2.5不同投标人的投标文件由同一单位或者同一个人编制的；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2.6不同投标人的投标文件载明的项目管理机构成员出现同一人的；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2.7不同投标人的投标文件相互混装的；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2.8不同投标人的投标文件由同一台电脑编制的；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 不同投标人聘请同一人为其投标提供技术或者经济咨询服务的，但招标工程本身要求采用专有技术的除外；</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2.10评标委员会认定的其他串通投标情形；</w:t>
      </w:r>
    </w:p>
    <w:p>
      <w:pPr>
        <w:tabs>
          <w:tab w:val="left" w:pos="6285"/>
        </w:tabs>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3、投标人资格条件不符合国家有关规定和招标文件要求的；</w:t>
      </w:r>
    </w:p>
    <w:p>
      <w:pPr>
        <w:tabs>
          <w:tab w:val="left" w:pos="6285"/>
        </w:tabs>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（三）评标阶段有关废标的情形：（由评标委员会负责判定）</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1、投标文件中存在明显不符合技术规范、技术标准、工程量清单计价规范强制性条文内容的；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2、技术标经评标委员会评审为不合格的；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3、投标人拒不按照评标委员会要求对投标文件进行澄清、说明、补正的；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4、投标人未承诺按照《深圳市建设工程安全文明施工标准》实施安全文明施工和信息化管理要求的；</w:t>
      </w:r>
    </w:p>
    <w:p>
      <w:pPr>
        <w:adjustRightInd w:val="0"/>
        <w:snapToGrid w:val="0"/>
        <w:spacing w:line="360" w:lineRule="auto"/>
        <w:ind w:firstLine="421"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（招标人对上述内容有修改或补充的，以下述条款为准）</w:t>
      </w:r>
    </w:p>
    <w:p>
      <w:pPr>
        <w:adjustRightInd w:val="0"/>
        <w:snapToGrid w:val="0"/>
        <w:spacing w:line="360" w:lineRule="auto"/>
        <w:ind w:firstLine="421"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（四）招标人补充的投标文件不予受理的情形：</w:t>
      </w:r>
    </w:p>
    <w:p>
      <w:pPr>
        <w:adjustRightInd w:val="0"/>
        <w:snapToGrid w:val="0"/>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u w:val="single"/>
        </w:rPr>
        <w:t xml:space="preserve">      </w:t>
      </w:r>
    </w:p>
    <w:p>
      <w:pPr>
        <w:adjustRightInd w:val="0"/>
        <w:snapToGrid w:val="0"/>
        <w:spacing w:line="360" w:lineRule="auto"/>
        <w:ind w:firstLine="421"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（五）招标人补充的无效标情形：</w:t>
      </w:r>
    </w:p>
    <w:p>
      <w:pPr>
        <w:adjustRightInd w:val="0"/>
        <w:snapToGrid w:val="0"/>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u w:val="single"/>
        </w:rPr>
        <w:t xml:space="preserve">      </w:t>
      </w:r>
    </w:p>
    <w:p>
      <w:pPr>
        <w:adjustRightInd w:val="0"/>
        <w:snapToGrid w:val="0"/>
        <w:spacing w:line="360" w:lineRule="auto"/>
        <w:ind w:firstLine="421"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（六）招标人补充的废标情形：</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br w:type="page"/>
      </w:r>
    </w:p>
    <w:p>
      <w:pPr>
        <w:adjustRightInd w:val="0"/>
        <w:snapToGrid w:val="0"/>
        <w:spacing w:line="360" w:lineRule="auto"/>
        <w:jc w:val="center"/>
        <w:outlineLvl w:val="1"/>
        <w:rPr>
          <w:rFonts w:ascii="黑体" w:hAnsi="黑体" w:eastAsia="黑体" w:cs="黑体"/>
          <w:bCs/>
          <w:color w:val="auto"/>
          <w:sz w:val="32"/>
          <w:szCs w:val="32"/>
          <w:highlight w:val="none"/>
        </w:rPr>
      </w:pPr>
      <w:bookmarkStart w:id="26" w:name="_Toc20415"/>
      <w:bookmarkStart w:id="27" w:name="_Toc30721"/>
      <w:bookmarkStart w:id="28" w:name="_Toc20602"/>
      <w:bookmarkStart w:id="29" w:name="_Toc582"/>
      <w:bookmarkStart w:id="30" w:name="_Toc32026"/>
      <w:bookmarkStart w:id="31" w:name="_Toc12455"/>
      <w:r>
        <w:rPr>
          <w:rFonts w:hint="eastAsia" w:ascii="黑体" w:hAnsi="黑体" w:eastAsia="黑体" w:cs="黑体"/>
          <w:bCs/>
          <w:color w:val="auto"/>
          <w:sz w:val="32"/>
          <w:szCs w:val="32"/>
          <w:highlight w:val="none"/>
        </w:rPr>
        <w:t>三、招投标须知正文</w:t>
      </w:r>
      <w:bookmarkEnd w:id="26"/>
      <w:bookmarkEnd w:id="27"/>
      <w:bookmarkEnd w:id="28"/>
      <w:bookmarkEnd w:id="29"/>
      <w:bookmarkEnd w:id="30"/>
      <w:bookmarkEnd w:id="31"/>
    </w:p>
    <w:p>
      <w:pPr>
        <w:pStyle w:val="4"/>
        <w:keepNext w:val="0"/>
        <w:keepLines w:val="0"/>
        <w:widowControl w:val="0"/>
        <w:tabs>
          <w:tab w:val="left" w:pos="720"/>
          <w:tab w:val="left" w:pos="4032"/>
        </w:tabs>
        <w:adjustRightInd w:val="0"/>
        <w:snapToGrid w:val="0"/>
        <w:spacing w:before="0" w:after="0" w:line="360" w:lineRule="auto"/>
        <w:jc w:val="center"/>
        <w:rPr>
          <w:rFonts w:eastAsia="宋体"/>
          <w:b/>
          <w:bCs w:val="0"/>
          <w:color w:val="auto"/>
          <w:sz w:val="32"/>
          <w:highlight w:val="none"/>
          <w:lang w:val="en-US"/>
        </w:rPr>
      </w:pPr>
      <w:bookmarkStart w:id="32" w:name="_Toc19475"/>
      <w:bookmarkStart w:id="33" w:name="_Toc26516"/>
      <w:bookmarkStart w:id="34" w:name="_Toc27402"/>
      <w:bookmarkStart w:id="35" w:name="_Toc18763"/>
      <w:bookmarkStart w:id="36" w:name="_Toc10499"/>
      <w:bookmarkStart w:id="37" w:name="_Toc6654"/>
      <w:r>
        <w:rPr>
          <w:rFonts w:hint="eastAsia" w:eastAsia="宋体"/>
          <w:b/>
          <w:bCs w:val="0"/>
          <w:color w:val="auto"/>
          <w:sz w:val="32"/>
          <w:highlight w:val="none"/>
          <w:lang w:val="en-US"/>
        </w:rPr>
        <w:t>（一）招标</w:t>
      </w:r>
      <w:bookmarkEnd w:id="32"/>
      <w:bookmarkEnd w:id="33"/>
      <w:bookmarkEnd w:id="34"/>
      <w:bookmarkEnd w:id="35"/>
      <w:bookmarkEnd w:id="36"/>
      <w:bookmarkEnd w:id="37"/>
    </w:p>
    <w:p>
      <w:pPr>
        <w:adjustRightInd w:val="0"/>
        <w:snapToGrid w:val="0"/>
        <w:spacing w:line="360" w:lineRule="auto"/>
        <w:ind w:firstLine="408" w:firstLineChars="194"/>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1.工程规模和特征</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1.1工程规模和特征见招标文件所述（详见第七章-图纸、第八章-工程量清单）。</w:t>
      </w:r>
    </w:p>
    <w:p>
      <w:pPr>
        <w:adjustRightInd w:val="0"/>
        <w:snapToGrid w:val="0"/>
        <w:spacing w:line="360" w:lineRule="auto"/>
        <w:ind w:firstLine="408" w:firstLineChars="194"/>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2.招标范围</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2.1本次招标的工程项目见招标文件所述（详见第七章-图纸、第八章-工程量清单）。</w:t>
      </w:r>
    </w:p>
    <w:p>
      <w:pPr>
        <w:adjustRightInd w:val="0"/>
        <w:snapToGrid w:val="0"/>
        <w:spacing w:line="360" w:lineRule="auto"/>
        <w:ind w:firstLine="408" w:firstLineChars="194"/>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3.资金来源</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3.1资金来源包括政府、国企、私企、集体、外资和其他资金。</w:t>
      </w:r>
    </w:p>
    <w:p>
      <w:pPr>
        <w:adjustRightInd w:val="0"/>
        <w:snapToGrid w:val="0"/>
        <w:spacing w:line="360" w:lineRule="auto"/>
        <w:ind w:firstLine="408" w:firstLineChars="194"/>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4.工程质量</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4.1本工程的质量标准见前附表及第六章标准、规范和技术要求所述。</w:t>
      </w:r>
    </w:p>
    <w:p>
      <w:pPr>
        <w:adjustRightInd w:val="0"/>
        <w:snapToGrid w:val="0"/>
        <w:spacing w:line="360" w:lineRule="auto"/>
        <w:ind w:firstLine="408" w:firstLineChars="194"/>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5.工期要求</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5.1标准工期（指按《深圳市建设工程施工工期标准》计算出的本工程工期）</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5.2计划施工总工期不超过日历天，对比标准工期压缩比例为%（压缩比例=1-施工总工期/标准工期，不得为负值）</w:t>
      </w:r>
    </w:p>
    <w:p>
      <w:pPr>
        <w:adjustRightInd w:val="0"/>
        <w:snapToGrid w:val="0"/>
        <w:spacing w:line="360" w:lineRule="auto"/>
        <w:ind w:firstLine="408" w:firstLineChars="194"/>
        <w:rPr>
          <w:rFonts w:ascii="宋体" w:hAnsi="宋体" w:eastAsia="宋体" w:cs="宋体"/>
          <w:b/>
          <w:bCs/>
          <w:color w:val="auto"/>
          <w:szCs w:val="21"/>
          <w:highlight w:val="none"/>
        </w:rPr>
      </w:pPr>
      <w:r>
        <w:rPr>
          <w:rFonts w:hint="eastAsia" w:ascii="宋体" w:hAnsi="宋体" w:eastAsia="宋体" w:cs="宋体"/>
          <w:b/>
          <w:bCs/>
          <w:color w:val="auto"/>
          <w:szCs w:val="21"/>
          <w:highlight w:val="none"/>
        </w:rPr>
        <w:t>6.投标人要求</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6.1招标人应当按照国家相关资质管理规定设置资质等级。涉及多项资质的，应当允许联合体投标。</w:t>
      </w:r>
    </w:p>
    <w:p>
      <w:pPr>
        <w:adjustRightInd w:val="0"/>
        <w:snapToGrid w:val="0"/>
        <w:spacing w:line="360" w:lineRule="auto"/>
        <w:ind w:firstLine="408" w:firstLineChars="194"/>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7.投标人业绩要求</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7.1招标人应按照73号文相关规定设置业绩要求</w:t>
      </w:r>
    </w:p>
    <w:p>
      <w:pPr>
        <w:adjustRightInd w:val="0"/>
        <w:snapToGrid w:val="0"/>
        <w:spacing w:line="360" w:lineRule="auto"/>
        <w:ind w:firstLine="408" w:firstLineChars="194"/>
        <w:rPr>
          <w:rFonts w:ascii="宋体" w:hAnsi="宋体" w:eastAsia="宋体" w:cs="宋体"/>
          <w:b/>
          <w:bCs/>
          <w:color w:val="auto"/>
          <w:szCs w:val="21"/>
          <w:highlight w:val="none"/>
        </w:rPr>
      </w:pPr>
      <w:r>
        <w:rPr>
          <w:rFonts w:hint="eastAsia" w:ascii="宋体" w:hAnsi="宋体" w:eastAsia="宋体" w:cs="宋体"/>
          <w:b/>
          <w:bCs/>
          <w:color w:val="auto"/>
          <w:szCs w:val="21"/>
          <w:highlight w:val="none"/>
        </w:rPr>
        <w:t>8.投标人项目经理（建造师）要求</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8.1招标人应当按照《注册建造师管理规定》进行设置。</w:t>
      </w:r>
    </w:p>
    <w:p>
      <w:pPr>
        <w:adjustRightInd w:val="0"/>
        <w:snapToGrid w:val="0"/>
        <w:spacing w:line="360" w:lineRule="auto"/>
        <w:ind w:firstLine="408" w:firstLineChars="194"/>
        <w:rPr>
          <w:rFonts w:ascii="宋体" w:hAnsi="宋体" w:eastAsia="宋体" w:cs="宋体"/>
          <w:b/>
          <w:bCs/>
          <w:color w:val="auto"/>
          <w:szCs w:val="21"/>
          <w:highlight w:val="none"/>
        </w:rPr>
      </w:pPr>
      <w:r>
        <w:rPr>
          <w:rFonts w:hint="eastAsia" w:ascii="宋体" w:hAnsi="宋体" w:eastAsia="宋体" w:cs="宋体"/>
          <w:b/>
          <w:bCs/>
          <w:color w:val="auto"/>
          <w:szCs w:val="21"/>
          <w:highlight w:val="none"/>
        </w:rPr>
        <w:t>9.踏勘现场</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9.1招标人不集中组织投标现场踏勘，投标人需要了解现场情况的，可自行进行现场踏勘。踏勘现场所发生的费用由投标人自己承担。</w:t>
      </w:r>
    </w:p>
    <w:p>
      <w:pPr>
        <w:adjustRightInd w:val="0"/>
        <w:snapToGrid w:val="0"/>
        <w:spacing w:line="360" w:lineRule="auto"/>
        <w:ind w:firstLine="408" w:firstLineChars="194"/>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10.招标控制价</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10.1招标人将在截标前5日之前，公示审定招标控制价、投标报价上限、各项不可竞争费（如：安全文明施工费、暂列金额、专业工程暂估价、材料设备暂估价、优质优价奖励费，以及其它不可竞争费）的具体数值。</w:t>
      </w:r>
    </w:p>
    <w:p>
      <w:pPr>
        <w:adjustRightInd w:val="0"/>
        <w:snapToGrid w:val="0"/>
        <w:spacing w:line="360" w:lineRule="auto"/>
        <w:ind w:firstLine="408" w:firstLineChars="194"/>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11.招标文件的澄清、答疑</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11.1招标人按法律法规规定时限在交易网发布招标文件的澄清（答疑）纪要、修改（补充）函件。澄清（答疑）纪要、修改（补充）函件均是招标文件的组成部分，对招标人投标人起约束作用。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11.2招标人按法律法规的规定时限在交易网发布补遗文件。</w:t>
      </w:r>
    </w:p>
    <w:p>
      <w:pPr>
        <w:adjustRightInd w:val="0"/>
        <w:snapToGrid w:val="0"/>
        <w:spacing w:line="360" w:lineRule="auto"/>
        <w:ind w:firstLine="421"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12.招标文件的修改</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12.1招标文件发布后，在法律法规规定时限内，确需要变更招标文件内容的，招标人可主动或在解答投标人提出的澄清问题时对招标文件进行修改，并同时报建设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交通</w:t>
      </w:r>
      <w:r>
        <w:rPr>
          <w:rFonts w:hint="eastAsia" w:ascii="宋体" w:hAnsi="宋体" w:eastAsia="宋体" w:cs="宋体"/>
          <w:color w:val="auto"/>
          <w:szCs w:val="21"/>
          <w:highlight w:val="none"/>
        </w:rPr>
        <w:t>行政主管部门备案。招标人对工程量清单作出变更，要重新制作商务标电子招标文件和送审招标控制价文件，对评标方法、评审项目等重要评审内容作出变更，要重新制作技术标电子招标文件，对送审招标控制价作出变更，要重新制作送审招标控制价文件，并重新备案，同时发布补遗文件进行说明，便于各投标人及时重新下载最新的电子招标文件和送审招标控制价文件编制电子投标文件。</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12.2招标文件和送审招标控制价文件的修改将在交易网发布，招标文件的修改作为招标文件的组成部分，并具有约束力。投标人应在截标时间前随时查看有关该工程招标文件的答疑、补遗内容。否则，由此引起的投标损失自负。</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12.3招标文件、招标文件澄清（答疑）纪要、招标文件修改（补充）文件内容均以网上发布的为准。当招标文件、澄清（答疑）纪要、修改（补充）函件内容相互矛盾时，以最后发出的为准。但是澄清（答疑）纪要、修改（补充）函件中存在否决性条款时，须由招标人重新编写《投标文件否决性条款》，将列入所增加的否决性条款。否则，仍应以先前发出的《投标文件否决性条款》为准，新增加的否决性条款无效。</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12.4招标人保证招标文件澄清（答疑）纪要、招标文件修改（补充）文件在法律法规的规定时限前在交易网发布。为使投标人在编写投标文件时有充分时间对招标文件的修改（补充）部分进行研究，招标人可以酌情延长递交投标文件的截止日期，具体时间将在修改（补充）文件中明确。</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12.5在招标文件确定的提交投标文件截止时间后，招标人不得再变更或修改招标文件确定的评标及定标方法。</w:t>
      </w:r>
    </w:p>
    <w:p>
      <w:pPr>
        <w:pStyle w:val="4"/>
        <w:keepNext w:val="0"/>
        <w:keepLines w:val="0"/>
        <w:widowControl w:val="0"/>
        <w:tabs>
          <w:tab w:val="left" w:pos="720"/>
          <w:tab w:val="left" w:pos="4032"/>
        </w:tabs>
        <w:adjustRightInd w:val="0"/>
        <w:snapToGrid w:val="0"/>
        <w:spacing w:before="0" w:after="0" w:line="360" w:lineRule="auto"/>
        <w:jc w:val="center"/>
        <w:rPr>
          <w:rFonts w:eastAsia="宋体"/>
          <w:b/>
          <w:bCs w:val="0"/>
          <w:color w:val="auto"/>
          <w:sz w:val="32"/>
          <w:highlight w:val="none"/>
          <w:lang w:val="en-US"/>
        </w:rPr>
      </w:pPr>
      <w:bookmarkStart w:id="38" w:name="_Toc21058"/>
      <w:bookmarkStart w:id="39" w:name="_Toc8539"/>
      <w:bookmarkStart w:id="40" w:name="_Toc28200"/>
      <w:bookmarkStart w:id="41" w:name="_Toc22961"/>
      <w:bookmarkStart w:id="42" w:name="_Toc16277"/>
      <w:bookmarkStart w:id="43" w:name="_Toc1055"/>
      <w:r>
        <w:rPr>
          <w:rFonts w:hint="eastAsia" w:eastAsia="宋体"/>
          <w:b/>
          <w:bCs w:val="0"/>
          <w:color w:val="auto"/>
          <w:sz w:val="32"/>
          <w:highlight w:val="none"/>
          <w:lang w:val="en-US"/>
        </w:rPr>
        <w:t>（二）投标</w:t>
      </w:r>
      <w:bookmarkEnd w:id="38"/>
      <w:bookmarkEnd w:id="39"/>
      <w:bookmarkEnd w:id="40"/>
      <w:bookmarkEnd w:id="41"/>
      <w:bookmarkEnd w:id="42"/>
      <w:bookmarkEnd w:id="43"/>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13.对招标文件的质疑</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13.1招标人不集中组织答疑，实行网上答疑。投标人若对招标文件有疑问，需要招标人予以澄清，应按法律法规规定时限以不署名的形式在交易网提出。</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14.投标文件要求</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14.1投标人获取招标文件后，应仔细检查招标文件的所有内容。投标人同时应认真审阅招标文件中所有的事项、条款、格式和标准要求等，如果投标人的投标文件没有按照招标文件要求提交全部资料或者投标文件没有对招标文件做出实质性响应，其风险应由投标人自行承担，并且根据有关条款规定，其投标有可能被拒绝。</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15.投标费用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15.1投标人应承担其编制投标文件与递交投标文件所涉及的一切费用。不论投标结果如何，招标人在任何情况下无义务也无责任承担这些费用。</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16.关于联合体投标</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16.1由两个或两个以上法人或者其他组织组成一个联合体以一个投标人的身份共同投标时，应符合招标项目资质及其他相关要求；</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16.2投标人的投标文件及中标后签署的合同协议书对联合体每一成员均具</w:t>
      </w:r>
      <w:r>
        <w:rPr>
          <w:rFonts w:hint="eastAsia" w:ascii="宋体" w:hAnsi="宋体" w:eastAsia="宋体" w:cs="宋体"/>
          <w:color w:val="auto"/>
          <w:szCs w:val="21"/>
          <w:highlight w:val="none"/>
          <w:lang w:val="en-US" w:eastAsia="zh-CN"/>
        </w:rPr>
        <w:t>有</w:t>
      </w:r>
      <w:r>
        <w:rPr>
          <w:rFonts w:hint="eastAsia" w:ascii="宋体" w:hAnsi="宋体" w:eastAsia="宋体" w:cs="宋体"/>
          <w:color w:val="auto"/>
          <w:szCs w:val="21"/>
          <w:highlight w:val="none"/>
        </w:rPr>
        <w:t>法律约束力；</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16.3联合体的各成员应当签订共同投标协议，明确约定各方拟承担的工作和责任，并将该共同投标协议随投标文件一并递交给招标人；</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16.4联合体中标后，联合体各方应当共同与招标人签订合同，为履行合同向招标人承担连带责任；</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16.5由联合体的各成员提交一份授权书，证明联合体代表资格，该授权书作为投标文件的组成部分一并提交给招标人； </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16.6联合体代表应被授权作为联合体所有成员的代表承担责任和接受指令，并负责整个合同的全面履行；</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16.7参加联合体的各成员不得再以自己的名义单独投标，也不得同时参加两个或两个以上的联合体投标。出现上述情况者，其投标和与其有关的联合体的投标均做无效标处理；</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16.8除非另有规定或说明，本须知(本款)中“投标人”一词亦指联合体各成员。</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17.投标文件的语言及度量单位</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17.1投标人与招标人之间与投标有关的所有往来文件和投标文件均应使用中文。投标人随投标文件提供的证明文件和资料可以为其它语言，但必须附中文译文，并且，为了解释投标文件，应以中文为准。</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17.2除工程建设标准及技术要求另有规定外，投标文件使用的度量单位，均采用中华人民共和国法定计量单位。</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18.投标文件的组成</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18.1资格审查文件主要包括下列内容（扫描件）：</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18.1.1投标人营业执照；</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18.1.2投标人资质证书；</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18.1.3投标人安全生产许可证证明以及拟派项目经理的安全生产考核合格证证明；</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18.1.4投标人拟派出的项目经理的《注册建造师证》；</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18.1.5投标担保证明文件（如银行保函、保证金、投标保证保险合同或保险单</w:t>
      </w:r>
      <w:r>
        <w:rPr>
          <w:rFonts w:hint="eastAsia" w:ascii="宋体" w:hAnsi="宋体" w:eastAsia="宋体" w:cs="宋体"/>
          <w:color w:val="auto"/>
          <w:szCs w:val="21"/>
          <w:highlight w:val="none"/>
          <w:lang w:eastAsia="zh-CN"/>
        </w:rPr>
        <w:t>、投标保证金承诺函</w:t>
      </w:r>
      <w:r>
        <w:rPr>
          <w:rFonts w:hint="eastAsia" w:ascii="宋体" w:hAnsi="宋体" w:eastAsia="宋体" w:cs="宋体"/>
          <w:color w:val="auto"/>
          <w:szCs w:val="21"/>
          <w:highlight w:val="none"/>
        </w:rPr>
        <w:t>等）；</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招标人要求提供的与投标人条件审查有关的其他资格证明材料：（必须详细、明确、足以证明资格条件）</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18.2资信标部分主要内容：详见招标文件“资信标要求一览表”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18.3商务标部分主要包括下列内容：</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18.3.1工程量清单报价表的说明；</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18.3.2工程量清单报价表；</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18.3.3施工投标承诺函；</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18.3.4 投标人委托</w:t>
      </w:r>
      <w:r>
        <w:rPr>
          <w:rFonts w:hint="eastAsia" w:ascii="宋体" w:hAnsi="宋体" w:eastAsia="宋体" w:cs="宋体"/>
          <w:color w:val="auto"/>
          <w:szCs w:val="21"/>
          <w:highlight w:val="none"/>
        </w:rPr>
        <w:t>工程造价咨询企业</w:t>
      </w:r>
      <w:r>
        <w:rPr>
          <w:rFonts w:hint="eastAsia" w:ascii="宋体" w:hAnsi="宋体" w:eastAsia="宋体" w:cs="宋体"/>
          <w:color w:val="auto"/>
          <w:szCs w:val="21"/>
          <w:highlight w:val="none"/>
          <w:lang w:val="en-US" w:eastAsia="zh-CN"/>
        </w:rPr>
        <w:t>编制商务标书的，需提供委托协议，且商务标</w:t>
      </w:r>
      <w:r>
        <w:rPr>
          <w:rFonts w:hint="eastAsia" w:ascii="宋体" w:hAnsi="宋体" w:eastAsia="宋体" w:cs="宋体"/>
          <w:color w:val="auto"/>
          <w:szCs w:val="21"/>
          <w:highlight w:val="none"/>
        </w:rPr>
        <w:t>加签工程造价咨询企业</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造价工程师个人数字证书</w:t>
      </w:r>
      <w:r>
        <w:rPr>
          <w:rFonts w:hint="eastAsia" w:ascii="宋体" w:hAnsi="宋体" w:eastAsia="宋体" w:cs="宋体"/>
          <w:color w:val="auto"/>
          <w:szCs w:val="21"/>
          <w:highlight w:val="none"/>
          <w:lang w:val="en-US" w:eastAsia="zh-CN"/>
        </w:rPr>
        <w:t>；</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招标文件要求提交的其它资料：</w:t>
      </w:r>
      <w:r>
        <w:rPr>
          <w:rFonts w:hint="eastAsia" w:ascii="宋体" w:hAnsi="宋体" w:eastAsia="宋体" w:cs="宋体"/>
          <w:bCs/>
          <w:color w:val="auto"/>
          <w:szCs w:val="21"/>
          <w:highlight w:val="none"/>
          <w:u w:val="single"/>
        </w:rPr>
        <w:t xml:space="preserve">      </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18.4对技术标部分的要求： </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□投标人应按照招标人提供的“技术标编写目录及要求”编制技术标书。（选择此项的，招标人必须在《第九章投标文件格式》的“技术标编写目录及要求”中填写相关内容。）</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□技术标部分不超过</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页（不含证明材料）。</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8.5</w:t>
      </w:r>
      <w:r>
        <w:rPr>
          <w:rFonts w:hint="eastAsia" w:ascii="宋体" w:hAnsi="宋体" w:eastAsia="宋体" w:cs="宋体"/>
          <w:color w:val="auto"/>
          <w:szCs w:val="21"/>
          <w:highlight w:val="none"/>
        </w:rPr>
        <w:t>对BIM标部分的要求：</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□投标人应按照招标人提供的“BIM标编写目录及要求”编制BIM标书。（选择此项的，招标人必须在第二章BIM标定性评审表、第九章投标文件格式的“BIM标编写目录及要求”中填写相关内容。）</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□本工程不要求编制BIM标，但投标人中标后应当在</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日内编制相应的BIM实施方案，经招标人认可后组织实施。</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19.投标文件的格式要求</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19.1商务标电子文档的格式要求：投标文件电子标书应使用</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eastAsia="zh-CN"/>
        </w:rPr>
        <w:t>编制工具</w:t>
      </w:r>
      <w:r>
        <w:rPr>
          <w:rFonts w:hint="eastAsia" w:ascii="宋体" w:hAnsi="宋体" w:eastAsia="宋体" w:cs="宋体"/>
          <w:color w:val="auto"/>
          <w:szCs w:val="21"/>
          <w:highlight w:val="none"/>
        </w:rPr>
        <w:t>制作。（电子文档为*.</w:t>
      </w:r>
      <w:r>
        <w:rPr>
          <w:rFonts w:ascii="宋体" w:hAnsi="宋体" w:eastAsia="宋体" w:cs="宋体"/>
          <w:color w:val="auto"/>
          <w:szCs w:val="21"/>
          <w:highlight w:val="none"/>
        </w:rPr>
        <w:t>SGTB</w:t>
      </w:r>
      <w:r>
        <w:rPr>
          <w:rFonts w:hint="eastAsia" w:ascii="宋体" w:hAnsi="宋体" w:eastAsia="宋体" w:cs="宋体"/>
          <w:color w:val="auto"/>
          <w:szCs w:val="21"/>
          <w:highlight w:val="none"/>
        </w:rPr>
        <w:t>格式）</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19.2其它电子文档的格式要求：</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19.2.1投标文件电子标书应使用</w:t>
      </w:r>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eastAsia="zh-CN"/>
        </w:rPr>
        <w:t>编制工具</w:t>
      </w:r>
      <w:r>
        <w:rPr>
          <w:rFonts w:hint="eastAsia" w:ascii="宋体" w:hAnsi="宋体" w:eastAsia="宋体" w:cs="宋体"/>
          <w:color w:val="auto"/>
          <w:szCs w:val="21"/>
          <w:highlight w:val="none"/>
        </w:rPr>
        <w:t>制作。（资格审查文件为*.</w:t>
      </w:r>
      <w:r>
        <w:rPr>
          <w:rFonts w:ascii="宋体" w:hAnsi="宋体" w:eastAsia="宋体" w:cs="宋体"/>
          <w:color w:val="auto"/>
          <w:szCs w:val="21"/>
          <w:highlight w:val="none"/>
        </w:rPr>
        <w:t>SGTZS</w:t>
      </w:r>
      <w:r>
        <w:rPr>
          <w:rFonts w:hint="eastAsia" w:ascii="宋体" w:hAnsi="宋体" w:eastAsia="宋体" w:cs="宋体"/>
          <w:color w:val="auto"/>
          <w:szCs w:val="21"/>
          <w:highlight w:val="none"/>
        </w:rPr>
        <w:t>格式、投标文件为*.</w:t>
      </w:r>
      <w:r>
        <w:rPr>
          <w:rFonts w:ascii="宋体" w:hAnsi="宋体" w:eastAsia="宋体" w:cs="宋体"/>
          <w:color w:val="auto"/>
          <w:szCs w:val="21"/>
          <w:highlight w:val="none"/>
        </w:rPr>
        <w:t>SGTB</w:t>
      </w:r>
      <w:r>
        <w:rPr>
          <w:rFonts w:hint="eastAsia" w:ascii="宋体" w:hAnsi="宋体" w:eastAsia="宋体" w:cs="宋体"/>
          <w:color w:val="auto"/>
          <w:szCs w:val="21"/>
          <w:highlight w:val="none"/>
        </w:rPr>
        <w:t>格式）</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w:t>
      </w:r>
      <w:r>
        <w:rPr>
          <w:rFonts w:ascii="宋体" w:hAnsi="宋体" w:eastAsia="宋体" w:cs="宋体"/>
          <w:color w:val="auto"/>
          <w:szCs w:val="21"/>
          <w:highlight w:val="none"/>
        </w:rPr>
        <w:t>2.2</w:t>
      </w:r>
      <w:r>
        <w:rPr>
          <w:color w:val="auto"/>
          <w:highlight w:val="none"/>
        </w:rPr>
        <w:t xml:space="preserve"> </w:t>
      </w:r>
      <w:r>
        <w:rPr>
          <w:rFonts w:hint="eastAsia" w:ascii="宋体" w:hAnsi="宋体" w:eastAsia="宋体" w:cs="宋体"/>
          <w:color w:val="auto"/>
          <w:szCs w:val="21"/>
          <w:highlight w:val="none"/>
        </w:rPr>
        <w:t>使用符合建设工程招投标平台 BIM 电子招投标系统兼容要求的施工模型标书编制工具，根据招标文件要求进行BIM模型、商务报价、进度计划等文件的整合，整合完成后，将输出资料导入</w:t>
      </w:r>
      <w:r>
        <w:rPr>
          <w:rFonts w:hint="eastAsia" w:ascii="宋体" w:hAnsi="宋体" w:eastAsia="宋体" w:cs="宋体"/>
          <w:color w:val="auto"/>
          <w:szCs w:val="21"/>
          <w:highlight w:val="none"/>
          <w:lang w:eastAsia="zh-CN"/>
        </w:rPr>
        <w:t>电子投标文件编制工具</w:t>
      </w:r>
      <w:r>
        <w:rPr>
          <w:rFonts w:hint="eastAsia" w:ascii="宋体" w:hAnsi="宋体" w:eastAsia="宋体" w:cs="宋体"/>
          <w:color w:val="auto"/>
          <w:szCs w:val="21"/>
          <w:highlight w:val="none"/>
        </w:rPr>
        <w:t>进行签名，生成BIM投标文件（格式为*.</w:t>
      </w:r>
      <w:r>
        <w:rPr>
          <w:rFonts w:ascii="宋体" w:hAnsi="宋体" w:eastAsia="宋体" w:cs="宋体"/>
          <w:color w:val="auto"/>
          <w:szCs w:val="21"/>
          <w:highlight w:val="none"/>
        </w:rPr>
        <w:t>SGTB</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19.2.3投标文件包括投标文件的格式要求中规定的内容，投标人提交的投标文件必须使用招标文件所提供的投标文件格式，详见招标文件第九章—投标文件格式（表格可以按同样格式扩展）。</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20.投标文件的签署</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20.1投标文件必须采用数字证书或电子营业执照进行签名，除加签投标人机构数字证书或电子营业执照、法定代表人个人数字证书外，技术标必须加签拟派项目经理（建造师）个人数字证书，商务标必须加签造价工程师个人数字证书。</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20.2采用个人数字证书签名的项目经理（建造师）、造价工程师对签署部分的投标文件的真实性、合法性承担个人执业责任（但并不因此免除投标人应承担的法律责任）。</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21.投标报价</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21.1投标报价为投标人的投标文件中提出的各项支付金额的总和。</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21.2投标人的投标报价，应是招标范围和合同条件上所列的各项内容中所述的全部，不得以任何理由予以重复，并以投标人在工程量清单中提出的综合单价或总价为依据。</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21.3投标人应按工程量清单中列出的工程项目填报综合单价和合价。任何有选择的报价将不予接受，每一项目只允许有一个报价。投标人未填综合单价或合价的工程项目，将被视为该项费用已包括在其它有价款的综合单价或合价内，任何与此有关的工程价款，招标人将不另行支付。</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21.4工程建设标准和技术规范要求的费用应包括在投标报价中。</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21.5投标人应先到工地踏勘以充分了解工地位置、道路、储存空间、装卸限制及任何其它足以影响投标报价的情况，任何因忽视或误解工地情况而导致的索赔或工期延长申请将不获批准。</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21.6除非招标人通过修改招标文件予以更正，否则，投标人应按工程量清单中的项目和数量进行报价。</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21.7“安全文明施工措施费”应当作为非竞争性费用，在投标报价中单列（但应计入投标总价）。“安全文明施工措施费”包括临时设施费、安全施工费、文明施工费、环境保护费。</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22.投标有效期</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22.1投标有效期按法律法规规定期限内，所有投标文件均保持有效。</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22.2特殊的情况下，在原定投标有效期满之前，招标人可以根据需要以书面形式向投标人提出延长投标有效期的要求，对此要求投标人须以书面形式予以答复，投标人可以拒绝招标人这种要求，而不被没收投标保证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投标保函</w:t>
      </w:r>
      <w:r>
        <w:rPr>
          <w:rFonts w:hint="eastAsia" w:ascii="宋体" w:hAnsi="宋体" w:eastAsia="宋体" w:cs="宋体"/>
          <w:color w:val="auto"/>
          <w:szCs w:val="21"/>
          <w:highlight w:val="none"/>
          <w:lang w:val="en-US" w:eastAsia="zh-CN"/>
        </w:rPr>
        <w:t>或保证保险</w:t>
      </w:r>
      <w:r>
        <w:rPr>
          <w:rFonts w:hint="eastAsia" w:ascii="宋体" w:hAnsi="宋体" w:eastAsia="宋体" w:cs="宋体"/>
          <w:color w:val="auto"/>
          <w:szCs w:val="21"/>
          <w:highlight w:val="none"/>
        </w:rPr>
        <w:t>。同意延长投标有效期的投标人不能要求也不允许修改其投标文件，但需要相应延长投标担保的有效期，在延长的投标有效期内关于投标保证金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投标保函</w:t>
      </w:r>
      <w:r>
        <w:rPr>
          <w:rFonts w:hint="eastAsia" w:ascii="宋体" w:hAnsi="宋体" w:eastAsia="宋体" w:cs="宋体"/>
          <w:color w:val="auto"/>
          <w:szCs w:val="21"/>
          <w:highlight w:val="none"/>
          <w:lang w:val="en-US" w:eastAsia="zh-CN"/>
        </w:rPr>
        <w:t>或保证保险</w:t>
      </w:r>
      <w:r>
        <w:rPr>
          <w:rFonts w:hint="eastAsia" w:ascii="宋体" w:hAnsi="宋体" w:eastAsia="宋体" w:cs="宋体"/>
          <w:color w:val="auto"/>
          <w:szCs w:val="21"/>
          <w:highlight w:val="none"/>
        </w:rPr>
        <w:t>的退还与没收的规定仍然适用。</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23.投标担保</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23.1投标人应在递交投标文件的同时提交一笔不少于法律法规规定数额的投标保证金（不得超过招标项目估算价的2%，最高不得超过50万元）、等同投标保证金的投标保函或保证保险，作为其投标的一部分。投标担保是为了避免招标人因投标人的行为而蒙受损失，招标人可根据本须知规定的条件没收投标保证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投标保函</w:t>
      </w:r>
      <w:r>
        <w:rPr>
          <w:rFonts w:hint="eastAsia" w:ascii="宋体" w:hAnsi="宋体" w:eastAsia="宋体" w:cs="宋体"/>
          <w:color w:val="auto"/>
          <w:szCs w:val="21"/>
          <w:highlight w:val="none"/>
          <w:lang w:val="en-US" w:eastAsia="zh-CN"/>
        </w:rPr>
        <w:t>或保证保险</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23.2投标人应按前附表要求提交投标担保</w:t>
      </w:r>
      <w:r>
        <w:rPr>
          <w:rFonts w:hint="eastAsia" w:ascii="宋体" w:hAnsi="宋体" w:eastAsia="宋体" w:cs="宋体"/>
          <w:color w:val="auto"/>
          <w:szCs w:val="21"/>
          <w:highlight w:val="none"/>
          <w:lang w:eastAsia="zh-CN"/>
        </w:rPr>
        <w:t>。</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若</w:t>
      </w:r>
      <w:r>
        <w:rPr>
          <w:rFonts w:hint="eastAsia" w:ascii="宋体" w:hAnsi="宋体" w:eastAsia="宋体" w:cs="宋体"/>
          <w:color w:val="auto"/>
          <w:szCs w:val="21"/>
          <w:highlight w:val="none"/>
        </w:rPr>
        <w:t>采用</w:t>
      </w:r>
      <w:r>
        <w:rPr>
          <w:rFonts w:hint="eastAsia" w:ascii="宋体" w:hAnsi="宋体" w:eastAsia="宋体" w:cs="宋体"/>
          <w:color w:val="auto"/>
          <w:szCs w:val="21"/>
          <w:highlight w:val="none"/>
          <w:lang w:val="en-US" w:eastAsia="zh-CN"/>
        </w:rPr>
        <w:t>现金/支票的，须从投标人基本账户汇出，</w:t>
      </w:r>
      <w:r>
        <w:rPr>
          <w:rFonts w:hint="eastAsia" w:ascii="宋体" w:hAnsi="宋体" w:eastAsia="宋体" w:cs="宋体"/>
          <w:color w:val="auto"/>
          <w:szCs w:val="21"/>
          <w:highlight w:val="none"/>
        </w:rPr>
        <w:t>并且应将基本账户开户许可证或基本存款账户信息表复印件编入投标文件中。</w:t>
      </w:r>
    </w:p>
    <w:p>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若采用纸质银行保函的，投标人应将纸质银行保函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基本账户开户许可证或基本存款账户信息表复印件</w:t>
      </w:r>
      <w:r>
        <w:rPr>
          <w:rFonts w:hint="eastAsia" w:ascii="宋体" w:hAnsi="宋体" w:eastAsia="宋体" w:cs="宋体"/>
          <w:color w:val="auto"/>
          <w:szCs w:val="21"/>
          <w:highlight w:val="none"/>
          <w:lang w:val="en-US" w:eastAsia="zh-CN"/>
        </w:rPr>
        <w:t>等文件</w:t>
      </w:r>
      <w:r>
        <w:rPr>
          <w:rFonts w:hint="eastAsia" w:ascii="宋体" w:hAnsi="宋体" w:eastAsia="宋体" w:cs="宋体"/>
          <w:color w:val="auto"/>
          <w:szCs w:val="21"/>
          <w:highlight w:val="none"/>
        </w:rPr>
        <w:t>以扫描件形式</w:t>
      </w:r>
      <w:r>
        <w:rPr>
          <w:rFonts w:hint="eastAsia" w:ascii="宋体" w:hAnsi="宋体" w:eastAsia="宋体" w:cs="宋体"/>
          <w:color w:val="auto"/>
          <w:szCs w:val="21"/>
          <w:highlight w:val="none"/>
          <w:lang w:val="en-US" w:eastAsia="zh-CN"/>
        </w:rPr>
        <w:t>编入投标文件中</w:t>
      </w:r>
      <w:r>
        <w:rPr>
          <w:rFonts w:hint="eastAsia" w:ascii="宋体" w:hAnsi="宋体" w:eastAsia="宋体" w:cs="宋体"/>
          <w:color w:val="auto"/>
          <w:szCs w:val="21"/>
          <w:highlight w:val="none"/>
        </w:rPr>
        <w:t>，纸质银行保函原件在中标候选人确定后由招标人收取。若采用电子银行保函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电子银行保函通过</w:t>
      </w:r>
      <w:r>
        <w:rPr>
          <w:rFonts w:hint="eastAsia" w:ascii="宋体" w:hAnsi="宋体" w:eastAsia="宋体" w:cs="宋体"/>
          <w:color w:val="auto"/>
          <w:kern w:val="0"/>
          <w:szCs w:val="21"/>
          <w:highlight w:val="none"/>
          <w:lang w:val="en-US" w:eastAsia="zh-CN"/>
        </w:rPr>
        <w:t>交易平台出具的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无需提交基本账户开户许可证或基本存款账户信息表复印件，</w:t>
      </w:r>
      <w:r>
        <w:rPr>
          <w:rFonts w:hint="eastAsia" w:ascii="宋体" w:hAnsi="宋体" w:eastAsia="宋体" w:cs="宋体"/>
          <w:color w:val="auto"/>
          <w:szCs w:val="21"/>
          <w:highlight w:val="none"/>
        </w:rPr>
        <w:t>招标人在</w:t>
      </w:r>
      <w:r>
        <w:rPr>
          <w:rFonts w:hint="eastAsia" w:ascii="宋体" w:hAnsi="宋体" w:eastAsia="宋体" w:cs="宋体"/>
          <w:color w:val="auto"/>
          <w:szCs w:val="21"/>
          <w:highlight w:val="none"/>
          <w:lang w:val="en-US" w:eastAsia="zh-CN"/>
        </w:rPr>
        <w:t>交易平台</w:t>
      </w:r>
      <w:r>
        <w:rPr>
          <w:rFonts w:hint="eastAsia" w:ascii="宋体" w:hAnsi="宋体" w:eastAsia="宋体" w:cs="宋体"/>
          <w:color w:val="auto"/>
          <w:szCs w:val="21"/>
          <w:highlight w:val="none"/>
        </w:rPr>
        <w:t>资格审查页面查看电子银行保函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电子银行保函通过其他</w:t>
      </w:r>
      <w:r>
        <w:rPr>
          <w:rFonts w:hint="eastAsia" w:ascii="宋体" w:hAnsi="宋体" w:eastAsia="宋体" w:cs="宋体"/>
          <w:color w:val="auto"/>
          <w:kern w:val="0"/>
          <w:szCs w:val="21"/>
          <w:highlight w:val="none"/>
          <w:lang w:val="en-US" w:eastAsia="zh-CN"/>
        </w:rPr>
        <w:t>平台出具的，应参照前述纸质银行保函的要求，将相关材料编入投标文件中。</w:t>
      </w:r>
    </w:p>
    <w:p>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若采用</w:t>
      </w:r>
      <w:r>
        <w:rPr>
          <w:rFonts w:hint="eastAsia" w:ascii="宋体" w:hAnsi="宋体" w:eastAsia="宋体" w:cs="宋体"/>
          <w:color w:val="auto"/>
          <w:szCs w:val="21"/>
          <w:highlight w:val="none"/>
          <w:lang w:val="en-US" w:eastAsia="zh-CN"/>
        </w:rPr>
        <w:t>纸质</w:t>
      </w:r>
      <w:r>
        <w:rPr>
          <w:rFonts w:hint="eastAsia" w:ascii="宋体" w:hAnsi="宋体" w:eastAsia="宋体" w:cs="宋体"/>
          <w:color w:val="auto"/>
          <w:szCs w:val="21"/>
          <w:highlight w:val="none"/>
        </w:rPr>
        <w:t>保证保险的，投标人</w:t>
      </w:r>
      <w:r>
        <w:rPr>
          <w:rFonts w:hint="eastAsia" w:ascii="宋体" w:hAnsi="宋体" w:eastAsia="宋体" w:cs="宋体"/>
          <w:color w:val="auto"/>
          <w:szCs w:val="21"/>
          <w:highlight w:val="none"/>
          <w:lang w:val="en-US" w:eastAsia="zh-CN"/>
        </w:rPr>
        <w:t>应将</w:t>
      </w:r>
      <w:r>
        <w:rPr>
          <w:rFonts w:hint="eastAsia" w:ascii="宋体" w:hAnsi="宋体" w:eastAsia="宋体" w:cs="宋体"/>
          <w:color w:val="auto"/>
          <w:szCs w:val="21"/>
          <w:highlight w:val="none"/>
        </w:rPr>
        <w:t>投标保证保险合同或保险单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基本账户开户许可证或基本存款账户信息表复印件及保费转账凭证以扫描件形式编入投标文件中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纸质</w:t>
      </w:r>
      <w:r>
        <w:rPr>
          <w:rFonts w:hint="eastAsia" w:ascii="宋体" w:hAnsi="宋体" w:eastAsia="宋体" w:cs="宋体"/>
          <w:color w:val="auto"/>
          <w:szCs w:val="21"/>
          <w:highlight w:val="none"/>
          <w:lang w:val="en-US" w:eastAsia="zh-CN"/>
        </w:rPr>
        <w:t>保证保险</w:t>
      </w:r>
      <w:r>
        <w:rPr>
          <w:rFonts w:hint="eastAsia" w:ascii="宋体" w:hAnsi="宋体" w:eastAsia="宋体" w:cs="宋体"/>
          <w:color w:val="auto"/>
          <w:szCs w:val="21"/>
          <w:highlight w:val="none"/>
        </w:rPr>
        <w:t>原件在中标候选人确定后由招标人收取。保费必须通过投标人基本账户支付，账户名称应与投标单位名称一致，不得以分支机构等其他名义提交。采用电子保证保险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电子保证保险通过</w:t>
      </w:r>
      <w:r>
        <w:rPr>
          <w:rFonts w:hint="eastAsia" w:ascii="宋体" w:hAnsi="宋体" w:eastAsia="宋体" w:cs="宋体"/>
          <w:color w:val="auto"/>
          <w:kern w:val="0"/>
          <w:szCs w:val="21"/>
          <w:highlight w:val="none"/>
          <w:lang w:val="en-US" w:eastAsia="zh-CN"/>
        </w:rPr>
        <w:t>交易平台出具的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无需提交基本账户开户许可证或基本存款账户信息表复印件，</w:t>
      </w:r>
      <w:r>
        <w:rPr>
          <w:rFonts w:hint="eastAsia" w:ascii="宋体" w:hAnsi="宋体" w:eastAsia="宋体" w:cs="宋体"/>
          <w:color w:val="auto"/>
          <w:szCs w:val="21"/>
          <w:highlight w:val="none"/>
        </w:rPr>
        <w:t>招标人在</w:t>
      </w:r>
      <w:r>
        <w:rPr>
          <w:rFonts w:hint="eastAsia" w:ascii="宋体" w:hAnsi="宋体" w:eastAsia="宋体" w:cs="宋体"/>
          <w:color w:val="auto"/>
          <w:szCs w:val="21"/>
          <w:highlight w:val="none"/>
          <w:lang w:val="en-US" w:eastAsia="zh-CN"/>
        </w:rPr>
        <w:t>交易平台</w:t>
      </w:r>
      <w:r>
        <w:rPr>
          <w:rFonts w:hint="eastAsia" w:ascii="宋体" w:hAnsi="宋体" w:eastAsia="宋体" w:cs="宋体"/>
          <w:color w:val="auto"/>
          <w:szCs w:val="21"/>
          <w:highlight w:val="none"/>
        </w:rPr>
        <w:t>资格审查页面查看电子保证保险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电子保证保险通过其他</w:t>
      </w:r>
      <w:r>
        <w:rPr>
          <w:rFonts w:hint="eastAsia" w:ascii="宋体" w:hAnsi="宋体" w:eastAsia="宋体" w:cs="宋体"/>
          <w:color w:val="auto"/>
          <w:kern w:val="0"/>
          <w:szCs w:val="21"/>
          <w:highlight w:val="none"/>
          <w:lang w:val="en-US" w:eastAsia="zh-CN"/>
        </w:rPr>
        <w:t>平台出具的</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应参照前述纸质保证保险的要求，将相关材料编入投标文件中。</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若采用纸质担保公司保函的，</w:t>
      </w:r>
      <w:r>
        <w:rPr>
          <w:rFonts w:hint="eastAsia" w:ascii="宋体" w:hAnsi="宋体" w:eastAsia="宋体" w:cs="宋体"/>
          <w:color w:val="auto"/>
          <w:szCs w:val="21"/>
          <w:highlight w:val="none"/>
        </w:rPr>
        <w:t>投标人应将</w:t>
      </w:r>
      <w:r>
        <w:rPr>
          <w:rFonts w:hint="eastAsia" w:ascii="宋体" w:hAnsi="宋体" w:eastAsia="宋体" w:cs="宋体"/>
          <w:color w:val="auto"/>
          <w:szCs w:val="21"/>
          <w:highlight w:val="none"/>
          <w:lang w:val="en-US" w:eastAsia="zh-CN"/>
        </w:rPr>
        <w:t>担保公司</w:t>
      </w:r>
      <w:r>
        <w:rPr>
          <w:rFonts w:hint="eastAsia" w:ascii="宋体" w:hAnsi="宋体" w:eastAsia="宋体" w:cs="宋体"/>
          <w:color w:val="auto"/>
          <w:szCs w:val="21"/>
          <w:highlight w:val="none"/>
        </w:rPr>
        <w:t>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基本账户开户许可证或基本存款账户信息表复印件及保费转账凭证</w:t>
      </w:r>
      <w:r>
        <w:rPr>
          <w:rFonts w:hint="eastAsia" w:ascii="宋体" w:hAnsi="宋体" w:eastAsia="宋体" w:cs="宋体"/>
          <w:color w:val="auto"/>
          <w:szCs w:val="21"/>
          <w:highlight w:val="none"/>
          <w:lang w:val="en-US" w:eastAsia="zh-CN"/>
        </w:rPr>
        <w:t>等文件</w:t>
      </w:r>
      <w:r>
        <w:rPr>
          <w:rFonts w:hint="eastAsia" w:ascii="宋体" w:hAnsi="宋体" w:eastAsia="宋体" w:cs="宋体"/>
          <w:color w:val="auto"/>
          <w:szCs w:val="21"/>
          <w:highlight w:val="none"/>
        </w:rPr>
        <w:t>以扫描件形式</w:t>
      </w:r>
      <w:r>
        <w:rPr>
          <w:rFonts w:hint="eastAsia" w:ascii="宋体" w:hAnsi="宋体" w:eastAsia="宋体" w:cs="宋体"/>
          <w:color w:val="auto"/>
          <w:szCs w:val="21"/>
          <w:highlight w:val="none"/>
          <w:lang w:val="en-US" w:eastAsia="zh-CN"/>
        </w:rPr>
        <w:t>编入投标文件中</w:t>
      </w:r>
      <w:r>
        <w:rPr>
          <w:rFonts w:hint="eastAsia" w:ascii="宋体" w:hAnsi="宋体" w:eastAsia="宋体" w:cs="宋体"/>
          <w:color w:val="auto"/>
          <w:szCs w:val="21"/>
          <w:highlight w:val="none"/>
        </w:rPr>
        <w:t>，纸质</w:t>
      </w:r>
      <w:r>
        <w:rPr>
          <w:rFonts w:hint="eastAsia" w:ascii="宋体" w:hAnsi="宋体" w:eastAsia="宋体" w:cs="宋体"/>
          <w:color w:val="auto"/>
          <w:szCs w:val="21"/>
          <w:highlight w:val="none"/>
          <w:lang w:val="en-US" w:eastAsia="zh-CN"/>
        </w:rPr>
        <w:t>担保公司</w:t>
      </w:r>
      <w:r>
        <w:rPr>
          <w:rFonts w:hint="eastAsia" w:ascii="宋体" w:hAnsi="宋体" w:eastAsia="宋体" w:cs="宋体"/>
          <w:color w:val="auto"/>
          <w:szCs w:val="21"/>
          <w:highlight w:val="none"/>
        </w:rPr>
        <w:t>保函原件在中标候选人确定后由招标人收取。保费必须通过投标人基本账户支付，账户名称应与投标单位名称一致，不得以分支机构等其他名义提交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采用电子</w:t>
      </w:r>
      <w:r>
        <w:rPr>
          <w:rFonts w:hint="eastAsia" w:ascii="宋体" w:hAnsi="宋体" w:eastAsia="宋体" w:cs="宋体"/>
          <w:color w:val="auto"/>
          <w:szCs w:val="21"/>
          <w:highlight w:val="none"/>
          <w:lang w:val="en-US" w:eastAsia="zh-CN"/>
        </w:rPr>
        <w:t>担保公司保函，电子担保公司保函通过</w:t>
      </w:r>
      <w:r>
        <w:rPr>
          <w:rFonts w:hint="eastAsia" w:ascii="宋体" w:hAnsi="宋体" w:eastAsia="宋体" w:cs="宋体"/>
          <w:color w:val="auto"/>
          <w:kern w:val="0"/>
          <w:szCs w:val="21"/>
          <w:highlight w:val="none"/>
          <w:lang w:val="en-US" w:eastAsia="zh-CN"/>
        </w:rPr>
        <w:t>交易平台出具的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无需提交基本账户开户许可证或基本存款账户信息表复印件，</w:t>
      </w:r>
      <w:r>
        <w:rPr>
          <w:rFonts w:hint="eastAsia" w:ascii="宋体" w:hAnsi="宋体" w:eastAsia="宋体" w:cs="宋体"/>
          <w:color w:val="auto"/>
          <w:szCs w:val="21"/>
          <w:highlight w:val="none"/>
        </w:rPr>
        <w:t>招标人在</w:t>
      </w:r>
      <w:r>
        <w:rPr>
          <w:rFonts w:hint="eastAsia" w:ascii="宋体" w:hAnsi="宋体" w:eastAsia="宋体" w:cs="宋体"/>
          <w:color w:val="auto"/>
          <w:szCs w:val="21"/>
          <w:highlight w:val="none"/>
          <w:lang w:val="en-US" w:eastAsia="zh-CN"/>
        </w:rPr>
        <w:t>交易平台</w:t>
      </w:r>
      <w:r>
        <w:rPr>
          <w:rFonts w:hint="eastAsia" w:ascii="宋体" w:hAnsi="宋体" w:eastAsia="宋体" w:cs="宋体"/>
          <w:color w:val="auto"/>
          <w:szCs w:val="21"/>
          <w:highlight w:val="none"/>
        </w:rPr>
        <w:t>资格审查页面查看电子</w:t>
      </w:r>
      <w:r>
        <w:rPr>
          <w:rFonts w:hint="eastAsia" w:ascii="宋体" w:hAnsi="宋体" w:eastAsia="宋体" w:cs="宋体"/>
          <w:color w:val="auto"/>
          <w:szCs w:val="21"/>
          <w:highlight w:val="none"/>
          <w:lang w:val="en-US" w:eastAsia="zh-CN"/>
        </w:rPr>
        <w:t>担保公司保函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电子担保公司保函通过其他</w:t>
      </w:r>
      <w:r>
        <w:rPr>
          <w:rFonts w:hint="eastAsia" w:ascii="宋体" w:hAnsi="宋体" w:eastAsia="宋体" w:cs="宋体"/>
          <w:color w:val="auto"/>
          <w:kern w:val="0"/>
          <w:szCs w:val="21"/>
          <w:highlight w:val="none"/>
          <w:lang w:val="en-US" w:eastAsia="zh-CN"/>
        </w:rPr>
        <w:t>平台出具的，应参照前述纸质担保公司保函的要求，将相关材料编入投标文件中。</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23.3投标保函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保证保险</w:t>
      </w:r>
      <w:r>
        <w:rPr>
          <w:rFonts w:hint="eastAsia" w:ascii="宋体" w:hAnsi="宋体" w:eastAsia="宋体" w:cs="宋体"/>
          <w:color w:val="auto"/>
          <w:szCs w:val="21"/>
          <w:highlight w:val="none"/>
        </w:rPr>
        <w:t>的格式见第九章--投标文件格式。如果投标人不采用参考格式的投标保函，拟采用的投标保函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保证保险</w:t>
      </w:r>
      <w:r>
        <w:rPr>
          <w:rFonts w:hint="eastAsia" w:ascii="宋体" w:hAnsi="宋体" w:eastAsia="宋体" w:cs="宋体"/>
          <w:color w:val="auto"/>
          <w:szCs w:val="21"/>
          <w:highlight w:val="none"/>
        </w:rPr>
        <w:t>应符合参考格式中对实质性内容的要求，并且须经过招标人确认同意。投标保函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保证保险</w:t>
      </w:r>
      <w:r>
        <w:rPr>
          <w:rFonts w:hint="eastAsia" w:ascii="宋体" w:hAnsi="宋体" w:eastAsia="宋体" w:cs="宋体"/>
          <w:color w:val="auto"/>
          <w:szCs w:val="21"/>
          <w:highlight w:val="none"/>
        </w:rPr>
        <w:t>应在投标有效期满后28天内继续有效。</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对于未能按要求提交投标担保的，投标文件将按有关条款不予受理。</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未中标的投标人的投标担保将按照招标人规定的投标有效期或经投标人同意的延长的投标有效期期满后7天内予以退还。</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出现下列情形之一时，招标人应当在7天内退还投标人的投标担保：</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.1中标通知书发出，中标人签订了工程承包合同；</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.2招标过程中招标活动因正当理由被招标人宣布终止；</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.3招标失败需重新组织招标；</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.4投标有效期满而投标人不同意作出延长。</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 xml:space="preserve">7 </w:t>
      </w:r>
      <w:r>
        <w:rPr>
          <w:rFonts w:hint="eastAsia" w:ascii="宋体" w:hAnsi="宋体" w:eastAsia="宋体" w:cs="宋体"/>
          <w:color w:val="auto"/>
          <w:szCs w:val="21"/>
          <w:highlight w:val="none"/>
        </w:rPr>
        <w:t>投标人有下列任何情况发生时，投标担保将被没收。给招标人造成的损失超过投标担保金额的，投标人还应当对超过部分给予赔偿。</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.1投标人有弄虚作假或串通投标等违法违规行为；</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.2投标人在投标有效期内撤回其投标文件；</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.3中标人无正当理由不与招标人订立合同，在签订合同时向招标人提出附加条件，或者不按照招标文件要求提交履约保证金的；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.4投标人资质证书或安全生产许可证被暂扣或吊销，但仍参与投标的。</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24.投标文件的提交</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24.1联合体投标的工程，联合体代表应在投标时录入已进行企业信息登记的联合体其他成员单位。</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24.2投标人应根据投标文件递交的规定，在投标截止时间前将投标文件上传到交易</w:t>
      </w:r>
      <w:r>
        <w:rPr>
          <w:rFonts w:hint="eastAsia" w:ascii="宋体" w:hAnsi="宋体" w:eastAsia="宋体" w:cs="宋体"/>
          <w:color w:val="auto"/>
          <w:szCs w:val="21"/>
          <w:highlight w:val="none"/>
          <w:lang w:val="en-US" w:eastAsia="zh-CN"/>
        </w:rPr>
        <w:t>平台</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24.3投标人在递交投标文件以后，在规定的投标截止时间之前，可以重新提交经修改补充的投标文件，并电子签名确认和打印回执，原已提交的投标文件会被新的投标文件覆盖。</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24.4在投标截止时间以后，不得补充、修改投标文件。</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24.5截标时递交标书的投标人数量不足3名的，招标人将按法律法规的规定暂停开标和评标程序。如导致招标失败，招标人将不负担因此给投标人造成的损失。</w:t>
      </w:r>
    </w:p>
    <w:p>
      <w:pPr>
        <w:adjustRightInd w:val="0"/>
        <w:snapToGrid w:val="0"/>
        <w:spacing w:before="0" w:after="0" w:line="360" w:lineRule="auto"/>
        <w:ind w:firstLine="421"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rPr>
        <w:t>25.</w:t>
      </w:r>
      <w:r>
        <w:rPr>
          <w:rFonts w:hint="eastAsia" w:ascii="宋体" w:hAnsi="宋体" w:eastAsia="宋体" w:cs="宋体"/>
          <w:b/>
          <w:bCs/>
          <w:color w:val="auto"/>
          <w:sz w:val="21"/>
          <w:szCs w:val="21"/>
          <w:highlight w:val="none"/>
        </w:rPr>
        <w:t>其他规定</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25.1投标人保证投标文件及资料均未侵犯他人的知识产权，否则必须承担全部责任。若投标人使用了他人的专利、专有技术，涉及的费用由投标人负责。</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25.2投标人中标后应按照《深圳经济特区数据条例》的有关规定，加强对BIM数据的安全管理，建立健全数据管理制度，及时排查BIM数据在存储、使用、加工、传递、交付过程中可能出现的信息安全隐患，做好安全防护和处理。</w:t>
      </w:r>
    </w:p>
    <w:p>
      <w:pPr>
        <w:adjustRightInd w:val="0"/>
        <w:snapToGrid w:val="0"/>
        <w:spacing w:line="360" w:lineRule="auto"/>
        <w:ind w:firstLine="420" w:firstLineChars="200"/>
        <w:rPr>
          <w:rFonts w:ascii="宋体" w:hAnsi="宋体" w:eastAsia="宋体" w:cs="宋体"/>
          <w:color w:val="auto"/>
          <w:szCs w:val="21"/>
          <w:highlight w:val="none"/>
        </w:rPr>
      </w:pPr>
    </w:p>
    <w:p>
      <w:pPr>
        <w:pStyle w:val="4"/>
        <w:keepNext w:val="0"/>
        <w:keepLines w:val="0"/>
        <w:widowControl w:val="0"/>
        <w:tabs>
          <w:tab w:val="left" w:pos="720"/>
          <w:tab w:val="left" w:pos="4032"/>
        </w:tabs>
        <w:adjustRightInd w:val="0"/>
        <w:snapToGrid w:val="0"/>
        <w:spacing w:before="0" w:after="0" w:line="360" w:lineRule="auto"/>
        <w:jc w:val="center"/>
        <w:rPr>
          <w:rFonts w:eastAsia="宋体"/>
          <w:b/>
          <w:bCs w:val="0"/>
          <w:color w:val="auto"/>
          <w:sz w:val="32"/>
          <w:highlight w:val="none"/>
          <w:lang w:val="en-US"/>
        </w:rPr>
      </w:pPr>
      <w:bookmarkStart w:id="44" w:name="_Toc9012"/>
      <w:bookmarkStart w:id="45" w:name="_Toc7010"/>
      <w:bookmarkStart w:id="46" w:name="_Toc19176"/>
      <w:bookmarkStart w:id="47" w:name="_Toc13262"/>
      <w:bookmarkStart w:id="48" w:name="_Toc23086"/>
      <w:bookmarkStart w:id="49" w:name="_Toc28259"/>
      <w:r>
        <w:rPr>
          <w:rFonts w:hint="eastAsia" w:eastAsia="宋体"/>
          <w:b/>
          <w:bCs w:val="0"/>
          <w:color w:val="auto"/>
          <w:sz w:val="32"/>
          <w:highlight w:val="none"/>
          <w:lang w:val="en-US"/>
        </w:rPr>
        <w:t>（三）资格后审</w:t>
      </w:r>
      <w:bookmarkEnd w:id="44"/>
      <w:bookmarkEnd w:id="45"/>
      <w:bookmarkEnd w:id="46"/>
      <w:bookmarkEnd w:id="47"/>
      <w:bookmarkEnd w:id="48"/>
      <w:bookmarkEnd w:id="49"/>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26.资格后审</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26.1资格审查由招标人组成的资格后审委员会负责，在截标后招标人登陆交易网对各投标人资格进行审查。</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26.2资格后审委员会由3名以上单数的招标人代表组成，招标代理人员参与资格审查的，其人员不得超过总人数的1/3。</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26.3资格后审委员严格对照招标公告中要求的投标人资格条件，逐个审查投标人递交的资格审查文件，审核判断投标人是否满足该资格条件。</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26.4审查过程中如出现疑问，资格后审委员可要求投标人进行澄清说明，并根据招标公告设置的条件要求进行判断；如出现投标人资格不符合招标公告设置条件的，应当向投标人说明情况，并允许投标人答辩，记录有关情况。</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26.5拟进行资格后审澄清、答辩的代表由招标人核对身份。</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26.6资格后审委员会要求投标人进行澄清、答辩，但投标人在招标人规定时间内未派出人员及时作出澄清、答辩的，资格后审委员会将可能作出不利于投标人的判定。</w:t>
      </w:r>
    </w:p>
    <w:p>
      <w:pPr>
        <w:adjustRightInd w:val="0"/>
        <w:snapToGrid w:val="0"/>
        <w:spacing w:line="360"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1"/>
          <w:highlight w:val="none"/>
        </w:rPr>
        <w:t>26.7全部投标人的资格审查材料审查完毕后，资格后审委员会出具资格审查报告，并按规定将审查结果进行公示，同时由系统直接将所有投标人的</w:t>
      </w:r>
      <w:r>
        <w:rPr>
          <w:rFonts w:hint="eastAsia" w:ascii="仿宋_GB2312" w:hAnsi="仿宋_GB2312" w:eastAsia="仿宋_GB2312" w:cs="仿宋_GB2312"/>
          <w:color w:val="auto"/>
          <w:sz w:val="21"/>
          <w:szCs w:val="21"/>
          <w:highlight w:val="none"/>
          <w:lang w:val="en-US" w:eastAsia="zh-CN"/>
        </w:rPr>
        <w:t>业绩文件</w:t>
      </w:r>
      <w:r>
        <w:rPr>
          <w:rFonts w:hint="eastAsia" w:ascii="宋体" w:hAnsi="宋体" w:eastAsia="宋体" w:cs="宋体"/>
          <w:color w:val="auto"/>
          <w:szCs w:val="21"/>
          <w:highlight w:val="none"/>
        </w:rPr>
        <w:t>内容公示。资格审查合格投标人少于3家的，不再进行后续招标投标程序。资格审查结果应当在交易网公示不少于3个工作日。</w:t>
      </w:r>
    </w:p>
    <w:p>
      <w:pPr>
        <w:pStyle w:val="4"/>
        <w:keepNext w:val="0"/>
        <w:keepLines w:val="0"/>
        <w:widowControl w:val="0"/>
        <w:tabs>
          <w:tab w:val="left" w:pos="720"/>
          <w:tab w:val="left" w:pos="4032"/>
        </w:tabs>
        <w:adjustRightInd w:val="0"/>
        <w:snapToGrid w:val="0"/>
        <w:spacing w:before="0" w:after="0" w:line="360" w:lineRule="auto"/>
        <w:jc w:val="center"/>
        <w:rPr>
          <w:rFonts w:eastAsia="宋体"/>
          <w:b/>
          <w:bCs w:val="0"/>
          <w:color w:val="auto"/>
          <w:sz w:val="32"/>
          <w:highlight w:val="none"/>
          <w:lang w:val="en-US"/>
        </w:rPr>
      </w:pPr>
      <w:bookmarkStart w:id="50" w:name="_Toc24949"/>
      <w:bookmarkStart w:id="51" w:name="_Toc17110"/>
      <w:bookmarkStart w:id="52" w:name="_Toc31112"/>
      <w:bookmarkStart w:id="53" w:name="_Toc10951"/>
      <w:bookmarkStart w:id="54" w:name="_Toc15306"/>
      <w:bookmarkStart w:id="55" w:name="_Toc31382"/>
      <w:r>
        <w:rPr>
          <w:rFonts w:hint="eastAsia" w:eastAsia="宋体"/>
          <w:b/>
          <w:bCs w:val="0"/>
          <w:color w:val="auto"/>
          <w:sz w:val="32"/>
          <w:highlight w:val="none"/>
          <w:lang w:val="en-US"/>
        </w:rPr>
        <w:t>（四）开标</w:t>
      </w:r>
      <w:bookmarkEnd w:id="50"/>
      <w:bookmarkEnd w:id="51"/>
      <w:bookmarkEnd w:id="52"/>
      <w:bookmarkEnd w:id="53"/>
      <w:bookmarkEnd w:id="54"/>
      <w:bookmarkEnd w:id="55"/>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27.开标</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27.1开标会议由招标人在交易网进行，投标人现场参加开标会的必须是法定代表人或投标员，并必须遵守办理程序及人员身份的相关规定。 </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27.2资格后审不合格的投标人的投标文件将不再进入下一步开标程序。</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27.3开标时，招标人需按开标程序分步对电子投标文件各部分进行导入；如电子投标文件已加密的，也必须按开标程序分步对电子投标文件各部分进行解密。</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27.4按招标文件规定宣布为不予受理情形的投标文件，不予送交评标委员会评审。</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27.5招标人应对开标过程进行记录，以存档备查。</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27.6对于</w:t>
      </w:r>
      <w:r>
        <w:rPr>
          <w:rFonts w:hint="eastAsia" w:ascii="宋体" w:hAnsi="宋体" w:eastAsia="宋体" w:cs="宋体"/>
          <w:color w:val="auto"/>
          <w:szCs w:val="21"/>
          <w:highlight w:val="none"/>
          <w:lang w:val="en-US" w:eastAsia="zh-CN"/>
        </w:rPr>
        <w:t>资格审查</w:t>
      </w:r>
      <w:r>
        <w:rPr>
          <w:rFonts w:hint="eastAsia" w:ascii="宋体" w:hAnsi="宋体" w:eastAsia="宋体" w:cs="宋体"/>
          <w:color w:val="auto"/>
          <w:szCs w:val="21"/>
          <w:highlight w:val="none"/>
        </w:rPr>
        <w:t>合格的投标人数量超过20名的，招标人应当采用票决法淘汰部分投标人，但进入后续评标程序的投标人数量应当为15至20名。</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招标人应结合项目实际，提前制定规则清晰、可操作性强的过多投标人淘汰方案，纳入招标文件并予以公开。</w:t>
      </w:r>
      <w:r>
        <w:rPr>
          <w:rFonts w:hint="eastAsia" w:ascii="宋体" w:hAnsi="宋体" w:eastAsia="宋体" w:cs="宋体"/>
          <w:color w:val="auto"/>
          <w:szCs w:val="21"/>
          <w:highlight w:val="none"/>
          <w:lang w:val="en-US" w:eastAsia="zh-CN"/>
        </w:rPr>
        <w:t>根据《中共深圳市委办公厅 深圳市人民政府办公厅印发&lt;关于促进民营经济做大做优做强的若干措施&gt;的通知》，招标人对资格审查合格的投标人应当采取国有和民营分类的方式进行入围淘汰，原则上民营企业入围数量占比不低于三分之一，参与投标的民营企业数量不足或者经评审无法满足招标要求的情形除外。</w:t>
      </w:r>
    </w:p>
    <w:p>
      <w:pPr>
        <w:adjustRightInd w:val="0"/>
        <w:snapToGrid w:val="0"/>
        <w:spacing w:line="360" w:lineRule="auto"/>
        <w:ind w:firstLine="420" w:firstLineChars="200"/>
        <w:rPr>
          <w:rFonts w:ascii="宋体" w:hAnsi="宋体" w:eastAsia="宋体" w:cs="宋体"/>
          <w:strike/>
          <w:color w:val="auto"/>
          <w:szCs w:val="21"/>
          <w:highlight w:val="none"/>
        </w:rPr>
      </w:pP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招标人在过多投标人淘汰环节应当采用票决法进行择优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并在</w:t>
      </w:r>
      <w:r>
        <w:rPr>
          <w:rFonts w:hint="eastAsia" w:ascii="宋体" w:hAnsi="宋体" w:eastAsia="宋体" w:cs="宋体"/>
          <w:color w:val="auto"/>
          <w:szCs w:val="21"/>
          <w:highlight w:val="none"/>
          <w:lang w:eastAsia="zh-CN"/>
        </w:rPr>
        <w:t>过多投标人淘汰方案中合规合理设置择优因素，明确各择优因素的优先程度。</w:t>
      </w:r>
      <w:r>
        <w:rPr>
          <w:rFonts w:hint="eastAsia" w:ascii="宋体" w:hAnsi="宋体" w:eastAsia="宋体" w:cs="宋体"/>
          <w:color w:val="auto"/>
          <w:szCs w:val="21"/>
          <w:highlight w:val="none"/>
        </w:rPr>
        <w:t>择优因素综合考虑拟派项目经理及管理团队成员的资历、能力、信誉，企业资质、业绩、履约以及投标报价等情况。严禁将注册地址、所有制性质、特定行政区域或者特定行业的业绩或奖项、设立本地分支机构、本地缴纳税收社保等作为择优因素。</w:t>
      </w:r>
      <w:r>
        <w:rPr>
          <w:rFonts w:hint="eastAsia" w:ascii="宋体" w:hAnsi="宋体" w:eastAsia="宋体" w:cs="宋体"/>
          <w:strike w:val="0"/>
          <w:color w:val="auto"/>
          <w:szCs w:val="21"/>
          <w:highlight w:val="none"/>
        </w:rPr>
        <w:t>招标人可以根据项目实际情况增加择优因素，也可以综合考虑择优因素或按择优因素的重要性，对投标人进行逐级淘汰。</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lang w:eastAsia="zh-CN"/>
        </w:rPr>
        <w:t>9</w:t>
      </w:r>
      <w:r>
        <w:rPr>
          <w:rFonts w:hint="eastAsia" w:ascii="宋体" w:hAnsi="宋体" w:eastAsia="宋体" w:cs="宋体"/>
          <w:color w:val="auto"/>
          <w:kern w:val="0"/>
          <w:szCs w:val="21"/>
          <w:highlight w:val="none"/>
        </w:rPr>
        <w:t>招标人应对开标过程进行记录，以存档备查。</w:t>
      </w:r>
      <w:r>
        <w:rPr>
          <w:rFonts w:hint="eastAsia" w:ascii="宋体" w:hAnsi="宋体" w:eastAsia="宋体" w:cs="宋体"/>
          <w:color w:val="auto"/>
          <w:szCs w:val="21"/>
          <w:highlight w:val="none"/>
        </w:rPr>
        <w:t>开标及入围结果应当在交易网进行公示。</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招标人在深圳交易集团有限公司（深圳公共资源交易中心）现场组织的开标会应遵循《会议管理规定》及《开标会程序》的相关规定。</w:t>
      </w:r>
    </w:p>
    <w:p>
      <w:pPr>
        <w:adjustRightInd w:val="0"/>
        <w:snapToGrid w:val="0"/>
        <w:spacing w:line="360" w:lineRule="auto"/>
        <w:ind w:firstLine="421" w:firstLineChars="200"/>
        <w:rPr>
          <w:b/>
          <w:bCs/>
          <w:color w:val="auto"/>
          <w:szCs w:val="21"/>
          <w:highlight w:val="none"/>
        </w:rPr>
      </w:pPr>
      <w:r>
        <w:rPr>
          <w:rFonts w:hint="eastAsia" w:ascii="宋体" w:hAnsi="宋体" w:eastAsia="宋体" w:cs="宋体"/>
          <w:b/>
          <w:bCs/>
          <w:color w:val="auto"/>
          <w:szCs w:val="21"/>
          <w:highlight w:val="none"/>
        </w:rPr>
        <w:t>28.投标文件不予受理的情形（详见投标文件否决性条款第一条）</w:t>
      </w:r>
    </w:p>
    <w:p>
      <w:pPr>
        <w:rPr>
          <w:color w:val="auto"/>
          <w:highlight w:val="none"/>
        </w:rPr>
      </w:pPr>
    </w:p>
    <w:p>
      <w:pPr>
        <w:pStyle w:val="4"/>
        <w:keepNext w:val="0"/>
        <w:keepLines w:val="0"/>
        <w:widowControl w:val="0"/>
        <w:tabs>
          <w:tab w:val="left" w:pos="720"/>
          <w:tab w:val="left" w:pos="4032"/>
        </w:tabs>
        <w:adjustRightInd w:val="0"/>
        <w:snapToGrid w:val="0"/>
        <w:spacing w:before="0" w:after="0" w:line="360" w:lineRule="auto"/>
        <w:jc w:val="center"/>
        <w:rPr>
          <w:rFonts w:eastAsia="宋体"/>
          <w:b/>
          <w:bCs w:val="0"/>
          <w:color w:val="auto"/>
          <w:sz w:val="32"/>
          <w:highlight w:val="none"/>
          <w:lang w:val="en-US"/>
        </w:rPr>
      </w:pPr>
      <w:bookmarkStart w:id="56" w:name="_Toc6149"/>
      <w:bookmarkStart w:id="57" w:name="_Toc13159"/>
      <w:bookmarkStart w:id="58" w:name="_Toc31279"/>
      <w:bookmarkStart w:id="59" w:name="_Toc14893"/>
      <w:bookmarkStart w:id="60" w:name="_Toc28916"/>
      <w:bookmarkStart w:id="61" w:name="_Toc13700"/>
      <w:r>
        <w:rPr>
          <w:rFonts w:hint="eastAsia" w:eastAsia="宋体"/>
          <w:b/>
          <w:bCs w:val="0"/>
          <w:color w:val="auto"/>
          <w:sz w:val="32"/>
          <w:highlight w:val="none"/>
          <w:lang w:val="en-US"/>
        </w:rPr>
        <w:t>（五）评标</w:t>
      </w:r>
      <w:bookmarkEnd w:id="56"/>
      <w:bookmarkEnd w:id="57"/>
      <w:bookmarkEnd w:id="58"/>
      <w:bookmarkEnd w:id="59"/>
      <w:bookmarkEnd w:id="60"/>
      <w:bookmarkEnd w:id="61"/>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29.评标方法及标准</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29.1评标委员会应当根据“投标须知前附表”规定的评标方法，对投标文件进行评审和比较，招标文件中没有规定的标准和方法不得作为评标的依据。</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30.评标委员会组建及职责</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30.1评标委员会组建方式：由招标人依法组建，负责评标活动。评标委员会的专家成员由招标人从评标专家库内按照专业随机抽取（招标人可以各委派一名代表作为技术标和商务标的评标委员会成员），且应当符合下列要求：</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30.1.1采用电子评标的，技术标评标委员会成员数量为5人以上单数，商务标评标委员会成员数量为3人以上单数；</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30.1.2采用纸质方式评标的，技术标评标委员会和商务标评标委员会数量均为5人以上单数。</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评标委员会职责：评标委员会应根据招标文件规定的评标方法和标准，遵循公开、公正、公平、科学、择优的原则，对投标文件进行评审。评标委员会根据招标文件规定向招标人推荐合格投标人或中标候选人。</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评标委员会成员应认真、公正、诚实、廉洁、勤勉地履行专家职责，按时参加评标，严格遵守评标纪律，并对评标结果终身负责。</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31.投标文件的初步评审</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31.1计算机评标系统对投标文件进行自动清标分析，然后由评标委员会进行投标文件的初步评审。</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31.2投标文件初步评审不合格的，应参照投标文件否决性条款作无效标处理。</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32.投标文件的详细评审</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32.1评标委员会根据招标文件规定的评标方法和标准，对各投标人的投标文件分别进行详细评审。</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33.投标文件的重大偏差</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33.1投标文件存在的重大偏差情形的，评标委员会应根据相应的投标文件否决性条款作废标处理。</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34.投标文件的细微偏差</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34.1细微偏差是指投标文件在实质上响应招标文件要求，提供了不完整的技术信息和数据等情况，细微偏差不影响投标文件的有效性。在评审过程中，评标委员会可以要求投标人就投标文件中含义不明确的内容进行说明并提供相关材料，投标人拒不补正的，在详细评审时可以对细微偏离按照不利于该投标人的原则进行调整，且投标人不得因此提出任何异议。</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35.投标文件的澄清答辩</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35.1为有助于投标文件的审查、评价和比较，评标委员会可以要求投标人对投标文件含义不明确的内容作必要的澄清或说明，投标人应当进行澄清或说明，但不得超出投标文件的范围或改变投标报价和其他实质性内容。澄清答辩可采用评标区录音电话或现场两种方式进行。</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35.2采用评标区录音电话方式澄清答辩的答辩人，仅限该项目递交投标文件时确定的投标员，投标员的联系方式以系统登记信息为准。采用现场方式澄清答辩的答辩人应为该单位的授权委托人，授权委托人须本人携带有效的身份证明文件（包含身份证原件、法定代表人证明书、法人授权委托书等）。澄清答辩人员的身份由招标人核验。</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35.3评标委员会要求投标人进行答辩，但投标人在评标委员会规定的时间内（不少于30分钟）内未派出代表及时作出答辩的，评标委员会将根据招标文件规定作出不利于投标人的判定，投标人不得因此提出任何异议。</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36.无效标和废标的处理</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36.1除法律、法规、规章、规范性文件规定以及本招标文件否决性条款单列的无效标或者废标情形外，评标委员会不得对投标文件作无效标或者废标处理。评标委员会对投标文件应坚持谨慎确定无效标和废标的原则。</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36.2评标委员会在作出任何一项无效标和废标决定前，都应当严格遵循以下程序：</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36.2.1向当事投标人作相应的澄清；</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36.2.2当事投标人应当在通知规定时间内，向评标委员会作出澄清和解释。未按时作出澄清和解释的，评标委员会可对相应投标文件按最不利情形认定；</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36.2.3在充分讨论的基础上集体表决；</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36.2.4若表决通过无效标或废标决定，应在评标报告中详细载明无效标或废标的理由、依据、答辩的情况和集体表决的情况（同意无效标或废标和不同意无效标或废标的评标委员会成员均应当注明）；</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36.2.5评标委员会在否决所有投标文件前，应当向招标人核实有关情况，听取招标人意见。</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37.</w:t>
      </w:r>
      <w:r>
        <w:rPr>
          <w:rFonts w:hint="eastAsia" w:ascii="宋体" w:hAnsi="宋体" w:eastAsia="宋体" w:cs="宋体"/>
          <w:b/>
          <w:bCs/>
          <w:strike w:val="0"/>
          <w:color w:val="auto"/>
          <w:szCs w:val="21"/>
          <w:highlight w:val="none"/>
          <w:lang w:val="en-US" w:eastAsia="zh-CN"/>
        </w:rPr>
        <w:t>中标候选人</w:t>
      </w:r>
      <w:r>
        <w:rPr>
          <w:rFonts w:hint="eastAsia" w:ascii="宋体" w:hAnsi="宋体" w:eastAsia="宋体" w:cs="宋体"/>
          <w:b/>
          <w:bCs/>
          <w:color w:val="auto"/>
          <w:szCs w:val="21"/>
          <w:highlight w:val="none"/>
        </w:rPr>
        <w:t>的推荐</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37.1评标委员会实行少数服从多数的原则，评标结果经评标委员会全体成员过半数通过有效。</w:t>
      </w:r>
    </w:p>
    <w:p>
      <w:pPr>
        <w:adjustRightInd w:val="0"/>
        <w:snapToGrid w:val="0"/>
        <w:spacing w:line="360" w:lineRule="auto"/>
        <w:ind w:firstLine="420" w:firstLineChars="200"/>
        <w:rPr>
          <w:rFonts w:ascii="宋体" w:hAnsi="宋体" w:eastAsia="宋体" w:cs="宋体"/>
          <w:strike/>
          <w:color w:val="auto"/>
          <w:szCs w:val="21"/>
          <w:highlight w:val="none"/>
        </w:rPr>
      </w:pPr>
      <w:r>
        <w:rPr>
          <w:rFonts w:hint="eastAsia" w:ascii="宋体" w:hAnsi="宋体" w:eastAsia="宋体" w:cs="宋体"/>
          <w:color w:val="auto"/>
          <w:szCs w:val="21"/>
          <w:highlight w:val="none"/>
        </w:rPr>
        <w:t>37.2</w:t>
      </w:r>
      <w:r>
        <w:rPr>
          <w:rFonts w:hint="eastAsia" w:ascii="宋体" w:hAnsi="宋体" w:eastAsia="宋体" w:cs="宋体"/>
          <w:strike w:val="0"/>
          <w:color w:val="auto"/>
          <w:kern w:val="0"/>
          <w:szCs w:val="21"/>
          <w:highlight w:val="none"/>
        </w:rPr>
        <w:t>评标委员会经过对投标文件进行评审和比较后</w:t>
      </w:r>
      <w:r>
        <w:rPr>
          <w:rFonts w:hint="eastAsia" w:ascii="宋体" w:hAnsi="宋体" w:eastAsia="宋体" w:cs="宋体"/>
          <w:strike w:val="0"/>
          <w:color w:val="auto"/>
          <w:kern w:val="0"/>
          <w:szCs w:val="21"/>
          <w:highlight w:val="none"/>
          <w:lang w:eastAsia="zh-CN"/>
        </w:rPr>
        <w:t>，</w:t>
      </w:r>
      <w:r>
        <w:rPr>
          <w:rFonts w:hint="eastAsia" w:ascii="宋体" w:hAnsi="宋体" w:eastAsia="宋体" w:cs="宋体"/>
          <w:strike w:val="0"/>
          <w:color w:val="auto"/>
          <w:szCs w:val="21"/>
          <w:highlight w:val="none"/>
          <w:u w:val="none"/>
        </w:rPr>
        <w:t>评审合格投标人数量超过5</w:t>
      </w:r>
      <w:r>
        <w:rPr>
          <w:rFonts w:hint="eastAsia" w:ascii="宋体" w:hAnsi="宋体" w:eastAsia="宋体" w:cs="宋体"/>
          <w:strike w:val="0"/>
          <w:color w:val="auto"/>
          <w:szCs w:val="21"/>
          <w:highlight w:val="none"/>
          <w:u w:val="none"/>
          <w:lang w:val="en-US" w:eastAsia="zh-CN"/>
        </w:rPr>
        <w:t>名的</w:t>
      </w:r>
      <w:r>
        <w:rPr>
          <w:rFonts w:hint="eastAsia" w:ascii="宋体" w:hAnsi="宋体" w:eastAsia="宋体" w:cs="宋体"/>
          <w:strike w:val="0"/>
          <w:color w:val="auto"/>
          <w:szCs w:val="21"/>
          <w:highlight w:val="none"/>
          <w:u w:val="none"/>
        </w:rPr>
        <w:t>，</w:t>
      </w:r>
      <w:r>
        <w:rPr>
          <w:rFonts w:hint="eastAsia" w:ascii="宋体" w:hAnsi="宋体" w:eastAsia="宋体" w:cs="宋体"/>
          <w:color w:val="auto"/>
          <w:szCs w:val="21"/>
          <w:highlight w:val="none"/>
        </w:rPr>
        <w:t>评标委员会应根据招标文件确定的规则，结合评审意见，</w:t>
      </w:r>
      <w:r>
        <w:rPr>
          <w:rFonts w:hint="eastAsia" w:ascii="宋体" w:hAnsi="宋体" w:eastAsia="宋体" w:cs="宋体"/>
          <w:strike w:val="0"/>
          <w:color w:val="auto"/>
          <w:szCs w:val="21"/>
          <w:highlight w:val="none"/>
        </w:rPr>
        <w:t>在合格投标人中</w:t>
      </w:r>
      <w:r>
        <w:rPr>
          <w:rFonts w:hint="eastAsia" w:ascii="宋体" w:hAnsi="宋体" w:eastAsia="宋体" w:cs="宋体"/>
          <w:strike w:val="0"/>
          <w:color w:val="auto"/>
          <w:szCs w:val="21"/>
          <w:highlight w:val="none"/>
          <w:lang w:val="en-US" w:eastAsia="zh-CN"/>
        </w:rPr>
        <w:t>择优推荐</w:t>
      </w:r>
      <w:r>
        <w:rPr>
          <w:rFonts w:hint="eastAsia" w:ascii="宋体" w:hAnsi="宋体" w:eastAsia="宋体" w:cs="宋体"/>
          <w:strike w:val="0"/>
          <w:color w:val="auto"/>
          <w:szCs w:val="21"/>
          <w:highlight w:val="none"/>
        </w:rPr>
        <w:t>50%的投标人作为</w:t>
      </w:r>
      <w:r>
        <w:rPr>
          <w:rFonts w:hint="eastAsia" w:ascii="宋体" w:hAnsi="宋体" w:eastAsia="宋体" w:cs="宋体"/>
          <w:strike w:val="0"/>
          <w:color w:val="auto"/>
          <w:szCs w:val="21"/>
          <w:highlight w:val="none"/>
          <w:lang w:val="en-US" w:eastAsia="zh-CN"/>
        </w:rPr>
        <w:t>中标</w:t>
      </w:r>
      <w:r>
        <w:rPr>
          <w:rFonts w:hint="eastAsia" w:ascii="宋体" w:hAnsi="宋体" w:eastAsia="宋体" w:cs="宋体"/>
          <w:strike w:val="0"/>
          <w:color w:val="auto"/>
          <w:szCs w:val="21"/>
          <w:highlight w:val="none"/>
        </w:rPr>
        <w:t>候选人（采用四舍五入取整），并详细说明推荐理由。</w:t>
      </w:r>
      <w:r>
        <w:rPr>
          <w:rFonts w:hint="eastAsia" w:ascii="宋体" w:hAnsi="宋体" w:eastAsia="宋体" w:cs="宋体"/>
          <w:strike w:val="0"/>
          <w:color w:val="auto"/>
          <w:szCs w:val="21"/>
          <w:highlight w:val="none"/>
          <w:u w:val="none"/>
        </w:rPr>
        <w:t>评审合格投标人数量</w:t>
      </w:r>
      <w:r>
        <w:rPr>
          <w:rFonts w:hint="eastAsia" w:ascii="宋体" w:hAnsi="宋体" w:eastAsia="宋体" w:cs="宋体"/>
          <w:strike w:val="0"/>
          <w:color w:val="auto"/>
          <w:szCs w:val="21"/>
          <w:highlight w:val="none"/>
          <w:u w:val="none"/>
          <w:lang w:val="en-US" w:eastAsia="zh-CN"/>
        </w:rPr>
        <w:t>为3-</w:t>
      </w:r>
      <w:r>
        <w:rPr>
          <w:rFonts w:hint="eastAsia" w:ascii="宋体" w:hAnsi="宋体" w:eastAsia="宋体" w:cs="宋体"/>
          <w:strike w:val="0"/>
          <w:color w:val="auto"/>
          <w:szCs w:val="21"/>
          <w:highlight w:val="none"/>
          <w:u w:val="none"/>
        </w:rPr>
        <w:t>5</w:t>
      </w:r>
      <w:r>
        <w:rPr>
          <w:rFonts w:hint="eastAsia" w:ascii="宋体" w:hAnsi="宋体" w:eastAsia="宋体" w:cs="宋体"/>
          <w:strike w:val="0"/>
          <w:color w:val="auto"/>
          <w:szCs w:val="21"/>
          <w:highlight w:val="none"/>
          <w:u w:val="none"/>
          <w:lang w:val="en-US" w:eastAsia="zh-CN"/>
        </w:rPr>
        <w:t>名的，所有合格投标人均为中标候选人</w:t>
      </w:r>
      <w:r>
        <w:rPr>
          <w:rStyle w:val="49"/>
          <w:rFonts w:hint="eastAsia" w:ascii="宋体" w:hAnsi="宋体" w:eastAsia="宋体" w:cs="宋体"/>
          <w:strike w:val="0"/>
          <w:color w:val="auto"/>
          <w:szCs w:val="21"/>
          <w:highlight w:val="none"/>
          <w:u w:val="none"/>
          <w:lang w:val="en-US" w:eastAsia="zh-CN"/>
        </w:rPr>
        <w:t>[</w:t>
      </w:r>
      <w:r>
        <w:rPr>
          <w:rStyle w:val="49"/>
          <w:rFonts w:hint="eastAsia" w:ascii="宋体" w:hAnsi="宋体" w:eastAsia="宋体" w:cs="宋体"/>
          <w:strike w:val="0"/>
          <w:color w:val="auto"/>
          <w:szCs w:val="21"/>
          <w:highlight w:val="none"/>
          <w:u w:val="none"/>
          <w:lang w:val="en-US" w:eastAsia="zh-CN"/>
        </w:rPr>
        <w:footnoteReference w:id="6"/>
      </w:r>
      <w:r>
        <w:rPr>
          <w:rStyle w:val="49"/>
          <w:rFonts w:hint="eastAsia" w:ascii="宋体" w:hAnsi="宋体" w:eastAsia="宋体" w:cs="宋体"/>
          <w:strike w:val="0"/>
          <w:color w:val="auto"/>
          <w:szCs w:val="21"/>
          <w:highlight w:val="none"/>
          <w:u w:val="none"/>
          <w:lang w:val="en-US" w:eastAsia="zh-CN"/>
        </w:rPr>
        <w:t>]</w:t>
      </w:r>
      <w:r>
        <w:rPr>
          <w:rFonts w:hint="eastAsia" w:ascii="宋体" w:hAnsi="宋体" w:eastAsia="宋体" w:cs="宋体"/>
          <w:strike w:val="0"/>
          <w:color w:val="auto"/>
          <w:szCs w:val="21"/>
          <w:highlight w:val="none"/>
          <w:u w:val="none"/>
          <w:lang w:val="en-US" w:eastAsia="zh-CN"/>
        </w:rPr>
        <w:t>。</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37.3评标委员会作出无效标或者废标处理后，合格投标人数量不足3名的，招标人应当宣布本次招标失败，重新招标。</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37.4采用批量招标的，评标委员会作出无效标或者废标处理后，合格投标人数量不足拟定中标人数量加上2名的，招标人不得再采用批量招标方式。</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37.5重新招标的项目，评标委员会作出无效标或者废标处理后合格投标人数量仍不足3名的，评标委员会应当将对合格投标人的评审意见提交招标人，招标人可以按照原招标文件的定标程序和方法从合格投标人中确定中标人，或者将上述情况在交易网公示3个工作日后直接发包。</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37.6评标过程中，若评标委员会认为本次招标缺乏竞争性，可以不推荐投标人，由招标人重新组织招标。</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37.7如招投标过程中出现严重异常情况，经</w:t>
      </w:r>
      <w:r>
        <w:rPr>
          <w:rFonts w:hint="eastAsia" w:ascii="宋体" w:hAnsi="宋体" w:eastAsia="宋体" w:cs="宋体"/>
          <w:color w:val="auto"/>
          <w:szCs w:val="21"/>
          <w:highlight w:val="none"/>
          <w:lang w:val="en-US" w:eastAsia="zh-CN"/>
        </w:rPr>
        <w:t>行政</w:t>
      </w:r>
      <w:r>
        <w:rPr>
          <w:rFonts w:hint="eastAsia" w:ascii="宋体" w:hAnsi="宋体" w:eastAsia="宋体" w:cs="宋体"/>
          <w:color w:val="auto"/>
          <w:szCs w:val="21"/>
          <w:highlight w:val="none"/>
        </w:rPr>
        <w:t>主管部门批准，招标人可以不接受本次招标结果，应当重新招标。</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38评标报告</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38.1评标委员会收集并汇总全体评委评审意见后，由评标委员会主任委员填写《评标报告》。</w:t>
      </w:r>
    </w:p>
    <w:p>
      <w:pPr>
        <w:adjustRightInd w:val="0"/>
        <w:snapToGrid w:val="0"/>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在评标报告中指出各投标文件的优点和存在的缺陷、签订合同前应注意和澄清的事项。评标过程中发现投标人报价存在异常低价的，应要求投标人作必要的澄清说明，提供相关材料，并在评标报告中提示该投标人在合同履行、工程质量安全等方面存在的风险。</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38.2评标报告应由评标委员会全体成员签字。评标委员会成员对评审意见和中标候选人名单存在分歧意见的，可采用书面方式阐述其不同意见和理由</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在评标报告中客观记录。评标委员会成员拒绝签字的，视为同意评标结论。评标委员会应对此做出书面记录。</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38.3对发现的涉嫌违法、违规行为，应当在评标报告中做出详细说明，做好取证工作，并及时告知行政主管部门。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38.4评标委员会向招标人提交评标报告后即解散。评标过程中使用的文件、资料等，都不得带离评标室。</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39.评标结果公示</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39.1招标人应当将评标报告（含合格投标人名单）</w:t>
      </w:r>
      <w:r>
        <w:rPr>
          <w:rFonts w:hint="eastAsia" w:ascii="宋体" w:hAnsi="宋体" w:eastAsia="宋体" w:cs="宋体"/>
          <w:color w:val="auto"/>
          <w:szCs w:val="21"/>
          <w:highlight w:val="none"/>
          <w:lang w:val="en-US" w:eastAsia="zh-CN"/>
        </w:rPr>
        <w:t>及资信标内容</w:t>
      </w:r>
      <w:r>
        <w:rPr>
          <w:rFonts w:hint="eastAsia" w:ascii="宋体" w:hAnsi="宋体" w:eastAsia="宋体" w:cs="宋体"/>
          <w:color w:val="auto"/>
          <w:szCs w:val="21"/>
          <w:highlight w:val="none"/>
        </w:rPr>
        <w:t>在交易网公示3个工作日。</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40.其它规定</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40.1若投标人的投标行为出现违反相关法律法规等政策文件列明的各种情形的，招标人将提请主管部门对相应投标人作不良记录。</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40.2评标过程中，若评标委员依据招标文件的规定要求招标人重新招标，招标人不承担因招标失败给投标人造成的损失。</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40.3如果投标文件中的BIM标书文件与其他文件内容不一致时，原则上以其他文件内容为准，投标人在投标文件或澄清中明确以</w:t>
      </w:r>
      <w:r>
        <w:rPr>
          <w:rFonts w:hint="eastAsia" w:ascii="宋体" w:hAnsi="宋体" w:eastAsia="宋体" w:cs="宋体"/>
          <w:b/>
          <w:bCs/>
          <w:color w:val="auto"/>
          <w:kern w:val="0"/>
          <w:szCs w:val="21"/>
          <w:highlight w:val="none"/>
        </w:rPr>
        <w:t>BIM</w:t>
      </w:r>
      <w:r>
        <w:rPr>
          <w:rFonts w:hint="eastAsia" w:ascii="宋体" w:hAnsi="宋体" w:eastAsia="宋体" w:cs="宋体"/>
          <w:color w:val="auto"/>
          <w:kern w:val="0"/>
          <w:szCs w:val="21"/>
          <w:highlight w:val="none"/>
        </w:rPr>
        <w:t>标书文件为准的除外。</w:t>
      </w:r>
    </w:p>
    <w:p>
      <w:pPr>
        <w:adjustRightInd w:val="0"/>
        <w:snapToGrid w:val="0"/>
        <w:spacing w:line="360" w:lineRule="auto"/>
        <w:ind w:firstLine="420" w:firstLineChars="200"/>
        <w:rPr>
          <w:rFonts w:ascii="宋体" w:hAnsi="宋体" w:eastAsia="宋体" w:cs="宋体"/>
          <w:color w:val="auto"/>
          <w:szCs w:val="21"/>
          <w:highlight w:val="none"/>
        </w:rPr>
      </w:pP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41.评标表格</w:t>
      </w:r>
    </w:p>
    <w:p>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商务标定性评审表</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标段名称：                                投标单位：</w:t>
      </w:r>
    </w:p>
    <w:tbl>
      <w:tblPr>
        <w:tblStyle w:val="41"/>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817"/>
        <w:gridCol w:w="1125"/>
        <w:gridCol w:w="1205"/>
        <w:gridCol w:w="1160"/>
        <w:gridCol w:w="1249"/>
        <w:gridCol w:w="536"/>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一、投标总价概况</w:t>
            </w:r>
          </w:p>
        </w:tc>
        <w:tc>
          <w:tcPr>
            <w:tcW w:w="817" w:type="dxa"/>
            <w:vMerge w:val="restart"/>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投标总价（万元）</w:t>
            </w:r>
          </w:p>
        </w:tc>
        <w:tc>
          <w:tcPr>
            <w:tcW w:w="1125" w:type="dxa"/>
            <w:vMerge w:val="restart"/>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投标总价与招标控制价的差额（万元）</w:t>
            </w:r>
          </w:p>
        </w:tc>
        <w:tc>
          <w:tcPr>
            <w:tcW w:w="1205" w:type="dxa"/>
            <w:vMerge w:val="restart"/>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投标总价的净下浮率（%）</w:t>
            </w:r>
          </w:p>
        </w:tc>
        <w:tc>
          <w:tcPr>
            <w:tcW w:w="4959" w:type="dxa"/>
            <w:gridSpan w:val="4"/>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投标总价中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Pr>
          <w:p>
            <w:pPr>
              <w:adjustRightInd w:val="0"/>
              <w:snapToGrid w:val="0"/>
              <w:spacing w:line="360" w:lineRule="auto"/>
              <w:rPr>
                <w:rFonts w:ascii="宋体" w:hAnsi="宋体" w:eastAsia="宋体" w:cs="宋体"/>
                <w:color w:val="auto"/>
                <w:kern w:val="0"/>
                <w:szCs w:val="21"/>
                <w:highlight w:val="none"/>
              </w:rPr>
            </w:pPr>
          </w:p>
        </w:tc>
        <w:tc>
          <w:tcPr>
            <w:tcW w:w="817" w:type="dxa"/>
            <w:vMerge w:val="continue"/>
          </w:tcPr>
          <w:p>
            <w:pPr>
              <w:adjustRightInd w:val="0"/>
              <w:snapToGrid w:val="0"/>
              <w:spacing w:line="360" w:lineRule="auto"/>
              <w:rPr>
                <w:rFonts w:ascii="宋体" w:hAnsi="宋体" w:eastAsia="宋体" w:cs="宋体"/>
                <w:color w:val="auto"/>
                <w:kern w:val="0"/>
                <w:szCs w:val="21"/>
                <w:highlight w:val="none"/>
              </w:rPr>
            </w:pPr>
          </w:p>
        </w:tc>
        <w:tc>
          <w:tcPr>
            <w:tcW w:w="1125" w:type="dxa"/>
            <w:vMerge w:val="continue"/>
          </w:tcPr>
          <w:p>
            <w:pPr>
              <w:adjustRightInd w:val="0"/>
              <w:snapToGrid w:val="0"/>
              <w:spacing w:line="360" w:lineRule="auto"/>
              <w:rPr>
                <w:rFonts w:ascii="宋体" w:hAnsi="宋体" w:eastAsia="宋体" w:cs="宋体"/>
                <w:color w:val="auto"/>
                <w:kern w:val="0"/>
                <w:szCs w:val="21"/>
                <w:highlight w:val="none"/>
              </w:rPr>
            </w:pPr>
          </w:p>
        </w:tc>
        <w:tc>
          <w:tcPr>
            <w:tcW w:w="1205" w:type="dxa"/>
            <w:vMerge w:val="continue"/>
          </w:tcPr>
          <w:p>
            <w:pPr>
              <w:adjustRightInd w:val="0"/>
              <w:snapToGrid w:val="0"/>
              <w:spacing w:line="360" w:lineRule="auto"/>
              <w:rPr>
                <w:rFonts w:ascii="宋体" w:hAnsi="宋体" w:eastAsia="宋体" w:cs="宋体"/>
                <w:color w:val="auto"/>
                <w:kern w:val="0"/>
                <w:szCs w:val="21"/>
                <w:highlight w:val="none"/>
              </w:rPr>
            </w:pPr>
          </w:p>
        </w:tc>
        <w:tc>
          <w:tcPr>
            <w:tcW w:w="1160" w:type="dxa"/>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分部分项</w:t>
            </w:r>
          </w:p>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金额（万元）</w:t>
            </w:r>
          </w:p>
        </w:tc>
        <w:tc>
          <w:tcPr>
            <w:tcW w:w="1785" w:type="dxa"/>
            <w:gridSpan w:val="2"/>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措施项目</w:t>
            </w:r>
          </w:p>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金额（万元）</w:t>
            </w:r>
          </w:p>
        </w:tc>
        <w:tc>
          <w:tcPr>
            <w:tcW w:w="2014" w:type="dxa"/>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Pr>
          <w:p>
            <w:pPr>
              <w:adjustRightInd w:val="0"/>
              <w:snapToGrid w:val="0"/>
              <w:spacing w:line="360" w:lineRule="auto"/>
              <w:rPr>
                <w:rFonts w:ascii="宋体" w:hAnsi="宋体" w:eastAsia="宋体" w:cs="宋体"/>
                <w:color w:val="auto"/>
                <w:kern w:val="0"/>
                <w:szCs w:val="21"/>
                <w:highlight w:val="none"/>
              </w:rPr>
            </w:pPr>
          </w:p>
        </w:tc>
        <w:tc>
          <w:tcPr>
            <w:tcW w:w="817" w:type="dxa"/>
          </w:tcPr>
          <w:p>
            <w:pPr>
              <w:adjustRightInd w:val="0"/>
              <w:snapToGrid w:val="0"/>
              <w:spacing w:line="360" w:lineRule="auto"/>
              <w:rPr>
                <w:rFonts w:ascii="宋体" w:hAnsi="宋体" w:eastAsia="宋体" w:cs="宋体"/>
                <w:color w:val="auto"/>
                <w:kern w:val="0"/>
                <w:szCs w:val="21"/>
                <w:highlight w:val="none"/>
              </w:rPr>
            </w:pPr>
          </w:p>
        </w:tc>
        <w:tc>
          <w:tcPr>
            <w:tcW w:w="1125" w:type="dxa"/>
          </w:tcPr>
          <w:p>
            <w:pPr>
              <w:adjustRightInd w:val="0"/>
              <w:snapToGrid w:val="0"/>
              <w:spacing w:line="360" w:lineRule="auto"/>
              <w:rPr>
                <w:rFonts w:ascii="宋体" w:hAnsi="宋体" w:eastAsia="宋体" w:cs="宋体"/>
                <w:color w:val="auto"/>
                <w:kern w:val="0"/>
                <w:szCs w:val="21"/>
                <w:highlight w:val="none"/>
              </w:rPr>
            </w:pPr>
          </w:p>
        </w:tc>
        <w:tc>
          <w:tcPr>
            <w:tcW w:w="1205" w:type="dxa"/>
          </w:tcPr>
          <w:p>
            <w:pPr>
              <w:adjustRightInd w:val="0"/>
              <w:snapToGrid w:val="0"/>
              <w:spacing w:line="360" w:lineRule="auto"/>
              <w:rPr>
                <w:rFonts w:ascii="宋体" w:hAnsi="宋体" w:eastAsia="宋体" w:cs="宋体"/>
                <w:color w:val="auto"/>
                <w:kern w:val="0"/>
                <w:szCs w:val="21"/>
                <w:highlight w:val="none"/>
              </w:rPr>
            </w:pPr>
          </w:p>
        </w:tc>
        <w:tc>
          <w:tcPr>
            <w:tcW w:w="1160" w:type="dxa"/>
          </w:tcPr>
          <w:p>
            <w:pPr>
              <w:adjustRightInd w:val="0"/>
              <w:snapToGrid w:val="0"/>
              <w:spacing w:line="360" w:lineRule="auto"/>
              <w:rPr>
                <w:rFonts w:ascii="宋体" w:hAnsi="宋体" w:eastAsia="宋体" w:cs="宋体"/>
                <w:color w:val="auto"/>
                <w:kern w:val="0"/>
                <w:szCs w:val="21"/>
                <w:highlight w:val="none"/>
              </w:rPr>
            </w:pPr>
          </w:p>
        </w:tc>
        <w:tc>
          <w:tcPr>
            <w:tcW w:w="1785" w:type="dxa"/>
            <w:gridSpan w:val="2"/>
          </w:tcPr>
          <w:p>
            <w:pPr>
              <w:adjustRightInd w:val="0"/>
              <w:snapToGrid w:val="0"/>
              <w:spacing w:line="360" w:lineRule="auto"/>
              <w:rPr>
                <w:rFonts w:ascii="宋体" w:hAnsi="宋体" w:eastAsia="宋体" w:cs="宋体"/>
                <w:color w:val="auto"/>
                <w:kern w:val="0"/>
                <w:szCs w:val="21"/>
                <w:highlight w:val="none"/>
              </w:rPr>
            </w:pPr>
          </w:p>
        </w:tc>
        <w:tc>
          <w:tcPr>
            <w:tcW w:w="2014" w:type="dxa"/>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3" w:type="dxa"/>
            <w:vMerge w:val="restart"/>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二、指定单位工程报价分析</w:t>
            </w:r>
          </w:p>
        </w:tc>
        <w:tc>
          <w:tcPr>
            <w:tcW w:w="1942" w:type="dxa"/>
            <w:gridSpan w:val="2"/>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单位工程名称</w:t>
            </w:r>
          </w:p>
        </w:tc>
        <w:tc>
          <w:tcPr>
            <w:tcW w:w="1205" w:type="dxa"/>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招标控制价</w:t>
            </w:r>
          </w:p>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160" w:type="dxa"/>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投标价</w:t>
            </w:r>
          </w:p>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249" w:type="dxa"/>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单位工程净下浮率（%）</w:t>
            </w:r>
          </w:p>
        </w:tc>
        <w:tc>
          <w:tcPr>
            <w:tcW w:w="2550" w:type="dxa"/>
            <w:gridSpan w:val="2"/>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指定专业工程投标报价偏离度（A=投标总价净下浮率-单位工程净下浮率）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Pr>
          <w:p>
            <w:pPr>
              <w:adjustRightInd w:val="0"/>
              <w:snapToGrid w:val="0"/>
              <w:spacing w:line="360" w:lineRule="auto"/>
              <w:rPr>
                <w:rFonts w:ascii="宋体" w:hAnsi="宋体" w:eastAsia="宋体" w:cs="宋体"/>
                <w:color w:val="auto"/>
                <w:kern w:val="0"/>
                <w:szCs w:val="21"/>
                <w:highlight w:val="none"/>
              </w:rPr>
            </w:pPr>
          </w:p>
        </w:tc>
        <w:tc>
          <w:tcPr>
            <w:tcW w:w="1942" w:type="dxa"/>
            <w:gridSpan w:val="2"/>
          </w:tcPr>
          <w:p>
            <w:pPr>
              <w:adjustRightInd w:val="0"/>
              <w:snapToGrid w:val="0"/>
              <w:spacing w:line="360" w:lineRule="auto"/>
              <w:rPr>
                <w:rFonts w:ascii="宋体" w:hAnsi="宋体" w:eastAsia="宋体" w:cs="宋体"/>
                <w:color w:val="auto"/>
                <w:kern w:val="0"/>
                <w:szCs w:val="21"/>
                <w:highlight w:val="none"/>
              </w:rPr>
            </w:pPr>
          </w:p>
        </w:tc>
        <w:tc>
          <w:tcPr>
            <w:tcW w:w="1205" w:type="dxa"/>
          </w:tcPr>
          <w:p>
            <w:pPr>
              <w:adjustRightInd w:val="0"/>
              <w:snapToGrid w:val="0"/>
              <w:spacing w:line="360" w:lineRule="auto"/>
              <w:rPr>
                <w:rFonts w:ascii="宋体" w:hAnsi="宋体" w:eastAsia="宋体" w:cs="宋体"/>
                <w:color w:val="auto"/>
                <w:kern w:val="0"/>
                <w:szCs w:val="21"/>
                <w:highlight w:val="none"/>
              </w:rPr>
            </w:pPr>
          </w:p>
        </w:tc>
        <w:tc>
          <w:tcPr>
            <w:tcW w:w="1160" w:type="dxa"/>
          </w:tcPr>
          <w:p>
            <w:pPr>
              <w:adjustRightInd w:val="0"/>
              <w:snapToGrid w:val="0"/>
              <w:spacing w:line="360" w:lineRule="auto"/>
              <w:rPr>
                <w:rFonts w:ascii="宋体" w:hAnsi="宋体" w:eastAsia="宋体" w:cs="宋体"/>
                <w:color w:val="auto"/>
                <w:kern w:val="0"/>
                <w:szCs w:val="21"/>
                <w:highlight w:val="none"/>
              </w:rPr>
            </w:pPr>
          </w:p>
        </w:tc>
        <w:tc>
          <w:tcPr>
            <w:tcW w:w="1249" w:type="dxa"/>
          </w:tcPr>
          <w:p>
            <w:pPr>
              <w:adjustRightInd w:val="0"/>
              <w:snapToGrid w:val="0"/>
              <w:spacing w:line="360" w:lineRule="auto"/>
              <w:rPr>
                <w:rFonts w:ascii="宋体" w:hAnsi="宋体" w:eastAsia="宋体" w:cs="宋体"/>
                <w:color w:val="auto"/>
                <w:kern w:val="0"/>
                <w:szCs w:val="21"/>
                <w:highlight w:val="none"/>
              </w:rPr>
            </w:pPr>
          </w:p>
        </w:tc>
        <w:tc>
          <w:tcPr>
            <w:tcW w:w="2550" w:type="dxa"/>
            <w:gridSpan w:val="2"/>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Pr>
          <w:p>
            <w:pPr>
              <w:adjustRightInd w:val="0"/>
              <w:snapToGrid w:val="0"/>
              <w:spacing w:line="360" w:lineRule="auto"/>
              <w:rPr>
                <w:rFonts w:ascii="宋体" w:hAnsi="宋体" w:eastAsia="宋体" w:cs="宋体"/>
                <w:color w:val="auto"/>
                <w:kern w:val="0"/>
                <w:szCs w:val="21"/>
                <w:highlight w:val="none"/>
              </w:rPr>
            </w:pPr>
          </w:p>
        </w:tc>
        <w:tc>
          <w:tcPr>
            <w:tcW w:w="1942" w:type="dxa"/>
            <w:gridSpan w:val="2"/>
          </w:tcPr>
          <w:p>
            <w:pPr>
              <w:adjustRightInd w:val="0"/>
              <w:snapToGrid w:val="0"/>
              <w:spacing w:line="360" w:lineRule="auto"/>
              <w:rPr>
                <w:rFonts w:ascii="宋体" w:hAnsi="宋体" w:eastAsia="宋体" w:cs="宋体"/>
                <w:color w:val="auto"/>
                <w:kern w:val="0"/>
                <w:szCs w:val="21"/>
                <w:highlight w:val="none"/>
              </w:rPr>
            </w:pPr>
          </w:p>
        </w:tc>
        <w:tc>
          <w:tcPr>
            <w:tcW w:w="1205" w:type="dxa"/>
          </w:tcPr>
          <w:p>
            <w:pPr>
              <w:adjustRightInd w:val="0"/>
              <w:snapToGrid w:val="0"/>
              <w:spacing w:line="360" w:lineRule="auto"/>
              <w:rPr>
                <w:rFonts w:ascii="宋体" w:hAnsi="宋体" w:eastAsia="宋体" w:cs="宋体"/>
                <w:color w:val="auto"/>
                <w:kern w:val="0"/>
                <w:szCs w:val="21"/>
                <w:highlight w:val="none"/>
              </w:rPr>
            </w:pPr>
          </w:p>
        </w:tc>
        <w:tc>
          <w:tcPr>
            <w:tcW w:w="1160" w:type="dxa"/>
          </w:tcPr>
          <w:p>
            <w:pPr>
              <w:adjustRightInd w:val="0"/>
              <w:snapToGrid w:val="0"/>
              <w:spacing w:line="360" w:lineRule="auto"/>
              <w:rPr>
                <w:rFonts w:ascii="宋体" w:hAnsi="宋体" w:eastAsia="宋体" w:cs="宋体"/>
                <w:color w:val="auto"/>
                <w:kern w:val="0"/>
                <w:szCs w:val="21"/>
                <w:highlight w:val="none"/>
              </w:rPr>
            </w:pPr>
          </w:p>
        </w:tc>
        <w:tc>
          <w:tcPr>
            <w:tcW w:w="1249" w:type="dxa"/>
          </w:tcPr>
          <w:p>
            <w:pPr>
              <w:adjustRightInd w:val="0"/>
              <w:snapToGrid w:val="0"/>
              <w:spacing w:line="360" w:lineRule="auto"/>
              <w:rPr>
                <w:rFonts w:ascii="宋体" w:hAnsi="宋体" w:eastAsia="宋体" w:cs="宋体"/>
                <w:color w:val="auto"/>
                <w:kern w:val="0"/>
                <w:szCs w:val="21"/>
                <w:highlight w:val="none"/>
              </w:rPr>
            </w:pPr>
          </w:p>
        </w:tc>
        <w:tc>
          <w:tcPr>
            <w:tcW w:w="2550" w:type="dxa"/>
            <w:gridSpan w:val="2"/>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adjustRightInd w:val="0"/>
              <w:snapToGrid w:val="0"/>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三、清单子目招标控制价超过</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万元报价分析</w:t>
            </w:r>
          </w:p>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（列出B≥±</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%的清单项）</w:t>
            </w:r>
          </w:p>
          <w:p>
            <w:pPr>
              <w:adjustRightInd w:val="0"/>
              <w:snapToGrid w:val="0"/>
              <w:spacing w:line="360" w:lineRule="auto"/>
              <w:jc w:val="center"/>
              <w:rPr>
                <w:rFonts w:ascii="宋体" w:hAnsi="宋体" w:eastAsia="宋体" w:cs="宋体"/>
                <w:color w:val="auto"/>
                <w:kern w:val="0"/>
                <w:szCs w:val="21"/>
                <w:highlight w:val="none"/>
              </w:rPr>
            </w:pPr>
          </w:p>
        </w:tc>
        <w:tc>
          <w:tcPr>
            <w:tcW w:w="1942" w:type="dxa"/>
            <w:gridSpan w:val="2"/>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清单子目编号及工程名称</w:t>
            </w:r>
          </w:p>
        </w:tc>
        <w:tc>
          <w:tcPr>
            <w:tcW w:w="1205" w:type="dxa"/>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招标控制价</w:t>
            </w:r>
          </w:p>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160" w:type="dxa"/>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投标价</w:t>
            </w:r>
          </w:p>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249" w:type="dxa"/>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下浮率（%）</w:t>
            </w:r>
          </w:p>
        </w:tc>
        <w:tc>
          <w:tcPr>
            <w:tcW w:w="2550" w:type="dxa"/>
            <w:gridSpan w:val="2"/>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清单子目投标报价偏离度（B=投标总价净下浮率-清单子目报价相对招标控制价下浮率）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83" w:type="dxa"/>
            <w:vMerge w:val="continue"/>
          </w:tcPr>
          <w:p>
            <w:pPr>
              <w:adjustRightInd w:val="0"/>
              <w:snapToGrid w:val="0"/>
              <w:spacing w:line="360" w:lineRule="auto"/>
              <w:rPr>
                <w:rFonts w:ascii="宋体" w:hAnsi="宋体" w:eastAsia="宋体" w:cs="宋体"/>
                <w:color w:val="auto"/>
                <w:kern w:val="0"/>
                <w:szCs w:val="21"/>
                <w:highlight w:val="none"/>
              </w:rPr>
            </w:pPr>
          </w:p>
        </w:tc>
        <w:tc>
          <w:tcPr>
            <w:tcW w:w="1942" w:type="dxa"/>
            <w:gridSpan w:val="2"/>
          </w:tcPr>
          <w:p>
            <w:pPr>
              <w:adjustRightInd w:val="0"/>
              <w:snapToGrid w:val="0"/>
              <w:spacing w:line="360" w:lineRule="auto"/>
              <w:rPr>
                <w:rFonts w:ascii="宋体" w:hAnsi="宋体" w:eastAsia="宋体" w:cs="宋体"/>
                <w:color w:val="auto"/>
                <w:kern w:val="0"/>
                <w:szCs w:val="21"/>
                <w:highlight w:val="none"/>
              </w:rPr>
            </w:pPr>
          </w:p>
        </w:tc>
        <w:tc>
          <w:tcPr>
            <w:tcW w:w="1205" w:type="dxa"/>
          </w:tcPr>
          <w:p>
            <w:pPr>
              <w:adjustRightInd w:val="0"/>
              <w:snapToGrid w:val="0"/>
              <w:spacing w:line="360" w:lineRule="auto"/>
              <w:rPr>
                <w:rFonts w:ascii="宋体" w:hAnsi="宋体" w:eastAsia="宋体" w:cs="宋体"/>
                <w:color w:val="auto"/>
                <w:kern w:val="0"/>
                <w:szCs w:val="21"/>
                <w:highlight w:val="none"/>
              </w:rPr>
            </w:pPr>
          </w:p>
        </w:tc>
        <w:tc>
          <w:tcPr>
            <w:tcW w:w="1160" w:type="dxa"/>
          </w:tcPr>
          <w:p>
            <w:pPr>
              <w:adjustRightInd w:val="0"/>
              <w:snapToGrid w:val="0"/>
              <w:spacing w:line="360" w:lineRule="auto"/>
              <w:rPr>
                <w:rFonts w:ascii="宋体" w:hAnsi="宋体" w:eastAsia="宋体" w:cs="宋体"/>
                <w:color w:val="auto"/>
                <w:kern w:val="0"/>
                <w:szCs w:val="21"/>
                <w:highlight w:val="none"/>
              </w:rPr>
            </w:pPr>
          </w:p>
        </w:tc>
        <w:tc>
          <w:tcPr>
            <w:tcW w:w="1249" w:type="dxa"/>
          </w:tcPr>
          <w:p>
            <w:pPr>
              <w:adjustRightInd w:val="0"/>
              <w:snapToGrid w:val="0"/>
              <w:spacing w:line="360" w:lineRule="auto"/>
              <w:rPr>
                <w:rFonts w:ascii="宋体" w:hAnsi="宋体" w:eastAsia="宋体" w:cs="宋体"/>
                <w:color w:val="auto"/>
                <w:kern w:val="0"/>
                <w:szCs w:val="21"/>
                <w:highlight w:val="none"/>
              </w:rPr>
            </w:pPr>
          </w:p>
        </w:tc>
        <w:tc>
          <w:tcPr>
            <w:tcW w:w="2550" w:type="dxa"/>
            <w:gridSpan w:val="2"/>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83" w:type="dxa"/>
            <w:vMerge w:val="continue"/>
          </w:tcPr>
          <w:p>
            <w:pPr>
              <w:adjustRightInd w:val="0"/>
              <w:snapToGrid w:val="0"/>
              <w:spacing w:line="360" w:lineRule="auto"/>
              <w:rPr>
                <w:rFonts w:ascii="宋体" w:hAnsi="宋体" w:eastAsia="宋体" w:cs="宋体"/>
                <w:color w:val="auto"/>
                <w:kern w:val="0"/>
                <w:szCs w:val="21"/>
                <w:highlight w:val="none"/>
              </w:rPr>
            </w:pPr>
          </w:p>
        </w:tc>
        <w:tc>
          <w:tcPr>
            <w:tcW w:w="1942" w:type="dxa"/>
            <w:gridSpan w:val="2"/>
          </w:tcPr>
          <w:p>
            <w:pPr>
              <w:adjustRightInd w:val="0"/>
              <w:snapToGrid w:val="0"/>
              <w:spacing w:line="360" w:lineRule="auto"/>
              <w:rPr>
                <w:rFonts w:ascii="宋体" w:hAnsi="宋体" w:eastAsia="宋体" w:cs="宋体"/>
                <w:color w:val="auto"/>
                <w:kern w:val="0"/>
                <w:szCs w:val="21"/>
                <w:highlight w:val="none"/>
              </w:rPr>
            </w:pPr>
          </w:p>
        </w:tc>
        <w:tc>
          <w:tcPr>
            <w:tcW w:w="1205" w:type="dxa"/>
          </w:tcPr>
          <w:p>
            <w:pPr>
              <w:adjustRightInd w:val="0"/>
              <w:snapToGrid w:val="0"/>
              <w:spacing w:line="360" w:lineRule="auto"/>
              <w:rPr>
                <w:rFonts w:ascii="宋体" w:hAnsi="宋体" w:eastAsia="宋体" w:cs="宋体"/>
                <w:color w:val="auto"/>
                <w:kern w:val="0"/>
                <w:szCs w:val="21"/>
                <w:highlight w:val="none"/>
              </w:rPr>
            </w:pPr>
          </w:p>
        </w:tc>
        <w:tc>
          <w:tcPr>
            <w:tcW w:w="1160" w:type="dxa"/>
          </w:tcPr>
          <w:p>
            <w:pPr>
              <w:adjustRightInd w:val="0"/>
              <w:snapToGrid w:val="0"/>
              <w:spacing w:line="360" w:lineRule="auto"/>
              <w:rPr>
                <w:rFonts w:ascii="宋体" w:hAnsi="宋体" w:eastAsia="宋体" w:cs="宋体"/>
                <w:color w:val="auto"/>
                <w:kern w:val="0"/>
                <w:szCs w:val="21"/>
                <w:highlight w:val="none"/>
              </w:rPr>
            </w:pPr>
          </w:p>
        </w:tc>
        <w:tc>
          <w:tcPr>
            <w:tcW w:w="1249" w:type="dxa"/>
          </w:tcPr>
          <w:p>
            <w:pPr>
              <w:adjustRightInd w:val="0"/>
              <w:snapToGrid w:val="0"/>
              <w:spacing w:line="360" w:lineRule="auto"/>
              <w:rPr>
                <w:rFonts w:ascii="宋体" w:hAnsi="宋体" w:eastAsia="宋体" w:cs="宋体"/>
                <w:color w:val="auto"/>
                <w:kern w:val="0"/>
                <w:szCs w:val="21"/>
                <w:highlight w:val="none"/>
              </w:rPr>
            </w:pPr>
          </w:p>
        </w:tc>
        <w:tc>
          <w:tcPr>
            <w:tcW w:w="2550" w:type="dxa"/>
            <w:gridSpan w:val="2"/>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83" w:type="dxa"/>
            <w:vMerge w:val="continue"/>
          </w:tcPr>
          <w:p>
            <w:pPr>
              <w:adjustRightInd w:val="0"/>
              <w:snapToGrid w:val="0"/>
              <w:spacing w:line="360" w:lineRule="auto"/>
              <w:rPr>
                <w:rFonts w:ascii="宋体" w:hAnsi="宋体" w:eastAsia="宋体" w:cs="宋体"/>
                <w:color w:val="auto"/>
                <w:kern w:val="0"/>
                <w:szCs w:val="21"/>
                <w:highlight w:val="none"/>
              </w:rPr>
            </w:pPr>
          </w:p>
        </w:tc>
        <w:tc>
          <w:tcPr>
            <w:tcW w:w="1942" w:type="dxa"/>
            <w:gridSpan w:val="2"/>
          </w:tcPr>
          <w:p>
            <w:pPr>
              <w:adjustRightInd w:val="0"/>
              <w:snapToGrid w:val="0"/>
              <w:spacing w:line="360" w:lineRule="auto"/>
              <w:rPr>
                <w:rFonts w:ascii="宋体" w:hAnsi="宋体" w:eastAsia="宋体" w:cs="宋体"/>
                <w:color w:val="auto"/>
                <w:kern w:val="0"/>
                <w:szCs w:val="21"/>
                <w:highlight w:val="none"/>
              </w:rPr>
            </w:pPr>
          </w:p>
        </w:tc>
        <w:tc>
          <w:tcPr>
            <w:tcW w:w="1205" w:type="dxa"/>
          </w:tcPr>
          <w:p>
            <w:pPr>
              <w:adjustRightInd w:val="0"/>
              <w:snapToGrid w:val="0"/>
              <w:spacing w:line="360" w:lineRule="auto"/>
              <w:rPr>
                <w:rFonts w:ascii="宋体" w:hAnsi="宋体" w:eastAsia="宋体" w:cs="宋体"/>
                <w:color w:val="auto"/>
                <w:kern w:val="0"/>
                <w:szCs w:val="21"/>
                <w:highlight w:val="none"/>
              </w:rPr>
            </w:pPr>
          </w:p>
        </w:tc>
        <w:tc>
          <w:tcPr>
            <w:tcW w:w="1160" w:type="dxa"/>
          </w:tcPr>
          <w:p>
            <w:pPr>
              <w:adjustRightInd w:val="0"/>
              <w:snapToGrid w:val="0"/>
              <w:spacing w:line="360" w:lineRule="auto"/>
              <w:rPr>
                <w:rFonts w:ascii="宋体" w:hAnsi="宋体" w:eastAsia="宋体" w:cs="宋体"/>
                <w:color w:val="auto"/>
                <w:kern w:val="0"/>
                <w:szCs w:val="21"/>
                <w:highlight w:val="none"/>
              </w:rPr>
            </w:pPr>
          </w:p>
        </w:tc>
        <w:tc>
          <w:tcPr>
            <w:tcW w:w="1249" w:type="dxa"/>
          </w:tcPr>
          <w:p>
            <w:pPr>
              <w:adjustRightInd w:val="0"/>
              <w:snapToGrid w:val="0"/>
              <w:spacing w:line="360" w:lineRule="auto"/>
              <w:rPr>
                <w:rFonts w:ascii="宋体" w:hAnsi="宋体" w:eastAsia="宋体" w:cs="宋体"/>
                <w:color w:val="auto"/>
                <w:kern w:val="0"/>
                <w:szCs w:val="21"/>
                <w:highlight w:val="none"/>
              </w:rPr>
            </w:pPr>
          </w:p>
        </w:tc>
        <w:tc>
          <w:tcPr>
            <w:tcW w:w="2550" w:type="dxa"/>
            <w:gridSpan w:val="2"/>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四、措施项目费合计的异常报价分析</w:t>
            </w:r>
          </w:p>
        </w:tc>
        <w:tc>
          <w:tcPr>
            <w:tcW w:w="1942" w:type="dxa"/>
            <w:gridSpan w:val="2"/>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措施项目费投标价合计（元）</w:t>
            </w:r>
          </w:p>
        </w:tc>
        <w:tc>
          <w:tcPr>
            <w:tcW w:w="1205" w:type="dxa"/>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招标控制价合计（元）</w:t>
            </w:r>
          </w:p>
        </w:tc>
        <w:tc>
          <w:tcPr>
            <w:tcW w:w="1160" w:type="dxa"/>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下浮率（%）</w:t>
            </w:r>
          </w:p>
        </w:tc>
        <w:tc>
          <w:tcPr>
            <w:tcW w:w="3799" w:type="dxa"/>
            <w:gridSpan w:val="3"/>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措施项目投标报价偏离度（C=投标总价净下浮率-措施项目费相对招标控制价下浮率）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Pr>
          <w:p>
            <w:pPr>
              <w:adjustRightInd w:val="0"/>
              <w:snapToGrid w:val="0"/>
              <w:spacing w:line="360" w:lineRule="auto"/>
              <w:rPr>
                <w:rFonts w:ascii="宋体" w:hAnsi="宋体" w:eastAsia="宋体" w:cs="宋体"/>
                <w:color w:val="auto"/>
                <w:kern w:val="0"/>
                <w:szCs w:val="21"/>
                <w:highlight w:val="none"/>
              </w:rPr>
            </w:pPr>
          </w:p>
        </w:tc>
        <w:tc>
          <w:tcPr>
            <w:tcW w:w="1942" w:type="dxa"/>
            <w:gridSpan w:val="2"/>
          </w:tcPr>
          <w:p>
            <w:pPr>
              <w:adjustRightInd w:val="0"/>
              <w:snapToGrid w:val="0"/>
              <w:spacing w:line="360" w:lineRule="auto"/>
              <w:rPr>
                <w:rFonts w:ascii="宋体" w:hAnsi="宋体" w:eastAsia="宋体" w:cs="宋体"/>
                <w:color w:val="auto"/>
                <w:kern w:val="0"/>
                <w:szCs w:val="21"/>
                <w:highlight w:val="none"/>
              </w:rPr>
            </w:pPr>
          </w:p>
        </w:tc>
        <w:tc>
          <w:tcPr>
            <w:tcW w:w="1205" w:type="dxa"/>
          </w:tcPr>
          <w:p>
            <w:pPr>
              <w:adjustRightInd w:val="0"/>
              <w:snapToGrid w:val="0"/>
              <w:spacing w:line="360" w:lineRule="auto"/>
              <w:rPr>
                <w:rFonts w:ascii="宋体" w:hAnsi="宋体" w:eastAsia="宋体" w:cs="宋体"/>
                <w:color w:val="auto"/>
                <w:kern w:val="0"/>
                <w:szCs w:val="21"/>
                <w:highlight w:val="none"/>
              </w:rPr>
            </w:pPr>
          </w:p>
        </w:tc>
        <w:tc>
          <w:tcPr>
            <w:tcW w:w="1160" w:type="dxa"/>
          </w:tcPr>
          <w:p>
            <w:pPr>
              <w:adjustRightInd w:val="0"/>
              <w:snapToGrid w:val="0"/>
              <w:spacing w:line="360" w:lineRule="auto"/>
              <w:rPr>
                <w:rFonts w:ascii="宋体" w:hAnsi="宋体" w:eastAsia="宋体" w:cs="宋体"/>
                <w:color w:val="auto"/>
                <w:kern w:val="0"/>
                <w:szCs w:val="21"/>
                <w:highlight w:val="none"/>
              </w:rPr>
            </w:pPr>
          </w:p>
        </w:tc>
        <w:tc>
          <w:tcPr>
            <w:tcW w:w="1249" w:type="dxa"/>
          </w:tcPr>
          <w:p>
            <w:pPr>
              <w:adjustRightInd w:val="0"/>
              <w:snapToGrid w:val="0"/>
              <w:spacing w:line="360" w:lineRule="auto"/>
              <w:rPr>
                <w:rFonts w:ascii="宋体" w:hAnsi="宋体" w:eastAsia="宋体" w:cs="宋体"/>
                <w:color w:val="auto"/>
                <w:kern w:val="0"/>
                <w:szCs w:val="21"/>
                <w:highlight w:val="none"/>
              </w:rPr>
            </w:pPr>
          </w:p>
        </w:tc>
        <w:tc>
          <w:tcPr>
            <w:tcW w:w="2550" w:type="dxa"/>
            <w:gridSpan w:val="2"/>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五、其他报价问题以及对合同签订、履行过程中的风险警示</w:t>
            </w:r>
          </w:p>
        </w:tc>
        <w:tc>
          <w:tcPr>
            <w:tcW w:w="8106" w:type="dxa"/>
            <w:gridSpan w:val="7"/>
          </w:tcPr>
          <w:p>
            <w:pPr>
              <w:adjustRightInd w:val="0"/>
              <w:snapToGrid w:val="0"/>
              <w:spacing w:line="360" w:lineRule="auto"/>
              <w:rPr>
                <w:rFonts w:ascii="宋体" w:hAnsi="宋体" w:eastAsia="宋体" w:cs="宋体"/>
                <w:color w:val="auto"/>
                <w:kern w:val="0"/>
                <w:szCs w:val="21"/>
                <w:highlight w:val="none"/>
              </w:rPr>
            </w:pPr>
          </w:p>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投标文件商务标还存在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等其他报价问题，并对合同签订、履行过程中的风险提出如下警示：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六、评审结论</w:t>
            </w:r>
          </w:p>
        </w:tc>
        <w:tc>
          <w:tcPr>
            <w:tcW w:w="8106" w:type="dxa"/>
            <w:gridSpan w:val="7"/>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       □不合格</w:t>
            </w:r>
          </w:p>
        </w:tc>
      </w:tr>
    </w:tbl>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评标专家：                               评标日期：    年   月   日</w:t>
      </w:r>
    </w:p>
    <w:p>
      <w:pPr>
        <w:adjustRightInd w:val="0"/>
        <w:snapToGrid w:val="0"/>
        <w:spacing w:line="360" w:lineRule="auto"/>
        <w:ind w:firstLine="420" w:firstLineChars="200"/>
        <w:rPr>
          <w:rFonts w:ascii="宋体" w:hAnsi="宋体" w:eastAsia="宋体" w:cs="宋体"/>
          <w:color w:val="auto"/>
          <w:szCs w:val="21"/>
          <w:highlight w:val="none"/>
        </w:rPr>
      </w:pPr>
    </w:p>
    <w:p>
      <w:pPr>
        <w:adjustRightInd w:val="0"/>
        <w:snapToGrid w:val="0"/>
        <w:spacing w:line="360" w:lineRule="auto"/>
        <w:jc w:val="center"/>
        <w:rPr>
          <w:rFonts w:ascii="宋体" w:hAnsi="宋体" w:eastAsia="宋体" w:cs="宋体"/>
          <w:b/>
          <w:color w:val="auto"/>
          <w:sz w:val="30"/>
          <w:szCs w:val="30"/>
          <w:highlight w:val="none"/>
        </w:rPr>
      </w:pPr>
      <w:bookmarkStart w:id="62" w:name="定性评审法"/>
      <w:r>
        <w:rPr>
          <w:rFonts w:hint="eastAsia" w:ascii="宋体" w:hAnsi="宋体" w:eastAsia="宋体" w:cs="宋体"/>
          <w:b/>
          <w:color w:val="auto"/>
          <w:sz w:val="30"/>
          <w:szCs w:val="30"/>
          <w:highlight w:val="none"/>
        </w:rPr>
        <w:t>技术标定性评审表</w:t>
      </w:r>
    </w:p>
    <w:p>
      <w:pPr>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标段名称：                                       投标单位：</w:t>
      </w:r>
    </w:p>
    <w:tbl>
      <w:tblPr>
        <w:tblStyle w:val="41"/>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94"/>
        <w:gridCol w:w="1700"/>
        <w:gridCol w:w="1274"/>
        <w:gridCol w:w="4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694"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评审项目</w:t>
            </w:r>
          </w:p>
        </w:tc>
        <w:tc>
          <w:tcPr>
            <w:tcW w:w="1700"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评审内容</w:t>
            </w:r>
          </w:p>
        </w:tc>
        <w:tc>
          <w:tcPr>
            <w:tcW w:w="1274"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优点</w:t>
            </w:r>
          </w:p>
        </w:tc>
        <w:tc>
          <w:tcPr>
            <w:tcW w:w="4209"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存在缺陷或签订合同前应注意和澄清事项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spacing w:line="360" w:lineRule="auto"/>
              <w:jc w:val="center"/>
              <w:rPr>
                <w:rFonts w:ascii="宋体" w:hAnsi="宋体" w:eastAsia="宋体" w:cs="宋体"/>
                <w:color w:val="auto"/>
                <w:kern w:val="0"/>
                <w:szCs w:val="21"/>
                <w:highlight w:val="none"/>
              </w:rPr>
            </w:pPr>
            <w:bookmarkStart w:id="63" w:name="定性评审法2" w:colFirst="0" w:colLast="0"/>
          </w:p>
        </w:tc>
        <w:tc>
          <w:tcPr>
            <w:tcW w:w="1694"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p>
        </w:tc>
        <w:tc>
          <w:tcPr>
            <w:tcW w:w="1700"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p>
        </w:tc>
        <w:tc>
          <w:tcPr>
            <w:tcW w:w="1274" w:type="dxa"/>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p>
        </w:tc>
        <w:tc>
          <w:tcPr>
            <w:tcW w:w="4209" w:type="dxa"/>
            <w:shd w:val="clear" w:color="auto" w:fill="auto"/>
            <w:vAlign w:val="center"/>
          </w:tcPr>
          <w:p>
            <w:pPr>
              <w:adjustRightInd w:val="0"/>
              <w:snapToGrid w:val="0"/>
              <w:spacing w:line="360" w:lineRule="auto"/>
              <w:jc w:val="center"/>
              <w:rPr>
                <w:rFonts w:ascii="宋体" w:hAnsi="宋体" w:eastAsia="宋体" w:cs="宋体"/>
                <w:color w:val="auto"/>
                <w:kern w:val="0"/>
                <w:szCs w:val="21"/>
                <w:highlight w:val="none"/>
              </w:rPr>
            </w:pPr>
          </w:p>
        </w:tc>
      </w:tr>
      <w:bookmark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52" w:type="dxa"/>
            <w:gridSpan w:val="5"/>
            <w:shd w:val="clear" w:color="auto" w:fill="auto"/>
            <w:vAlign w:val="center"/>
          </w:tcPr>
          <w:p>
            <w:pPr>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综合评价等级：□合格    □不合格</w:t>
            </w:r>
          </w:p>
        </w:tc>
      </w:tr>
    </w:tbl>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评标专家：                           评标日期：    年  月  日</w:t>
      </w:r>
    </w:p>
    <w:p>
      <w:pPr>
        <w:adjustRightInd w:val="0"/>
        <w:snapToGrid w:val="0"/>
        <w:spacing w:line="360" w:lineRule="auto"/>
        <w:rPr>
          <w:rFonts w:ascii="宋体" w:hAnsi="宋体" w:eastAsia="宋体" w:cs="宋体"/>
          <w:b/>
          <w:color w:val="auto"/>
          <w:szCs w:val="21"/>
          <w:highlight w:val="none"/>
        </w:rPr>
      </w:pP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1、本表适用于专家独立评审使用；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2、指出各评审项的优点、存在缺陷或签订合同前应注意和澄清事项；</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3、综合评价等级仅分为合格或不合格两个等级，不合格仅限于符合招标文件废标、无效标情形以及投标文件违反国家强制性条文标准的情形。</w:t>
      </w:r>
    </w:p>
    <w:p>
      <w:pPr>
        <w:adjustRightInd w:val="0"/>
        <w:snapToGrid w:val="0"/>
        <w:spacing w:line="360" w:lineRule="auto"/>
        <w:ind w:firstLine="420" w:firstLineChars="200"/>
        <w:rPr>
          <w:rFonts w:ascii="宋体" w:hAnsi="宋体" w:eastAsia="宋体" w:cs="宋体"/>
          <w:color w:val="auto"/>
          <w:szCs w:val="21"/>
          <w:highlight w:val="none"/>
        </w:rPr>
      </w:pPr>
    </w:p>
    <w:p>
      <w:pPr>
        <w:adjustRightInd w:val="0"/>
        <w:snapToGrid w:val="0"/>
        <w:spacing w:line="360" w:lineRule="auto"/>
        <w:jc w:val="center"/>
        <w:rPr>
          <w:b/>
          <w:color w:val="auto"/>
          <w:sz w:val="28"/>
          <w:szCs w:val="28"/>
          <w:highlight w:val="none"/>
        </w:rPr>
      </w:pPr>
      <w:r>
        <w:rPr>
          <w:rFonts w:hint="eastAsia"/>
          <w:b/>
          <w:color w:val="auto"/>
          <w:sz w:val="28"/>
          <w:szCs w:val="28"/>
          <w:highlight w:val="none"/>
        </w:rPr>
        <w:t>BIM标定性评审表（仅供参考）</w:t>
      </w:r>
    </w:p>
    <w:p>
      <w:pPr>
        <w:adjustRightInd w:val="0"/>
        <w:snapToGrid w:val="0"/>
        <w:spacing w:line="360" w:lineRule="auto"/>
        <w:rPr>
          <w:b/>
          <w:color w:val="auto"/>
          <w:szCs w:val="21"/>
          <w:highlight w:val="none"/>
        </w:rPr>
      </w:pPr>
      <w:r>
        <w:rPr>
          <w:rFonts w:hint="eastAsia"/>
          <w:color w:val="auto"/>
          <w:szCs w:val="21"/>
          <w:highlight w:val="none"/>
        </w:rPr>
        <w:t>标段名称：</w:t>
      </w: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投标单位：</w:t>
      </w:r>
    </w:p>
    <w:tbl>
      <w:tblPr>
        <w:tblStyle w:val="41"/>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95"/>
        <w:gridCol w:w="4370"/>
        <w:gridCol w:w="528"/>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95"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评审项目</w:t>
            </w:r>
          </w:p>
        </w:tc>
        <w:tc>
          <w:tcPr>
            <w:tcW w:w="4370"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528"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优点</w:t>
            </w:r>
          </w:p>
        </w:tc>
        <w:tc>
          <w:tcPr>
            <w:tcW w:w="2285"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存在缺陷或签订合同前应注意和澄清事项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675"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95"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BIM实施方案</w:t>
            </w:r>
          </w:p>
        </w:tc>
        <w:tc>
          <w:tcPr>
            <w:tcW w:w="4370"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投标人BIM综合应用能力情况</w:t>
            </w:r>
          </w:p>
        </w:tc>
        <w:tc>
          <w:tcPr>
            <w:tcW w:w="528" w:type="dxa"/>
            <w:vAlign w:val="center"/>
          </w:tcPr>
          <w:p>
            <w:pPr>
              <w:rPr>
                <w:rFonts w:ascii="宋体" w:hAnsi="宋体" w:eastAsia="宋体" w:cs="宋体"/>
                <w:color w:val="auto"/>
                <w:szCs w:val="21"/>
                <w:highlight w:val="none"/>
              </w:rPr>
            </w:pPr>
          </w:p>
        </w:tc>
        <w:tc>
          <w:tcPr>
            <w:tcW w:w="2285" w:type="dxa"/>
            <w:vAlign w:val="center"/>
          </w:tcPr>
          <w:p>
            <w:pP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675"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95"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模型评审</w:t>
            </w:r>
          </w:p>
        </w:tc>
        <w:tc>
          <w:tcPr>
            <w:tcW w:w="4370"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投标人对图纸的理解程度和BIM建模范围、精度情况</w:t>
            </w:r>
          </w:p>
        </w:tc>
        <w:tc>
          <w:tcPr>
            <w:tcW w:w="528" w:type="dxa"/>
            <w:vAlign w:val="center"/>
          </w:tcPr>
          <w:p>
            <w:pPr>
              <w:rPr>
                <w:rFonts w:ascii="宋体" w:hAnsi="宋体" w:eastAsia="宋体" w:cs="宋体"/>
                <w:color w:val="auto"/>
                <w:szCs w:val="21"/>
                <w:highlight w:val="none"/>
              </w:rPr>
            </w:pPr>
          </w:p>
        </w:tc>
        <w:tc>
          <w:tcPr>
            <w:tcW w:w="2285" w:type="dxa"/>
            <w:vAlign w:val="center"/>
          </w:tcPr>
          <w:p>
            <w:pP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675"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95"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进度评审</w:t>
            </w:r>
          </w:p>
        </w:tc>
        <w:tc>
          <w:tcPr>
            <w:tcW w:w="4370"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投标人施工组织安排的合理性和科学性情况</w:t>
            </w:r>
          </w:p>
        </w:tc>
        <w:tc>
          <w:tcPr>
            <w:tcW w:w="528" w:type="dxa"/>
            <w:vAlign w:val="center"/>
          </w:tcPr>
          <w:p>
            <w:pPr>
              <w:rPr>
                <w:rFonts w:ascii="宋体" w:hAnsi="宋体" w:eastAsia="宋体" w:cs="宋体"/>
                <w:color w:val="auto"/>
                <w:szCs w:val="21"/>
                <w:highlight w:val="none"/>
              </w:rPr>
            </w:pPr>
          </w:p>
        </w:tc>
        <w:tc>
          <w:tcPr>
            <w:tcW w:w="2285" w:type="dxa"/>
            <w:vAlign w:val="center"/>
          </w:tcPr>
          <w:p>
            <w:pP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675"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95" w:type="dxa"/>
            <w:vAlign w:val="center"/>
          </w:tcPr>
          <w:p>
            <w:pPr>
              <w:adjustRightInd w:val="0"/>
              <w:snapToGrid w:val="0"/>
              <w:jc w:val="center"/>
              <w:rPr>
                <w:rFonts w:ascii="宋体" w:hAnsi="宋体" w:eastAsia="宋体" w:cs="宋体"/>
                <w:color w:val="auto"/>
                <w:szCs w:val="21"/>
                <w:highlight w:val="none"/>
              </w:rPr>
            </w:pPr>
          </w:p>
        </w:tc>
        <w:tc>
          <w:tcPr>
            <w:tcW w:w="4370" w:type="dxa"/>
            <w:vAlign w:val="center"/>
          </w:tcPr>
          <w:p>
            <w:pPr>
              <w:adjustRightInd w:val="0"/>
              <w:snapToGrid w:val="0"/>
              <w:jc w:val="center"/>
              <w:rPr>
                <w:rFonts w:ascii="宋体" w:hAnsi="宋体" w:eastAsia="宋体" w:cs="宋体"/>
                <w:color w:val="auto"/>
                <w:szCs w:val="21"/>
                <w:highlight w:val="none"/>
              </w:rPr>
            </w:pPr>
          </w:p>
        </w:tc>
        <w:tc>
          <w:tcPr>
            <w:tcW w:w="528" w:type="dxa"/>
            <w:vAlign w:val="center"/>
          </w:tcPr>
          <w:p>
            <w:pPr>
              <w:rPr>
                <w:rFonts w:ascii="宋体" w:hAnsi="宋体" w:eastAsia="宋体" w:cs="宋体"/>
                <w:color w:val="auto"/>
                <w:szCs w:val="21"/>
                <w:highlight w:val="none"/>
              </w:rPr>
            </w:pPr>
          </w:p>
        </w:tc>
        <w:tc>
          <w:tcPr>
            <w:tcW w:w="2285" w:type="dxa"/>
            <w:vAlign w:val="center"/>
          </w:tcPr>
          <w:p>
            <w:pP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675"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695" w:type="dxa"/>
            <w:vAlign w:val="center"/>
          </w:tcPr>
          <w:p>
            <w:pPr>
              <w:adjustRightInd w:val="0"/>
              <w:snapToGrid w:val="0"/>
              <w:jc w:val="center"/>
              <w:rPr>
                <w:rFonts w:ascii="宋体" w:hAnsi="宋体" w:eastAsia="宋体" w:cs="宋体"/>
                <w:color w:val="auto"/>
                <w:szCs w:val="21"/>
                <w:highlight w:val="none"/>
              </w:rPr>
            </w:pPr>
          </w:p>
        </w:tc>
        <w:tc>
          <w:tcPr>
            <w:tcW w:w="4370" w:type="dxa"/>
            <w:vAlign w:val="center"/>
          </w:tcPr>
          <w:p>
            <w:pPr>
              <w:adjustRightInd w:val="0"/>
              <w:snapToGrid w:val="0"/>
              <w:jc w:val="center"/>
              <w:rPr>
                <w:rFonts w:ascii="宋体" w:hAnsi="宋体" w:eastAsia="宋体" w:cs="宋体"/>
                <w:color w:val="auto"/>
                <w:szCs w:val="21"/>
                <w:highlight w:val="none"/>
              </w:rPr>
            </w:pPr>
          </w:p>
        </w:tc>
        <w:tc>
          <w:tcPr>
            <w:tcW w:w="528" w:type="dxa"/>
            <w:vAlign w:val="center"/>
          </w:tcPr>
          <w:p>
            <w:pPr>
              <w:rPr>
                <w:rFonts w:ascii="宋体" w:hAnsi="宋体" w:eastAsia="宋体" w:cs="宋体"/>
                <w:color w:val="auto"/>
                <w:szCs w:val="21"/>
                <w:highlight w:val="none"/>
              </w:rPr>
            </w:pPr>
          </w:p>
        </w:tc>
        <w:tc>
          <w:tcPr>
            <w:tcW w:w="2285" w:type="dxa"/>
            <w:vAlign w:val="center"/>
          </w:tcPr>
          <w:p>
            <w:pP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675"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695" w:type="dxa"/>
            <w:vAlign w:val="center"/>
          </w:tcPr>
          <w:p>
            <w:pPr>
              <w:adjustRightInd w:val="0"/>
              <w:snapToGrid w:val="0"/>
              <w:jc w:val="center"/>
              <w:rPr>
                <w:rFonts w:ascii="宋体" w:hAnsi="宋体" w:eastAsia="宋体" w:cs="宋体"/>
                <w:color w:val="auto"/>
                <w:szCs w:val="21"/>
                <w:highlight w:val="none"/>
              </w:rPr>
            </w:pPr>
          </w:p>
        </w:tc>
        <w:tc>
          <w:tcPr>
            <w:tcW w:w="4370" w:type="dxa"/>
            <w:vAlign w:val="center"/>
          </w:tcPr>
          <w:p>
            <w:pPr>
              <w:adjustRightInd w:val="0"/>
              <w:snapToGrid w:val="0"/>
              <w:jc w:val="center"/>
              <w:rPr>
                <w:rFonts w:ascii="宋体" w:hAnsi="宋体" w:eastAsia="宋体" w:cs="宋体"/>
                <w:color w:val="auto"/>
                <w:szCs w:val="21"/>
                <w:highlight w:val="none"/>
              </w:rPr>
            </w:pPr>
          </w:p>
        </w:tc>
        <w:tc>
          <w:tcPr>
            <w:tcW w:w="528" w:type="dxa"/>
            <w:vAlign w:val="center"/>
          </w:tcPr>
          <w:p>
            <w:pPr>
              <w:rPr>
                <w:rFonts w:ascii="宋体" w:hAnsi="宋体" w:eastAsia="宋体" w:cs="宋体"/>
                <w:color w:val="auto"/>
                <w:szCs w:val="21"/>
                <w:highlight w:val="none"/>
              </w:rPr>
            </w:pPr>
          </w:p>
        </w:tc>
        <w:tc>
          <w:tcPr>
            <w:tcW w:w="2285" w:type="dxa"/>
            <w:vAlign w:val="center"/>
          </w:tcPr>
          <w:p>
            <w:pP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53" w:type="dxa"/>
            <w:gridSpan w:val="5"/>
            <w:vAlign w:val="center"/>
          </w:tcPr>
          <w:p>
            <w:pPr>
              <w:adjustRightInd w:val="0"/>
              <w:snapToGrid w:val="0"/>
              <w:jc w:val="left"/>
              <w:rPr>
                <w:rFonts w:ascii="宋体" w:hAnsi="宋体" w:eastAsia="宋体" w:cs="宋体"/>
                <w:color w:val="auto"/>
                <w:szCs w:val="21"/>
                <w:highlight w:val="none"/>
              </w:rPr>
            </w:pPr>
            <w:r>
              <w:rPr>
                <w:rFonts w:hint="eastAsia" w:ascii="宋体" w:hAnsi="宋体" w:eastAsia="宋体" w:cs="宋体"/>
                <w:color w:val="auto"/>
                <w:szCs w:val="21"/>
                <w:highlight w:val="none"/>
              </w:rPr>
              <w:t>综合评价等级：□合格    □不合格</w:t>
            </w:r>
          </w:p>
        </w:tc>
      </w:tr>
    </w:tbl>
    <w:p>
      <w:pPr>
        <w:adjustRightInd w:val="0"/>
        <w:snapToGrid w:val="0"/>
        <w:spacing w:line="360" w:lineRule="auto"/>
        <w:rPr>
          <w:rFonts w:ascii="宋体" w:hAnsi="宋体" w:eastAsia="宋体" w:cs="宋体"/>
          <w:b/>
          <w:color w:val="auto"/>
          <w:szCs w:val="21"/>
          <w:highlight w:val="none"/>
        </w:rPr>
      </w:pPr>
      <w:r>
        <w:rPr>
          <w:rFonts w:hint="eastAsia" w:ascii="黑体" w:eastAsia="黑体"/>
          <w:color w:val="auto"/>
          <w:szCs w:val="21"/>
          <w:highlight w:val="none"/>
        </w:rPr>
        <w:t>评标专家：                           评标日期：    年  月  日</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1、本表适用于专家独立评审使用；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2、指出各评审项的优点、存在缺陷或签订合同前应注意和澄清事项；</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3、综合评价等级仅分为合格或不合格两个等级，不合格仅限于符合招标文件废标、无效标情形以及投标文件违反国家强制性条文标准的情形。</w:t>
      </w:r>
    </w:p>
    <w:bookmarkEnd w:id="62"/>
    <w:p>
      <w:pPr>
        <w:pStyle w:val="4"/>
        <w:keepNext w:val="0"/>
        <w:keepLines w:val="0"/>
        <w:widowControl w:val="0"/>
        <w:tabs>
          <w:tab w:val="left" w:pos="720"/>
          <w:tab w:val="left" w:pos="4032"/>
        </w:tabs>
        <w:adjustRightInd w:val="0"/>
        <w:snapToGrid w:val="0"/>
        <w:spacing w:before="0" w:after="0" w:line="360" w:lineRule="auto"/>
        <w:jc w:val="center"/>
        <w:rPr>
          <w:rFonts w:eastAsia="宋体"/>
          <w:b/>
          <w:bCs w:val="0"/>
          <w:color w:val="auto"/>
          <w:sz w:val="32"/>
          <w:highlight w:val="none"/>
          <w:lang w:val="en-US"/>
        </w:rPr>
      </w:pPr>
      <w:bookmarkStart w:id="64" w:name="_Toc22422"/>
      <w:bookmarkStart w:id="65" w:name="_Toc13098"/>
      <w:bookmarkStart w:id="66" w:name="_Toc10935"/>
      <w:bookmarkStart w:id="67" w:name="_Toc8528"/>
      <w:bookmarkStart w:id="68" w:name="_Toc31697"/>
      <w:bookmarkStart w:id="69" w:name="_Toc17365"/>
      <w:r>
        <w:rPr>
          <w:rFonts w:hint="eastAsia" w:eastAsia="宋体"/>
          <w:b/>
          <w:bCs w:val="0"/>
          <w:color w:val="auto"/>
          <w:sz w:val="32"/>
          <w:highlight w:val="none"/>
          <w:lang w:val="en-US"/>
        </w:rPr>
        <w:t>（六）定标</w:t>
      </w:r>
      <w:bookmarkEnd w:id="64"/>
      <w:bookmarkEnd w:id="65"/>
      <w:bookmarkEnd w:id="66"/>
      <w:bookmarkEnd w:id="67"/>
      <w:bookmarkEnd w:id="68"/>
      <w:bookmarkEnd w:id="69"/>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42.清标</w:t>
      </w:r>
    </w:p>
    <w:p>
      <w:pPr>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42.1在开展定标前，招标人</w:t>
      </w:r>
      <w:r>
        <w:rPr>
          <w:rFonts w:hint="eastAsia" w:ascii="宋体" w:hAnsi="宋体" w:eastAsia="宋体" w:cs="宋体"/>
          <w:color w:val="auto"/>
          <w:szCs w:val="21"/>
          <w:highlight w:val="none"/>
        </w:rPr>
        <w:t>原则上应开展清标工作，</w:t>
      </w:r>
      <w:r>
        <w:rPr>
          <w:rFonts w:hint="eastAsia" w:ascii="宋体" w:hAnsi="宋体" w:eastAsia="宋体" w:cs="宋体"/>
          <w:color w:val="auto"/>
          <w:kern w:val="0"/>
          <w:szCs w:val="21"/>
          <w:highlight w:val="none"/>
        </w:rPr>
        <w:t>招标人可以自行或委托专业机构</w:t>
      </w:r>
      <w:r>
        <w:rPr>
          <w:rFonts w:hint="eastAsia" w:ascii="宋体" w:hAnsi="宋体" w:eastAsia="宋体" w:cs="宋体"/>
          <w:color w:val="auto"/>
          <w:szCs w:val="21"/>
          <w:highlight w:val="none"/>
        </w:rPr>
        <w:t>（含邀请专家）方式</w:t>
      </w:r>
      <w:r>
        <w:rPr>
          <w:rFonts w:hint="eastAsia" w:ascii="宋体" w:hAnsi="宋体" w:eastAsia="宋体" w:cs="宋体"/>
          <w:color w:val="auto"/>
          <w:kern w:val="0"/>
          <w:szCs w:val="21"/>
          <w:highlight w:val="none"/>
        </w:rPr>
        <w:t>开展清标工作，</w:t>
      </w:r>
      <w:r>
        <w:rPr>
          <w:rFonts w:hint="eastAsia" w:ascii="宋体" w:hAnsi="宋体" w:eastAsia="宋体" w:cs="宋体"/>
          <w:color w:val="auto"/>
          <w:szCs w:val="21"/>
          <w:highlight w:val="none"/>
        </w:rPr>
        <w:t>清标人员数量为5人以上单数。</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42.2 </w:t>
      </w:r>
      <w:r>
        <w:rPr>
          <w:rFonts w:hint="eastAsia" w:ascii="宋体" w:hAnsi="宋体" w:eastAsia="宋体" w:cs="宋体"/>
          <w:color w:val="auto"/>
          <w:szCs w:val="21"/>
          <w:highlight w:val="none"/>
        </w:rPr>
        <w:t>清标要素由招标人根据项目实际设置，</w:t>
      </w:r>
      <w:r>
        <w:rPr>
          <w:rFonts w:hint="eastAsia" w:ascii="宋体" w:hAnsi="宋体" w:eastAsia="宋体" w:cs="宋体"/>
          <w:color w:val="auto"/>
          <w:kern w:val="0"/>
          <w:szCs w:val="21"/>
          <w:highlight w:val="none"/>
        </w:rPr>
        <w:t>清标工作包括对</w:t>
      </w:r>
      <w:r>
        <w:rPr>
          <w:rFonts w:hint="eastAsia" w:ascii="宋体" w:hAnsi="宋体" w:eastAsia="宋体" w:cs="宋体"/>
          <w:color w:val="auto"/>
          <w:szCs w:val="21"/>
          <w:highlight w:val="none"/>
        </w:rPr>
        <w:t>评标专家的评审意见进行复核</w:t>
      </w:r>
      <w:r>
        <w:rPr>
          <w:rFonts w:hint="eastAsia" w:ascii="宋体" w:hAnsi="宋体" w:eastAsia="宋体" w:cs="宋体"/>
          <w:color w:val="auto"/>
          <w:kern w:val="0"/>
          <w:szCs w:val="21"/>
          <w:highlight w:val="none"/>
        </w:rPr>
        <w:t>、投标人及拟派项目负责人进行考察、质询，对投标文件或方案进行澄清与复核，对项目后期可能遇到的风险和问题进行评估等</w:t>
      </w:r>
      <w:r>
        <w:rPr>
          <w:rFonts w:hint="eastAsia" w:ascii="宋体" w:hAnsi="宋体" w:eastAsia="宋体" w:cs="宋体"/>
          <w:color w:val="auto"/>
          <w:szCs w:val="21"/>
          <w:highlight w:val="none"/>
        </w:rPr>
        <w:t>。</w:t>
      </w:r>
    </w:p>
    <w:p>
      <w:pPr>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42.3 清标工作完成后，招标人应当形成清标报告，并在定标前将清标报告等相关资料上传至交易平台，</w:t>
      </w:r>
      <w:r>
        <w:rPr>
          <w:rFonts w:hint="eastAsia" w:ascii="宋体" w:hAnsi="宋体" w:eastAsia="宋体" w:cs="宋体"/>
          <w:color w:val="auto"/>
          <w:szCs w:val="21"/>
          <w:highlight w:val="none"/>
        </w:rPr>
        <w:t>作为定标委员会定标的重要参考依据</w:t>
      </w:r>
      <w:r>
        <w:rPr>
          <w:rFonts w:hint="eastAsia" w:ascii="宋体" w:hAnsi="宋体" w:eastAsia="宋体" w:cs="宋体"/>
          <w:color w:val="auto"/>
          <w:kern w:val="0"/>
          <w:szCs w:val="21"/>
          <w:highlight w:val="none"/>
        </w:rPr>
        <w:t>。清标报告内容应当客观、公正、真实、有效。</w:t>
      </w:r>
    </w:p>
    <w:p>
      <w:pPr>
        <w:adjustRightInd w:val="0"/>
        <w:snapToGrid w:val="0"/>
        <w:spacing w:line="360" w:lineRule="auto"/>
        <w:ind w:firstLine="421"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43.</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定标方法</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招标人在定标过程中，应当坚持择优与竞价相结合，择优为主，择优因素重点考虑施工组织设计（方案）、技术响应、BIM技术应用情况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自有产业工人配备数量、</w:t>
      </w:r>
      <w:r>
        <w:rPr>
          <w:rFonts w:hint="eastAsia" w:ascii="宋体" w:hAnsi="宋体" w:eastAsia="宋体" w:cs="宋体"/>
          <w:color w:val="auto"/>
          <w:szCs w:val="21"/>
          <w:highlight w:val="none"/>
          <w:lang w:eastAsia="zh-CN"/>
        </w:rPr>
        <w:t>产业工人入门</w:t>
      </w:r>
      <w:r>
        <w:rPr>
          <w:rFonts w:hint="eastAsia" w:ascii="宋体" w:hAnsi="宋体" w:eastAsia="宋体" w:cs="宋体"/>
          <w:color w:val="auto"/>
          <w:szCs w:val="21"/>
          <w:highlight w:val="none"/>
          <w:lang w:val="en-US" w:eastAsia="zh-CN"/>
        </w:rPr>
        <w:t>级</w:t>
      </w:r>
      <w:r>
        <w:rPr>
          <w:rFonts w:hint="eastAsia" w:ascii="宋体" w:hAnsi="宋体" w:eastAsia="宋体" w:cs="宋体"/>
          <w:color w:val="auto"/>
          <w:szCs w:val="21"/>
          <w:highlight w:val="none"/>
          <w:lang w:eastAsia="zh-CN"/>
        </w:rPr>
        <w:t>培训情况、施工现场技能工人配备情况</w:t>
      </w:r>
      <w:r>
        <w:rPr>
          <w:rFonts w:hint="eastAsia" w:ascii="宋体" w:hAnsi="宋体" w:eastAsia="宋体" w:cs="宋体"/>
          <w:color w:val="auto"/>
          <w:szCs w:val="21"/>
          <w:highlight w:val="none"/>
        </w:rPr>
        <w:t>等因素，投标人承诺采用新材料、新设备、新工艺、新技术</w:t>
      </w:r>
      <w:r>
        <w:rPr>
          <w:rFonts w:hint="eastAsia" w:ascii="宋体" w:hAnsi="宋体" w:eastAsia="宋体" w:cs="宋体"/>
          <w:color w:val="auto"/>
          <w:szCs w:val="21"/>
          <w:highlight w:val="none"/>
          <w:lang w:val="en-US" w:eastAsia="zh-CN"/>
        </w:rPr>
        <w:t>的（包括选择首台（套）重大技术装备、节能环保产品、国四及以上排放标准非道路移动机械等），</w:t>
      </w:r>
      <w:r>
        <w:rPr>
          <w:rFonts w:hint="eastAsia" w:ascii="宋体" w:hAnsi="宋体" w:eastAsia="宋体" w:cs="宋体"/>
          <w:color w:val="auto"/>
          <w:szCs w:val="21"/>
          <w:highlight w:val="none"/>
        </w:rPr>
        <w:t>可以优先考虑。鼓励招标人将</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参与“百千万工程”</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相关业绩、奖项作为定标择优因素。招标人应采用下列方法在评标委员会推荐的</w:t>
      </w:r>
      <w:r>
        <w:rPr>
          <w:rFonts w:hint="eastAsia" w:ascii="宋体" w:hAnsi="宋体" w:eastAsia="宋体" w:cs="宋体"/>
          <w:color w:val="auto"/>
          <w:szCs w:val="21"/>
          <w:highlight w:val="none"/>
          <w:lang w:val="en-US" w:eastAsia="zh-CN"/>
        </w:rPr>
        <w:t>中标候选</w:t>
      </w:r>
      <w:r>
        <w:rPr>
          <w:rFonts w:hint="eastAsia" w:ascii="宋体" w:hAnsi="宋体" w:eastAsia="宋体" w:cs="宋体"/>
          <w:color w:val="auto"/>
          <w:szCs w:val="21"/>
          <w:highlight w:val="none"/>
        </w:rPr>
        <w:t>人中确定中标人：</w:t>
      </w:r>
    </w:p>
    <w:p>
      <w:pPr>
        <w:adjustRightInd w:val="0"/>
        <w:snapToGrid w:val="0"/>
        <w:spacing w:line="360" w:lineRule="auto"/>
        <w:ind w:firstLine="421" w:firstLineChars="200"/>
        <w:rPr>
          <w:rFonts w:ascii="宋体" w:hAnsi="宋体" w:eastAsia="宋体" w:cs="宋体"/>
          <w:color w:val="auto"/>
          <w:szCs w:val="21"/>
          <w:highlight w:val="none"/>
        </w:rPr>
      </w:pPr>
      <w:bookmarkStart w:id="70" w:name="票决定标法"/>
      <w:r>
        <w:rPr>
          <w:rFonts w:hint="eastAsia" w:ascii="宋体" w:hAnsi="宋体" w:eastAsia="宋体" w:cs="宋体"/>
          <w:b/>
          <w:color w:val="auto"/>
          <w:szCs w:val="21"/>
          <w:highlight w:val="none"/>
        </w:rPr>
        <w:t>43.1直接票决定标法</w:t>
      </w:r>
    </w:p>
    <w:p>
      <w:pPr>
        <w:adjustRightInd w:val="0"/>
        <w:snapToGrid w:val="0"/>
        <w:spacing w:line="360" w:lineRule="auto"/>
        <w:ind w:firstLine="420" w:firstLineChars="200"/>
        <w:jc w:val="left"/>
        <w:rPr>
          <w:rFonts w:ascii="宋体" w:hAnsi="宋体" w:eastAsia="宋体" w:cs="宋体"/>
          <w:color w:val="auto"/>
          <w:kern w:val="0"/>
          <w:highlight w:val="none"/>
        </w:rPr>
      </w:pPr>
      <w:bookmarkStart w:id="71" w:name="直接票决定标"/>
      <w:r>
        <w:rPr>
          <w:rFonts w:hint="eastAsia" w:ascii="宋体" w:hAnsi="宋体" w:eastAsia="宋体" w:cs="宋体"/>
          <w:color w:val="auto"/>
          <w:kern w:val="0"/>
          <w:highlight w:val="none"/>
        </w:rPr>
        <w:t>招标人组建定标委员会，定标委员会成员对所有进入定标程序的投标人根据前附表确定的方式进行投票，根据得票数确定中标人。</w:t>
      </w:r>
    </w:p>
    <w:p>
      <w:pPr>
        <w:adjustRightInd w:val="0"/>
        <w:snapToGrid w:val="0"/>
        <w:spacing w:line="360" w:lineRule="auto"/>
        <w:ind w:firstLine="413" w:firstLineChars="196"/>
        <w:rPr>
          <w:rFonts w:ascii="宋体" w:hAnsi="宋体" w:eastAsia="宋体" w:cs="宋体"/>
          <w:b/>
          <w:bCs/>
          <w:color w:val="auto"/>
          <w:kern w:val="0"/>
          <w:highlight w:val="none"/>
        </w:rPr>
      </w:pPr>
      <w:r>
        <w:rPr>
          <w:rFonts w:hint="eastAsia" w:ascii="宋体" w:hAnsi="宋体" w:eastAsia="宋体" w:cs="宋体"/>
          <w:b/>
          <w:color w:val="auto"/>
          <w:kern w:val="0"/>
          <w:szCs w:val="21"/>
          <w:highlight w:val="none"/>
        </w:rPr>
        <w:t>（1）</w:t>
      </w:r>
      <w:r>
        <w:rPr>
          <w:rFonts w:hint="eastAsia" w:ascii="宋体" w:hAnsi="宋体" w:eastAsia="宋体" w:cs="宋体"/>
          <w:b/>
          <w:bCs/>
          <w:color w:val="auto"/>
          <w:kern w:val="0"/>
          <w:highlight w:val="none"/>
        </w:rPr>
        <w:t>票决方式：</w:t>
      </w:r>
    </w:p>
    <w:p>
      <w:pPr>
        <w:adjustRightInd w:val="0"/>
        <w:snapToGrid w:val="0"/>
        <w:spacing w:line="360" w:lineRule="auto"/>
        <w:ind w:firstLine="413" w:firstLineChars="196"/>
        <w:rPr>
          <w:rFonts w:ascii="宋体" w:hAnsi="宋体" w:eastAsia="宋体" w:cs="宋体"/>
          <w:b/>
          <w:bCs/>
          <w:color w:val="auto"/>
          <w:kern w:val="0"/>
          <w:highlight w:val="none"/>
        </w:rPr>
      </w:pPr>
      <w:r>
        <w:rPr>
          <w:rFonts w:hint="eastAsia" w:ascii="宋体" w:hAnsi="宋体" w:eastAsia="宋体" w:cs="宋体"/>
          <w:b/>
          <w:bCs/>
          <w:color w:val="auto"/>
          <w:kern w:val="0"/>
          <w:highlight w:val="none"/>
        </w:rPr>
        <w:t>①简单多数法</w:t>
      </w:r>
    </w:p>
    <w:p>
      <w:pPr>
        <w:adjustRightInd w:val="0"/>
        <w:snapToGrid w:val="0"/>
        <w:spacing w:line="360" w:lineRule="auto"/>
        <w:ind w:firstLine="411" w:firstLineChars="196"/>
        <w:rPr>
          <w:rFonts w:ascii="宋体" w:hAnsi="宋体" w:eastAsia="宋体" w:cs="宋体"/>
          <w:color w:val="auto"/>
          <w:kern w:val="0"/>
          <w:highlight w:val="none"/>
        </w:rPr>
      </w:pPr>
      <w:r>
        <w:rPr>
          <w:rFonts w:hint="eastAsia" w:ascii="宋体" w:hAnsi="宋体" w:eastAsia="宋体" w:cs="宋体"/>
          <w:color w:val="auto"/>
          <w:kern w:val="0"/>
          <w:highlight w:val="none"/>
        </w:rPr>
        <w:t>a.投票规则：定标委员会成员按照招标文件规定的推荐人数，在各自的选票上填写相同数量的投标人名称或序号。</w:t>
      </w:r>
    </w:p>
    <w:p>
      <w:pPr>
        <w:adjustRightInd w:val="0"/>
        <w:snapToGrid w:val="0"/>
        <w:spacing w:line="360" w:lineRule="auto"/>
        <w:ind w:firstLine="411" w:firstLineChars="196"/>
        <w:rPr>
          <w:rFonts w:ascii="宋体" w:hAnsi="宋体" w:eastAsia="宋体" w:cs="宋体"/>
          <w:color w:val="auto"/>
          <w:kern w:val="0"/>
          <w:highlight w:val="none"/>
        </w:rPr>
      </w:pPr>
      <w:r>
        <w:rPr>
          <w:rFonts w:hint="eastAsia" w:ascii="宋体" w:hAnsi="宋体" w:eastAsia="宋体" w:cs="宋体"/>
          <w:color w:val="auto"/>
          <w:kern w:val="0"/>
          <w:highlight w:val="none"/>
        </w:rPr>
        <w:t>b.计算规则：根据得票数的多少进行排名，推荐得票数最多的为中标人。投票结果中排序出现并列情形的，在不影响票决家数总数的情况下不须再次投票，投票结果中并列排序影响到结果时，以继续票决的方式进行确定。</w:t>
      </w:r>
    </w:p>
    <w:p>
      <w:pPr>
        <w:adjustRightInd w:val="0"/>
        <w:snapToGrid w:val="0"/>
        <w:spacing w:line="360" w:lineRule="auto"/>
        <w:ind w:firstLine="413" w:firstLineChars="196"/>
        <w:rPr>
          <w:rFonts w:ascii="宋体" w:hAnsi="宋体" w:eastAsia="宋体" w:cs="宋体"/>
          <w:b/>
          <w:bCs/>
          <w:color w:val="auto"/>
          <w:kern w:val="0"/>
          <w:highlight w:val="none"/>
        </w:rPr>
      </w:pPr>
      <w:r>
        <w:rPr>
          <w:rFonts w:hint="eastAsia" w:ascii="宋体" w:hAnsi="宋体" w:eastAsia="宋体" w:cs="宋体"/>
          <w:b/>
          <w:bCs/>
          <w:color w:val="auto"/>
          <w:kern w:val="0"/>
          <w:highlight w:val="none"/>
        </w:rPr>
        <w:t>②简单多数法（且过半数）</w:t>
      </w:r>
    </w:p>
    <w:p>
      <w:pPr>
        <w:adjustRightInd w:val="0"/>
        <w:snapToGrid w:val="0"/>
        <w:spacing w:line="360" w:lineRule="auto"/>
        <w:ind w:firstLine="411" w:firstLineChars="196"/>
        <w:rPr>
          <w:rFonts w:ascii="宋体" w:hAnsi="宋体" w:eastAsia="宋体" w:cs="宋体"/>
          <w:color w:val="auto"/>
          <w:kern w:val="0"/>
          <w:highlight w:val="none"/>
        </w:rPr>
      </w:pPr>
      <w:r>
        <w:rPr>
          <w:rFonts w:hint="eastAsia" w:ascii="宋体" w:hAnsi="宋体" w:eastAsia="宋体" w:cs="宋体"/>
          <w:color w:val="auto"/>
          <w:kern w:val="0"/>
          <w:highlight w:val="none"/>
        </w:rPr>
        <w:t>a.投票规则：定标委员会在进入投票范围的投标人中，以每人投票支持一个投标人的方式，得票最多且过半数的投标人为中标人。</w:t>
      </w:r>
    </w:p>
    <w:p>
      <w:pPr>
        <w:adjustRightInd w:val="0"/>
        <w:snapToGrid w:val="0"/>
        <w:spacing w:line="360" w:lineRule="auto"/>
        <w:ind w:firstLine="411" w:firstLineChars="196"/>
        <w:rPr>
          <w:rFonts w:ascii="宋体" w:hAnsi="宋体" w:eastAsia="宋体" w:cs="宋体"/>
          <w:color w:val="auto"/>
          <w:kern w:val="0"/>
          <w:highlight w:val="none"/>
        </w:rPr>
      </w:pPr>
      <w:r>
        <w:rPr>
          <w:rFonts w:hint="eastAsia" w:ascii="宋体" w:hAnsi="宋体" w:eastAsia="宋体" w:cs="宋体"/>
          <w:color w:val="auto"/>
          <w:kern w:val="0"/>
          <w:highlight w:val="none"/>
        </w:rPr>
        <w:t>b.计算规则：当没有投标人得票超过半数时，选择得票较多的2个投标人（按上一轮得票多少的顺序选择，在选择第2个投标人时出现同票的投标人时，所有同票投标人一并纳入下一轮的投票范围）作为二次投票的范围，直至出现得票过半数的投标人为止。</w:t>
      </w:r>
    </w:p>
    <w:p>
      <w:pPr>
        <w:adjustRightInd w:val="0"/>
        <w:snapToGrid w:val="0"/>
        <w:spacing w:line="360" w:lineRule="auto"/>
        <w:ind w:firstLine="413" w:firstLineChars="196"/>
        <w:rPr>
          <w:rFonts w:ascii="宋体" w:hAnsi="宋体" w:eastAsia="宋体" w:cs="宋体"/>
          <w:b/>
          <w:bCs/>
          <w:color w:val="auto"/>
          <w:kern w:val="0"/>
          <w:highlight w:val="none"/>
        </w:rPr>
      </w:pPr>
      <w:r>
        <w:rPr>
          <w:rFonts w:hint="eastAsia" w:ascii="宋体" w:hAnsi="宋体" w:eastAsia="宋体" w:cs="宋体"/>
          <w:b/>
          <w:bCs/>
          <w:color w:val="auto"/>
          <w:kern w:val="0"/>
          <w:highlight w:val="none"/>
        </w:rPr>
        <w:t>③对比胜出法</w:t>
      </w:r>
    </w:p>
    <w:p>
      <w:pPr>
        <w:adjustRightInd w:val="0"/>
        <w:snapToGrid w:val="0"/>
        <w:spacing w:line="360" w:lineRule="auto"/>
        <w:ind w:firstLine="411" w:firstLineChars="196"/>
        <w:rPr>
          <w:rFonts w:ascii="宋体" w:hAnsi="宋体" w:eastAsia="宋体" w:cs="宋体"/>
          <w:color w:val="auto"/>
          <w:kern w:val="0"/>
          <w:highlight w:val="none"/>
        </w:rPr>
      </w:pPr>
      <w:r>
        <w:rPr>
          <w:rFonts w:hint="eastAsia" w:ascii="宋体" w:hAnsi="宋体" w:eastAsia="宋体" w:cs="宋体"/>
          <w:color w:val="auto"/>
          <w:kern w:val="0"/>
          <w:highlight w:val="none"/>
        </w:rPr>
        <w:t>a.投票规则：每一张选票，都是所有进入定标程序的投标人的一个排列，该排列明确了先后顺序，即第一名、第二名，...，排列最后的为最后一名。</w:t>
      </w:r>
    </w:p>
    <w:p>
      <w:pPr>
        <w:adjustRightInd w:val="0"/>
        <w:snapToGrid w:val="0"/>
        <w:spacing w:line="360" w:lineRule="auto"/>
        <w:ind w:firstLine="411" w:firstLineChars="196"/>
        <w:rPr>
          <w:rFonts w:ascii="宋体" w:hAnsi="宋体" w:eastAsia="宋体" w:cs="宋体"/>
          <w:color w:val="auto"/>
          <w:kern w:val="0"/>
          <w:highlight w:val="none"/>
        </w:rPr>
      </w:pPr>
      <w:r>
        <w:rPr>
          <w:rFonts w:hint="eastAsia" w:ascii="宋体" w:hAnsi="宋体" w:eastAsia="宋体" w:cs="宋体"/>
          <w:color w:val="auto"/>
          <w:kern w:val="0"/>
          <w:highlight w:val="none"/>
        </w:rPr>
        <w:t>b.计算规则：比较每个进入定标程序的投标人在一对一比较中的取胜次数，取胜次数最多的投标人胜出。假设两个投标人是A和B，那么把所有的选票分为两类：第一类是把A排在B前面的，第二类是把B排在A前面的。如果第一类的选票的数量多，那么为A胜，B负，记A取胜一次；如果第二类的选票的数量多，那么为A负，B胜，记B取胜一次。</w:t>
      </w:r>
    </w:p>
    <w:p>
      <w:pPr>
        <w:adjustRightInd w:val="0"/>
        <w:snapToGrid w:val="0"/>
        <w:spacing w:line="360" w:lineRule="auto"/>
        <w:ind w:firstLine="421" w:firstLineChars="2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43.2逐轮票决定标法</w:t>
      </w:r>
    </w:p>
    <w:p>
      <w:pPr>
        <w:adjustRightInd w:val="0"/>
        <w:snapToGrid w:val="0"/>
        <w:spacing w:line="360" w:lineRule="auto"/>
        <w:ind w:firstLine="411" w:firstLineChars="196"/>
        <w:rPr>
          <w:rFonts w:ascii="宋体" w:hAnsi="宋体" w:eastAsia="宋体" w:cs="宋体"/>
          <w:color w:val="auto"/>
          <w:kern w:val="0"/>
          <w:highlight w:val="none"/>
        </w:rPr>
      </w:pPr>
      <w:r>
        <w:rPr>
          <w:rFonts w:hint="eastAsia" w:ascii="宋体" w:hAnsi="宋体" w:eastAsia="宋体" w:cs="宋体"/>
          <w:color w:val="auto"/>
          <w:kern w:val="0"/>
          <w:highlight w:val="none"/>
        </w:rPr>
        <w:t>招标人组建定标委员会，定标委员会成员对所有进入定标程序的投标人根据前附表确定的方式进行逐轮投票，每轮以得票数确定进入下一轮投票的投标人直至确定中标人。</w:t>
      </w:r>
    </w:p>
    <w:p>
      <w:pPr>
        <w:adjustRightInd w:val="0"/>
        <w:snapToGrid w:val="0"/>
        <w:spacing w:line="360" w:lineRule="auto"/>
        <w:ind w:firstLine="413" w:firstLineChars="196"/>
        <w:rPr>
          <w:rFonts w:ascii="宋体" w:hAnsi="宋体" w:eastAsia="宋体" w:cs="宋体"/>
          <w:color w:val="auto"/>
          <w:kern w:val="0"/>
          <w:highlight w:val="none"/>
        </w:rPr>
      </w:pPr>
      <w:r>
        <w:rPr>
          <w:rFonts w:hint="eastAsia" w:ascii="宋体" w:hAnsi="宋体" w:eastAsia="宋体" w:cs="宋体"/>
          <w:b/>
          <w:color w:val="auto"/>
          <w:kern w:val="0"/>
          <w:szCs w:val="21"/>
          <w:highlight w:val="none"/>
        </w:rPr>
        <w:t>（1）</w:t>
      </w:r>
      <w:r>
        <w:rPr>
          <w:rFonts w:hint="eastAsia" w:ascii="宋体" w:hAnsi="宋体" w:eastAsia="宋体" w:cs="宋体"/>
          <w:b/>
          <w:bCs/>
          <w:color w:val="auto"/>
          <w:kern w:val="0"/>
          <w:highlight w:val="none"/>
        </w:rPr>
        <w:t>票决方式：</w:t>
      </w:r>
    </w:p>
    <w:p>
      <w:pPr>
        <w:adjustRightInd w:val="0"/>
        <w:snapToGrid w:val="0"/>
        <w:spacing w:line="360" w:lineRule="auto"/>
        <w:ind w:firstLine="413" w:firstLineChars="196"/>
        <w:rPr>
          <w:rFonts w:ascii="宋体" w:hAnsi="宋体" w:eastAsia="宋体" w:cs="宋体"/>
          <w:b/>
          <w:bCs/>
          <w:color w:val="auto"/>
          <w:kern w:val="0"/>
          <w:highlight w:val="none"/>
        </w:rPr>
      </w:pPr>
      <w:r>
        <w:rPr>
          <w:rFonts w:hint="eastAsia" w:ascii="宋体" w:hAnsi="宋体" w:eastAsia="宋体" w:cs="宋体"/>
          <w:b/>
          <w:bCs/>
          <w:color w:val="auto"/>
          <w:kern w:val="0"/>
          <w:highlight w:val="none"/>
        </w:rPr>
        <w:t>①简单多数法</w:t>
      </w:r>
    </w:p>
    <w:p>
      <w:pPr>
        <w:adjustRightInd w:val="0"/>
        <w:snapToGrid w:val="0"/>
        <w:spacing w:line="360" w:lineRule="auto"/>
        <w:ind w:firstLine="411" w:firstLineChars="196"/>
        <w:rPr>
          <w:rFonts w:ascii="宋体" w:hAnsi="宋体" w:eastAsia="宋体" w:cs="宋体"/>
          <w:color w:val="auto"/>
          <w:kern w:val="0"/>
          <w:highlight w:val="none"/>
        </w:rPr>
      </w:pPr>
      <w:r>
        <w:rPr>
          <w:rFonts w:hint="eastAsia" w:ascii="宋体" w:hAnsi="宋体" w:eastAsia="宋体" w:cs="宋体"/>
          <w:color w:val="auto"/>
          <w:kern w:val="0"/>
          <w:highlight w:val="none"/>
        </w:rPr>
        <w:t>a.投票规则：定标委员会成员按照招标文件规定的推荐人数，在各自的选票上填写相同数量的投标人名称或序号。</w:t>
      </w:r>
    </w:p>
    <w:p>
      <w:pPr>
        <w:adjustRightInd w:val="0"/>
        <w:snapToGrid w:val="0"/>
        <w:spacing w:line="360" w:lineRule="auto"/>
        <w:ind w:firstLine="411" w:firstLineChars="196"/>
        <w:rPr>
          <w:rFonts w:ascii="宋体" w:hAnsi="宋体" w:eastAsia="宋体" w:cs="宋体"/>
          <w:color w:val="auto"/>
          <w:kern w:val="0"/>
          <w:highlight w:val="none"/>
        </w:rPr>
      </w:pPr>
      <w:r>
        <w:rPr>
          <w:rFonts w:hint="eastAsia" w:ascii="宋体" w:hAnsi="宋体" w:eastAsia="宋体" w:cs="宋体"/>
          <w:color w:val="auto"/>
          <w:kern w:val="0"/>
          <w:highlight w:val="none"/>
        </w:rPr>
        <w:t>b.计算规则：根据得票数的多少进行排名，推荐得票数最多的为中标人。投票结果中排序出现并列情形的，在不影响票决家数总数的情况下不须再次投票，投票结果中并列排序影响到结果时，以继续票决的方式进行确定。</w:t>
      </w:r>
    </w:p>
    <w:p>
      <w:pPr>
        <w:adjustRightInd w:val="0"/>
        <w:snapToGrid w:val="0"/>
        <w:spacing w:line="360" w:lineRule="auto"/>
        <w:ind w:firstLine="413" w:firstLineChars="196"/>
        <w:rPr>
          <w:rFonts w:ascii="宋体" w:hAnsi="宋体" w:eastAsia="宋体" w:cs="宋体"/>
          <w:b/>
          <w:bCs/>
          <w:color w:val="auto"/>
          <w:kern w:val="0"/>
          <w:highlight w:val="none"/>
        </w:rPr>
      </w:pPr>
      <w:r>
        <w:rPr>
          <w:rFonts w:hint="eastAsia" w:ascii="宋体" w:hAnsi="宋体" w:eastAsia="宋体" w:cs="宋体"/>
          <w:b/>
          <w:bCs/>
          <w:color w:val="auto"/>
          <w:kern w:val="0"/>
          <w:highlight w:val="none"/>
        </w:rPr>
        <w:t>②对比胜出法</w:t>
      </w:r>
    </w:p>
    <w:p>
      <w:pPr>
        <w:adjustRightInd w:val="0"/>
        <w:snapToGrid w:val="0"/>
        <w:spacing w:line="360" w:lineRule="auto"/>
        <w:ind w:firstLine="411" w:firstLineChars="196"/>
        <w:rPr>
          <w:rFonts w:ascii="宋体" w:hAnsi="宋体" w:eastAsia="宋体" w:cs="宋体"/>
          <w:color w:val="auto"/>
          <w:kern w:val="0"/>
          <w:highlight w:val="none"/>
        </w:rPr>
      </w:pPr>
      <w:r>
        <w:rPr>
          <w:rFonts w:hint="eastAsia" w:ascii="宋体" w:hAnsi="宋体" w:eastAsia="宋体" w:cs="宋体"/>
          <w:color w:val="auto"/>
          <w:kern w:val="0"/>
          <w:highlight w:val="none"/>
        </w:rPr>
        <w:t>a.投票规则：每一张选票，都是所有进入定标程序的投标人的一个排列，该排列明确了先后顺序，即第一名、第二名，...，排列最后的为最后一名。</w:t>
      </w:r>
    </w:p>
    <w:p>
      <w:pPr>
        <w:adjustRightInd w:val="0"/>
        <w:snapToGrid w:val="0"/>
        <w:spacing w:line="360" w:lineRule="auto"/>
        <w:ind w:firstLine="411" w:firstLineChars="196"/>
        <w:rPr>
          <w:rFonts w:ascii="宋体" w:hAnsi="宋体" w:eastAsia="宋体" w:cs="宋体"/>
          <w:color w:val="auto"/>
          <w:kern w:val="0"/>
          <w:highlight w:val="none"/>
        </w:rPr>
      </w:pPr>
      <w:r>
        <w:rPr>
          <w:rFonts w:hint="eastAsia" w:ascii="宋体" w:hAnsi="宋体" w:eastAsia="宋体" w:cs="宋体"/>
          <w:color w:val="auto"/>
          <w:kern w:val="0"/>
          <w:highlight w:val="none"/>
        </w:rPr>
        <w:t>b.计算规则：比较每个进入定标程序的投标人在一对一比较中的取胜次数，取胜次数最多的投标人胜出。假设两个投标人是A和B，那么把所有的选票分为两类：第一类是把A排在B前面的，第二类是把B排在A前面的。如果第一类的选票的数量多，那么为A胜，B负，记A取胜一次；如果第二类的选票的数量多，那么为A负，B胜，记B取胜一次。</w:t>
      </w:r>
    </w:p>
    <w:p>
      <w:pPr>
        <w:adjustRightInd w:val="0"/>
        <w:snapToGrid w:val="0"/>
        <w:spacing w:line="360" w:lineRule="auto"/>
        <w:ind w:firstLine="413" w:firstLineChars="196"/>
        <w:rPr>
          <w:rFonts w:ascii="宋体" w:hAnsi="宋体" w:eastAsia="宋体" w:cs="宋体"/>
          <w:b/>
          <w:bCs/>
          <w:color w:val="auto"/>
          <w:kern w:val="0"/>
          <w:highlight w:val="none"/>
        </w:rPr>
      </w:pPr>
      <w:r>
        <w:rPr>
          <w:rFonts w:hint="eastAsia" w:ascii="宋体" w:hAnsi="宋体" w:eastAsia="宋体" w:cs="宋体"/>
          <w:b/>
          <w:bCs/>
          <w:color w:val="auto"/>
          <w:kern w:val="0"/>
          <w:highlight w:val="none"/>
        </w:rPr>
        <w:t>③</w:t>
      </w:r>
      <w:r>
        <w:rPr>
          <w:rFonts w:hint="eastAsia" w:ascii="宋体" w:hAnsi="宋体" w:eastAsia="宋体" w:cs="宋体"/>
          <w:b/>
          <w:bCs/>
          <w:color w:val="auto"/>
          <w:kern w:val="0"/>
          <w:szCs w:val="21"/>
          <w:highlight w:val="none"/>
        </w:rPr>
        <w:t>先票决后淘汰</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highlight w:val="none"/>
        </w:rPr>
        <w:t>a.</w:t>
      </w:r>
      <w:r>
        <w:rPr>
          <w:rFonts w:hint="eastAsia" w:ascii="宋体" w:hAnsi="宋体" w:eastAsia="宋体" w:cs="宋体"/>
          <w:color w:val="auto"/>
          <w:kern w:val="0"/>
          <w:szCs w:val="21"/>
          <w:highlight w:val="none"/>
        </w:rPr>
        <w:t>票决规则：</w:t>
      </w:r>
      <w:r>
        <w:rPr>
          <w:rFonts w:hint="eastAsia" w:ascii="宋体" w:hAnsi="宋体" w:eastAsia="宋体" w:cs="宋体"/>
          <w:color w:val="auto"/>
          <w:szCs w:val="21"/>
          <w:highlight w:val="none"/>
        </w:rPr>
        <w:t>招标人组建的定标委员会在进入投票范围的投标人中，以每人投票支持3个投标人的方式，得票最多的3个投标人进入下一轮的淘汰投票。在确定第3个投标人时如果出现同票的，则得票相同的投标人一并进入下一轮的淘汰投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highlight w:val="none"/>
        </w:rPr>
        <w:t>b.</w:t>
      </w:r>
      <w:r>
        <w:rPr>
          <w:rFonts w:hint="eastAsia" w:ascii="宋体" w:hAnsi="宋体" w:eastAsia="宋体" w:cs="宋体"/>
          <w:color w:val="auto"/>
          <w:kern w:val="0"/>
          <w:szCs w:val="21"/>
          <w:highlight w:val="none"/>
        </w:rPr>
        <w:t>淘汰规则：</w:t>
      </w:r>
      <w:r>
        <w:rPr>
          <w:rFonts w:hint="eastAsia" w:ascii="宋体" w:hAnsi="宋体" w:eastAsia="宋体" w:cs="宋体"/>
          <w:color w:val="auto"/>
          <w:szCs w:val="21"/>
          <w:highlight w:val="none"/>
        </w:rPr>
        <w:t>原则上每轮淘汰1名投标人。各轮投票时，每人投1个淘汰单位，该轮得票最多的投标人被淘汰。得票最多的投标人不止1个时，一并加以淘汰，但必须确保第一次淘汰之后剩余的投标人不少于2名，否则在得票最多的几个投标人中按前述规则进行二次淘汰，剩余的投标人进入下一轮淘汰投票。</w:t>
      </w:r>
    </w:p>
    <w:p>
      <w:pPr>
        <w:adjustRightInd w:val="0"/>
        <w:snapToGrid w:val="0"/>
        <w:spacing w:line="360" w:lineRule="auto"/>
        <w:ind w:firstLine="420" w:firstLineChars="200"/>
        <w:rPr>
          <w:rFonts w:ascii="宋体" w:hAnsi="宋体" w:eastAsia="宋体" w:cs="宋体"/>
          <w:color w:val="auto"/>
          <w:kern w:val="0"/>
          <w:highlight w:val="none"/>
        </w:rPr>
      </w:pPr>
      <w:r>
        <w:rPr>
          <w:rFonts w:hint="eastAsia" w:ascii="宋体" w:hAnsi="宋体" w:eastAsia="宋体" w:cs="宋体"/>
          <w:color w:val="auto"/>
          <w:szCs w:val="21"/>
          <w:highlight w:val="none"/>
        </w:rPr>
        <w:t>根据前述规则，直至剩余1名投标人为中标人。</w:t>
      </w:r>
    </w:p>
    <w:bookmarkEnd w:id="70"/>
    <w:bookmarkEnd w:id="71"/>
    <w:p>
      <w:pPr>
        <w:adjustRightInd w:val="0"/>
        <w:snapToGrid w:val="0"/>
        <w:spacing w:line="360" w:lineRule="auto"/>
        <w:ind w:firstLine="421" w:firstLineChars="200"/>
        <w:rPr>
          <w:rFonts w:ascii="宋体" w:hAnsi="宋体" w:eastAsia="宋体" w:cs="宋体"/>
          <w:color w:val="auto"/>
          <w:szCs w:val="21"/>
          <w:highlight w:val="none"/>
        </w:rPr>
      </w:pPr>
      <w:bookmarkStart w:id="72" w:name="集体议事法定标"/>
      <w:r>
        <w:rPr>
          <w:rFonts w:hint="eastAsia" w:ascii="宋体" w:hAnsi="宋体" w:eastAsia="宋体" w:cs="宋体"/>
          <w:b/>
          <w:color w:val="auto"/>
          <w:szCs w:val="21"/>
          <w:highlight w:val="none"/>
        </w:rPr>
        <w:t>43.</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集体议事定标法</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由招标人组建定标委员会进行集体商议，定标委员会成员各自发表意见，由定标委员会组长最终确定中标人。所有参加会议的定标委员会成员的意见应当作书面记录，并由定标委员会成员签字确认。采用集体议事法定标的，定标委员会组长应当由招标人法定代表人或者主要负责人担任。</w:t>
      </w:r>
      <w:bookmarkEnd w:id="72"/>
    </w:p>
    <w:p>
      <w:pPr>
        <w:adjustRightInd w:val="0"/>
        <w:snapToGrid w:val="0"/>
        <w:spacing w:line="360" w:lineRule="auto"/>
        <w:ind w:firstLine="421"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44.定标程序</w:t>
      </w:r>
    </w:p>
    <w:p>
      <w:pPr>
        <w:adjustRightInd w:val="0"/>
        <w:snapToGrid w:val="0"/>
        <w:spacing w:line="360" w:lineRule="auto"/>
        <w:ind w:firstLine="411" w:firstLineChars="196"/>
        <w:rPr>
          <w:rFonts w:ascii="宋体" w:hAnsi="宋体" w:eastAsia="宋体" w:cs="宋体"/>
          <w:color w:val="auto"/>
          <w:szCs w:val="21"/>
          <w:highlight w:val="none"/>
        </w:rPr>
      </w:pPr>
      <w:r>
        <w:rPr>
          <w:rFonts w:hint="eastAsia" w:ascii="宋体" w:hAnsi="宋体" w:eastAsia="宋体" w:cs="宋体"/>
          <w:color w:val="auto"/>
          <w:szCs w:val="21"/>
          <w:highlight w:val="none"/>
        </w:rPr>
        <w:t>44.1招标人应当事先制定定标工作规则，对不同类别项目择优竞价结合方式、择优因素、竞价方法予以明确，并报招标人内设（或上级）的纪检监察机构（或督查机构）备案。</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44.2</w:t>
      </w:r>
      <w:r>
        <w:rPr>
          <w:rFonts w:hint="eastAsia" w:ascii="宋体" w:hAnsi="宋体" w:eastAsia="宋体" w:cs="宋体"/>
          <w:color w:val="auto"/>
          <w:kern w:val="0"/>
          <w:szCs w:val="21"/>
          <w:highlight w:val="none"/>
        </w:rPr>
        <w:t>在招标公告发布前，招标人应结合定标工作规则和项目实际，制定</w:t>
      </w:r>
      <w:r>
        <w:rPr>
          <w:rFonts w:hint="eastAsia" w:ascii="宋体" w:hAnsi="宋体" w:eastAsia="宋体" w:cs="宋体"/>
          <w:color w:val="auto"/>
          <w:kern w:val="0"/>
          <w:szCs w:val="21"/>
          <w:highlight w:val="none"/>
          <w:lang w:val="en-US" w:eastAsia="zh-CN"/>
        </w:rPr>
        <w:t>详细的</w:t>
      </w:r>
      <w:r>
        <w:rPr>
          <w:rFonts w:hint="eastAsia" w:ascii="宋体" w:hAnsi="宋体" w:eastAsia="宋体" w:cs="宋体"/>
          <w:color w:val="auto"/>
          <w:kern w:val="0"/>
          <w:szCs w:val="21"/>
          <w:highlight w:val="none"/>
        </w:rPr>
        <w:t>项目定标方案，细化择优要素、竞价因素，明确定标</w:t>
      </w:r>
      <w:r>
        <w:rPr>
          <w:rFonts w:hint="eastAsia" w:ascii="宋体" w:hAnsi="宋体" w:eastAsia="宋体" w:cs="宋体"/>
          <w:color w:val="auto"/>
          <w:kern w:val="0"/>
          <w:szCs w:val="21"/>
          <w:highlight w:val="none"/>
          <w:lang w:val="en-US" w:eastAsia="zh-CN"/>
        </w:rPr>
        <w:t>委员会成员构成、定标</w:t>
      </w:r>
      <w:r>
        <w:rPr>
          <w:rFonts w:hint="eastAsia" w:ascii="宋体" w:hAnsi="宋体" w:eastAsia="宋体" w:cs="宋体"/>
          <w:color w:val="auto"/>
          <w:kern w:val="0"/>
          <w:szCs w:val="21"/>
          <w:highlight w:val="none"/>
        </w:rPr>
        <w:t>流程、投票规则等内容</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鼓励招标人对择优要素及优先级别进行客观量化，提升定标质量效率。招标人在将项目定标方案报内设（上级）的纪检监察机构（或督察机构）备案的基础上，应于招标公告备案时将项目定标方案上传至备案系统加密保存。招标公告对外发布后不得更改项目定标方案，确需更改的应当重新发布招标公告。定标时必须严格遵守定标工作规则和项目定标方案，不得临时改变规则。</w:t>
      </w:r>
    </w:p>
    <w:p>
      <w:pPr>
        <w:adjustRightInd w:val="0"/>
        <w:snapToGrid w:val="0"/>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实行市场化代建的项目，相关招标文件及具体定标方案应报建设单位审核确认，由建设单位与招标人（代建单位）共同盖章后留存备查。建设单位应同步将项目定标方案报内设（上级）的纪检监察机构（或督查机构）备案</w:t>
      </w:r>
      <w:r>
        <w:rPr>
          <w:rStyle w:val="49"/>
          <w:rFonts w:hint="eastAsia" w:ascii="宋体" w:hAnsi="宋体" w:eastAsia="宋体" w:cs="宋体"/>
          <w:color w:val="auto"/>
          <w:kern w:val="0"/>
          <w:szCs w:val="21"/>
          <w:highlight w:val="none"/>
          <w:lang w:val="en-US" w:eastAsia="zh-CN"/>
        </w:rPr>
        <w:t>[</w:t>
      </w:r>
      <w:r>
        <w:rPr>
          <w:rStyle w:val="49"/>
          <w:rFonts w:hint="eastAsia" w:ascii="宋体" w:hAnsi="宋体" w:eastAsia="宋体" w:cs="宋体"/>
          <w:color w:val="auto"/>
          <w:kern w:val="0"/>
          <w:szCs w:val="21"/>
          <w:highlight w:val="none"/>
          <w:lang w:val="en-US" w:eastAsia="zh-CN"/>
        </w:rPr>
        <w:footnoteReference w:id="7"/>
      </w:r>
      <w:r>
        <w:rPr>
          <w:rStyle w:val="49"/>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44.3在定标环节，招标人应当遵循如下原则</w:t>
      </w:r>
      <w:r>
        <w:rPr>
          <w:rStyle w:val="49"/>
          <w:rFonts w:hint="eastAsia" w:ascii="宋体" w:hAnsi="宋体" w:eastAsia="宋体" w:cs="宋体"/>
          <w:color w:val="auto"/>
          <w:szCs w:val="21"/>
          <w:highlight w:val="none"/>
        </w:rPr>
        <w:t>[</w:t>
      </w:r>
      <w:r>
        <w:rPr>
          <w:rStyle w:val="49"/>
          <w:rFonts w:hint="eastAsia" w:ascii="宋体" w:hAnsi="宋体" w:eastAsia="宋体" w:cs="宋体"/>
          <w:color w:val="auto"/>
          <w:szCs w:val="21"/>
          <w:highlight w:val="none"/>
        </w:rPr>
        <w:footnoteReference w:id="8"/>
      </w:r>
      <w:r>
        <w:rPr>
          <w:rStyle w:val="49"/>
          <w:rFonts w:hint="eastAsia" w:ascii="宋体" w:hAnsi="宋体" w:eastAsia="宋体" w:cs="宋体"/>
          <w:color w:val="auto"/>
          <w:szCs w:val="21"/>
          <w:highlight w:val="none"/>
        </w:rPr>
        <w:t>]</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经认定的国家、省、市级重大项目，按照规定可以设置同类工程经验（业绩）的项目，应综合考虑企业资质、业绩、履约，项目经理（总监）和其管理团队</w:t>
      </w:r>
      <w:r>
        <w:rPr>
          <w:rFonts w:hint="eastAsia" w:ascii="宋体" w:hAnsi="宋体" w:eastAsia="宋体" w:cs="宋体"/>
          <w:color w:val="auto"/>
          <w:szCs w:val="21"/>
          <w:highlight w:val="none"/>
          <w:lang w:val="en-US" w:eastAsia="zh-CN"/>
        </w:rPr>
        <w:t>成员</w:t>
      </w:r>
      <w:r>
        <w:rPr>
          <w:rFonts w:hint="eastAsia" w:ascii="宋体" w:hAnsi="宋体" w:eastAsia="宋体" w:cs="宋体"/>
          <w:color w:val="auto"/>
          <w:szCs w:val="21"/>
          <w:highlight w:val="none"/>
        </w:rPr>
        <w:t>的资历、能力、信誉，以及投标方案中建筑信息模型（BIM）技术、模块化建筑（MiC）技术、智能建造、智能监测、装配式建筑、绿色建筑、绿色建材等应用情况，坚持优中选低原则。</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）具有通用技术、性能标准或者招标人对技术、性能没有特殊要求的项目，坚持低中选优原则。</w:t>
      </w:r>
    </w:p>
    <w:p>
      <w:pPr>
        <w:adjustRightInd w:val="0"/>
        <w:snapToGrid w:val="0"/>
        <w:spacing w:line="360" w:lineRule="auto"/>
        <w:ind w:firstLine="420" w:firstLineChars="200"/>
        <w:rPr>
          <w:rFonts w:hint="eastAsia" w:ascii="宋体" w:hAnsi="宋体" w:eastAsia="宋体" w:cs="宋体"/>
          <w:strike w:val="0"/>
          <w:color w:val="auto"/>
          <w:szCs w:val="21"/>
          <w:highlight w:val="none"/>
        </w:rPr>
      </w:pPr>
      <w:r>
        <w:rPr>
          <w:rFonts w:hint="eastAsia" w:ascii="宋体" w:hAnsi="宋体" w:eastAsia="宋体" w:cs="宋体"/>
          <w:color w:val="auto"/>
          <w:szCs w:val="21"/>
          <w:highlight w:val="none"/>
        </w:rPr>
        <w:t>44.4</w:t>
      </w:r>
      <w:r>
        <w:rPr>
          <w:rFonts w:hint="eastAsia" w:ascii="宋体" w:hAnsi="宋体" w:eastAsia="宋体" w:cs="宋体"/>
          <w:strike w:val="0"/>
          <w:color w:val="auto"/>
          <w:szCs w:val="21"/>
          <w:highlight w:val="none"/>
        </w:rPr>
        <w:t>招标人应在评标委员会推荐的中标候选人中确定中标人。招标人应认真审查评标委员会提交的评标报告，发现评标委员会未按招标文件规定进行评审、推荐中标候选人等异常情形的，经招</w:t>
      </w:r>
    </w:p>
    <w:p>
      <w:pPr>
        <w:adjustRightInd w:val="0"/>
        <w:snapToGrid w:val="0"/>
        <w:spacing w:line="360" w:lineRule="auto"/>
        <w:ind w:firstLine="0" w:firstLineChars="0"/>
        <w:rPr>
          <w:rFonts w:hint="eastAsia" w:ascii="宋体" w:hAnsi="宋体" w:eastAsia="宋体" w:cs="宋体"/>
          <w:strike w:val="0"/>
          <w:color w:val="auto"/>
          <w:szCs w:val="21"/>
          <w:highlight w:val="none"/>
          <w:lang w:eastAsia="zh-CN"/>
        </w:rPr>
      </w:pPr>
      <w:r>
        <w:rPr>
          <w:rFonts w:hint="eastAsia" w:ascii="宋体" w:hAnsi="宋体" w:eastAsia="宋体" w:cs="宋体"/>
          <w:strike w:val="0"/>
          <w:color w:val="auto"/>
          <w:szCs w:val="21"/>
          <w:highlight w:val="none"/>
        </w:rPr>
        <w:t>标投标行政监督部门批准后由评标委员会复核纠正</w:t>
      </w:r>
      <w:r>
        <w:rPr>
          <w:rStyle w:val="49"/>
          <w:rFonts w:hint="eastAsia" w:ascii="宋体" w:hAnsi="宋体" w:eastAsia="宋体" w:cs="宋体"/>
          <w:strike w:val="0"/>
          <w:color w:val="auto"/>
          <w:szCs w:val="21"/>
          <w:highlight w:val="none"/>
        </w:rPr>
        <w:t>[</w:t>
      </w:r>
      <w:r>
        <w:rPr>
          <w:rStyle w:val="49"/>
          <w:rFonts w:hint="eastAsia" w:ascii="宋体" w:hAnsi="宋体" w:eastAsia="宋体" w:cs="宋体"/>
          <w:strike w:val="0"/>
          <w:color w:val="auto"/>
          <w:szCs w:val="21"/>
          <w:highlight w:val="none"/>
        </w:rPr>
        <w:footnoteReference w:id="9"/>
      </w:r>
      <w:r>
        <w:rPr>
          <w:rStyle w:val="49"/>
          <w:rFonts w:hint="eastAsia" w:ascii="宋体" w:hAnsi="宋体" w:eastAsia="宋体" w:cs="宋体"/>
          <w:strike w:val="0"/>
          <w:color w:val="auto"/>
          <w:szCs w:val="21"/>
          <w:highlight w:val="none"/>
        </w:rPr>
        <w:t>]</w:t>
      </w:r>
      <w:r>
        <w:rPr>
          <w:rFonts w:hint="eastAsia" w:ascii="宋体" w:hAnsi="宋体" w:eastAsia="宋体" w:cs="宋体"/>
          <w:strike w:val="0"/>
          <w:color w:val="auto"/>
          <w:szCs w:val="21"/>
          <w:highlight w:val="none"/>
          <w:lang w:eastAsia="zh-CN"/>
        </w:rPr>
        <w:t>。</w:t>
      </w:r>
    </w:p>
    <w:p>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44.5定标委员会由招标人的法定代表人或者主要负责人组建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成员数量为7人以上单数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定标委员会</w:t>
      </w:r>
      <w:r>
        <w:rPr>
          <w:rFonts w:hint="eastAsia" w:ascii="宋体" w:hAnsi="宋体" w:eastAsia="宋体" w:cs="宋体"/>
          <w:color w:val="auto"/>
          <w:szCs w:val="21"/>
          <w:highlight w:val="none"/>
          <w:lang w:val="en-US" w:eastAsia="zh-CN"/>
        </w:rPr>
        <w:t>可以按以下方式组建，具体组建方式由招标人在项目定标方案中予以明确</w:t>
      </w:r>
      <w:r>
        <w:rPr>
          <w:rStyle w:val="49"/>
          <w:rFonts w:hint="eastAsia" w:ascii="宋体" w:hAnsi="宋体" w:eastAsia="宋体" w:cs="宋体"/>
          <w:color w:val="auto"/>
          <w:szCs w:val="21"/>
          <w:highlight w:val="none"/>
          <w:lang w:val="en-US" w:eastAsia="zh-CN"/>
        </w:rPr>
        <w:t>[</w:t>
      </w:r>
      <w:r>
        <w:rPr>
          <w:rStyle w:val="49"/>
          <w:rFonts w:hint="eastAsia" w:ascii="宋体" w:hAnsi="宋体" w:eastAsia="宋体" w:cs="宋体"/>
          <w:color w:val="auto"/>
          <w:szCs w:val="21"/>
          <w:highlight w:val="none"/>
          <w:lang w:val="en-US" w:eastAsia="zh-CN"/>
        </w:rPr>
        <w:footnoteReference w:id="10"/>
      </w:r>
      <w:r>
        <w:rPr>
          <w:rStyle w:val="49"/>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p>
    <w:p>
      <w:pPr>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）招标人的法定代表人或者主要负责人可以从本单位直接指定部分定标委员会成员，但总数不得超过定标委员会成员总数的三分之一。</w:t>
      </w:r>
      <w:r>
        <w:rPr>
          <w:rFonts w:hint="eastAsia" w:ascii="宋体" w:hAnsi="宋体" w:eastAsia="宋体" w:cs="宋体"/>
          <w:color w:val="auto"/>
          <w:szCs w:val="21"/>
          <w:highlight w:val="none"/>
          <w:lang w:eastAsia="zh-CN"/>
        </w:rPr>
        <w:t>实行市场化代建的建设工程项目，建设单位应选派人员参与代建项目的定标，建设单位选派人数和招标人（代建单位）直接指定定标委员会成员的数量，合计不得超过定标委员会总人数的三分之一。</w:t>
      </w:r>
    </w:p>
    <w:p>
      <w:pPr>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招标人可以从建设工程评标专家库内随机抽取专家参与定标；对于技术复杂、专业性强或者有特殊要求的建设工程项目，招标人可以直接邀请相应领域的专家参与定标。从建设工程评标专家库抽取专家及直接邀请专家数量合计不得超过定标委员会</w:t>
      </w:r>
      <w:r>
        <w:rPr>
          <w:rFonts w:hint="eastAsia" w:ascii="宋体" w:hAnsi="宋体" w:eastAsia="宋体" w:cs="宋体"/>
          <w:color w:val="auto"/>
          <w:szCs w:val="21"/>
          <w:highlight w:val="none"/>
          <w:lang w:val="en-US" w:eastAsia="zh-CN"/>
        </w:rPr>
        <w:t>成员</w:t>
      </w:r>
      <w:r>
        <w:rPr>
          <w:rFonts w:hint="eastAsia" w:ascii="宋体" w:hAnsi="宋体" w:eastAsia="宋体" w:cs="宋体"/>
          <w:color w:val="auto"/>
          <w:szCs w:val="21"/>
          <w:highlight w:val="none"/>
        </w:rPr>
        <w:t>总数的二分之一。</w:t>
      </w:r>
    </w:p>
    <w:p>
      <w:pPr>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）除上述成员外，其他定标委员会成员从2倍以上</w:t>
      </w:r>
      <w:r>
        <w:rPr>
          <w:rFonts w:hint="eastAsia" w:ascii="宋体" w:hAnsi="宋体" w:eastAsia="宋体" w:cs="宋体"/>
          <w:color w:val="auto"/>
          <w:szCs w:val="21"/>
          <w:highlight w:val="none"/>
          <w:lang w:val="en-US" w:eastAsia="zh-CN"/>
        </w:rPr>
        <w:t>的定标</w:t>
      </w:r>
      <w:r>
        <w:rPr>
          <w:rFonts w:hint="eastAsia" w:ascii="宋体" w:hAnsi="宋体" w:eastAsia="宋体" w:cs="宋体"/>
          <w:color w:val="auto"/>
          <w:szCs w:val="21"/>
          <w:highlight w:val="none"/>
          <w:lang w:eastAsia="zh-CN"/>
        </w:rPr>
        <w:t>备选人员名单中随机抽取确定。</w:t>
      </w:r>
      <w:r>
        <w:rPr>
          <w:rFonts w:hint="eastAsia" w:ascii="宋体" w:hAnsi="宋体" w:eastAsia="宋体" w:cs="宋体"/>
          <w:color w:val="auto"/>
          <w:szCs w:val="21"/>
          <w:highlight w:val="none"/>
          <w:lang w:val="en-US" w:eastAsia="zh-CN"/>
        </w:rPr>
        <w:t>定标备选人员</w:t>
      </w:r>
      <w:r>
        <w:rPr>
          <w:rFonts w:hint="eastAsia" w:ascii="宋体" w:hAnsi="宋体" w:eastAsia="宋体" w:cs="宋体"/>
          <w:color w:val="auto"/>
          <w:szCs w:val="21"/>
          <w:highlight w:val="none"/>
        </w:rPr>
        <w:t>从招标人、项目业主或者使用单位的领导班子成员、经营管理人员中产生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确有需要的，财政性资金投资工程的招标人可以从本系统上下级主管部门或者系统外相关部门工作人员中确定成员；非财政性国有资金投资工程的招标人可以从与其有利益关系的母公司、子公司人员中确定成员。</w:t>
      </w:r>
    </w:p>
    <w:p>
      <w:pPr>
        <w:adjustRightInd w:val="0"/>
        <w:snapToGrid w:val="0"/>
        <w:spacing w:line="360" w:lineRule="auto"/>
        <w:ind w:firstLine="411" w:firstLineChars="196"/>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44.6定标委员会应当在定标会上推荐定标组长，招标人的法定代表人或者主要负责人参加定标委员会的，由其直接担任定标委员会组长。招标人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建设单位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应同时组建</w:t>
      </w:r>
      <w:r>
        <w:rPr>
          <w:rFonts w:hint="eastAsia" w:ascii="宋体" w:hAnsi="宋体" w:eastAsia="宋体" w:cs="宋体"/>
          <w:color w:val="auto"/>
          <w:szCs w:val="21"/>
          <w:highlight w:val="none"/>
          <w:lang w:val="en-US" w:eastAsia="zh-CN"/>
        </w:rPr>
        <w:t>定标</w:t>
      </w:r>
      <w:r>
        <w:rPr>
          <w:rFonts w:hint="eastAsia" w:ascii="宋体" w:hAnsi="宋体" w:eastAsia="宋体" w:cs="宋体"/>
          <w:color w:val="auto"/>
          <w:szCs w:val="21"/>
          <w:highlight w:val="none"/>
        </w:rPr>
        <w:t>监督小组，对定标委员会的组建以及定标进行见证监督，实行全过程记录和可追溯管理。</w:t>
      </w:r>
      <w:r>
        <w:rPr>
          <w:rFonts w:hint="eastAsia" w:ascii="宋体" w:hAnsi="宋体" w:eastAsia="宋体" w:cs="宋体"/>
          <w:color w:val="auto"/>
          <w:szCs w:val="21"/>
          <w:highlight w:val="none"/>
          <w:lang w:val="en-US" w:eastAsia="zh-CN"/>
        </w:rPr>
        <w:t>实行</w:t>
      </w:r>
      <w:r>
        <w:rPr>
          <w:rFonts w:hint="eastAsia" w:ascii="宋体" w:hAnsi="宋体" w:eastAsia="宋体" w:cs="宋体"/>
          <w:color w:val="auto"/>
          <w:szCs w:val="21"/>
          <w:highlight w:val="none"/>
          <w:lang w:eastAsia="zh-CN"/>
        </w:rPr>
        <w:t>市场化代建的建设工程项目，定标监督小组</w:t>
      </w:r>
      <w:r>
        <w:rPr>
          <w:rFonts w:hint="eastAsia" w:ascii="宋体" w:hAnsi="宋体" w:eastAsia="宋体" w:cs="宋体"/>
          <w:color w:val="auto"/>
          <w:szCs w:val="21"/>
          <w:highlight w:val="none"/>
          <w:lang w:val="en-US" w:eastAsia="zh-CN"/>
        </w:rPr>
        <w:t>由建设单位组建。</w:t>
      </w:r>
    </w:p>
    <w:p>
      <w:pPr>
        <w:adjustRightInd w:val="0"/>
        <w:snapToGrid w:val="0"/>
        <w:spacing w:line="360" w:lineRule="auto"/>
        <w:ind w:firstLine="411" w:firstLineChars="196"/>
        <w:rPr>
          <w:rFonts w:ascii="宋体" w:hAnsi="宋体" w:eastAsia="宋体" w:cs="宋体"/>
          <w:color w:val="auto"/>
          <w:szCs w:val="21"/>
          <w:highlight w:val="none"/>
        </w:rPr>
      </w:pPr>
      <w:r>
        <w:rPr>
          <w:rFonts w:hint="eastAsia" w:ascii="宋体" w:hAnsi="宋体" w:eastAsia="宋体" w:cs="宋体"/>
          <w:color w:val="auto"/>
          <w:szCs w:val="21"/>
          <w:highlight w:val="none"/>
        </w:rPr>
        <w:t>44.7招标人应当自评标结束后10个工作日内进入深圳交易集团有限公司（深圳公共资源交易中心）进行定标。不能按时定标的，应当通过交易网公示延期原因和最终定标时间。</w:t>
      </w:r>
    </w:p>
    <w:p>
      <w:pPr>
        <w:adjustRightInd w:val="0"/>
        <w:snapToGrid w:val="0"/>
        <w:spacing w:line="360" w:lineRule="auto"/>
        <w:ind w:firstLine="411" w:firstLineChars="196"/>
        <w:rPr>
          <w:rFonts w:ascii="宋体" w:hAnsi="宋体" w:eastAsia="宋体" w:cs="宋体"/>
          <w:color w:val="auto"/>
          <w:szCs w:val="21"/>
          <w:highlight w:val="none"/>
        </w:rPr>
      </w:pPr>
      <w:r>
        <w:rPr>
          <w:rFonts w:hint="eastAsia" w:ascii="宋体" w:hAnsi="宋体" w:eastAsia="宋体" w:cs="宋体"/>
          <w:color w:val="auto"/>
          <w:szCs w:val="21"/>
          <w:highlight w:val="none"/>
        </w:rPr>
        <w:t>44.8定标委员会在定标时查看加密的项目定标方案，在综合考量评标委员会评审意见、招标人清标情况的基础上，按照既定的项目定标方案独立行使投票权，并明确理由。定标委员会成员在定标系统中提交选票（须说明推荐理由），并打印选票签名确认，定标过程公开、公平、公正。定标委员会按有关规定及招标文件约定的定标方法确定一名中标人。</w:t>
      </w:r>
    </w:p>
    <w:p>
      <w:pPr>
        <w:adjustRightInd w:val="0"/>
        <w:snapToGrid w:val="0"/>
        <w:spacing w:line="360" w:lineRule="auto"/>
        <w:ind w:firstLine="411" w:firstLineChars="196"/>
        <w:rPr>
          <w:rFonts w:ascii="宋体" w:hAnsi="宋体" w:eastAsia="宋体" w:cs="宋体"/>
          <w:color w:val="auto"/>
          <w:szCs w:val="21"/>
          <w:highlight w:val="none"/>
        </w:rPr>
      </w:pPr>
      <w:r>
        <w:rPr>
          <w:rFonts w:hint="eastAsia" w:ascii="宋体" w:hAnsi="宋体" w:eastAsia="宋体" w:cs="宋体"/>
          <w:color w:val="auto"/>
          <w:szCs w:val="21"/>
          <w:highlight w:val="none"/>
        </w:rPr>
        <w:t>44.9招标人应在定标结束后将定标记录、定标报告交由深圳交易集团有限公司（深圳公共资源交易中心）归档并同时公示定标结果和中标结果。定标记录应包括定标委员会会议过程、正式成员名单</w:t>
      </w:r>
      <w:r>
        <w:rPr>
          <w:rFonts w:hint="eastAsia" w:ascii="宋体" w:hAnsi="宋体" w:eastAsia="宋体" w:cs="宋体"/>
          <w:color w:val="auto"/>
          <w:szCs w:val="21"/>
          <w:highlight w:val="none"/>
          <w:lang w:eastAsia="zh-CN"/>
        </w:rPr>
        <w:t>、监督小组名单</w:t>
      </w:r>
      <w:r>
        <w:rPr>
          <w:rFonts w:hint="eastAsia" w:ascii="宋体" w:hAnsi="宋体" w:eastAsia="宋体" w:cs="宋体"/>
          <w:color w:val="auto"/>
          <w:szCs w:val="21"/>
          <w:highlight w:val="none"/>
        </w:rPr>
        <w:t>。定标报告应包括定标委员会的产生过程、定标程序及定标结果等内容。招标人提交中标信息确认时，应认真核对中标公示信息，无误后再签名确认。</w:t>
      </w:r>
    </w:p>
    <w:p>
      <w:pPr>
        <w:adjustRightInd w:val="0"/>
        <w:snapToGrid w:val="0"/>
        <w:spacing w:line="360" w:lineRule="auto"/>
        <w:ind w:firstLine="411" w:firstLineChars="196"/>
        <w:rPr>
          <w:rFonts w:ascii="宋体" w:hAnsi="宋体" w:eastAsia="宋体" w:cs="宋体"/>
          <w:color w:val="auto"/>
          <w:szCs w:val="21"/>
          <w:highlight w:val="none"/>
        </w:rPr>
      </w:pPr>
      <w:r>
        <w:rPr>
          <w:rFonts w:hint="eastAsia" w:ascii="宋体" w:hAnsi="宋体" w:eastAsia="宋体" w:cs="宋体"/>
          <w:color w:val="auto"/>
          <w:szCs w:val="21"/>
          <w:highlight w:val="none"/>
        </w:rPr>
        <w:t>44.10招标人应当向定标委员会提供项目定标方案、清标报告作为定标辅助材料。定标结束后，项目定标方案、清标报告及定标委员投票结果等定标过程资料应当留存备查。</w:t>
      </w:r>
    </w:p>
    <w:p>
      <w:pPr>
        <w:adjustRightInd w:val="0"/>
        <w:snapToGrid w:val="0"/>
        <w:spacing w:line="360" w:lineRule="auto"/>
        <w:ind w:firstLine="413" w:firstLineChars="196"/>
        <w:rPr>
          <w:rFonts w:hint="default" w:ascii="宋体" w:hAnsi="宋体" w:eastAsia="宋体" w:cs="宋体"/>
          <w:b/>
          <w:bCs/>
          <w:strike w:val="0"/>
          <w:color w:val="auto"/>
          <w:szCs w:val="21"/>
          <w:highlight w:val="none"/>
        </w:rPr>
      </w:pPr>
      <w:r>
        <w:rPr>
          <w:rFonts w:hint="eastAsia" w:ascii="宋体" w:hAnsi="宋体" w:eastAsia="宋体" w:cs="宋体"/>
          <w:b/>
          <w:color w:val="auto"/>
          <w:szCs w:val="21"/>
          <w:highlight w:val="none"/>
        </w:rPr>
        <w:t>45.</w:t>
      </w:r>
      <w:r>
        <w:rPr>
          <w:rFonts w:hint="eastAsia" w:ascii="宋体" w:hAnsi="宋体" w:eastAsia="宋体" w:cs="宋体"/>
          <w:b/>
          <w:bCs/>
          <w:color w:val="auto"/>
          <w:szCs w:val="21"/>
          <w:highlight w:val="none"/>
        </w:rPr>
        <w:t>定标后有下列情形之一的，招标人可以</w:t>
      </w:r>
      <w:r>
        <w:rPr>
          <w:rFonts w:hint="eastAsia" w:ascii="宋体" w:hAnsi="宋体" w:eastAsia="宋体" w:cs="宋体"/>
          <w:b/>
          <w:bCs/>
          <w:color w:val="auto"/>
          <w:szCs w:val="21"/>
          <w:highlight w:val="none"/>
          <w:lang w:val="en-US" w:eastAsia="zh-CN"/>
        </w:rPr>
        <w:t>从</w:t>
      </w:r>
      <w:r>
        <w:rPr>
          <w:rFonts w:hint="eastAsia" w:ascii="宋体" w:hAnsi="宋体" w:eastAsia="宋体" w:cs="宋体"/>
          <w:b/>
          <w:bCs/>
          <w:color w:val="auto"/>
          <w:szCs w:val="21"/>
          <w:highlight w:val="none"/>
        </w:rPr>
        <w:t>其他</w:t>
      </w:r>
      <w:r>
        <w:rPr>
          <w:rFonts w:hint="eastAsia" w:ascii="宋体" w:hAnsi="宋体" w:eastAsia="宋体" w:cs="宋体"/>
          <w:b/>
          <w:bCs/>
          <w:strike w:val="0"/>
          <w:color w:val="auto"/>
          <w:szCs w:val="21"/>
          <w:highlight w:val="none"/>
          <w:lang w:val="en-US" w:eastAsia="zh-CN"/>
        </w:rPr>
        <w:t>中标候选</w:t>
      </w:r>
      <w:r>
        <w:rPr>
          <w:rFonts w:hint="eastAsia" w:ascii="宋体" w:hAnsi="宋体" w:eastAsia="宋体" w:cs="宋体"/>
          <w:b/>
          <w:bCs/>
          <w:color w:val="auto"/>
          <w:szCs w:val="21"/>
          <w:highlight w:val="none"/>
        </w:rPr>
        <w:t>人中采用原招标文件规定的定标方法，由原定标委员会确定中标人。</w:t>
      </w:r>
      <w:r>
        <w:rPr>
          <w:rFonts w:hint="eastAsia" w:ascii="宋体" w:hAnsi="宋体" w:eastAsia="宋体" w:cs="宋体"/>
          <w:b/>
          <w:bCs/>
          <w:strike w:val="0"/>
          <w:color w:val="auto"/>
          <w:szCs w:val="21"/>
          <w:highlight w:val="none"/>
          <w:lang w:val="en-US" w:eastAsia="zh-CN"/>
        </w:rPr>
        <w:t>原定标委员会成员不能出席的，可按原定标委员会的确定方式补足定标委员会成员。</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45.1中标人放弃中标资格或者拒不签订合同的；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45.2中标人不按照招标文件要求提交履约担保的；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45.3被查实存在影响中标结果违法行为的。</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45.4 招标人将项目经理（总监）的资历、能力、信誉作为重要择优因素，除符合《关于建设工程招标投标改革的若干规定》（深府〔2015〕73号）第五十四条第（一）、（八）项以及《深圳市规范项目经理和项目总监理工程师任职行为的若干规定》（深建规〔2022〕1号）第四条第（三）项、第八条第（三）项规定情形外，</w:t>
      </w:r>
      <w:r>
        <w:rPr>
          <w:rFonts w:hint="eastAsia" w:ascii="宋体" w:hAnsi="宋体" w:eastAsia="宋体" w:cs="宋体"/>
          <w:b w:val="0"/>
          <w:bCs w:val="0"/>
          <w:color w:val="auto"/>
          <w:sz w:val="21"/>
          <w:szCs w:val="21"/>
          <w:highlight w:val="none"/>
          <w:u w:val="none"/>
          <w:lang w:val="en-US" w:eastAsia="zh-CN"/>
        </w:rPr>
        <w:t>在取得施工许可或者相关主管部门批准开工（含开工备案）手续前，中标人确认项目</w:t>
      </w:r>
      <w:r>
        <w:rPr>
          <w:rFonts w:hint="eastAsia" w:ascii="宋体" w:hAnsi="宋体" w:eastAsia="宋体" w:cs="宋体"/>
          <w:b w:val="0"/>
          <w:bCs w:val="0"/>
          <w:color w:val="auto"/>
          <w:sz w:val="21"/>
          <w:szCs w:val="21"/>
          <w:highlight w:val="none"/>
          <w:u w:val="none"/>
        </w:rPr>
        <w:t>经理（总监）</w:t>
      </w:r>
      <w:r>
        <w:rPr>
          <w:rFonts w:hint="eastAsia" w:ascii="宋体" w:hAnsi="宋体" w:eastAsia="宋体" w:cs="宋体"/>
          <w:b w:val="0"/>
          <w:bCs w:val="0"/>
          <w:color w:val="auto"/>
          <w:sz w:val="21"/>
          <w:szCs w:val="21"/>
          <w:highlight w:val="none"/>
          <w:u w:val="none"/>
          <w:lang w:val="en-US" w:eastAsia="zh-CN"/>
        </w:rPr>
        <w:t>无法到岗的。</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46.招标人拒绝投标等权力</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46.1招标人不承诺将合同授予报价最低的投标人。</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46.2中标人确定后，招标人无义务向未中标的投标人就其未中标的原因作出解释。未中标的投标人不得向评标委员会组成人员或招标人询问评标过程的情况或索要相关材料。</w:t>
      </w:r>
    </w:p>
    <w:p>
      <w:pPr>
        <w:adjustRightInd w:val="0"/>
        <w:snapToGrid w:val="0"/>
        <w:spacing w:line="360" w:lineRule="auto"/>
        <w:ind w:firstLine="421" w:firstLineChars="200"/>
        <w:rPr>
          <w:rFonts w:ascii="宋体" w:hAnsi="宋体" w:eastAsia="宋体" w:cs="宋体"/>
          <w:b/>
          <w:bCs/>
          <w:color w:val="auto"/>
          <w:szCs w:val="21"/>
          <w:highlight w:val="none"/>
        </w:rPr>
      </w:pPr>
      <w:bookmarkStart w:id="73" w:name="资信标要求一览表"/>
      <w:r>
        <w:rPr>
          <w:rFonts w:hint="eastAsia" w:ascii="宋体" w:hAnsi="宋体" w:eastAsia="宋体" w:cs="宋体"/>
          <w:b/>
          <w:bCs/>
          <w:color w:val="auto"/>
          <w:szCs w:val="21"/>
          <w:highlight w:val="none"/>
        </w:rPr>
        <w:t>47.资信标表格</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47.1招标人可以结合项目实际要求投标人提供资信标作为定标参考因素之一。</w:t>
      </w:r>
    </w:p>
    <w:p>
      <w:pPr>
        <w:adjustRightInd w:val="0"/>
        <w:snapToGrid w:val="0"/>
        <w:spacing w:line="360" w:lineRule="auto"/>
        <w:jc w:val="center"/>
        <w:rPr>
          <w:rFonts w:ascii="宋体" w:hAnsi="宋体" w:eastAsia="宋体" w:cs="宋体"/>
          <w:b/>
          <w:color w:val="auto"/>
          <w:szCs w:val="21"/>
          <w:highlight w:val="none"/>
        </w:rPr>
      </w:pPr>
    </w:p>
    <w:p>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资信标要求一览表（如有）</w:t>
      </w:r>
    </w:p>
    <w:tbl>
      <w:tblPr>
        <w:tblStyle w:val="4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260"/>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3260" w:type="dxa"/>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资信要素名称</w:t>
            </w:r>
          </w:p>
        </w:tc>
        <w:tc>
          <w:tcPr>
            <w:tcW w:w="4503" w:type="dxa"/>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adjustRightInd w:val="0"/>
              <w:snapToGrid w:val="0"/>
              <w:spacing w:line="360" w:lineRule="auto"/>
              <w:jc w:val="center"/>
              <w:rPr>
                <w:rFonts w:ascii="宋体" w:hAnsi="宋体" w:eastAsia="宋体" w:cs="宋体"/>
                <w:color w:val="auto"/>
                <w:kern w:val="0"/>
                <w:szCs w:val="21"/>
                <w:highlight w:val="none"/>
              </w:rPr>
            </w:pPr>
            <w:bookmarkStart w:id="74" w:name="资信标要求一览表2" w:colFirst="0" w:colLast="0"/>
          </w:p>
        </w:tc>
        <w:tc>
          <w:tcPr>
            <w:tcW w:w="3260" w:type="dxa"/>
            <w:vAlign w:val="center"/>
          </w:tcPr>
          <w:p>
            <w:pPr>
              <w:adjustRightInd w:val="0"/>
              <w:snapToGrid w:val="0"/>
              <w:spacing w:line="360" w:lineRule="auto"/>
              <w:rPr>
                <w:rFonts w:ascii="宋体" w:hAnsi="宋体" w:eastAsia="宋体" w:cs="宋体"/>
                <w:color w:val="auto"/>
                <w:kern w:val="0"/>
                <w:szCs w:val="21"/>
                <w:highlight w:val="none"/>
              </w:rPr>
            </w:pPr>
          </w:p>
        </w:tc>
        <w:tc>
          <w:tcPr>
            <w:tcW w:w="4503" w:type="dxa"/>
            <w:vAlign w:val="center"/>
          </w:tcPr>
          <w:p>
            <w:pPr>
              <w:adjustRightInd w:val="0"/>
              <w:snapToGrid w:val="0"/>
              <w:spacing w:line="360" w:lineRule="auto"/>
              <w:rPr>
                <w:rFonts w:ascii="宋体" w:hAnsi="宋体" w:eastAsia="宋体" w:cs="宋体"/>
                <w:color w:val="auto"/>
                <w:kern w:val="0"/>
                <w:szCs w:val="21"/>
                <w:highlight w:val="none"/>
              </w:rPr>
            </w:pPr>
          </w:p>
        </w:tc>
      </w:tr>
      <w:bookmarkEnd w:id="74"/>
    </w:tbl>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备注：资信要素不进行评审，真实性通过公示予以监督。</w:t>
      </w:r>
    </w:p>
    <w:bookmarkEnd w:id="73"/>
    <w:p>
      <w:pPr>
        <w:pStyle w:val="4"/>
        <w:keepNext w:val="0"/>
        <w:keepLines w:val="0"/>
        <w:widowControl w:val="0"/>
        <w:tabs>
          <w:tab w:val="left" w:pos="720"/>
          <w:tab w:val="left" w:pos="4032"/>
        </w:tabs>
        <w:adjustRightInd w:val="0"/>
        <w:snapToGrid w:val="0"/>
        <w:spacing w:before="0" w:after="0" w:line="360" w:lineRule="auto"/>
        <w:jc w:val="center"/>
        <w:rPr>
          <w:rFonts w:eastAsia="宋体"/>
          <w:b/>
          <w:bCs w:val="0"/>
          <w:color w:val="auto"/>
          <w:sz w:val="32"/>
          <w:highlight w:val="none"/>
          <w:lang w:val="en-US"/>
        </w:rPr>
      </w:pPr>
      <w:bookmarkStart w:id="75" w:name="_Toc19005"/>
      <w:bookmarkStart w:id="76" w:name="_Toc21717"/>
      <w:bookmarkStart w:id="77" w:name="_Toc24706"/>
      <w:bookmarkStart w:id="78" w:name="_Toc45"/>
      <w:bookmarkStart w:id="79" w:name="_Toc29655"/>
      <w:bookmarkStart w:id="80" w:name="_Toc13909"/>
      <w:r>
        <w:rPr>
          <w:rFonts w:hint="eastAsia" w:eastAsia="宋体"/>
          <w:b/>
          <w:bCs w:val="0"/>
          <w:color w:val="auto"/>
          <w:sz w:val="32"/>
          <w:highlight w:val="none"/>
          <w:lang w:val="en-US"/>
        </w:rPr>
        <w:t>（七）中标通知书</w:t>
      </w:r>
      <w:bookmarkEnd w:id="75"/>
      <w:bookmarkEnd w:id="76"/>
      <w:bookmarkEnd w:id="77"/>
      <w:bookmarkEnd w:id="78"/>
      <w:bookmarkEnd w:id="79"/>
      <w:bookmarkEnd w:id="80"/>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48.</w:t>
      </w:r>
      <w:r>
        <w:rPr>
          <w:rFonts w:hint="eastAsia" w:ascii="宋体" w:hAnsi="宋体" w:eastAsia="宋体" w:cs="宋体"/>
          <w:color w:val="auto"/>
          <w:highlight w:val="none"/>
        </w:rPr>
        <w:t xml:space="preserve"> </w:t>
      </w:r>
      <w:r>
        <w:rPr>
          <w:rFonts w:hint="eastAsia" w:ascii="宋体" w:hAnsi="宋体" w:eastAsia="宋体" w:cs="宋体"/>
          <w:b/>
          <w:bCs/>
          <w:color w:val="auto"/>
          <w:szCs w:val="21"/>
          <w:highlight w:val="none"/>
        </w:rPr>
        <w:t>中标通知书</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48.1在规定的公示期内未收到对中标结果的异议的，招标人将按法律法规规定的时间内向中标人发出中标通知书。如接到有关投诉的，招标人将可能暂停发出中标通知书。</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48.2招标人在发出中标通知书之前因正当理由，经行政监督部门批准并经交易网公示3个工作日后，招标人有权接受或拒绝投标、宣布投标程序无效或拒绝所有投标。对受影响的投标人不承担任何责任。</w:t>
      </w:r>
    </w:p>
    <w:p>
      <w:pPr>
        <w:adjustRightInd w:val="0"/>
        <w:snapToGrid w:val="0"/>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48.3中标人应在收到中标通知书后15天内，向招标人提交可实施的施工组织设计，招标人应当会同监理单位对施工组织设计进行审核。</w:t>
      </w:r>
    </w:p>
    <w:p>
      <w:pPr>
        <w:pStyle w:val="4"/>
        <w:keepNext w:val="0"/>
        <w:keepLines w:val="0"/>
        <w:widowControl w:val="0"/>
        <w:tabs>
          <w:tab w:val="left" w:pos="720"/>
          <w:tab w:val="left" w:pos="4032"/>
        </w:tabs>
        <w:adjustRightInd w:val="0"/>
        <w:snapToGrid w:val="0"/>
        <w:spacing w:before="0" w:after="0" w:line="360" w:lineRule="auto"/>
        <w:jc w:val="center"/>
        <w:rPr>
          <w:rFonts w:eastAsia="宋体"/>
          <w:b/>
          <w:bCs w:val="0"/>
          <w:color w:val="auto"/>
          <w:sz w:val="32"/>
          <w:highlight w:val="none"/>
          <w:lang w:val="en-US"/>
        </w:rPr>
      </w:pPr>
      <w:bookmarkStart w:id="81" w:name="_Toc24147"/>
      <w:bookmarkStart w:id="82" w:name="_Toc6410"/>
      <w:bookmarkStart w:id="83" w:name="_Toc6968"/>
      <w:bookmarkStart w:id="84" w:name="_Toc9135"/>
      <w:bookmarkStart w:id="85" w:name="_Toc4971"/>
      <w:bookmarkStart w:id="86" w:name="_Toc17575"/>
      <w:r>
        <w:rPr>
          <w:rFonts w:hint="eastAsia" w:eastAsia="宋体"/>
          <w:b/>
          <w:bCs w:val="0"/>
          <w:color w:val="auto"/>
          <w:sz w:val="32"/>
          <w:highlight w:val="none"/>
          <w:lang w:val="en-US"/>
        </w:rPr>
        <w:t>（八）合同的授予</w:t>
      </w:r>
      <w:bookmarkEnd w:id="81"/>
      <w:bookmarkEnd w:id="82"/>
      <w:bookmarkEnd w:id="83"/>
      <w:bookmarkEnd w:id="84"/>
      <w:bookmarkEnd w:id="85"/>
      <w:bookmarkEnd w:id="86"/>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49.合同授予标准</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49.1本工程的施工合同将授予按招标文件规定所确定的中标人。</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50.合同协议书的签订</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50.1招标人与中标人将于招标文件规定的时限内，根据招标文件和中标人的投标文件签订建设工程施工合同，合同价为中标人的投标报价（因计算错误，评标委员会修正中标价的除外）。</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50.2招标人与中标人签订的施工合同必须遵守本招标文件的合同条件，并且不得更改合同条件。</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50.3中标人不按招标文件规定与招标人签订合同，招标人有权废除中标，并没收其投标保证金或投标保函，给招标人造成的损失超过投标担保数额的，还应当对超过部分予以赔偿，同时依法承担相应法律责任。</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50.4中标人应当按照合同约定履行义务，完成中标工程施工，不得将中标工程转让（转包）给他人施工。</w:t>
      </w:r>
    </w:p>
    <w:p>
      <w:pPr>
        <w:adjustRightInd w:val="0"/>
        <w:snapToGrid w:val="0"/>
        <w:spacing w:line="360" w:lineRule="auto"/>
        <w:ind w:firstLine="421"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51.工程担保</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51.1中标人应在签订工程承包合同时，按招标文件规定的时间、出具单位及规定的金额向招标人提交履约担保，履约担保可参照使用本招标文件附表提供的格式。履约担保为中标价与招标控制价或投标报价上限（无招标控制价招标的）的差额，且不高于中标价的10%。</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51.2招标人应在中标人提交履约担保的同时向中标人提供与履约担保数额等额的工程款支付担保。</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51.3中标人不按招标文件规定提交履约担保的，招标人有权取消其中标资格，并没收其投标保证金，给招标人造成的损失超过投标保证金数额的，中标人应当对超过部分予以赔偿。</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51.4承包商履约担保和业主支付担保都必须采用经对方认可的银行保函、保证保险、专业工程担保公司担保等 。双方均不得在工程担保有效期内解除担保。</w:t>
      </w:r>
    </w:p>
    <w:p>
      <w:pPr>
        <w:rPr>
          <w:color w:val="auto"/>
          <w:szCs w:val="21"/>
          <w:highlight w:val="none"/>
        </w:rPr>
      </w:pPr>
      <w:r>
        <w:rPr>
          <w:color w:val="auto"/>
          <w:szCs w:val="21"/>
          <w:highlight w:val="none"/>
        </w:rPr>
        <w:br w:type="page"/>
      </w:r>
    </w:p>
    <w:p>
      <w:pPr>
        <w:adjustRightInd w:val="0"/>
        <w:snapToGrid w:val="0"/>
        <w:jc w:val="center"/>
        <w:outlineLvl w:val="0"/>
        <w:rPr>
          <w:rFonts w:ascii="黑体" w:hAnsi="黑体" w:eastAsia="黑体" w:cs="黑体"/>
          <w:bCs/>
          <w:color w:val="auto"/>
          <w:sz w:val="44"/>
          <w:szCs w:val="44"/>
          <w:highlight w:val="none"/>
        </w:rPr>
      </w:pPr>
      <w:bookmarkStart w:id="87" w:name="_Toc29169"/>
      <w:bookmarkStart w:id="88" w:name="_Toc1533"/>
      <w:bookmarkStart w:id="89" w:name="_Toc1753"/>
      <w:bookmarkStart w:id="90" w:name="_Toc2220"/>
      <w:bookmarkStart w:id="91" w:name="_Toc18045"/>
      <w:bookmarkStart w:id="92" w:name="_Toc3408"/>
      <w:bookmarkStart w:id="93" w:name="_Toc14347"/>
      <w:r>
        <w:rPr>
          <w:rFonts w:hint="eastAsia" w:ascii="黑体" w:hAnsi="黑体" w:eastAsia="黑体" w:cs="黑体"/>
          <w:bCs/>
          <w:color w:val="auto"/>
          <w:sz w:val="44"/>
          <w:szCs w:val="44"/>
          <w:highlight w:val="none"/>
        </w:rPr>
        <w:t>第三章  招标人对招标文件及合同范本的补充/修改</w:t>
      </w:r>
      <w:bookmarkEnd w:id="87"/>
      <w:bookmarkEnd w:id="88"/>
      <w:bookmarkEnd w:id="89"/>
      <w:bookmarkEnd w:id="90"/>
      <w:bookmarkEnd w:id="91"/>
      <w:bookmarkEnd w:id="92"/>
    </w:p>
    <w:p>
      <w:pPr>
        <w:topLinePunct/>
        <w:adjustRightInd w:val="0"/>
        <w:snapToGrid w:val="0"/>
        <w:spacing w:line="360" w:lineRule="auto"/>
        <w:ind w:firstLine="440" w:firstLineChars="200"/>
        <w:rPr>
          <w:color w:val="auto"/>
          <w:sz w:val="22"/>
          <w:highlight w:val="none"/>
        </w:rPr>
      </w:pPr>
    </w:p>
    <w:p>
      <w:pPr>
        <w:topLinePunct/>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招标人可根据工程实际情况，对本范本进行补充或修改，但有关补充或修改内容不得违法违规，且必须逐一列举在以下栏目中。请投标人认真阅读并遵照执行：</w:t>
      </w:r>
    </w:p>
    <w:p>
      <w:pPr>
        <w:topLinePunct/>
        <w:adjustRightInd w:val="0"/>
        <w:snapToGrid w:val="0"/>
        <w:spacing w:line="360" w:lineRule="auto"/>
        <w:ind w:firstLine="420" w:firstLineChars="20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提示：招标人必须</w:t>
      </w:r>
    </w:p>
    <w:p>
      <w:pPr>
        <w:topLinePunct/>
        <w:adjustRightInd w:val="0"/>
        <w:snapToGrid w:val="0"/>
        <w:spacing w:line="360" w:lineRule="auto"/>
        <w:ind w:firstLine="420" w:firstLineChars="200"/>
        <w:rPr>
          <w:rFonts w:hint="default" w:ascii="宋体" w:hAnsi="宋体" w:eastAsia="宋体" w:cs="宋体"/>
          <w:color w:val="auto"/>
          <w:szCs w:val="21"/>
          <w:highlight w:val="none"/>
          <w:u w:val="single"/>
          <w:lang w:val="en-US" w:eastAsia="zh-CN"/>
        </w:rPr>
      </w:pPr>
    </w:p>
    <w:p>
      <w:pPr>
        <w:topLinePunct/>
        <w:adjustRightInd w:val="0"/>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补充修改</w:t>
      </w:r>
    </w:p>
    <w:p>
      <w:pPr>
        <w:topLinePunct/>
        <w:adjustRightInd w:val="0"/>
        <w:snapToGrid w:val="0"/>
        <w:spacing w:line="360" w:lineRule="auto"/>
        <w:ind w:firstLine="420" w:firstLineChars="200"/>
        <w:rPr>
          <w:rFonts w:ascii="宋体" w:hAnsi="宋体" w:eastAsia="宋体" w:cs="宋体"/>
          <w:color w:val="auto"/>
          <w:szCs w:val="21"/>
          <w:highlight w:val="none"/>
          <w:u w:val="single"/>
        </w:rPr>
      </w:pPr>
    </w:p>
    <w:p>
      <w:pPr>
        <w:topLinePunct/>
        <w:adjustRightInd w:val="0"/>
        <w:snapToGrid w:val="0"/>
        <w:spacing w:line="360" w:lineRule="auto"/>
        <w:ind w:firstLine="420" w:firstLineChars="200"/>
        <w:rPr>
          <w:rFonts w:ascii="宋体" w:hAnsi="宋体" w:eastAsia="宋体" w:cs="宋体"/>
          <w:color w:val="auto"/>
          <w:szCs w:val="21"/>
          <w:highlight w:val="none"/>
        </w:rPr>
      </w:pPr>
    </w:p>
    <w:p>
      <w:pPr>
        <w:topLinePunct/>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以下空白。</w:t>
      </w:r>
    </w:p>
    <w:p>
      <w:pPr>
        <w:topLinePunct/>
        <w:adjustRightInd w:val="0"/>
        <w:snapToGrid w:val="0"/>
        <w:spacing w:line="360" w:lineRule="auto"/>
        <w:ind w:firstLine="420" w:firstLineChars="200"/>
        <w:rPr>
          <w:rFonts w:ascii="宋体" w:hAnsi="宋体" w:eastAsia="宋体" w:cs="宋体"/>
          <w:color w:val="auto"/>
          <w:szCs w:val="21"/>
          <w:highlight w:val="none"/>
        </w:rPr>
      </w:pPr>
    </w:p>
    <w:p>
      <w:pPr>
        <w:topLinePunct/>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招   标   人：</w:t>
      </w:r>
      <w:r>
        <w:rPr>
          <w:rFonts w:hint="eastAsia" w:ascii="宋体" w:hAnsi="宋体" w:eastAsia="宋体" w:cs="宋体"/>
          <w:bCs/>
          <w:color w:val="auto"/>
          <w:szCs w:val="21"/>
          <w:highlight w:val="none"/>
          <w:u w:val="single"/>
        </w:rPr>
        <w:t xml:space="preserve">      </w:t>
      </w:r>
    </w:p>
    <w:p>
      <w:pPr>
        <w:topLinePunct/>
        <w:adjustRightInd w:val="0"/>
        <w:snapToGrid w:val="0"/>
        <w:spacing w:line="360" w:lineRule="auto"/>
        <w:ind w:firstLine="420" w:firstLineChars="200"/>
        <w:rPr>
          <w:rFonts w:ascii="宋体" w:hAnsi="宋体" w:eastAsia="宋体" w:cs="宋体"/>
          <w:color w:val="auto"/>
          <w:szCs w:val="21"/>
          <w:highlight w:val="none"/>
        </w:rPr>
      </w:pPr>
    </w:p>
    <w:p>
      <w:pPr>
        <w:topLinePunct/>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bCs/>
          <w:color w:val="auto"/>
          <w:szCs w:val="21"/>
          <w:highlight w:val="none"/>
          <w:u w:val="single"/>
        </w:rPr>
        <w:t xml:space="preserve">      </w:t>
      </w:r>
    </w:p>
    <w:p>
      <w:pPr>
        <w:topLinePunct/>
        <w:adjustRightInd w:val="0"/>
        <w:snapToGrid w:val="0"/>
        <w:spacing w:line="360" w:lineRule="auto"/>
        <w:ind w:firstLine="420" w:firstLineChars="200"/>
        <w:rPr>
          <w:rFonts w:ascii="宋体" w:hAnsi="宋体" w:eastAsia="宋体" w:cs="宋体"/>
          <w:color w:val="auto"/>
          <w:szCs w:val="21"/>
          <w:highlight w:val="none"/>
        </w:rPr>
      </w:pPr>
    </w:p>
    <w:p>
      <w:pPr>
        <w:topLinePunct/>
        <w:adjustRightInd w:val="0"/>
        <w:snapToGrid w:val="0"/>
        <w:spacing w:line="360" w:lineRule="auto"/>
        <w:ind w:firstLine="420" w:firstLineChars="200"/>
        <w:rPr>
          <w:rFonts w:ascii="宋体" w:hAnsi="宋体" w:eastAsia="宋体" w:cs="宋体"/>
          <w:color w:val="auto"/>
          <w:highlight w:val="none"/>
        </w:rPr>
        <w:sectPr>
          <w:headerReference r:id="rId4" w:type="default"/>
          <w:footerReference r:id="rId5" w:type="default"/>
          <w:pgSz w:w="11907" w:h="16840"/>
          <w:pgMar w:top="1417" w:right="1417" w:bottom="1417" w:left="1417" w:header="851" w:footer="851" w:gutter="0"/>
          <w:pgNumType w:fmt="decimal"/>
          <w:cols w:space="425" w:num="1"/>
          <w:docGrid w:type="lines" w:linePitch="312" w:charSpace="0"/>
        </w:sectPr>
      </w:pPr>
      <w:r>
        <w:rPr>
          <w:rFonts w:hint="eastAsia" w:ascii="宋体" w:hAnsi="宋体" w:eastAsia="宋体" w:cs="宋体"/>
          <w:color w:val="auto"/>
          <w:szCs w:val="21"/>
          <w:highlight w:val="none"/>
        </w:rPr>
        <w:t>编制日期：</w:t>
      </w:r>
      <w:r>
        <w:rPr>
          <w:rFonts w:hint="eastAsia" w:ascii="宋体" w:hAnsi="宋体" w:eastAsia="宋体" w:cs="宋体"/>
          <w:bCs/>
          <w:color w:val="auto"/>
          <w:szCs w:val="21"/>
          <w:highlight w:val="none"/>
          <w:u w:val="single"/>
        </w:rPr>
        <w:t xml:space="preserve">      </w:t>
      </w:r>
      <w:bookmarkEnd w:id="93"/>
      <w:r>
        <w:rPr>
          <w:rFonts w:hint="eastAsia" w:ascii="宋体" w:hAnsi="宋体" w:eastAsia="宋体" w:cs="宋体"/>
          <w:color w:val="auto"/>
          <w:highlight w:val="none"/>
        </w:rPr>
        <w:br w:type="page"/>
      </w:r>
    </w:p>
    <w:p>
      <w:pPr>
        <w:topLinePunct/>
        <w:adjustRightInd w:val="0"/>
        <w:snapToGrid w:val="0"/>
        <w:spacing w:line="360" w:lineRule="auto"/>
        <w:ind w:firstLine="420" w:firstLineChars="200"/>
        <w:rPr>
          <w:rFonts w:ascii="宋体" w:hAnsi="宋体" w:eastAsia="宋体" w:cs="宋体"/>
          <w:color w:val="auto"/>
          <w:highlight w:val="none"/>
        </w:rPr>
      </w:pPr>
    </w:p>
    <w:p>
      <w:pPr>
        <w:adjustRightInd w:val="0"/>
        <w:snapToGrid w:val="0"/>
        <w:spacing w:line="360" w:lineRule="auto"/>
        <w:jc w:val="center"/>
        <w:outlineLvl w:val="0"/>
        <w:rPr>
          <w:rFonts w:hint="eastAsia" w:ascii="黑体" w:hAnsi="黑体" w:eastAsia="黑体" w:cs="黑体"/>
          <w:b/>
          <w:bCs w:val="0"/>
          <w:color w:val="auto"/>
          <w:sz w:val="32"/>
          <w:szCs w:val="32"/>
          <w:highlight w:val="none"/>
        </w:rPr>
      </w:pPr>
      <w:bookmarkStart w:id="94" w:name="_Toc23579"/>
      <w:bookmarkStart w:id="95" w:name="_Toc13629"/>
      <w:bookmarkStart w:id="96" w:name="_Toc23924"/>
      <w:bookmarkStart w:id="97" w:name="_Toc14641"/>
      <w:bookmarkStart w:id="98" w:name="_Toc15305"/>
      <w:bookmarkStart w:id="99" w:name="_Toc7592"/>
      <w:r>
        <w:rPr>
          <w:rFonts w:hint="eastAsia" w:ascii="黑体" w:hAnsi="黑体" w:eastAsia="黑体" w:cs="黑体"/>
          <w:b/>
          <w:bCs w:val="0"/>
          <w:color w:val="auto"/>
          <w:sz w:val="32"/>
          <w:szCs w:val="32"/>
          <w:highlight w:val="none"/>
        </w:rPr>
        <w:t>第四章  合同条款</w:t>
      </w:r>
      <w:bookmarkEnd w:id="94"/>
      <w:bookmarkEnd w:id="95"/>
      <w:bookmarkEnd w:id="96"/>
      <w:bookmarkEnd w:id="97"/>
      <w:bookmarkEnd w:id="98"/>
      <w:bookmarkEnd w:id="99"/>
    </w:p>
    <w:p>
      <w:pPr>
        <w:rPr>
          <w:rFonts w:ascii="黑体" w:eastAsia="黑体"/>
          <w:color w:val="auto"/>
          <w:sz w:val="28"/>
          <w:szCs w:val="28"/>
          <w:highlight w:val="none"/>
        </w:rPr>
      </w:pPr>
      <w:r>
        <w:rPr>
          <w:rFonts w:ascii="黑体" w:eastAsia="黑体"/>
          <w:color w:val="auto"/>
          <w:sz w:val="28"/>
          <w:szCs w:val="28"/>
          <w:highlight w:val="none"/>
        </w:rPr>
        <w:br w:type="page"/>
      </w:r>
    </w:p>
    <w:p>
      <w:pPr>
        <w:jc w:val="left"/>
        <w:rPr>
          <w:rFonts w:hint="eastAsia" w:ascii="宋体" w:hAnsi="宋体" w:eastAsia="宋体" w:cs="Times New Roman"/>
          <w:b/>
          <w:color w:val="auto"/>
          <w:sz w:val="28"/>
          <w:szCs w:val="28"/>
          <w:highlight w:val="none"/>
          <w:lang w:eastAsia="zh-CN"/>
        </w:rPr>
      </w:pPr>
      <w:bookmarkStart w:id="100" w:name="Bookmark27"/>
      <w:bookmarkEnd w:id="100"/>
      <w:bookmarkStart w:id="101" w:name="_Toc38943429"/>
      <w:r>
        <w:rPr>
          <w:rFonts w:ascii="宋体" w:hAnsi="宋体" w:eastAsia="宋体" w:cs="Times New Roman"/>
          <w:b/>
          <w:color w:val="auto"/>
          <w:sz w:val="28"/>
          <w:szCs w:val="28"/>
          <w:highlight w:val="none"/>
        </w:rPr>
        <w:t>SFD-2015-0</w:t>
      </w:r>
      <w:r>
        <w:rPr>
          <w:rFonts w:hint="eastAsia" w:ascii="宋体" w:hAnsi="宋体" w:eastAsia="宋体" w:cs="Times New Roman"/>
          <w:b/>
          <w:color w:val="auto"/>
          <w:sz w:val="28"/>
          <w:szCs w:val="28"/>
          <w:highlight w:val="none"/>
        </w:rPr>
        <w:t>7</w:t>
      </w:r>
    </w:p>
    <w:p>
      <w:pPr>
        <w:jc w:val="right"/>
        <w:rPr>
          <w:rFonts w:hint="eastAsia" w:ascii="黑体" w:hAnsi="宋体" w:eastAsia="黑体" w:cs="Times New Roman"/>
          <w:color w:val="auto"/>
          <w:sz w:val="28"/>
          <w:szCs w:val="28"/>
          <w:highlight w:val="none"/>
        </w:rPr>
      </w:pPr>
      <w:r>
        <w:rPr>
          <w:rFonts w:hint="eastAsia" w:ascii="黑体" w:hAnsi="宋体" w:eastAsia="黑体" w:cs="Times New Roman"/>
          <w:color w:val="auto"/>
          <w:sz w:val="28"/>
          <w:szCs w:val="28"/>
          <w:highlight w:val="none"/>
        </w:rPr>
        <w:t>工程编号：</w:t>
      </w:r>
      <w:r>
        <w:rPr>
          <w:rFonts w:hint="eastAsia" w:ascii="黑体" w:hAnsi="宋体" w:eastAsia="黑体" w:cs="Times New Roman"/>
          <w:color w:val="auto"/>
          <w:sz w:val="28"/>
          <w:szCs w:val="28"/>
          <w:highlight w:val="none"/>
          <w:u w:val="single"/>
        </w:rPr>
        <w:t xml:space="preserve">                 </w:t>
      </w:r>
    </w:p>
    <w:p>
      <w:pPr>
        <w:jc w:val="right"/>
        <w:rPr>
          <w:rFonts w:hint="eastAsia" w:ascii="黑体" w:hAnsi="宋体" w:eastAsia="黑体" w:cs="Times New Roman"/>
          <w:color w:val="auto"/>
          <w:sz w:val="28"/>
          <w:szCs w:val="28"/>
          <w:highlight w:val="none"/>
          <w:u w:val="single"/>
        </w:rPr>
      </w:pPr>
      <w:r>
        <w:rPr>
          <w:rFonts w:hint="eastAsia" w:ascii="黑体" w:hAnsi="宋体" w:eastAsia="黑体" w:cs="Times New Roman"/>
          <w:color w:val="auto"/>
          <w:sz w:val="28"/>
          <w:szCs w:val="28"/>
          <w:highlight w:val="none"/>
        </w:rPr>
        <w:t>合同编号：</w:t>
      </w:r>
      <w:r>
        <w:rPr>
          <w:rFonts w:hint="eastAsia" w:ascii="黑体" w:hAnsi="宋体" w:eastAsia="黑体" w:cs="Times New Roman"/>
          <w:color w:val="auto"/>
          <w:sz w:val="28"/>
          <w:szCs w:val="28"/>
          <w:highlight w:val="none"/>
          <w:u w:val="single"/>
        </w:rPr>
        <w:t xml:space="preserve">                 </w:t>
      </w:r>
    </w:p>
    <w:p>
      <w:pPr>
        <w:jc w:val="right"/>
        <w:rPr>
          <w:rFonts w:hint="eastAsia" w:ascii="黑体" w:hAnsi="Times New Roman" w:eastAsia="黑体" w:cs="Times New Roman"/>
          <w:color w:val="auto"/>
          <w:sz w:val="32"/>
          <w:szCs w:val="32"/>
          <w:highlight w:val="none"/>
          <w:u w:val="single"/>
        </w:rPr>
      </w:pPr>
    </w:p>
    <w:p>
      <w:pPr>
        <w:jc w:val="right"/>
        <w:rPr>
          <w:rFonts w:hint="eastAsia" w:ascii="黑体" w:hAnsi="Times New Roman" w:eastAsia="黑体" w:cs="Times New Roman"/>
          <w:color w:val="auto"/>
          <w:sz w:val="32"/>
          <w:szCs w:val="32"/>
          <w:highlight w:val="none"/>
          <w:u w:val="single"/>
        </w:rPr>
      </w:pPr>
    </w:p>
    <w:p>
      <w:pPr>
        <w:jc w:val="center"/>
        <w:rPr>
          <w:rFonts w:hint="eastAsia" w:ascii="黑体" w:hAnsi="宋体" w:eastAsia="黑体" w:cs="Times New Roman"/>
          <w:color w:val="auto"/>
          <w:sz w:val="44"/>
          <w:szCs w:val="44"/>
          <w:highlight w:val="none"/>
        </w:rPr>
      </w:pPr>
      <w:r>
        <w:rPr>
          <w:rFonts w:hint="eastAsia" w:ascii="黑体" w:hAnsi="宋体" w:eastAsia="黑体" w:cs="Times New Roman"/>
          <w:color w:val="auto"/>
          <w:sz w:val="44"/>
          <w:szCs w:val="44"/>
          <w:highlight w:val="none"/>
        </w:rPr>
        <w:t>深圳市建设工程</w:t>
      </w:r>
    </w:p>
    <w:p>
      <w:pPr>
        <w:jc w:val="center"/>
        <w:rPr>
          <w:rFonts w:hint="eastAsia" w:ascii="黑体" w:hAnsi="宋体" w:eastAsia="黑体" w:cs="Times New Roman"/>
          <w:color w:val="auto"/>
          <w:szCs w:val="21"/>
          <w:highlight w:val="none"/>
        </w:rPr>
      </w:pPr>
    </w:p>
    <w:p>
      <w:pPr>
        <w:jc w:val="center"/>
        <w:rPr>
          <w:rFonts w:hint="eastAsia" w:ascii="黑体" w:hAnsi="宋体" w:eastAsia="黑体" w:cs="Times New Roman"/>
          <w:color w:val="auto"/>
          <w:sz w:val="52"/>
          <w:szCs w:val="52"/>
          <w:highlight w:val="none"/>
        </w:rPr>
      </w:pPr>
      <w:r>
        <w:rPr>
          <w:rFonts w:hint="eastAsia" w:ascii="黑体" w:hAnsi="宋体" w:eastAsia="黑体" w:cs="Times New Roman"/>
          <w:color w:val="auto"/>
          <w:sz w:val="52"/>
          <w:szCs w:val="52"/>
          <w:highlight w:val="none"/>
        </w:rPr>
        <w:t>施工(单价)合同</w:t>
      </w:r>
    </w:p>
    <w:p>
      <w:pPr>
        <w:jc w:val="center"/>
        <w:outlineLvl w:val="9"/>
        <w:rPr>
          <w:rFonts w:hint="eastAsia" w:ascii="黑体" w:hAnsi="宋体" w:eastAsia="黑体" w:cs="Times New Roman"/>
          <w:color w:val="auto"/>
          <w:sz w:val="32"/>
          <w:szCs w:val="32"/>
          <w:highlight w:val="none"/>
        </w:rPr>
      </w:pPr>
      <w:bookmarkStart w:id="102" w:name="_Toc448840947"/>
      <w:bookmarkStart w:id="103" w:name="_Toc448493953"/>
      <w:bookmarkStart w:id="104" w:name="_Toc67418029"/>
      <w:bookmarkStart w:id="105" w:name="_Toc492904945"/>
      <w:bookmarkStart w:id="106" w:name="_Toc453616279"/>
      <w:bookmarkStart w:id="107" w:name="_Toc67326976"/>
      <w:bookmarkStart w:id="108" w:name="_Toc67418462"/>
      <w:bookmarkStart w:id="109" w:name="_Toc25027"/>
      <w:r>
        <w:rPr>
          <w:rFonts w:hint="eastAsia" w:ascii="黑体" w:hAnsi="宋体" w:eastAsia="黑体" w:cs="Times New Roman"/>
          <w:color w:val="auto"/>
          <w:sz w:val="32"/>
          <w:szCs w:val="32"/>
          <w:highlight w:val="none"/>
        </w:rPr>
        <w:t>(适用于招标工程固定单价施工合同)</w:t>
      </w:r>
      <w:bookmarkEnd w:id="102"/>
      <w:bookmarkEnd w:id="103"/>
      <w:bookmarkEnd w:id="104"/>
      <w:bookmarkEnd w:id="105"/>
      <w:bookmarkEnd w:id="106"/>
      <w:bookmarkEnd w:id="107"/>
      <w:bookmarkEnd w:id="108"/>
      <w:bookmarkEnd w:id="109"/>
    </w:p>
    <w:p>
      <w:pPr>
        <w:jc w:val="center"/>
        <w:rPr>
          <w:rFonts w:hint="eastAsia" w:ascii="黑体" w:hAnsi="Times New Roman" w:eastAsia="黑体" w:cs="Times New Roman"/>
          <w:color w:val="auto"/>
          <w:sz w:val="32"/>
          <w:szCs w:val="32"/>
          <w:highlight w:val="none"/>
        </w:rPr>
      </w:pPr>
    </w:p>
    <w:p>
      <w:pPr>
        <w:jc w:val="center"/>
        <w:rPr>
          <w:rFonts w:hint="eastAsia" w:ascii="黑体" w:hAnsi="Times New Roman" w:eastAsia="黑体" w:cs="Times New Roman"/>
          <w:color w:val="auto"/>
          <w:sz w:val="32"/>
          <w:szCs w:val="32"/>
          <w:highlight w:val="none"/>
        </w:rPr>
      </w:pPr>
    </w:p>
    <w:p>
      <w:pPr>
        <w:jc w:val="center"/>
        <w:rPr>
          <w:rFonts w:hint="eastAsia" w:ascii="黑体" w:hAnsi="Times New Roman" w:eastAsia="黑体" w:cs="Times New Roman"/>
          <w:color w:val="auto"/>
          <w:sz w:val="32"/>
          <w:szCs w:val="32"/>
          <w:highlight w:val="none"/>
        </w:rPr>
      </w:pPr>
    </w:p>
    <w:p>
      <w:pPr>
        <w:rPr>
          <w:rFonts w:hint="eastAsia" w:ascii="黑体" w:hAnsi="Times New Roman" w:eastAsia="黑体" w:cs="Times New Roman"/>
          <w:color w:val="auto"/>
          <w:sz w:val="32"/>
          <w:szCs w:val="32"/>
          <w:highlight w:val="none"/>
        </w:rPr>
      </w:pPr>
    </w:p>
    <w:p>
      <w:pPr>
        <w:spacing w:before="312" w:after="156" w:line="480" w:lineRule="auto"/>
        <w:ind w:firstLine="320"/>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工程名称：</w:t>
      </w:r>
      <w:r>
        <w:rPr>
          <w:rFonts w:hint="eastAsia" w:ascii="黑体" w:hAnsi="Times New Roman" w:eastAsia="黑体" w:cs="Times New Roman"/>
          <w:color w:val="auto"/>
          <w:sz w:val="32"/>
          <w:szCs w:val="32"/>
          <w:highlight w:val="none"/>
          <w:u w:val="single"/>
        </w:rPr>
        <w:t xml:space="preserve">         　　　                  </w:t>
      </w:r>
    </w:p>
    <w:p>
      <w:pPr>
        <w:spacing w:before="312" w:after="156" w:line="480" w:lineRule="auto"/>
        <w:ind w:firstLine="320"/>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工程地点：</w:t>
      </w:r>
      <w:r>
        <w:rPr>
          <w:rFonts w:hint="eastAsia" w:ascii="黑体" w:hAnsi="Times New Roman" w:eastAsia="黑体" w:cs="Times New Roman"/>
          <w:color w:val="auto"/>
          <w:sz w:val="32"/>
          <w:szCs w:val="32"/>
          <w:highlight w:val="none"/>
          <w:u w:val="single"/>
        </w:rPr>
        <w:t xml:space="preserve">            　　　               </w:t>
      </w:r>
    </w:p>
    <w:p>
      <w:pPr>
        <w:spacing w:before="312" w:after="156" w:line="480" w:lineRule="auto"/>
        <w:ind w:firstLine="320"/>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发 包 人：</w:t>
      </w:r>
      <w:r>
        <w:rPr>
          <w:rFonts w:hint="eastAsia" w:ascii="黑体" w:hAnsi="Times New Roman" w:eastAsia="黑体" w:cs="Times New Roman"/>
          <w:color w:val="auto"/>
          <w:sz w:val="32"/>
          <w:szCs w:val="32"/>
          <w:highlight w:val="none"/>
          <w:u w:val="single"/>
        </w:rPr>
        <w:t xml:space="preserve">             　　　              </w:t>
      </w:r>
    </w:p>
    <w:p>
      <w:pPr>
        <w:spacing w:before="312" w:after="156" w:line="480" w:lineRule="auto"/>
        <w:ind w:firstLine="320"/>
        <w:rPr>
          <w:rFonts w:hint="eastAsia" w:ascii="黑体" w:hAnsi="Times New Roman" w:eastAsia="黑体" w:cs="Times New Roman"/>
          <w:color w:val="auto"/>
          <w:sz w:val="32"/>
          <w:szCs w:val="32"/>
          <w:highlight w:val="none"/>
          <w:u w:val="single"/>
        </w:rPr>
      </w:pPr>
      <w:r>
        <w:rPr>
          <w:rFonts w:hint="eastAsia" w:ascii="黑体" w:hAnsi="Times New Roman" w:eastAsia="黑体" w:cs="Times New Roman"/>
          <w:color w:val="auto"/>
          <w:sz w:val="32"/>
          <w:szCs w:val="32"/>
          <w:highlight w:val="none"/>
        </w:rPr>
        <w:t>承 包 人：</w:t>
      </w:r>
      <w:r>
        <w:rPr>
          <w:rFonts w:hint="eastAsia" w:ascii="黑体" w:hAnsi="Times New Roman" w:eastAsia="黑体" w:cs="Times New Roman"/>
          <w:color w:val="auto"/>
          <w:sz w:val="32"/>
          <w:szCs w:val="32"/>
          <w:highlight w:val="none"/>
          <w:u w:val="single"/>
        </w:rPr>
        <w:t xml:space="preserve">                　　　           </w:t>
      </w:r>
    </w:p>
    <w:p>
      <w:pPr>
        <w:ind w:firstLine="960"/>
        <w:rPr>
          <w:rFonts w:hint="eastAsia" w:ascii="黑体" w:hAnsi="宋体" w:eastAsia="黑体" w:cs="Times New Roman"/>
          <w:color w:val="auto"/>
          <w:sz w:val="32"/>
          <w:szCs w:val="32"/>
          <w:highlight w:val="none"/>
          <w:u w:val="single"/>
        </w:rPr>
      </w:pPr>
    </w:p>
    <w:p>
      <w:pPr>
        <w:rPr>
          <w:rFonts w:hint="eastAsia" w:ascii="黑体" w:hAnsi="宋体" w:eastAsia="黑体" w:cs="Times New Roman"/>
          <w:color w:val="auto"/>
          <w:szCs w:val="24"/>
          <w:highlight w:val="none"/>
        </w:rPr>
      </w:pPr>
    </w:p>
    <w:p>
      <w:pPr>
        <w:rPr>
          <w:rFonts w:hint="eastAsia" w:ascii="黑体" w:hAnsi="宋体" w:eastAsia="黑体" w:cs="Times New Roman"/>
          <w:color w:val="auto"/>
          <w:szCs w:val="24"/>
          <w:highlight w:val="none"/>
        </w:rPr>
      </w:pPr>
    </w:p>
    <w:p>
      <w:pPr>
        <w:jc w:val="center"/>
        <w:rPr>
          <w:rFonts w:ascii="黑体" w:hAnsi="Times New Roman" w:eastAsia="黑体" w:cs="Times New Roman"/>
          <w:b/>
          <w:bCs/>
          <w:color w:val="auto"/>
          <w:sz w:val="44"/>
          <w:szCs w:val="24"/>
          <w:highlight w:val="none"/>
        </w:rPr>
      </w:pPr>
      <w:r>
        <w:rPr>
          <w:rFonts w:hint="eastAsia" w:ascii="黑体" w:hAnsi="宋体" w:eastAsia="黑体" w:cs="Times New Roman"/>
          <w:color w:val="auto"/>
          <w:sz w:val="28"/>
          <w:szCs w:val="28"/>
          <w:highlight w:val="none"/>
        </w:rPr>
        <w:t>201</w:t>
      </w:r>
      <w:r>
        <w:rPr>
          <w:rFonts w:ascii="黑体" w:hAnsi="宋体" w:eastAsia="黑体" w:cs="Times New Roman"/>
          <w:color w:val="auto"/>
          <w:sz w:val="28"/>
          <w:szCs w:val="28"/>
          <w:highlight w:val="none"/>
        </w:rPr>
        <w:t>5</w:t>
      </w:r>
      <w:r>
        <w:rPr>
          <w:rFonts w:hint="eastAsia" w:ascii="黑体" w:hAnsi="宋体" w:eastAsia="黑体" w:cs="Times New Roman"/>
          <w:color w:val="auto"/>
          <w:sz w:val="28"/>
          <w:szCs w:val="28"/>
          <w:highlight w:val="none"/>
        </w:rPr>
        <w:t>年版</w:t>
      </w:r>
      <w:r>
        <w:rPr>
          <w:rFonts w:hint="eastAsia" w:ascii="黑体" w:hAnsi="Times New Roman" w:eastAsia="黑体" w:cs="Times New Roman"/>
          <w:b/>
          <w:bCs/>
          <w:color w:val="auto"/>
          <w:sz w:val="44"/>
          <w:szCs w:val="24"/>
          <w:highlight w:val="none"/>
        </w:rPr>
        <w:br w:type="page"/>
      </w:r>
    </w:p>
    <w:p>
      <w:pPr>
        <w:jc w:val="center"/>
        <w:rPr>
          <w:rFonts w:ascii="Times New Roman" w:hAnsi="Times New Roman" w:eastAsia="宋体" w:cs="Times New Roman"/>
          <w:b/>
          <w:bCs/>
          <w:color w:val="auto"/>
          <w:sz w:val="32"/>
          <w:szCs w:val="32"/>
          <w:highlight w:val="none"/>
        </w:rPr>
      </w:pPr>
      <w:r>
        <w:rPr>
          <w:rFonts w:hint="eastAsia" w:ascii="Times New Roman" w:hAnsi="Times New Roman" w:eastAsia="宋体" w:cs="Times New Roman"/>
          <w:b/>
          <w:bCs/>
          <w:color w:val="auto"/>
          <w:sz w:val="32"/>
          <w:szCs w:val="32"/>
          <w:highlight w:val="none"/>
        </w:rPr>
        <w:t>说</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明</w:t>
      </w:r>
    </w:p>
    <w:p>
      <w:pPr>
        <w:ind w:firstLine="480"/>
        <w:rPr>
          <w:rFonts w:ascii="Times New Roman" w:hAnsi="Times New Roman" w:eastAsia="宋体" w:cs="Times New Roman"/>
          <w:color w:val="auto"/>
          <w:sz w:val="24"/>
          <w:szCs w:val="24"/>
          <w:highlight w:val="none"/>
        </w:rPr>
      </w:pP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同(示范文本)根据《中华人民共和国民法典》、《中华人民共和国建筑法》、《中华人民共和国招标投标法》等法律以及深圳市相关的法规,借鉴国际通用的工程施工合同和住房城乡建设部、国家工商行政管理总局制定的《建设工程施工合同示范文本》（GF－2017-0201）,结合深圳市现行施工合同(示范文本)近几年的实践情况,由深圳市建设工程造价管理站编制而成。</w:t>
      </w:r>
    </w:p>
    <w:p>
      <w:pPr>
        <w:spacing w:line="360" w:lineRule="auto"/>
        <w:ind w:firstLine="48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一、《示范文本》的组成</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本合同(示范文本)由“协议书”、“通用条款</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、“专用条款</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和“补充条款”四部分组成。其中：</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协议书”作为合同文本的第一部分,是发包人与承包人就合同内容协商达成一致意见后,相互承诺履行合同而签署的协议。《协议书》包括工程概况、工程承包范围、合同工期、质量标准、合同价格等合同主要内容,明确了组成合同的所有文件，并约定了合同生效的方式及合同订立的时间、地点，集中约定了承发包双方基本的合同权利义务。</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2.“通用条款</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是根据现行法律、法规、规章等规定，就工程建设的实施及相关事项，对发包人与承包人的权利义务作出的原则性约定。既考虑了现行法律法规对工程建设的有关要求，也考虑了建设工程施工管理的实际需要，具有较强的普遍性和通用性，是通用于建设工程施工的基础性合同条款。</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3.“专用条款</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是指对通用条款原则性约定的细化、完善、补充、修改或另行约定的条款。发包人与承包人可根据法律、法规和规章的规定，结合具体工程实际，经过双方的谈判、协商达成一致意见，对应通用条款的内容，对不明确的条款作出具体约定；对不适用的条款作出修改；对缺少的内容作出补充；使合同更具可操作性，便于理解和履行。</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4.“补充条款”是对合同中通用条款和专用条款未约定或约定不明确的内容进行补充约定的条款。</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二、专用条款使用注意事项</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1.专用条款的编号应与相应的通用条款的编号一致。</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2.在专用条款中有横道线的地方，承发包双方可针对相应的通用条款进行细化、完善、补充、修改或另行约定；如无细化、完善、补充、修改或另行约定，则填写“无”或划“/”。</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3.“通用条款”和“专用条款”一并作为完整的合同条款，当两者之间有不符之处，以“专用条款”为准。“通用条款”中出现斜体字加粗“</w:t>
      </w:r>
      <w:r>
        <w:rPr>
          <w:rFonts w:hint="eastAsia" w:ascii="宋体" w:hAnsi="宋体" w:eastAsia="宋体" w:cs="Times New Roman"/>
          <w:b/>
          <w:i/>
          <w:color w:val="auto"/>
          <w:sz w:val="24"/>
          <w:szCs w:val="24"/>
          <w:highlight w:val="none"/>
        </w:rPr>
        <w:t>专用条款</w:t>
      </w:r>
      <w:r>
        <w:rPr>
          <w:rFonts w:hint="eastAsia" w:ascii="宋体" w:hAnsi="宋体" w:eastAsia="宋体" w:cs="Times New Roman"/>
          <w:color w:val="auto"/>
          <w:sz w:val="24"/>
          <w:szCs w:val="24"/>
          <w:highlight w:val="none"/>
        </w:rPr>
        <w:t>”字样的条文在相应“专用条款”的条文中有明确的约定。应按照同一编号的条款一起阅读和理解。</w:t>
      </w:r>
    </w:p>
    <w:p>
      <w:pPr>
        <w:spacing w:line="360" w:lineRule="auto"/>
        <w:ind w:firstLine="480"/>
        <w:rPr>
          <w:rFonts w:hint="eastAsia" w:ascii="宋体" w:hAnsi="宋体" w:eastAsia="宋体" w:cs="Times New Roman"/>
          <w:b/>
          <w:color w:val="auto"/>
          <w:sz w:val="24"/>
          <w:szCs w:val="24"/>
          <w:highlight w:val="none"/>
        </w:rPr>
      </w:pPr>
      <w:r>
        <w:rPr>
          <w:rFonts w:hint="eastAsia" w:ascii="宋体" w:hAnsi="宋体" w:eastAsia="宋体" w:cs="Times New Roman"/>
          <w:bCs/>
          <w:color w:val="auto"/>
          <w:sz w:val="24"/>
          <w:szCs w:val="24"/>
          <w:highlight w:val="none"/>
        </w:rPr>
        <w:t>三、《示范文本》的性质和适用范围</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本合同(示范文本)适用于房屋建筑工程、土木工程、线路管道和设备安装工程、装修工程等建设招标工程</w:t>
      </w:r>
      <w:r>
        <w:rPr>
          <w:rFonts w:hint="eastAsia" w:ascii="宋体" w:hAnsi="宋体" w:eastAsia="宋体" w:cs="Times New Roman"/>
          <w:b/>
          <w:color w:val="auto"/>
          <w:sz w:val="24"/>
          <w:szCs w:val="24"/>
          <w:highlight w:val="none"/>
        </w:rPr>
        <w:t>固定单价施工合同</w:t>
      </w:r>
      <w:r>
        <w:rPr>
          <w:rFonts w:hint="eastAsia" w:ascii="宋体" w:hAnsi="宋体" w:eastAsia="宋体" w:cs="Times New Roman"/>
          <w:color w:val="auto"/>
          <w:sz w:val="24"/>
          <w:szCs w:val="24"/>
          <w:highlight w:val="none"/>
        </w:rPr>
        <w:t>,发包人与承包人可结合建设工程具体情况，参考本合同(示范文本)订立合同，并按照法律法规规定和合同约定承担相应的法律责任及合同权利义务。</w:t>
      </w:r>
    </w:p>
    <w:p>
      <w:pPr>
        <w:spacing w:line="360" w:lineRule="auto"/>
        <w:ind w:firstLine="480"/>
        <w:rPr>
          <w:rFonts w:hint="eastAsia" w:ascii="宋体" w:hAnsi="宋体" w:eastAsia="宋体" w:cs="Times New Roman"/>
          <w:color w:val="auto"/>
          <w:sz w:val="24"/>
          <w:szCs w:val="24"/>
          <w:highlight w:val="none"/>
        </w:rPr>
      </w:pPr>
    </w:p>
    <w:p>
      <w:pPr>
        <w:spacing w:line="360" w:lineRule="auto"/>
        <w:ind w:firstLine="560"/>
        <w:rPr>
          <w:rFonts w:hint="eastAsia" w:ascii="黑体" w:hAnsi="宋体" w:eastAsia="黑体" w:cs="Times New Roman"/>
          <w:color w:val="auto"/>
          <w:sz w:val="28"/>
          <w:szCs w:val="28"/>
          <w:highlight w:val="none"/>
        </w:rPr>
      </w:pPr>
      <w:r>
        <w:rPr>
          <w:rFonts w:hint="eastAsia" w:ascii="黑体" w:hAnsi="宋体" w:eastAsia="黑体" w:cs="Times New Roman"/>
          <w:color w:val="auto"/>
          <w:sz w:val="28"/>
          <w:szCs w:val="28"/>
          <w:highlight w:val="none"/>
        </w:rPr>
        <w:t>《示范文本》使用过程中，</w:t>
      </w:r>
      <w:r>
        <w:rPr>
          <w:rFonts w:ascii="黑体" w:hAnsi="宋体" w:eastAsia="黑体" w:cs="Times New Roman"/>
          <w:color w:val="auto"/>
          <w:sz w:val="28"/>
          <w:szCs w:val="28"/>
          <w:highlight w:val="none"/>
        </w:rPr>
        <w:t>如有任何疑问或不明之处,请及时向专业人士咨询。</w:t>
      </w:r>
    </w:p>
    <w:p>
      <w:pPr>
        <w:spacing w:line="360" w:lineRule="auto"/>
        <w:ind w:firstLine="560"/>
        <w:rPr>
          <w:rFonts w:hint="eastAsia" w:ascii="黑体" w:hAnsi="宋体" w:eastAsia="黑体" w:cs="Times New Roman"/>
          <w:color w:val="auto"/>
          <w:sz w:val="28"/>
          <w:szCs w:val="28"/>
          <w:highlight w:val="none"/>
        </w:rPr>
      </w:pPr>
      <w:r>
        <w:rPr>
          <w:rFonts w:hint="eastAsia" w:ascii="黑体" w:hAnsi="宋体" w:eastAsia="黑体" w:cs="Times New Roman"/>
          <w:color w:val="auto"/>
          <w:sz w:val="28"/>
          <w:szCs w:val="28"/>
          <w:highlight w:val="none"/>
        </w:rPr>
        <w:t>任何单位或个人未经深圳市建设工程造价管理站同意，不得以任何形式销售本合同(示范文本)及其中的任何部分。</w:t>
      </w:r>
    </w:p>
    <w:p>
      <w:pPr>
        <w:spacing w:line="360" w:lineRule="auto"/>
        <w:ind w:firstLine="560"/>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本次印发版次为SFD-2015-0</w:t>
      </w:r>
      <w:r>
        <w:rPr>
          <w:rFonts w:hint="eastAsia" w:ascii="Times New Roman" w:hAnsi="Times New Roman" w:eastAsia="黑体" w:cs="Times New Roman"/>
          <w:color w:val="auto"/>
          <w:sz w:val="28"/>
          <w:szCs w:val="28"/>
          <w:highlight w:val="none"/>
        </w:rPr>
        <w:t>7</w:t>
      </w:r>
      <w:r>
        <w:rPr>
          <w:rFonts w:ascii="Times New Roman" w:hAnsi="Times New Roman" w:eastAsia="黑体" w:cs="Times New Roman"/>
          <w:color w:val="auto"/>
          <w:sz w:val="28"/>
          <w:szCs w:val="28"/>
          <w:highlight w:val="none"/>
        </w:rPr>
        <w:t>，即2015版第</w:t>
      </w:r>
      <w:r>
        <w:rPr>
          <w:rFonts w:hint="eastAsia" w:ascii="Times New Roman" w:hAnsi="Times New Roman" w:eastAsia="黑体" w:cs="Times New Roman"/>
          <w:color w:val="auto"/>
          <w:sz w:val="28"/>
          <w:szCs w:val="28"/>
          <w:highlight w:val="none"/>
        </w:rPr>
        <w:t>七</w:t>
      </w:r>
      <w:r>
        <w:rPr>
          <w:rFonts w:ascii="Times New Roman" w:hAnsi="Times New Roman" w:eastAsia="黑体" w:cs="Times New Roman"/>
          <w:color w:val="auto"/>
          <w:sz w:val="28"/>
          <w:szCs w:val="28"/>
          <w:highlight w:val="none"/>
        </w:rPr>
        <w:t>版。</w:t>
      </w:r>
    </w:p>
    <w:tbl>
      <w:tblPr>
        <w:tblStyle w:val="40"/>
        <w:tblW w:w="6584" w:type="dxa"/>
        <w:jc w:val="center"/>
        <w:tblLayout w:type="autofit"/>
        <w:tblCellMar>
          <w:top w:w="0" w:type="dxa"/>
          <w:left w:w="108" w:type="dxa"/>
          <w:bottom w:w="0" w:type="dxa"/>
          <w:right w:w="108" w:type="dxa"/>
        </w:tblCellMar>
      </w:tblPr>
      <w:tblGrid>
        <w:gridCol w:w="222"/>
        <w:gridCol w:w="222"/>
        <w:gridCol w:w="222"/>
        <w:gridCol w:w="222"/>
        <w:gridCol w:w="14"/>
        <w:gridCol w:w="236"/>
        <w:gridCol w:w="194"/>
        <w:gridCol w:w="28"/>
        <w:gridCol w:w="308"/>
        <w:gridCol w:w="28"/>
        <w:gridCol w:w="348"/>
        <w:gridCol w:w="320"/>
        <w:gridCol w:w="28"/>
        <w:gridCol w:w="308"/>
        <w:gridCol w:w="28"/>
        <w:gridCol w:w="228"/>
        <w:gridCol w:w="200"/>
        <w:gridCol w:w="28"/>
        <w:gridCol w:w="1052"/>
        <w:gridCol w:w="28"/>
        <w:gridCol w:w="2292"/>
        <w:gridCol w:w="28"/>
      </w:tblGrid>
      <w:tr>
        <w:tblPrEx>
          <w:tblCellMar>
            <w:top w:w="0" w:type="dxa"/>
            <w:left w:w="108" w:type="dxa"/>
            <w:bottom w:w="0" w:type="dxa"/>
            <w:right w:w="108" w:type="dxa"/>
          </w:tblCellMar>
        </w:tblPrEx>
        <w:trPr>
          <w:gridAfter w:val="1"/>
          <w:wAfter w:w="28" w:type="dxa"/>
          <w:trHeight w:val="270" w:hRule="atLeast"/>
          <w:jc w:val="center"/>
        </w:trPr>
        <w:tc>
          <w:tcPr>
            <w:tcW w:w="444" w:type="dxa"/>
            <w:gridSpan w:val="2"/>
            <w:tcBorders>
              <w:top w:val="nil"/>
              <w:left w:val="nil"/>
              <w:bottom w:val="nil"/>
              <w:right w:val="nil"/>
            </w:tcBorders>
            <w:shd w:val="clear" w:color="000000" w:fill="FFFFFF"/>
            <w:noWrap/>
            <w:vAlign w:val="bottom"/>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w:t>
            </w:r>
          </w:p>
        </w:tc>
        <w:tc>
          <w:tcPr>
            <w:tcW w:w="444" w:type="dxa"/>
            <w:gridSpan w:val="2"/>
            <w:tcBorders>
              <w:top w:val="nil"/>
              <w:left w:val="nil"/>
              <w:bottom w:val="nil"/>
              <w:right w:val="nil"/>
            </w:tcBorders>
            <w:shd w:val="clear" w:color="000000" w:fill="FFFFFF"/>
            <w:noWrap/>
            <w:vAlign w:val="bottom"/>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w:t>
            </w:r>
          </w:p>
        </w:tc>
        <w:tc>
          <w:tcPr>
            <w:tcW w:w="444" w:type="dxa"/>
            <w:gridSpan w:val="3"/>
            <w:tcBorders>
              <w:top w:val="nil"/>
              <w:left w:val="nil"/>
              <w:bottom w:val="nil"/>
              <w:right w:val="nil"/>
            </w:tcBorders>
            <w:shd w:val="clear" w:color="000000" w:fill="FFFFFF"/>
            <w:noWrap/>
            <w:vAlign w:val="bottom"/>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w:t>
            </w:r>
          </w:p>
        </w:tc>
        <w:tc>
          <w:tcPr>
            <w:tcW w:w="336"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p>
        </w:tc>
        <w:tc>
          <w:tcPr>
            <w:tcW w:w="696" w:type="dxa"/>
            <w:gridSpan w:val="3"/>
            <w:tcBorders>
              <w:top w:val="nil"/>
              <w:left w:val="nil"/>
              <w:bottom w:val="nil"/>
              <w:right w:val="nil"/>
            </w:tcBorders>
            <w:shd w:val="clear" w:color="000000" w:fill="FFFFFF"/>
            <w:noWrap/>
            <w:vAlign w:val="bottom"/>
          </w:tcPr>
          <w:p>
            <w:pPr>
              <w:widowControl/>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2015</w:t>
            </w:r>
          </w:p>
        </w:tc>
        <w:tc>
          <w:tcPr>
            <w:tcW w:w="336"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p>
        </w:tc>
        <w:tc>
          <w:tcPr>
            <w:tcW w:w="456" w:type="dxa"/>
            <w:gridSpan w:val="3"/>
            <w:tcBorders>
              <w:top w:val="nil"/>
              <w:left w:val="nil"/>
              <w:bottom w:val="nil"/>
              <w:right w:val="nil"/>
            </w:tcBorders>
            <w:shd w:val="clear" w:color="000000" w:fill="FFFFFF"/>
            <w:noWrap/>
            <w:vAlign w:val="bottom"/>
          </w:tcPr>
          <w:p>
            <w:pPr>
              <w:widowControl/>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c>
          <w:tcPr>
            <w:tcW w:w="1080"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p>
        </w:tc>
        <w:tc>
          <w:tcPr>
            <w:tcW w:w="2320"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tblPrEx>
          <w:tblCellMar>
            <w:top w:w="0" w:type="dxa"/>
            <w:left w:w="108" w:type="dxa"/>
            <w:bottom w:w="0" w:type="dxa"/>
            <w:right w:w="108" w:type="dxa"/>
          </w:tblCellMar>
        </w:tblPrEx>
        <w:trPr>
          <w:trHeight w:val="270" w:hRule="atLeast"/>
          <w:jc w:val="center"/>
        </w:trPr>
        <w:tc>
          <w:tcPr>
            <w:tcW w:w="222"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2"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2"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6" w:type="dxa"/>
            <w:gridSpan w:val="2"/>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6"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2" w:type="dxa"/>
            <w:gridSpan w:val="2"/>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36" w:type="dxa"/>
            <w:gridSpan w:val="2"/>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48"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48" w:type="dxa"/>
            <w:gridSpan w:val="2"/>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36" w:type="dxa"/>
            <w:gridSpan w:val="2"/>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8"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8" w:type="dxa"/>
            <w:gridSpan w:val="2"/>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080" w:type="dxa"/>
            <w:gridSpan w:val="2"/>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20"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深圳</w:t>
            </w:r>
          </w:p>
        </w:tc>
      </w:tr>
      <w:tr>
        <w:tblPrEx>
          <w:tblCellMar>
            <w:top w:w="0" w:type="dxa"/>
            <w:left w:w="108" w:type="dxa"/>
            <w:bottom w:w="0" w:type="dxa"/>
            <w:right w:w="108" w:type="dxa"/>
          </w:tblCellMar>
        </w:tblPrEx>
        <w:trPr>
          <w:trHeight w:val="270" w:hRule="atLeast"/>
          <w:jc w:val="center"/>
        </w:trPr>
        <w:tc>
          <w:tcPr>
            <w:tcW w:w="222"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2"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2"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6" w:type="dxa"/>
            <w:gridSpan w:val="2"/>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6"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2" w:type="dxa"/>
            <w:gridSpan w:val="2"/>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36" w:type="dxa"/>
            <w:gridSpan w:val="2"/>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48"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48" w:type="dxa"/>
            <w:gridSpan w:val="2"/>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36" w:type="dxa"/>
            <w:gridSpan w:val="2"/>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8"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8" w:type="dxa"/>
            <w:gridSpan w:val="2"/>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080" w:type="dxa"/>
            <w:gridSpan w:val="2"/>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20"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范本</w:t>
            </w:r>
          </w:p>
        </w:tc>
      </w:tr>
      <w:tr>
        <w:tblPrEx>
          <w:tblCellMar>
            <w:top w:w="0" w:type="dxa"/>
            <w:left w:w="108" w:type="dxa"/>
            <w:bottom w:w="0" w:type="dxa"/>
            <w:right w:w="108" w:type="dxa"/>
          </w:tblCellMar>
        </w:tblPrEx>
        <w:trPr>
          <w:trHeight w:val="270" w:hRule="atLeast"/>
          <w:jc w:val="center"/>
        </w:trPr>
        <w:tc>
          <w:tcPr>
            <w:tcW w:w="222"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2"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2"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6"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6"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2" w:type="dxa"/>
            <w:gridSpan w:val="2"/>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36" w:type="dxa"/>
            <w:gridSpan w:val="2"/>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48"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48" w:type="dxa"/>
            <w:gridSpan w:val="2"/>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36" w:type="dxa"/>
            <w:gridSpan w:val="2"/>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8"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8" w:type="dxa"/>
            <w:gridSpan w:val="2"/>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080" w:type="dxa"/>
            <w:gridSpan w:val="2"/>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20" w:type="dxa"/>
            <w:gridSpan w:val="2"/>
            <w:tcBorders>
              <w:top w:val="nil"/>
              <w:left w:val="nil"/>
              <w:bottom w:val="nil"/>
              <w:right w:val="nil"/>
            </w:tcBorders>
            <w:shd w:val="clear" w:color="000000" w:fill="FFFFFF"/>
            <w:noWrap/>
            <w:vAlign w:val="bottom"/>
          </w:tcPr>
          <w:p>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招标工程单价合同</w:t>
            </w:r>
          </w:p>
        </w:tc>
      </w:tr>
      <w:tr>
        <w:tblPrEx>
          <w:tblCellMar>
            <w:top w:w="0" w:type="dxa"/>
            <w:left w:w="108" w:type="dxa"/>
            <w:bottom w:w="0" w:type="dxa"/>
            <w:right w:w="108" w:type="dxa"/>
          </w:tblCellMar>
        </w:tblPrEx>
        <w:trPr>
          <w:trHeight w:val="270" w:hRule="atLeast"/>
          <w:jc w:val="center"/>
        </w:trPr>
        <w:tc>
          <w:tcPr>
            <w:tcW w:w="222"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2"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2"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6"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6"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2"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36"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48"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48" w:type="dxa"/>
            <w:gridSpan w:val="2"/>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36" w:type="dxa"/>
            <w:gridSpan w:val="2"/>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8"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8" w:type="dxa"/>
            <w:gridSpan w:val="2"/>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080" w:type="dxa"/>
            <w:gridSpan w:val="2"/>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20"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2015版</w:t>
            </w:r>
          </w:p>
        </w:tc>
      </w:tr>
      <w:tr>
        <w:tblPrEx>
          <w:tblCellMar>
            <w:top w:w="0" w:type="dxa"/>
            <w:left w:w="108" w:type="dxa"/>
            <w:bottom w:w="0" w:type="dxa"/>
            <w:right w:w="108" w:type="dxa"/>
          </w:tblCellMar>
        </w:tblPrEx>
        <w:trPr>
          <w:trHeight w:val="270" w:hRule="atLeast"/>
          <w:jc w:val="center"/>
        </w:trPr>
        <w:tc>
          <w:tcPr>
            <w:tcW w:w="222"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2"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2"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6"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6"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2"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36"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48"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48"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36" w:type="dxa"/>
            <w:gridSpan w:val="2"/>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8" w:type="dxa"/>
            <w:tcBorders>
              <w:top w:val="nil"/>
              <w:left w:val="nil"/>
              <w:bottom w:val="nil"/>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28" w:type="dxa"/>
            <w:gridSpan w:val="2"/>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080" w:type="dxa"/>
            <w:gridSpan w:val="2"/>
            <w:tcBorders>
              <w:top w:val="nil"/>
              <w:left w:val="nil"/>
              <w:bottom w:val="single" w:color="auto" w:sz="4" w:space="0"/>
              <w:right w:val="nil"/>
            </w:tcBorders>
            <w:shd w:val="clear" w:color="000000" w:fill="FFFFFF"/>
            <w:noWrap/>
            <w:vAlign w:val="bottom"/>
          </w:tcPr>
          <w:p>
            <w:pPr>
              <w:widowControl/>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320" w:type="dxa"/>
            <w:gridSpan w:val="2"/>
            <w:tcBorders>
              <w:top w:val="nil"/>
              <w:left w:val="nil"/>
              <w:bottom w:val="nil"/>
              <w:right w:val="nil"/>
            </w:tcBorders>
            <w:shd w:val="clear" w:color="000000" w:fill="FFFFFF"/>
            <w:noWrap/>
            <w:vAlign w:val="bottom"/>
          </w:tcPr>
          <w:p>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第七次修订</w:t>
            </w:r>
          </w:p>
        </w:tc>
      </w:tr>
    </w:tbl>
    <w:p>
      <w:pPr>
        <w:spacing w:line="360" w:lineRule="auto"/>
        <w:ind w:firstLine="560"/>
        <w:rPr>
          <w:rFonts w:hint="eastAsia" w:ascii="Times New Roman" w:hAnsi="Times New Roman" w:eastAsia="黑体" w:cs="Times New Roman"/>
          <w:color w:val="auto"/>
          <w:sz w:val="28"/>
          <w:szCs w:val="28"/>
          <w:highlight w:val="none"/>
        </w:rPr>
      </w:pPr>
    </w:p>
    <w:p>
      <w:pPr>
        <w:snapToGrid w:val="0"/>
        <w:ind w:firstLine="2520" w:firstLineChars="1200"/>
        <w:rPr>
          <w:rFonts w:ascii="Times New Roman" w:hAnsi="Times New Roman" w:eastAsia="黑体" w:cs="Times New Roman"/>
          <w:color w:val="auto"/>
          <w:sz w:val="28"/>
          <w:szCs w:val="28"/>
          <w:highlight w:val="none"/>
        </w:rPr>
      </w:pPr>
      <w:r>
        <w:rPr>
          <w:rFonts w:ascii="Times New Roman" w:hAnsi="Times New Roman" w:eastAsia="宋体" w:cs="Times New Roman"/>
          <w:color w:val="auto"/>
          <w:szCs w:val="24"/>
          <w:highlight w:val="none"/>
        </w:rPr>
        <w:t xml:space="preserve"> </w:t>
      </w:r>
    </w:p>
    <w:p>
      <w:pPr>
        <w:spacing w:line="360" w:lineRule="auto"/>
        <w:ind w:firstLine="560"/>
        <w:rPr>
          <w:rFonts w:hint="eastAsia" w:ascii="黑体" w:hAnsi="宋体" w:eastAsia="黑体" w:cs="Times New Roman"/>
          <w:color w:val="auto"/>
          <w:sz w:val="28"/>
          <w:szCs w:val="28"/>
          <w:highlight w:val="none"/>
        </w:rPr>
      </w:pPr>
    </w:p>
    <w:p>
      <w:pPr>
        <w:spacing w:line="360" w:lineRule="auto"/>
        <w:ind w:firstLine="560"/>
        <w:rPr>
          <w:rFonts w:hint="eastAsia" w:ascii="黑体" w:hAnsi="宋体" w:eastAsia="黑体" w:cs="Times New Roman"/>
          <w:color w:val="auto"/>
          <w:sz w:val="28"/>
          <w:szCs w:val="28"/>
          <w:highlight w:val="none"/>
        </w:rPr>
      </w:pPr>
    </w:p>
    <w:p>
      <w:pPr>
        <w:spacing w:line="360" w:lineRule="auto"/>
        <w:ind w:firstLine="560"/>
        <w:rPr>
          <w:rFonts w:hint="eastAsia" w:ascii="黑体" w:hAnsi="宋体" w:eastAsia="黑体" w:cs="Times New Roman"/>
          <w:color w:val="auto"/>
          <w:sz w:val="28"/>
          <w:szCs w:val="28"/>
          <w:highlight w:val="none"/>
        </w:rPr>
      </w:pPr>
    </w:p>
    <w:p>
      <w:pPr>
        <w:spacing w:line="360" w:lineRule="auto"/>
        <w:ind w:firstLine="560"/>
        <w:rPr>
          <w:rFonts w:hint="eastAsia" w:ascii="黑体" w:hAnsi="宋体" w:eastAsia="黑体"/>
          <w:color w:val="auto"/>
          <w:sz w:val="28"/>
          <w:szCs w:val="28"/>
          <w:highlight w:val="none"/>
          <w:lang w:eastAsia="zh-CN"/>
        </w:rPr>
        <w:sectPr>
          <w:headerReference r:id="rId6" w:type="default"/>
          <w:footerReference r:id="rId7" w:type="default"/>
          <w:footerReference r:id="rId8" w:type="even"/>
          <w:pgSz w:w="11906" w:h="16838"/>
          <w:pgMar w:top="1440" w:right="1800" w:bottom="1440" w:left="1800" w:header="851" w:footer="992" w:gutter="0"/>
          <w:pgNumType w:fmt="decimal"/>
          <w:cols w:space="720" w:num="1"/>
          <w:docGrid w:type="lines" w:linePitch="312" w:charSpace="0"/>
        </w:sectPr>
      </w:pPr>
    </w:p>
    <w:p>
      <w:pPr>
        <w:keepNext w:val="0"/>
        <w:keepLines w:val="0"/>
        <w:widowControl/>
        <w:numPr>
          <w:ilvl w:val="-1"/>
          <w:numId w:val="0"/>
        </w:numPr>
        <w:adjustRightInd w:val="0"/>
        <w:snapToGrid w:val="0"/>
        <w:spacing w:before="0" w:after="0" w:line="360" w:lineRule="auto"/>
        <w:jc w:val="center"/>
        <w:outlineLvl w:val="0"/>
        <w:rPr>
          <w:rFonts w:hint="eastAsia" w:ascii="黑体" w:hAnsi="黑体" w:eastAsia="黑体" w:cs="黑体"/>
          <w:b/>
          <w:bCs w:val="0"/>
          <w:snapToGrid/>
          <w:color w:val="auto"/>
          <w:kern w:val="2"/>
          <w:sz w:val="32"/>
          <w:szCs w:val="32"/>
          <w:highlight w:val="none"/>
          <w:lang w:val="en-US" w:eastAsia="zh-CN" w:bidi="ar-SA"/>
        </w:rPr>
      </w:pPr>
      <w:bookmarkStart w:id="110" w:name="_Toc24432"/>
      <w:bookmarkStart w:id="111" w:name="_Toc4505"/>
      <w:bookmarkStart w:id="112" w:name="_Toc21582"/>
      <w:bookmarkStart w:id="113" w:name="_Toc9281"/>
      <w:bookmarkStart w:id="114" w:name="_Toc302635677"/>
      <w:bookmarkStart w:id="115" w:name="_Toc8567"/>
      <w:bookmarkStart w:id="116" w:name="_Toc5461"/>
      <w:bookmarkStart w:id="117" w:name="_Toc11999"/>
      <w:bookmarkStart w:id="118" w:name="_Toc27002"/>
      <w:bookmarkStart w:id="119" w:name="_Toc9127"/>
      <w:r>
        <w:rPr>
          <w:rFonts w:hint="eastAsia" w:ascii="黑体" w:hAnsi="黑体" w:eastAsia="黑体" w:cs="黑体"/>
          <w:b/>
          <w:bCs w:val="0"/>
          <w:snapToGrid/>
          <w:color w:val="auto"/>
          <w:kern w:val="2"/>
          <w:sz w:val="32"/>
          <w:szCs w:val="32"/>
          <w:highlight w:val="none"/>
          <w:lang w:val="en-US" w:eastAsia="zh-CN" w:bidi="ar-SA"/>
        </w:rPr>
        <w:t>第一部分 协议书</w:t>
      </w:r>
      <w:bookmarkEnd w:id="110"/>
      <w:bookmarkEnd w:id="111"/>
      <w:bookmarkEnd w:id="112"/>
      <w:bookmarkEnd w:id="113"/>
      <w:bookmarkEnd w:id="114"/>
      <w:bookmarkEnd w:id="115"/>
      <w:bookmarkEnd w:id="116"/>
      <w:bookmarkEnd w:id="117"/>
      <w:bookmarkEnd w:id="118"/>
      <w:bookmarkEnd w:id="119"/>
    </w:p>
    <w:p>
      <w:pPr>
        <w:spacing w:line="360" w:lineRule="auto"/>
        <w:ind w:firstLine="519"/>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发包人</w:t>
      </w:r>
      <w:r>
        <w:rPr>
          <w:rFonts w:hint="eastAsia" w:ascii="宋体" w:hAnsi="宋体" w:eastAsia="宋体" w:cs="Times New Roman"/>
          <w:bCs/>
          <w:color w:val="auto"/>
          <w:sz w:val="24"/>
          <w:szCs w:val="24"/>
          <w:highlight w:val="none"/>
        </w:rPr>
        <w:t>(全称)：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519"/>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承包人</w:t>
      </w:r>
      <w:r>
        <w:rPr>
          <w:rFonts w:hint="eastAsia" w:ascii="宋体" w:hAnsi="宋体" w:eastAsia="宋体" w:cs="Times New Roman"/>
          <w:bCs/>
          <w:color w:val="auto"/>
          <w:sz w:val="24"/>
          <w:szCs w:val="24"/>
          <w:highlight w:val="none"/>
        </w:rPr>
        <w:t>(全称)</w:t>
      </w:r>
      <w:r>
        <w:rPr>
          <w:rFonts w:hint="eastAsia" w:ascii="宋体" w:hAnsi="宋体" w:eastAsia="宋体" w:cs="Times New Roman"/>
          <w:b/>
          <w:bCs/>
          <w:color w:val="auto"/>
          <w:sz w:val="24"/>
          <w:szCs w:val="24"/>
          <w:highlight w:val="none"/>
        </w:rPr>
        <w:t>：</w:t>
      </w:r>
      <w:r>
        <w:rPr>
          <w:rFonts w:hint="eastAsia" w:ascii="宋体" w:hAnsi="宋体" w:eastAsia="宋体" w:cs="Times New Roman"/>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根据《中华人民共和国民法典》、《中华人民共和国建筑法》、《</w:t>
      </w:r>
      <w:r>
        <w:rPr>
          <w:rFonts w:ascii="宋体" w:hAnsi="宋体" w:eastAsia="宋体" w:cs="Times New Roman"/>
          <w:color w:val="auto"/>
          <w:sz w:val="24"/>
          <w:szCs w:val="24"/>
          <w:highlight w:val="none"/>
        </w:rPr>
        <w:t>深圳经济特区建设工程施工招标投标条例</w:t>
      </w:r>
      <w:r>
        <w:rPr>
          <w:rFonts w:hint="eastAsia" w:ascii="宋体" w:hAnsi="宋体" w:eastAsia="宋体" w:cs="Times New Roman"/>
          <w:color w:val="auto"/>
          <w:sz w:val="24"/>
          <w:szCs w:val="24"/>
          <w:highlight w:val="none"/>
        </w:rPr>
        <w:t>》及其他有关法律、法规，遵循平等、自愿、公平和诚实信用的原则，发包人和承包人就本工程施工事项协商一致，订立本合同，达成协议如下：</w:t>
      </w:r>
    </w:p>
    <w:p>
      <w:pPr>
        <w:keepNext w:val="0"/>
        <w:keepLines w:val="0"/>
        <w:widowControl/>
        <w:numPr>
          <w:ilvl w:val="0"/>
          <w:numId w:val="0"/>
        </w:numPr>
        <w:spacing w:before="0" w:after="0"/>
        <w:jc w:val="left"/>
        <w:outlineLvl w:val="0"/>
        <w:rPr>
          <w:rFonts w:ascii="宋体" w:hAnsi="宋体" w:eastAsia="宋体" w:cs="Times New Roman"/>
          <w:b/>
          <w:bCs/>
          <w:snapToGrid w:val="0"/>
          <w:color w:val="auto"/>
          <w:kern w:val="0"/>
          <w:sz w:val="30"/>
          <w:szCs w:val="44"/>
          <w:highlight w:val="none"/>
          <w:lang w:val="en-US" w:eastAsia="zh-CN" w:bidi="ar-SA"/>
        </w:rPr>
      </w:pPr>
      <w:bookmarkStart w:id="120" w:name="_Toc13316"/>
      <w:bookmarkStart w:id="121" w:name="_Toc302635678"/>
      <w:bookmarkStart w:id="122" w:name="_Toc16659"/>
      <w:bookmarkStart w:id="123" w:name="_Toc28227"/>
      <w:bookmarkStart w:id="124" w:name="_Toc19619"/>
      <w:bookmarkStart w:id="125" w:name="_Toc3339"/>
      <w:bookmarkStart w:id="126" w:name="_Toc27383"/>
      <w:bookmarkStart w:id="127" w:name="_Toc19976"/>
      <w:bookmarkStart w:id="128" w:name="_Toc24698"/>
      <w:bookmarkStart w:id="129" w:name="_Toc6207"/>
      <w:r>
        <w:rPr>
          <w:rFonts w:hint="eastAsia" w:ascii="宋体" w:hAnsi="宋体" w:eastAsia="宋体" w:cs="Times New Roman"/>
          <w:b/>
          <w:bCs/>
          <w:snapToGrid w:val="0"/>
          <w:color w:val="auto"/>
          <w:kern w:val="0"/>
          <w:sz w:val="30"/>
          <w:szCs w:val="44"/>
          <w:highlight w:val="none"/>
          <w:lang w:val="en-US" w:eastAsia="zh-CN" w:bidi="ar-SA"/>
        </w:rPr>
        <w:t>一、工程概况</w:t>
      </w:r>
      <w:bookmarkEnd w:id="120"/>
      <w:bookmarkEnd w:id="121"/>
      <w:bookmarkEnd w:id="122"/>
      <w:bookmarkEnd w:id="123"/>
      <w:bookmarkEnd w:id="124"/>
      <w:bookmarkEnd w:id="125"/>
      <w:bookmarkEnd w:id="126"/>
      <w:bookmarkEnd w:id="127"/>
      <w:bookmarkEnd w:id="128"/>
      <w:bookmarkEnd w:id="129"/>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工程名称：</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工程地点：</w:t>
      </w:r>
      <w:r>
        <w:rPr>
          <w:rFonts w:hint="eastAsia" w:ascii="宋体" w:hAnsi="宋体" w:eastAsia="宋体" w:cs="Times New Roman"/>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核准（备案）证编号</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工程规模及特征：</w:t>
      </w:r>
      <w:r>
        <w:rPr>
          <w:rFonts w:hint="eastAsia" w:ascii="宋体" w:hAnsi="宋体" w:eastAsia="宋体" w:cs="Times New Roman"/>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资金来源：财政投入</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%；国有资本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%；集体资本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%；民营资本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%；外商投资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%；混合经济</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其他</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keepNext w:val="0"/>
        <w:keepLines w:val="0"/>
        <w:widowControl/>
        <w:numPr>
          <w:ilvl w:val="0"/>
          <w:numId w:val="0"/>
        </w:numPr>
        <w:spacing w:before="0" w:after="0"/>
        <w:jc w:val="left"/>
        <w:outlineLvl w:val="0"/>
        <w:rPr>
          <w:rFonts w:ascii="宋体" w:hAnsi="宋体" w:eastAsia="宋体" w:cs="Times New Roman"/>
          <w:b/>
          <w:bCs/>
          <w:snapToGrid w:val="0"/>
          <w:color w:val="auto"/>
          <w:kern w:val="0"/>
          <w:sz w:val="30"/>
          <w:szCs w:val="44"/>
          <w:highlight w:val="none"/>
          <w:lang w:val="en-US" w:eastAsia="zh-CN" w:bidi="ar-SA"/>
        </w:rPr>
      </w:pPr>
      <w:bookmarkStart w:id="130" w:name="_Toc19789"/>
      <w:bookmarkStart w:id="131" w:name="_Toc14417"/>
      <w:bookmarkStart w:id="132" w:name="_Toc31258"/>
      <w:bookmarkStart w:id="133" w:name="_Toc15817"/>
      <w:bookmarkStart w:id="134" w:name="_Toc8530"/>
      <w:bookmarkStart w:id="135" w:name="_Toc18525"/>
      <w:bookmarkStart w:id="136" w:name="_Toc2580"/>
      <w:bookmarkStart w:id="137" w:name="_Toc1096"/>
      <w:bookmarkStart w:id="138" w:name="_Toc2310"/>
      <w:bookmarkStart w:id="139" w:name="_Toc302635679"/>
      <w:r>
        <w:rPr>
          <w:rFonts w:hint="eastAsia" w:ascii="宋体" w:hAnsi="宋体" w:eastAsia="宋体" w:cs="Times New Roman"/>
          <w:b/>
          <w:bCs/>
          <w:snapToGrid w:val="0"/>
          <w:color w:val="auto"/>
          <w:kern w:val="0"/>
          <w:sz w:val="30"/>
          <w:szCs w:val="44"/>
          <w:highlight w:val="none"/>
          <w:lang w:val="en-US" w:eastAsia="zh-CN" w:bidi="ar-SA"/>
        </w:rPr>
        <w:t>二、工程承包范围</w:t>
      </w:r>
      <w:bookmarkEnd w:id="130"/>
      <w:bookmarkEnd w:id="131"/>
      <w:bookmarkEnd w:id="132"/>
      <w:bookmarkEnd w:id="133"/>
      <w:bookmarkEnd w:id="134"/>
      <w:bookmarkEnd w:id="135"/>
      <w:bookmarkEnd w:id="136"/>
      <w:bookmarkEnd w:id="137"/>
      <w:bookmarkEnd w:id="138"/>
      <w:bookmarkEnd w:id="139"/>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1.市政公用及配套专业工程、其他工程：</w:t>
      </w:r>
      <w:r>
        <w:rPr>
          <w:rFonts w:hint="eastAsia" w:ascii="宋体" w:hAnsi="宋体" w:eastAsia="宋体" w:cs="Times New Roman"/>
          <w:color w:val="auto"/>
          <w:szCs w:val="21"/>
          <w:highlight w:val="none"/>
        </w:rPr>
        <w:t>(在□内打√，并填写相应的工程量)</w:t>
      </w:r>
    </w:p>
    <w:tbl>
      <w:tblPr>
        <w:tblStyle w:val="4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3"/>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 七通一平工程             万平方米</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tabs>
                <w:tab w:val="left" w:pos="600"/>
              </w:tabs>
              <w:rPr>
                <w:rFonts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□电信管道工程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hAnsi="Times New Roman" w:eastAsia="宋体" w:cs="Times New Roman"/>
                <w:color w:val="auto"/>
                <w:sz w:val="22"/>
                <w:szCs w:val="24"/>
                <w:highlight w:val="none"/>
              </w:rPr>
            </w:pPr>
            <w:r>
              <w:rPr>
                <w:rFonts w:hint="eastAsia" w:ascii="楷体_GB2312" w:hAnsi="Times New Roman" w:eastAsia="楷体_GB2312" w:cs="Times New Roman"/>
                <w:bCs/>
                <w:color w:val="auto"/>
                <w:sz w:val="22"/>
                <w:szCs w:val="24"/>
                <w:highlight w:val="none"/>
              </w:rPr>
              <w:t>□挡墙护坡工程 长： 米； 宽： 米；高： 米</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tabs>
                <w:tab w:val="left" w:pos="600"/>
              </w:tabs>
              <w:rPr>
                <w:rFonts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 xml:space="preserve">□电力管道工程          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hAnsi="Times New Roman" w:eastAsia="宋体" w:cs="Times New Roman"/>
                <w:color w:val="auto"/>
                <w:sz w:val="22"/>
                <w:szCs w:val="24"/>
                <w:highlight w:val="none"/>
              </w:rPr>
            </w:pPr>
            <w:r>
              <w:rPr>
                <w:rFonts w:hint="eastAsia" w:ascii="楷体_GB2312" w:hAnsi="Times New Roman" w:eastAsia="楷体_GB2312" w:cs="Times New Roman"/>
                <w:bCs/>
                <w:color w:val="auto"/>
                <w:sz w:val="22"/>
                <w:szCs w:val="24"/>
                <w:highlight w:val="none"/>
              </w:rPr>
              <w:t>□ 软基处理工程            万平方米</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tabs>
                <w:tab w:val="left" w:pos="600"/>
              </w:tabs>
              <w:rPr>
                <w:rFonts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□污水处理厂及配套工程     立方米/d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□水厂及配套工程              立方米/d</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tabs>
                <w:tab w:val="left" w:pos="600"/>
              </w:tabs>
              <w:rPr>
                <w:rFonts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□污泥处理厂及配套工程     立方米/d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□给水管道工程            米</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tabs>
                <w:tab w:val="left" w:pos="600"/>
              </w:tabs>
              <w:rPr>
                <w:rFonts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□泵站工程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□道路工程   长：  米 宽：  米</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tabs>
                <w:tab w:val="left" w:pos="600"/>
              </w:tabs>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□隧道工程  长：  米 宽：  米 高：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□桥梁工程           座</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tabs>
                <w:tab w:val="left" w:pos="600"/>
              </w:tabs>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□道路改造工程  长：  米   宽：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□排水箱涵工程  长：  米 宽：  米 高：  米</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tabs>
                <w:tab w:val="left" w:pos="600"/>
              </w:tabs>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 xml:space="preserve">□路灯照明工程           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□交通监控、收费综合系统工程</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tabs>
                <w:tab w:val="left" w:pos="600"/>
              </w:tabs>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□绿化工程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□交通安全设施工程          米</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tabs>
                <w:tab w:val="left" w:pos="600"/>
              </w:tabs>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□燃气工程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84"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□其它:</w:t>
            </w:r>
          </w:p>
        </w:tc>
      </w:tr>
    </w:tbl>
    <w:p>
      <w:pPr>
        <w:spacing w:line="360" w:lineRule="auto"/>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2.房屋建筑及配套专业工程：</w:t>
      </w:r>
      <w:r>
        <w:rPr>
          <w:rFonts w:hint="eastAsia" w:ascii="宋体" w:hAnsi="宋体" w:eastAsia="宋体" w:cs="Times New Roman"/>
          <w:color w:val="auto"/>
          <w:szCs w:val="21"/>
          <w:highlight w:val="none"/>
        </w:rPr>
        <w:t>(在□内打√，并填写相应的工程量)</w:t>
      </w:r>
    </w:p>
    <w:tbl>
      <w:tblPr>
        <w:tblStyle w:val="40"/>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10"/>
        <w:gridCol w:w="2532"/>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843"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□地基与基础工程  （□基础  □ 基坑支护  □边坡  □土石方  □其它</w:t>
            </w:r>
            <w:r>
              <w:rPr>
                <w:rFonts w:hint="eastAsia" w:ascii="楷体_GB2312" w:hAnsi="Times New Roman" w:eastAsia="楷体_GB2312" w:cs="Times New Roman"/>
                <w:color w:val="auto"/>
                <w:sz w:val="22"/>
                <w:szCs w:val="24"/>
                <w:highlight w:val="none"/>
                <w:u w:val="single"/>
              </w:rPr>
              <w:t xml:space="preserve">         </w:t>
            </w:r>
            <w:r>
              <w:rPr>
                <w:rFonts w:hint="eastAsia" w:ascii="楷体_GB2312" w:hAnsi="Times New Roman" w:eastAsia="楷体_GB2312" w:cs="Times New Roman"/>
                <w:bCs/>
                <w:color w:val="auto"/>
                <w:sz w:val="22"/>
                <w:szCs w:val="24"/>
                <w:highlight w:val="non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843"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□主体结构工程    （□钢筋混凝土 □钢结构 □</w:t>
            </w:r>
            <w:r>
              <w:rPr>
                <w:rFonts w:hint="eastAsia" w:ascii="楷体_GB2312" w:hAnsi="Times New Roman" w:eastAsia="楷体_GB2312" w:cs="Times New Roman"/>
                <w:bCs/>
                <w:color w:val="auto"/>
                <w:spacing w:val="-20"/>
                <w:sz w:val="22"/>
                <w:szCs w:val="24"/>
                <w:highlight w:val="none"/>
              </w:rPr>
              <w:t xml:space="preserve">网架  </w:t>
            </w:r>
            <w:r>
              <w:rPr>
                <w:rFonts w:hint="eastAsia" w:ascii="楷体_GB2312" w:hAnsi="Times New Roman" w:eastAsia="楷体_GB2312" w:cs="Times New Roman"/>
                <w:bCs/>
                <w:color w:val="auto"/>
                <w:sz w:val="22"/>
                <w:szCs w:val="24"/>
                <w:highlight w:val="none"/>
              </w:rPr>
              <w:t xml:space="preserve">□索膜结构 □其它 </w:t>
            </w:r>
            <w:r>
              <w:rPr>
                <w:rFonts w:hint="eastAsia" w:ascii="楷体_GB2312" w:hAnsi="Times New Roman" w:eastAsia="楷体_GB2312" w:cs="Times New Roman"/>
                <w:color w:val="auto"/>
                <w:sz w:val="22"/>
                <w:szCs w:val="24"/>
                <w:highlight w:val="none"/>
                <w:u w:val="single"/>
              </w:rPr>
              <w:t xml:space="preserve">     </w:t>
            </w:r>
            <w:r>
              <w:rPr>
                <w:rFonts w:hint="eastAsia" w:ascii="楷体_GB2312" w:hAnsi="Times New Roman" w:eastAsia="楷体_GB2312" w:cs="Times New Roman"/>
                <w:bCs/>
                <w:color w:val="auto"/>
                <w:sz w:val="22"/>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843"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□装饰装修工程     （□金属门窗   □幕墙：   平方米  □其它</w:t>
            </w:r>
            <w:r>
              <w:rPr>
                <w:rFonts w:hint="eastAsia" w:ascii="楷体_GB2312" w:hAnsi="Times New Roman" w:eastAsia="楷体_GB2312" w:cs="Times New Roman"/>
                <w:color w:val="auto"/>
                <w:sz w:val="22"/>
                <w:szCs w:val="24"/>
                <w:highlight w:val="none"/>
                <w:u w:val="single"/>
              </w:rPr>
              <w:t xml:space="preserve">         </w:t>
            </w:r>
            <w:r>
              <w:rPr>
                <w:rFonts w:hint="eastAsia" w:ascii="楷体_GB2312" w:hAnsi="Times New Roman" w:eastAsia="楷体_GB2312" w:cs="Times New Roman"/>
                <w:bCs/>
                <w:color w:val="auto"/>
                <w:sz w:val="22"/>
                <w:szCs w:val="24"/>
                <w:highlight w:val="non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843"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 xml:space="preserve">□通风与空调       (□通风  □空调       </w:t>
            </w:r>
            <w:r>
              <w:rPr>
                <w:rFonts w:hint="eastAsia" w:ascii="楷体_GB2312" w:hAnsi="Times New Roman" w:eastAsia="楷体_GB2312" w:cs="Times New Roman"/>
                <w:bCs/>
                <w:color w:val="auto"/>
                <w:sz w:val="22"/>
                <w:szCs w:val="24"/>
                <w:highlight w:val="none"/>
                <w:lang w:eastAsia="zh-CN"/>
              </w:rPr>
              <w:t>□</w:t>
            </w:r>
            <w:r>
              <w:rPr>
                <w:rFonts w:hint="eastAsia" w:ascii="楷体_GB2312" w:hAnsi="Times New Roman" w:eastAsia="楷体_GB2312" w:cs="Times New Roman"/>
                <w:bCs/>
                <w:color w:val="auto"/>
                <w:sz w:val="22"/>
                <w:szCs w:val="24"/>
                <w:highlight w:val="none"/>
              </w:rPr>
              <w:t>其它</w:t>
            </w:r>
            <w:r>
              <w:rPr>
                <w:rFonts w:hint="eastAsia" w:ascii="楷体_GB2312" w:hAnsi="Times New Roman" w:eastAsia="楷体_GB2312" w:cs="Times New Roman"/>
                <w:color w:val="auto"/>
                <w:sz w:val="22"/>
                <w:szCs w:val="24"/>
                <w:highlight w:val="none"/>
                <w:u w:val="single"/>
              </w:rPr>
              <w:t xml:space="preserve">         </w:t>
            </w:r>
            <w:r>
              <w:rPr>
                <w:rFonts w:hint="eastAsia" w:ascii="楷体_GB2312" w:hAnsi="Times New Roman" w:eastAsia="楷体_GB2312" w:cs="Times New Roman"/>
                <w:bCs/>
                <w:color w:val="auto"/>
                <w:sz w:val="22"/>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8843"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w:t>
            </w:r>
            <w:r>
              <w:rPr>
                <w:rFonts w:hint="eastAsia" w:ascii="楷体_GB2312" w:hAnsi="Times New Roman" w:eastAsia="楷体_GB2312" w:cs="Times New Roman"/>
                <w:bCs/>
                <w:color w:val="auto"/>
                <w:spacing w:val="-20"/>
                <w:sz w:val="22"/>
                <w:szCs w:val="24"/>
                <w:highlight w:val="none"/>
              </w:rPr>
              <w:t xml:space="preserve">建筑给水排水及供暖    </w:t>
            </w:r>
            <w:r>
              <w:rPr>
                <w:rFonts w:hint="eastAsia" w:ascii="楷体_GB2312" w:hAnsi="Times New Roman" w:eastAsia="楷体_GB2312" w:cs="Times New Roman"/>
                <w:bCs/>
                <w:color w:val="auto"/>
                <w:sz w:val="22"/>
                <w:szCs w:val="24"/>
                <w:highlight w:val="none"/>
              </w:rPr>
              <w:t>（□室内给、排水系统 □ 室外给、排水系统   □其它</w:t>
            </w:r>
            <w:r>
              <w:rPr>
                <w:rFonts w:hint="eastAsia" w:ascii="楷体_GB2312" w:hAnsi="Times New Roman" w:eastAsia="楷体_GB2312" w:cs="Times New Roman"/>
                <w:color w:val="auto"/>
                <w:sz w:val="22"/>
                <w:szCs w:val="24"/>
                <w:highlight w:val="none"/>
                <w:u w:val="single"/>
              </w:rPr>
              <w:t xml:space="preserve">       </w:t>
            </w:r>
            <w:r>
              <w:rPr>
                <w:rFonts w:hint="eastAsia" w:ascii="楷体_GB2312" w:hAnsi="Times New Roman" w:eastAsia="楷体_GB2312" w:cs="Times New Roman"/>
                <w:bCs/>
                <w:color w:val="auto"/>
                <w:sz w:val="22"/>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843"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color w:val="auto"/>
                <w:sz w:val="22"/>
                <w:szCs w:val="24"/>
                <w:highlight w:val="none"/>
              </w:rPr>
            </w:pPr>
            <w:r>
              <w:rPr>
                <w:rFonts w:hint="eastAsia" w:ascii="楷体_GB2312" w:hAnsi="Times New Roman" w:eastAsia="楷体_GB2312" w:cs="Times New Roman"/>
                <w:bCs/>
                <w:color w:val="auto"/>
                <w:sz w:val="22"/>
                <w:szCs w:val="24"/>
                <w:highlight w:val="none"/>
              </w:rPr>
              <w:t>□建筑电气工程     (□室外电气    □电气照明     □其它</w:t>
            </w:r>
            <w:r>
              <w:rPr>
                <w:rFonts w:hint="eastAsia" w:ascii="楷体_GB2312" w:hAnsi="Times New Roman" w:eastAsia="楷体_GB2312" w:cs="Times New Roman"/>
                <w:color w:val="auto"/>
                <w:sz w:val="22"/>
                <w:szCs w:val="24"/>
                <w:highlight w:val="none"/>
                <w:u w:val="single"/>
              </w:rPr>
              <w:t xml:space="preserve">         </w:t>
            </w:r>
            <w:r>
              <w:rPr>
                <w:rFonts w:hint="eastAsia" w:ascii="楷体_GB2312" w:hAnsi="Times New Roman" w:eastAsia="楷体_GB2312" w:cs="Times New Roman"/>
                <w:bCs/>
                <w:color w:val="auto"/>
                <w:sz w:val="22"/>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□智能建筑</w:t>
            </w:r>
          </w:p>
        </w:tc>
        <w:tc>
          <w:tcPr>
            <w:tcW w:w="629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(□综合布线系统  □信息网络系统     □其它</w:t>
            </w:r>
            <w:r>
              <w:rPr>
                <w:rFonts w:hint="eastAsia" w:ascii="楷体_GB2312" w:hAnsi="Times New Roman" w:eastAsia="楷体_GB2312" w:cs="Times New Roman"/>
                <w:color w:val="auto"/>
                <w:sz w:val="22"/>
                <w:szCs w:val="24"/>
                <w:highlight w:val="none"/>
                <w:u w:val="single"/>
              </w:rPr>
              <w:t xml:space="preserve">         </w:t>
            </w:r>
            <w:r>
              <w:rPr>
                <w:rFonts w:hint="eastAsia" w:ascii="楷体_GB2312" w:hAnsi="Times New Roman" w:eastAsia="楷体_GB2312" w:cs="Times New Roman"/>
                <w:bCs/>
                <w:color w:val="auto"/>
                <w:sz w:val="22"/>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542" w:type="dxa"/>
            <w:tcBorders>
              <w:top w:val="single" w:color="auto" w:sz="4" w:space="0"/>
              <w:left w:val="single" w:color="auto" w:sz="4" w:space="0"/>
              <w:bottom w:val="single" w:color="auto" w:sz="4" w:space="0"/>
              <w:right w:val="single" w:color="auto" w:sz="4" w:space="0"/>
            </w:tcBorders>
            <w:noWrap w:val="0"/>
            <w:vAlign w:val="center"/>
          </w:tcPr>
          <w:p>
            <w:pPr>
              <w:rPr>
                <w:rFonts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□屋面及防水工程</w:t>
            </w:r>
          </w:p>
        </w:tc>
        <w:tc>
          <w:tcPr>
            <w:tcW w:w="2542"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color w:val="auto"/>
                <w:sz w:val="22"/>
                <w:szCs w:val="24"/>
                <w:highlight w:val="none"/>
              </w:rPr>
            </w:pPr>
            <w:r>
              <w:rPr>
                <w:rFonts w:hint="eastAsia" w:ascii="楷体_GB2312" w:hAnsi="Times New Roman" w:eastAsia="楷体_GB2312" w:cs="Times New Roman"/>
                <w:bCs/>
                <w:color w:val="auto"/>
                <w:sz w:val="22"/>
                <w:szCs w:val="24"/>
                <w:highlight w:val="none"/>
              </w:rPr>
              <w:t xml:space="preserve">□建筑节能    </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□消防工程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8843"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 室外工程   （ □室外设施</w:t>
            </w:r>
            <w:r>
              <w:rPr>
                <w:rFonts w:hint="eastAsia" w:ascii="楷体_GB2312" w:hAnsi="Times New Roman" w:eastAsia="楷体_GB2312" w:cs="Times New Roman"/>
                <w:color w:val="auto"/>
                <w:sz w:val="22"/>
                <w:szCs w:val="24"/>
                <w:highlight w:val="none"/>
                <w:u w:val="single"/>
              </w:rPr>
              <w:t xml:space="preserve">                       </w:t>
            </w:r>
            <w:r>
              <w:rPr>
                <w:rFonts w:hint="eastAsia" w:ascii="楷体_GB2312" w:hAnsi="Times New Roman" w:eastAsia="楷体_GB2312" w:cs="Times New Roman"/>
                <w:bCs/>
                <w:color w:val="auto"/>
                <w:sz w:val="22"/>
                <w:szCs w:val="24"/>
                <w:highlight w:val="none"/>
              </w:rPr>
              <w:t xml:space="preserve">  □附属建筑</w:t>
            </w:r>
            <w:r>
              <w:rPr>
                <w:rFonts w:hint="eastAsia" w:ascii="楷体_GB2312" w:hAnsi="Times New Roman" w:eastAsia="楷体_GB2312" w:cs="Times New Roman"/>
                <w:color w:val="auto"/>
                <w:sz w:val="22"/>
                <w:szCs w:val="24"/>
                <w:highlight w:val="none"/>
                <w:u w:val="single"/>
              </w:rPr>
              <w:t xml:space="preserve">                   </w:t>
            </w:r>
          </w:p>
          <w:p>
            <w:pPr>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 xml:space="preserve">                 □室外环境</w:t>
            </w:r>
            <w:r>
              <w:rPr>
                <w:rFonts w:hint="eastAsia" w:ascii="楷体_GB2312" w:hAnsi="Times New Roman" w:eastAsia="楷体_GB2312" w:cs="Times New Roman"/>
                <w:color w:val="auto"/>
                <w:sz w:val="22"/>
                <w:szCs w:val="24"/>
                <w:highlight w:val="none"/>
                <w:u w:val="single"/>
              </w:rPr>
              <w:t xml:space="preserve">                                       ）</w:t>
            </w:r>
            <w:r>
              <w:rPr>
                <w:rFonts w:hint="eastAsia" w:ascii="楷体_GB2312" w:hAnsi="Times New Roman" w:eastAsia="楷体_GB2312" w:cs="Times New Roman"/>
                <w:bCs/>
                <w:color w:val="auto"/>
                <w:sz w:val="22"/>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843"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□燃气工程     （户数：</w:t>
            </w:r>
            <w:r>
              <w:rPr>
                <w:rFonts w:hint="eastAsia" w:ascii="楷体_GB2312" w:hAnsi="Times New Roman" w:eastAsia="楷体_GB2312" w:cs="Times New Roman"/>
                <w:color w:val="auto"/>
                <w:sz w:val="22"/>
                <w:szCs w:val="24"/>
                <w:highlight w:val="none"/>
                <w:u w:val="single"/>
              </w:rPr>
              <w:t xml:space="preserve">       </w:t>
            </w:r>
            <w:r>
              <w:rPr>
                <w:rFonts w:hint="eastAsia" w:ascii="楷体_GB2312" w:hAnsi="Times New Roman" w:eastAsia="楷体_GB2312" w:cs="Times New Roman"/>
                <w:color w:val="auto"/>
                <w:sz w:val="22"/>
                <w:szCs w:val="24"/>
                <w:highlight w:val="none"/>
              </w:rPr>
              <w:t>户；</w:t>
            </w:r>
            <w:r>
              <w:rPr>
                <w:rFonts w:hint="eastAsia" w:ascii="楷体_GB2312" w:hAnsi="Times New Roman" w:eastAsia="楷体_GB2312" w:cs="Times New Roman"/>
                <w:bCs/>
                <w:color w:val="auto"/>
                <w:sz w:val="22"/>
                <w:szCs w:val="24"/>
                <w:highlight w:val="none"/>
              </w:rPr>
              <w:t xml:space="preserve"> 庭院管：</w:t>
            </w:r>
            <w:r>
              <w:rPr>
                <w:rFonts w:hint="eastAsia" w:ascii="楷体_GB2312" w:hAnsi="Times New Roman" w:eastAsia="楷体_GB2312" w:cs="Times New Roman"/>
                <w:color w:val="auto"/>
                <w:sz w:val="22"/>
                <w:szCs w:val="24"/>
                <w:highlight w:val="none"/>
                <w:u w:val="single"/>
              </w:rPr>
              <w:t xml:space="preserve">         </w:t>
            </w:r>
            <w:r>
              <w:rPr>
                <w:rFonts w:hint="eastAsia" w:ascii="楷体_GB2312" w:hAnsi="Times New Roman" w:eastAsia="楷体_GB2312" w:cs="Times New Roman"/>
                <w:bCs/>
                <w:color w:val="auto"/>
                <w:sz w:val="22"/>
                <w:szCs w:val="24"/>
                <w:highlight w:val="none"/>
              </w:rPr>
              <w:t xml:space="preserve"> 米）</w:t>
            </w:r>
          </w:p>
        </w:tc>
      </w:tr>
    </w:tbl>
    <w:p>
      <w:pPr>
        <w:spacing w:line="360" w:lineRule="auto"/>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3.二次装饰装修工程：</w:t>
      </w:r>
      <w:r>
        <w:rPr>
          <w:rFonts w:hint="eastAsia" w:ascii="宋体" w:hAnsi="宋体" w:eastAsia="宋体" w:cs="Times New Roman"/>
          <w:color w:val="auto"/>
          <w:szCs w:val="21"/>
          <w:highlight w:val="none"/>
        </w:rPr>
        <w:t>(在□内打√，并填写相应的工程量)</w:t>
      </w:r>
    </w:p>
    <w:tbl>
      <w:tblPr>
        <w:tblStyle w:val="40"/>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843"/>
        <w:gridCol w:w="2126"/>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6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□消防工程</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□门窗</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□防水工程</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 xml:space="preserve">□电气照明 </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w:t>
            </w:r>
            <w:r>
              <w:rPr>
                <w:rFonts w:hint="eastAsia" w:ascii="楷体_GB2312" w:hAnsi="楷体_GB2312" w:eastAsia="楷体_GB2312" w:cs="楷体_GB2312"/>
                <w:color w:val="auto"/>
                <w:sz w:val="22"/>
                <w:szCs w:val="24"/>
                <w:highlight w:val="none"/>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600"/>
              </w:tabs>
              <w:rPr>
                <w:rFonts w:ascii="Times New Roman" w:hAnsi="Times New Roman" w:eastAsia="宋体" w:cs="Times New Roman"/>
                <w:color w:val="auto"/>
                <w:sz w:val="22"/>
                <w:szCs w:val="24"/>
                <w:highlight w:val="none"/>
              </w:rPr>
            </w:pPr>
            <w:r>
              <w:rPr>
                <w:rFonts w:hint="eastAsia" w:ascii="楷体_GB2312" w:hAnsi="Times New Roman" w:eastAsia="楷体_GB2312" w:cs="Times New Roman"/>
                <w:bCs/>
                <w:color w:val="auto"/>
                <w:sz w:val="22"/>
                <w:szCs w:val="24"/>
                <w:highlight w:val="none"/>
              </w:rPr>
              <w:t>□通风与空调 (□通风  □空调       □其它</w:t>
            </w:r>
            <w:r>
              <w:rPr>
                <w:rFonts w:hint="eastAsia" w:ascii="楷体_GB2312" w:hAnsi="Times New Roman" w:eastAsia="楷体_GB2312" w:cs="Times New Roman"/>
                <w:color w:val="auto"/>
                <w:sz w:val="22"/>
                <w:szCs w:val="24"/>
                <w:highlight w:val="none"/>
                <w:u w:val="single"/>
              </w:rPr>
              <w:t xml:space="preserve">         </w:t>
            </w:r>
            <w:r>
              <w:rPr>
                <w:rFonts w:hint="eastAsia" w:ascii="楷体_GB2312" w:hAnsi="Times New Roman" w:eastAsia="楷体_GB2312" w:cs="Times New Roman"/>
                <w:bCs/>
                <w:color w:val="auto"/>
                <w:sz w:val="22"/>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color w:val="auto"/>
                <w:sz w:val="22"/>
                <w:szCs w:val="24"/>
                <w:highlight w:val="none"/>
              </w:rPr>
            </w:pPr>
            <w:r>
              <w:rPr>
                <w:rFonts w:hint="eastAsia" w:ascii="楷体_GB2312" w:hAnsi="Times New Roman" w:eastAsia="楷体_GB2312" w:cs="Times New Roman"/>
                <w:bCs/>
                <w:color w:val="auto"/>
                <w:sz w:val="22"/>
                <w:szCs w:val="24"/>
                <w:highlight w:val="none"/>
              </w:rPr>
              <w:t>□建筑给排水及供暖（□室内给、排水系统   □室外给、排水系统   □其它</w:t>
            </w:r>
            <w:r>
              <w:rPr>
                <w:rFonts w:hint="eastAsia" w:ascii="楷体_GB2312" w:hAnsi="Times New Roman" w:eastAsia="楷体_GB2312" w:cs="Times New Roman"/>
                <w:color w:val="auto"/>
                <w:sz w:val="22"/>
                <w:szCs w:val="24"/>
                <w:highlight w:val="none"/>
                <w:u w:val="single"/>
              </w:rPr>
              <w:t xml:space="preserve">         </w:t>
            </w:r>
            <w:r>
              <w:rPr>
                <w:rFonts w:hint="eastAsia" w:ascii="楷体_GB2312" w:hAnsi="Times New Roman" w:eastAsia="楷体_GB2312" w:cs="Times New Roman"/>
                <w:bCs/>
                <w:color w:val="auto"/>
                <w:sz w:val="22"/>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600"/>
              </w:tabs>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□智能建筑  (□综合布线系统    □信息网络系统    □其它</w:t>
            </w:r>
            <w:r>
              <w:rPr>
                <w:rFonts w:hint="eastAsia" w:ascii="楷体_GB2312" w:hAnsi="Times New Roman" w:eastAsia="楷体_GB2312" w:cs="Times New Roman"/>
                <w:color w:val="auto"/>
                <w:sz w:val="22"/>
                <w:szCs w:val="24"/>
                <w:highlight w:val="none"/>
                <w:u w:val="single"/>
              </w:rPr>
              <w:t xml:space="preserve">         </w:t>
            </w:r>
            <w:r>
              <w:rPr>
                <w:rFonts w:hint="eastAsia" w:ascii="楷体_GB2312" w:hAnsi="Times New Roman" w:eastAsia="楷体_GB2312" w:cs="Times New Roman"/>
                <w:bCs/>
                <w:color w:val="auto"/>
                <w:sz w:val="22"/>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600"/>
              </w:tabs>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□装饰装修  (□抹灰   □涂饰   □饰面板（砖）   □吊顶   □其它</w:t>
            </w:r>
            <w:r>
              <w:rPr>
                <w:rFonts w:hint="eastAsia" w:ascii="楷体_GB2312" w:hAnsi="Times New Roman" w:eastAsia="楷体_GB2312" w:cs="Times New Roman"/>
                <w:color w:val="auto"/>
                <w:sz w:val="22"/>
                <w:szCs w:val="24"/>
                <w:highlight w:val="none"/>
                <w:u w:val="single"/>
              </w:rPr>
              <w:t xml:space="preserve">         </w:t>
            </w:r>
            <w:r>
              <w:rPr>
                <w:rFonts w:hint="eastAsia" w:ascii="楷体_GB2312" w:hAnsi="Times New Roman" w:eastAsia="楷体_GB2312" w:cs="Times New Roman"/>
                <w:bCs/>
                <w:color w:val="auto"/>
                <w:sz w:val="22"/>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600"/>
              </w:tabs>
              <w:rPr>
                <w:rFonts w:hint="eastAsia" w:ascii="楷体_GB2312" w:hAnsi="Times New Roman" w:eastAsia="楷体_GB2312" w:cs="Times New Roman"/>
                <w:bCs/>
                <w:color w:val="auto"/>
                <w:sz w:val="22"/>
                <w:szCs w:val="24"/>
                <w:highlight w:val="none"/>
              </w:rPr>
            </w:pPr>
            <w:r>
              <w:rPr>
                <w:rFonts w:hint="eastAsia" w:ascii="楷体_GB2312" w:hAnsi="Times New Roman" w:eastAsia="楷体_GB2312" w:cs="Times New Roman"/>
                <w:bCs/>
                <w:color w:val="auto"/>
                <w:sz w:val="22"/>
                <w:szCs w:val="24"/>
                <w:highlight w:val="none"/>
              </w:rPr>
              <w:t>□其它：</w:t>
            </w:r>
          </w:p>
        </w:tc>
      </w:tr>
    </w:tbl>
    <w:p>
      <w:pPr>
        <w:spacing w:line="360" w:lineRule="auto"/>
        <w:rPr>
          <w:rFonts w:hint="eastAsia" w:ascii="宋体" w:hAnsi="宋体" w:eastAsia="宋体" w:cs="Times New Roman"/>
          <w:b/>
          <w:color w:val="auto"/>
          <w:sz w:val="24"/>
          <w:szCs w:val="24"/>
          <w:highlight w:val="none"/>
        </w:rPr>
      </w:pPr>
      <w:bookmarkStart w:id="140" w:name="_Toc302635680"/>
      <w:r>
        <w:rPr>
          <w:rFonts w:hint="eastAsia" w:ascii="宋体" w:hAnsi="宋体" w:eastAsia="宋体" w:cs="Times New Roman"/>
          <w:b/>
          <w:color w:val="auto"/>
          <w:sz w:val="24"/>
          <w:szCs w:val="24"/>
          <w:highlight w:val="none"/>
        </w:rPr>
        <w:t>4.其他工程</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p>
    <w:p>
      <w:pPr>
        <w:keepNext w:val="0"/>
        <w:keepLines w:val="0"/>
        <w:widowControl/>
        <w:numPr>
          <w:ilvl w:val="0"/>
          <w:numId w:val="0"/>
        </w:numPr>
        <w:spacing w:before="80" w:after="0"/>
        <w:jc w:val="left"/>
        <w:outlineLvl w:val="0"/>
        <w:rPr>
          <w:rFonts w:ascii="宋体" w:hAnsi="宋体" w:eastAsia="宋体" w:cs="Times New Roman"/>
          <w:b/>
          <w:bCs/>
          <w:snapToGrid w:val="0"/>
          <w:color w:val="auto"/>
          <w:kern w:val="0"/>
          <w:sz w:val="30"/>
          <w:szCs w:val="44"/>
          <w:highlight w:val="none"/>
          <w:lang w:val="en-US" w:eastAsia="zh-CN" w:bidi="ar-SA"/>
        </w:rPr>
      </w:pPr>
      <w:bookmarkStart w:id="141" w:name="_Toc25575"/>
      <w:bookmarkStart w:id="142" w:name="_Toc31626"/>
      <w:bookmarkStart w:id="143" w:name="_Toc31005"/>
      <w:bookmarkStart w:id="144" w:name="_Toc989"/>
      <w:bookmarkStart w:id="145" w:name="_Toc20289"/>
      <w:bookmarkStart w:id="146" w:name="_Toc18794"/>
      <w:bookmarkStart w:id="147" w:name="_Toc29075"/>
      <w:bookmarkStart w:id="148" w:name="_Toc1976"/>
      <w:bookmarkStart w:id="149" w:name="_Toc7563"/>
      <w:r>
        <w:rPr>
          <w:rFonts w:hint="eastAsia" w:ascii="宋体" w:hAnsi="宋体" w:eastAsia="宋体" w:cs="Times New Roman"/>
          <w:b/>
          <w:bCs/>
          <w:snapToGrid w:val="0"/>
          <w:color w:val="auto"/>
          <w:kern w:val="0"/>
          <w:sz w:val="30"/>
          <w:szCs w:val="44"/>
          <w:highlight w:val="none"/>
          <w:lang w:val="en-US" w:eastAsia="zh-CN" w:bidi="ar-SA"/>
        </w:rPr>
        <w:t>三、合同工期</w:t>
      </w:r>
      <w:bookmarkEnd w:id="140"/>
      <w:bookmarkEnd w:id="141"/>
      <w:bookmarkEnd w:id="142"/>
      <w:bookmarkEnd w:id="143"/>
      <w:bookmarkEnd w:id="144"/>
      <w:bookmarkEnd w:id="145"/>
      <w:bookmarkEnd w:id="146"/>
      <w:bookmarkEnd w:id="147"/>
      <w:bookmarkEnd w:id="148"/>
      <w:bookmarkEnd w:id="149"/>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计划开工日期：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pPr>
        <w:spacing w:line="360" w:lineRule="auto"/>
        <w:ind w:firstLine="48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计划竣工日期：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合同工期总日历天数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天。</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招标工期总日历天数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天。</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定额工期总日历天数</w:t>
      </w:r>
      <w:r>
        <w:rPr>
          <w:rFonts w:hint="eastAsia" w:ascii="宋体" w:hAnsi="宋体" w:eastAsia="宋体" w:cs="Times New Roman"/>
          <w:bCs/>
          <w:color w:val="auto"/>
          <w:sz w:val="28"/>
          <w:szCs w:val="28"/>
          <w:highlight w:val="none"/>
          <w:u w:val="single"/>
        </w:rPr>
        <w:t xml:space="preserve">          </w:t>
      </w:r>
      <w:r>
        <w:rPr>
          <w:rFonts w:hint="eastAsia" w:ascii="宋体" w:hAnsi="宋体" w:eastAsia="宋体" w:cs="Times New Roman"/>
          <w:color w:val="auto"/>
          <w:sz w:val="24"/>
          <w:szCs w:val="24"/>
          <w:highlight w:val="none"/>
        </w:rPr>
        <w:t>天。</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合同工期对比定额工期的压缩比例为</w:t>
      </w:r>
      <w:r>
        <w:rPr>
          <w:rFonts w:hint="eastAsia" w:ascii="宋体" w:hAnsi="宋体" w:eastAsia="宋体" w:cs="Times New Roman"/>
          <w:b/>
          <w:bCs/>
          <w:color w:val="auto"/>
          <w:sz w:val="28"/>
          <w:szCs w:val="28"/>
          <w:highlight w:val="none"/>
          <w:u w:val="single"/>
        </w:rPr>
        <w:t xml:space="preserve">    </w:t>
      </w:r>
      <w:r>
        <w:rPr>
          <w:rFonts w:hint="eastAsia" w:ascii="宋体" w:hAnsi="宋体" w:eastAsia="宋体" w:cs="Times New Roman"/>
          <w:bCs/>
          <w:color w:val="auto"/>
          <w:sz w:val="28"/>
          <w:szCs w:val="28"/>
          <w:highlight w:val="none"/>
          <w:u w:val="single"/>
        </w:rPr>
        <w:t>%</w:t>
      </w:r>
      <w:r>
        <w:rPr>
          <w:rFonts w:hint="eastAsia" w:ascii="宋体" w:hAnsi="宋体" w:eastAsia="宋体" w:cs="Times New Roman"/>
          <w:b/>
          <w:bCs/>
          <w:color w:val="auto"/>
          <w:sz w:val="28"/>
          <w:szCs w:val="28"/>
          <w:highlight w:val="none"/>
          <w:u w:val="single"/>
        </w:rPr>
        <w:t xml:space="preserve"> </w:t>
      </w:r>
      <w:r>
        <w:rPr>
          <w:rFonts w:hint="eastAsia" w:ascii="宋体" w:hAnsi="宋体" w:eastAsia="宋体" w:cs="Times New Roman"/>
          <w:color w:val="auto"/>
          <w:sz w:val="24"/>
          <w:szCs w:val="24"/>
          <w:highlight w:val="none"/>
        </w:rPr>
        <w:t xml:space="preserve"> (压缩比例=1-合同工期/定额工期)。</w:t>
      </w:r>
    </w:p>
    <w:p>
      <w:pPr>
        <w:keepNext w:val="0"/>
        <w:keepLines w:val="0"/>
        <w:widowControl w:val="0"/>
        <w:numPr>
          <w:ilvl w:val="0"/>
          <w:numId w:val="0"/>
        </w:numPr>
        <w:spacing w:before="80" w:after="0"/>
        <w:jc w:val="left"/>
        <w:outlineLvl w:val="0"/>
        <w:rPr>
          <w:rFonts w:ascii="宋体" w:hAnsi="宋体" w:eastAsia="宋体" w:cs="Times New Roman"/>
          <w:b/>
          <w:bCs/>
          <w:snapToGrid w:val="0"/>
          <w:color w:val="auto"/>
          <w:kern w:val="0"/>
          <w:sz w:val="30"/>
          <w:szCs w:val="44"/>
          <w:highlight w:val="none"/>
          <w:lang w:val="en-US" w:eastAsia="zh-CN" w:bidi="ar-SA"/>
        </w:rPr>
      </w:pPr>
      <w:bookmarkStart w:id="150" w:name="_Toc30909"/>
      <w:bookmarkStart w:id="151" w:name="_Toc16810"/>
      <w:bookmarkStart w:id="152" w:name="_Toc915"/>
      <w:bookmarkStart w:id="153" w:name="_Toc790"/>
      <w:bookmarkStart w:id="154" w:name="_Toc29688"/>
      <w:bookmarkStart w:id="155" w:name="_Toc14257"/>
      <w:bookmarkStart w:id="156" w:name="_Toc20626"/>
      <w:bookmarkStart w:id="157" w:name="_Toc302635681"/>
      <w:bookmarkStart w:id="158" w:name="_Toc880"/>
      <w:bookmarkStart w:id="159" w:name="_Toc14545"/>
      <w:r>
        <w:rPr>
          <w:rFonts w:hint="eastAsia" w:ascii="宋体" w:hAnsi="宋体" w:eastAsia="宋体" w:cs="Times New Roman"/>
          <w:b/>
          <w:bCs/>
          <w:snapToGrid w:val="0"/>
          <w:color w:val="auto"/>
          <w:kern w:val="0"/>
          <w:sz w:val="30"/>
          <w:szCs w:val="44"/>
          <w:highlight w:val="none"/>
          <w:lang w:val="en-US" w:eastAsia="zh-CN" w:bidi="ar-SA"/>
        </w:rPr>
        <w:t>四、质量标准</w:t>
      </w:r>
      <w:bookmarkEnd w:id="150"/>
      <w:bookmarkEnd w:id="151"/>
      <w:bookmarkEnd w:id="152"/>
      <w:bookmarkEnd w:id="153"/>
      <w:bookmarkEnd w:id="154"/>
      <w:bookmarkEnd w:id="155"/>
      <w:bookmarkEnd w:id="156"/>
      <w:bookmarkEnd w:id="157"/>
      <w:bookmarkEnd w:id="158"/>
      <w:bookmarkEnd w:id="159"/>
    </w:p>
    <w:p>
      <w:pPr>
        <w:spacing w:line="360" w:lineRule="auto"/>
        <w:ind w:firstLine="48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本工程质量标准：</w:t>
      </w:r>
      <w:r>
        <w:rPr>
          <w:rFonts w:hint="eastAsia" w:ascii="宋体" w:hAnsi="宋体" w:eastAsia="宋体" w:cs="Times New Roman"/>
          <w:bCs/>
          <w:color w:val="auto"/>
          <w:sz w:val="24"/>
          <w:szCs w:val="24"/>
          <w:highlight w:val="none"/>
          <w:u w:val="single"/>
        </w:rPr>
        <w:t xml:space="preserve">                                                 </w:t>
      </w:r>
    </w:p>
    <w:p>
      <w:pPr>
        <w:keepNext w:val="0"/>
        <w:keepLines w:val="0"/>
        <w:widowControl/>
        <w:numPr>
          <w:ilvl w:val="0"/>
          <w:numId w:val="0"/>
        </w:numPr>
        <w:spacing w:before="80" w:after="0"/>
        <w:jc w:val="left"/>
        <w:outlineLvl w:val="0"/>
        <w:rPr>
          <w:rFonts w:ascii="宋体" w:hAnsi="宋体" w:eastAsia="宋体" w:cs="Times New Roman"/>
          <w:b/>
          <w:bCs/>
          <w:snapToGrid w:val="0"/>
          <w:color w:val="auto"/>
          <w:kern w:val="0"/>
          <w:sz w:val="30"/>
          <w:szCs w:val="44"/>
          <w:highlight w:val="none"/>
          <w:lang w:val="en-US" w:eastAsia="zh-CN" w:bidi="ar-SA"/>
        </w:rPr>
      </w:pPr>
      <w:bookmarkStart w:id="160" w:name="_Toc302635682"/>
      <w:bookmarkStart w:id="161" w:name="_Toc10418"/>
      <w:bookmarkStart w:id="162" w:name="_Toc25115"/>
      <w:bookmarkStart w:id="163" w:name="_Toc19788"/>
      <w:bookmarkStart w:id="164" w:name="_Toc30177"/>
      <w:bookmarkStart w:id="165" w:name="_Toc13802"/>
      <w:bookmarkStart w:id="166" w:name="_Toc9540"/>
      <w:bookmarkStart w:id="167" w:name="_Toc18035"/>
      <w:bookmarkStart w:id="168" w:name="_Toc16355"/>
      <w:bookmarkStart w:id="169" w:name="_Toc31835"/>
      <w:r>
        <w:rPr>
          <w:rFonts w:hint="eastAsia" w:ascii="宋体" w:hAnsi="宋体" w:eastAsia="宋体" w:cs="Times New Roman"/>
          <w:b/>
          <w:bCs/>
          <w:snapToGrid w:val="0"/>
          <w:color w:val="auto"/>
          <w:kern w:val="0"/>
          <w:sz w:val="30"/>
          <w:szCs w:val="44"/>
          <w:highlight w:val="none"/>
          <w:lang w:val="en-US" w:eastAsia="zh-CN" w:bidi="ar-SA"/>
        </w:rPr>
        <w:t>五、</w:t>
      </w:r>
      <w:bookmarkEnd w:id="160"/>
      <w:r>
        <w:rPr>
          <w:rFonts w:hint="eastAsia" w:ascii="宋体" w:hAnsi="宋体" w:eastAsia="宋体" w:cs="Times New Roman"/>
          <w:b/>
          <w:bCs/>
          <w:snapToGrid w:val="0"/>
          <w:color w:val="auto"/>
          <w:kern w:val="0"/>
          <w:sz w:val="30"/>
          <w:szCs w:val="44"/>
          <w:highlight w:val="none"/>
          <w:lang w:val="en-US" w:eastAsia="zh-CN" w:bidi="ar-SA"/>
        </w:rPr>
        <w:t>签约合同价</w:t>
      </w:r>
      <w:bookmarkEnd w:id="161"/>
      <w:bookmarkEnd w:id="162"/>
      <w:bookmarkEnd w:id="163"/>
      <w:bookmarkEnd w:id="164"/>
      <w:bookmarkEnd w:id="165"/>
      <w:bookmarkEnd w:id="166"/>
      <w:bookmarkEnd w:id="167"/>
      <w:bookmarkEnd w:id="168"/>
      <w:bookmarkEnd w:id="169"/>
    </w:p>
    <w:p>
      <w:pPr>
        <w:spacing w:line="360" w:lineRule="auto"/>
        <w:ind w:firstLine="47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人民币（大写）</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p>
    <w:p>
      <w:pPr>
        <w:spacing w:line="360" w:lineRule="auto"/>
        <w:ind w:firstLine="47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其中：</w:t>
      </w:r>
    </w:p>
    <w:p>
      <w:pPr>
        <w:spacing w:line="360" w:lineRule="auto"/>
        <w:ind w:firstLine="47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⑴</w:t>
      </w:r>
      <w:r>
        <w:rPr>
          <w:rFonts w:ascii="宋体" w:hAnsi="宋体" w:eastAsia="宋体" w:cs="Times New Roman"/>
          <w:color w:val="auto"/>
          <w:sz w:val="24"/>
          <w:szCs w:val="24"/>
          <w:highlight w:val="none"/>
        </w:rPr>
        <w:t>安全文明施工费：</w:t>
      </w:r>
    </w:p>
    <w:p>
      <w:pPr>
        <w:spacing w:line="360" w:lineRule="auto"/>
        <w:ind w:firstLine="47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人民币（大写）</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p>
    <w:p>
      <w:pPr>
        <w:spacing w:line="360" w:lineRule="auto"/>
        <w:ind w:firstLine="47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⑵</w:t>
      </w:r>
      <w:r>
        <w:rPr>
          <w:rFonts w:ascii="宋体" w:hAnsi="宋体" w:eastAsia="宋体" w:cs="Times New Roman"/>
          <w:color w:val="auto"/>
          <w:sz w:val="24"/>
          <w:szCs w:val="24"/>
          <w:highlight w:val="none"/>
        </w:rPr>
        <w:t>材料和工程设备暂估价金额：</w:t>
      </w:r>
    </w:p>
    <w:p>
      <w:pPr>
        <w:spacing w:line="360" w:lineRule="auto"/>
        <w:ind w:firstLine="47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人民币（大写）</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p>
    <w:p>
      <w:pPr>
        <w:spacing w:line="360" w:lineRule="auto"/>
        <w:ind w:firstLine="47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⑶</w:t>
      </w:r>
      <w:r>
        <w:rPr>
          <w:rFonts w:ascii="宋体" w:hAnsi="宋体" w:eastAsia="宋体" w:cs="Times New Roman"/>
          <w:color w:val="auto"/>
          <w:sz w:val="24"/>
          <w:szCs w:val="24"/>
          <w:highlight w:val="none"/>
        </w:rPr>
        <w:t>专业工程暂估价金额：</w:t>
      </w:r>
    </w:p>
    <w:p>
      <w:pPr>
        <w:spacing w:line="360" w:lineRule="auto"/>
        <w:ind w:firstLine="47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人民币（大写）</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p>
    <w:p>
      <w:pPr>
        <w:spacing w:line="360" w:lineRule="auto"/>
        <w:ind w:firstLine="47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⑷</w:t>
      </w:r>
      <w:r>
        <w:rPr>
          <w:rFonts w:ascii="宋体" w:hAnsi="宋体" w:eastAsia="宋体" w:cs="Times New Roman"/>
          <w:color w:val="auto"/>
          <w:sz w:val="24"/>
          <w:szCs w:val="24"/>
          <w:highlight w:val="none"/>
        </w:rPr>
        <w:t>暂列金额：</w:t>
      </w:r>
    </w:p>
    <w:p>
      <w:pPr>
        <w:spacing w:line="360" w:lineRule="auto"/>
        <w:ind w:firstLine="475"/>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人民币（大写）</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lang w:eastAsia="zh-CN"/>
        </w:rPr>
        <w:t>；</w:t>
      </w:r>
    </w:p>
    <w:p>
      <w:pPr>
        <w:spacing w:line="360" w:lineRule="auto"/>
        <w:ind w:firstLine="47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⑸BIM技术应用费用：</w:t>
      </w:r>
    </w:p>
    <w:p>
      <w:pPr>
        <w:spacing w:line="360" w:lineRule="auto"/>
        <w:ind w:firstLine="475"/>
        <w:rPr>
          <w:rFonts w:ascii="宋体" w:hAnsi="宋体" w:eastAsia="宋体" w:cs="Times New Roman"/>
          <w:color w:val="auto"/>
          <w:sz w:val="24"/>
          <w:szCs w:val="24"/>
          <w:highlight w:val="none"/>
        </w:rPr>
      </w:pPr>
      <w:bookmarkStart w:id="170" w:name="_Toc302635683"/>
      <w:r>
        <w:rPr>
          <w:rFonts w:ascii="宋体" w:hAnsi="宋体" w:eastAsia="宋体" w:cs="Times New Roman"/>
          <w:color w:val="auto"/>
          <w:sz w:val="24"/>
          <w:szCs w:val="24"/>
          <w:highlight w:val="none"/>
        </w:rPr>
        <w:t>人民币（大写）</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p>
    <w:p>
      <w:pPr>
        <w:keepNext w:val="0"/>
        <w:keepLines w:val="0"/>
        <w:widowControl/>
        <w:numPr>
          <w:ilvl w:val="0"/>
          <w:numId w:val="0"/>
        </w:numPr>
        <w:spacing w:before="80" w:after="0"/>
        <w:jc w:val="left"/>
        <w:outlineLvl w:val="0"/>
        <w:rPr>
          <w:rFonts w:hint="eastAsia" w:ascii="宋体" w:hAnsi="宋体" w:eastAsia="宋体" w:cs="Times New Roman"/>
          <w:b/>
          <w:bCs/>
          <w:snapToGrid w:val="0"/>
          <w:color w:val="auto"/>
          <w:kern w:val="0"/>
          <w:sz w:val="30"/>
          <w:szCs w:val="44"/>
          <w:highlight w:val="none"/>
          <w:lang w:val="en-US" w:eastAsia="zh-CN" w:bidi="ar-SA"/>
        </w:rPr>
      </w:pPr>
      <w:bookmarkStart w:id="171" w:name="_Toc22904"/>
      <w:bookmarkStart w:id="172" w:name="_Toc31662"/>
      <w:bookmarkStart w:id="173" w:name="_Toc6630"/>
      <w:bookmarkStart w:id="174" w:name="_Toc20606"/>
      <w:bookmarkStart w:id="175" w:name="_Toc23374"/>
      <w:bookmarkStart w:id="176" w:name="_Toc8312"/>
      <w:bookmarkStart w:id="177" w:name="_Toc16152"/>
      <w:bookmarkStart w:id="178" w:name="_Toc18202"/>
      <w:bookmarkStart w:id="179" w:name="_Toc11997"/>
      <w:r>
        <w:rPr>
          <w:rFonts w:hint="eastAsia" w:ascii="宋体" w:hAnsi="宋体" w:eastAsia="宋体" w:cs="Times New Roman"/>
          <w:b/>
          <w:bCs/>
          <w:snapToGrid w:val="0"/>
          <w:color w:val="auto"/>
          <w:kern w:val="0"/>
          <w:sz w:val="30"/>
          <w:szCs w:val="44"/>
          <w:highlight w:val="none"/>
          <w:lang w:val="en-US" w:eastAsia="zh-CN" w:bidi="ar-SA"/>
        </w:rPr>
        <w:t>六、工人工资专用账户信息</w:t>
      </w:r>
      <w:bookmarkEnd w:id="171"/>
      <w:bookmarkEnd w:id="172"/>
      <w:bookmarkEnd w:id="173"/>
      <w:bookmarkEnd w:id="174"/>
      <w:bookmarkEnd w:id="175"/>
      <w:bookmarkEnd w:id="176"/>
      <w:bookmarkEnd w:id="177"/>
      <w:bookmarkEnd w:id="178"/>
      <w:bookmarkEnd w:id="179"/>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工人工资款支付专用账户名称：</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工人工资款支付专用账户开户银行：</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工人工资款支付专用账户号：</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keepNext w:val="0"/>
        <w:keepLines w:val="0"/>
        <w:widowControl/>
        <w:numPr>
          <w:ilvl w:val="0"/>
          <w:numId w:val="0"/>
        </w:numPr>
        <w:spacing w:before="80" w:after="0"/>
        <w:jc w:val="left"/>
        <w:outlineLvl w:val="0"/>
        <w:rPr>
          <w:rFonts w:ascii="宋体" w:hAnsi="宋体" w:eastAsia="宋体" w:cs="Times New Roman"/>
          <w:b/>
          <w:bCs/>
          <w:snapToGrid w:val="0"/>
          <w:color w:val="auto"/>
          <w:kern w:val="0"/>
          <w:sz w:val="30"/>
          <w:szCs w:val="44"/>
          <w:highlight w:val="none"/>
          <w:lang w:val="en-US" w:eastAsia="zh-CN" w:bidi="ar-SA"/>
        </w:rPr>
      </w:pPr>
      <w:bookmarkStart w:id="180" w:name="_Toc18523"/>
      <w:bookmarkStart w:id="181" w:name="_Toc9099"/>
      <w:bookmarkStart w:id="182" w:name="_Toc17395"/>
      <w:bookmarkStart w:id="183" w:name="_Toc24078"/>
      <w:bookmarkStart w:id="184" w:name="_Toc8092"/>
      <w:bookmarkStart w:id="185" w:name="_Toc27781"/>
      <w:bookmarkStart w:id="186" w:name="_Toc9102"/>
      <w:bookmarkStart w:id="187" w:name="_Toc25902"/>
      <w:bookmarkStart w:id="188" w:name="_Toc27947"/>
      <w:r>
        <w:rPr>
          <w:rFonts w:hint="eastAsia" w:ascii="宋体" w:hAnsi="宋体" w:eastAsia="宋体" w:cs="Times New Roman"/>
          <w:b/>
          <w:bCs/>
          <w:snapToGrid w:val="0"/>
          <w:color w:val="auto"/>
          <w:kern w:val="0"/>
          <w:sz w:val="30"/>
          <w:szCs w:val="44"/>
          <w:highlight w:val="none"/>
          <w:lang w:val="en-US" w:eastAsia="zh-CN" w:bidi="ar-SA"/>
        </w:rPr>
        <w:t>七、组成合同的文件</w:t>
      </w:r>
      <w:bookmarkEnd w:id="170"/>
      <w:bookmarkEnd w:id="180"/>
      <w:bookmarkEnd w:id="181"/>
      <w:bookmarkEnd w:id="182"/>
      <w:bookmarkEnd w:id="183"/>
      <w:bookmarkEnd w:id="184"/>
      <w:bookmarkEnd w:id="185"/>
      <w:bookmarkEnd w:id="186"/>
      <w:bookmarkEnd w:id="187"/>
      <w:bookmarkEnd w:id="188"/>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组成本合同的文件及优先解释顺序与本合同通用条款2.1款的规定一致：</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⑴本合同签订后双方新签订的补充协议；</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⑵本合同第一部分的协议书；</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⑶中标通知书及其附件；</w:t>
      </w:r>
      <w:r>
        <w:rPr>
          <w:rFonts w:ascii="宋体" w:hAnsi="宋体" w:eastAsia="宋体" w:cs="Times New Roman"/>
          <w:color w:val="auto"/>
          <w:sz w:val="24"/>
          <w:szCs w:val="24"/>
          <w:highlight w:val="non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⑷本合同第四部分的补充条款；</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⑸本合同第三部分的专用条款；</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⑹本合同第二部分的通用条款；</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⑺本工程招标文件中的技术要求和投标报价规定；</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⑻投标文件(包括承包人在评标期间和合同谈判过程中递交和确认并经发包人同意的对有关问题的补充资料和澄清文件等)；</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⑼现行的标准、规范、规定及有关技术文件；</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⑽图纸和技术规格书；</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⑾已标价工程量清单；</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⑿发包人和承包人双方有关本工程的变更、签证、洽商、索赔、询价采购凭证等书面文件及组成合同的其他文件。</w:t>
      </w:r>
    </w:p>
    <w:p>
      <w:pPr>
        <w:keepNext w:val="0"/>
        <w:keepLines w:val="0"/>
        <w:widowControl/>
        <w:numPr>
          <w:ilvl w:val="0"/>
          <w:numId w:val="0"/>
        </w:numPr>
        <w:spacing w:before="80" w:after="0"/>
        <w:jc w:val="left"/>
        <w:outlineLvl w:val="0"/>
        <w:rPr>
          <w:rFonts w:ascii="宋体" w:hAnsi="宋体" w:eastAsia="宋体" w:cs="Times New Roman"/>
          <w:b/>
          <w:bCs/>
          <w:snapToGrid w:val="0"/>
          <w:color w:val="auto"/>
          <w:kern w:val="0"/>
          <w:sz w:val="30"/>
          <w:szCs w:val="44"/>
          <w:highlight w:val="none"/>
          <w:lang w:val="en-US" w:eastAsia="zh-CN" w:bidi="ar-SA"/>
        </w:rPr>
      </w:pPr>
      <w:bookmarkStart w:id="189" w:name="_Toc20635"/>
      <w:bookmarkStart w:id="190" w:name="_Toc17526"/>
      <w:bookmarkStart w:id="191" w:name="_Toc31002"/>
      <w:bookmarkStart w:id="192" w:name="_Toc14463"/>
      <w:bookmarkStart w:id="193" w:name="_Toc7127"/>
      <w:bookmarkStart w:id="194" w:name="_Toc2121"/>
      <w:bookmarkStart w:id="195" w:name="_Toc10441"/>
      <w:bookmarkStart w:id="196" w:name="_Toc27578"/>
      <w:bookmarkStart w:id="197" w:name="_Toc302635684"/>
      <w:bookmarkStart w:id="198" w:name="_Toc4160"/>
      <w:r>
        <w:rPr>
          <w:rFonts w:hint="eastAsia" w:ascii="宋体" w:hAnsi="宋体" w:eastAsia="宋体" w:cs="Times New Roman"/>
          <w:b/>
          <w:bCs/>
          <w:snapToGrid w:val="0"/>
          <w:color w:val="auto"/>
          <w:kern w:val="0"/>
          <w:sz w:val="30"/>
          <w:szCs w:val="44"/>
          <w:highlight w:val="none"/>
          <w:lang w:val="en-US" w:eastAsia="zh-CN" w:bidi="ar-SA"/>
        </w:rPr>
        <w:t>八、词语含义</w:t>
      </w:r>
      <w:bookmarkEnd w:id="189"/>
      <w:bookmarkEnd w:id="190"/>
      <w:bookmarkEnd w:id="191"/>
      <w:bookmarkEnd w:id="192"/>
      <w:bookmarkEnd w:id="193"/>
      <w:bookmarkEnd w:id="194"/>
      <w:bookmarkEnd w:id="195"/>
      <w:bookmarkEnd w:id="196"/>
      <w:bookmarkEnd w:id="197"/>
      <w:bookmarkEnd w:id="198"/>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本协议书中有关词语含义与本合同“通用条款”中赋予它们的定义相同。</w:t>
      </w:r>
    </w:p>
    <w:p>
      <w:pPr>
        <w:keepNext w:val="0"/>
        <w:keepLines w:val="0"/>
        <w:widowControl/>
        <w:numPr>
          <w:ilvl w:val="0"/>
          <w:numId w:val="0"/>
        </w:numPr>
        <w:spacing w:before="80" w:after="0"/>
        <w:jc w:val="left"/>
        <w:outlineLvl w:val="0"/>
        <w:rPr>
          <w:rFonts w:ascii="宋体" w:hAnsi="宋体" w:eastAsia="宋体" w:cs="Times New Roman"/>
          <w:b/>
          <w:bCs/>
          <w:snapToGrid w:val="0"/>
          <w:color w:val="auto"/>
          <w:kern w:val="0"/>
          <w:sz w:val="30"/>
          <w:szCs w:val="44"/>
          <w:highlight w:val="none"/>
          <w:lang w:val="en-US" w:eastAsia="zh-CN" w:bidi="ar-SA"/>
        </w:rPr>
      </w:pPr>
      <w:bookmarkStart w:id="199" w:name="_Toc29502"/>
      <w:bookmarkStart w:id="200" w:name="_Toc28966"/>
      <w:bookmarkStart w:id="201" w:name="_Toc302635685"/>
      <w:bookmarkStart w:id="202" w:name="_Toc21137"/>
      <w:bookmarkStart w:id="203" w:name="_Toc28545"/>
      <w:bookmarkStart w:id="204" w:name="_Toc30021"/>
      <w:bookmarkStart w:id="205" w:name="_Toc13235"/>
      <w:bookmarkStart w:id="206" w:name="_Toc29969"/>
      <w:bookmarkStart w:id="207" w:name="_Toc14999"/>
      <w:bookmarkStart w:id="208" w:name="_Toc1089"/>
      <w:r>
        <w:rPr>
          <w:rFonts w:hint="eastAsia" w:ascii="宋体" w:hAnsi="宋体" w:eastAsia="宋体" w:cs="Times New Roman"/>
          <w:b/>
          <w:bCs/>
          <w:snapToGrid w:val="0"/>
          <w:color w:val="auto"/>
          <w:kern w:val="0"/>
          <w:sz w:val="30"/>
          <w:szCs w:val="44"/>
          <w:highlight w:val="none"/>
          <w:lang w:val="en-US" w:eastAsia="zh-CN" w:bidi="ar-SA"/>
        </w:rPr>
        <w:t>九、承诺</w:t>
      </w:r>
      <w:bookmarkEnd w:id="199"/>
      <w:bookmarkEnd w:id="200"/>
      <w:bookmarkEnd w:id="201"/>
      <w:bookmarkEnd w:id="202"/>
      <w:bookmarkEnd w:id="203"/>
      <w:bookmarkEnd w:id="204"/>
      <w:bookmarkEnd w:id="205"/>
      <w:bookmarkEnd w:id="206"/>
      <w:bookmarkEnd w:id="207"/>
      <w:bookmarkEnd w:id="208"/>
    </w:p>
    <w:p>
      <w:pPr>
        <w:spacing w:line="360" w:lineRule="auto"/>
        <w:ind w:firstLine="48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1.发包人承诺按照法律规定履行项目审批手续、筹集工程建设资金并按照合同约定的期限和方式支付合同价款</w:t>
      </w:r>
      <w:r>
        <w:rPr>
          <w:rFonts w:hint="eastAsia" w:ascii="宋体" w:hAnsi="宋体" w:eastAsia="宋体" w:cs="Times New Roman"/>
          <w:color w:val="auto"/>
          <w:sz w:val="24"/>
          <w:szCs w:val="24"/>
          <w:highlight w:val="none"/>
        </w:rPr>
        <w:t>及其它应当支付的款项,并履行本合同所约定的全部义务</w:t>
      </w:r>
      <w:r>
        <w:rPr>
          <w:rFonts w:ascii="宋体" w:hAnsi="宋体" w:eastAsia="宋体" w:cs="Times New Roman"/>
          <w:bCs/>
          <w:color w:val="auto"/>
          <w:sz w:val="24"/>
          <w:szCs w:val="24"/>
          <w:highlight w:val="none"/>
        </w:rPr>
        <w:t>。</w:t>
      </w:r>
    </w:p>
    <w:p>
      <w:pPr>
        <w:spacing w:line="360" w:lineRule="auto"/>
        <w:ind w:firstLine="48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2.承包人承诺按照法律规定及合同约定组织完成工程施工，确保工程质量和安全，不进行转包及违法分包，并在</w:t>
      </w:r>
      <w:r>
        <w:rPr>
          <w:rFonts w:hint="eastAsia" w:ascii="宋体" w:hAnsi="宋体" w:eastAsia="宋体" w:cs="Times New Roman"/>
          <w:bCs/>
          <w:color w:val="auto"/>
          <w:sz w:val="24"/>
          <w:szCs w:val="24"/>
          <w:highlight w:val="none"/>
        </w:rPr>
        <w:t>质量</w:t>
      </w:r>
      <w:r>
        <w:rPr>
          <w:rFonts w:ascii="宋体" w:hAnsi="宋体" w:eastAsia="宋体" w:cs="Times New Roman"/>
          <w:bCs/>
          <w:color w:val="auto"/>
          <w:sz w:val="24"/>
          <w:szCs w:val="24"/>
          <w:highlight w:val="none"/>
        </w:rPr>
        <w:t>缺陷责任期及保修期内承担相应的工程维修责任</w:t>
      </w:r>
      <w:r>
        <w:rPr>
          <w:rFonts w:hint="eastAsia" w:ascii="宋体" w:hAnsi="宋体" w:eastAsia="宋体" w:cs="Times New Roman"/>
          <w:color w:val="auto"/>
          <w:sz w:val="24"/>
          <w:szCs w:val="24"/>
          <w:highlight w:val="none"/>
        </w:rPr>
        <w:t>,并履行本合同所约定的全部义务</w:t>
      </w:r>
      <w:r>
        <w:rPr>
          <w:rFonts w:ascii="宋体" w:hAnsi="宋体" w:eastAsia="宋体" w:cs="Times New Roman"/>
          <w:bCs/>
          <w:color w:val="auto"/>
          <w:sz w:val="24"/>
          <w:szCs w:val="24"/>
          <w:highlight w:val="none"/>
        </w:rPr>
        <w:t>。</w:t>
      </w:r>
    </w:p>
    <w:p>
      <w:pPr>
        <w:spacing w:line="360" w:lineRule="auto"/>
        <w:ind w:firstLine="48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3.发包人和承包人双方理解并</w:t>
      </w:r>
      <w:r>
        <w:rPr>
          <w:rFonts w:hint="eastAsia" w:ascii="宋体" w:hAnsi="宋体" w:eastAsia="宋体" w:cs="Times New Roman"/>
          <w:bCs/>
          <w:color w:val="auto"/>
          <w:sz w:val="24"/>
          <w:szCs w:val="24"/>
          <w:highlight w:val="none"/>
        </w:rPr>
        <w:t>承诺</w:t>
      </w:r>
      <w:r>
        <w:rPr>
          <w:rFonts w:ascii="宋体" w:hAnsi="宋体" w:eastAsia="宋体" w:cs="Times New Roman"/>
          <w:bCs/>
          <w:color w:val="auto"/>
          <w:sz w:val="24"/>
          <w:szCs w:val="24"/>
          <w:highlight w:val="none"/>
        </w:rPr>
        <w:t>不再就同一工程另行签订与合同实质性内容相背离的协议。</w:t>
      </w:r>
    </w:p>
    <w:p>
      <w:pPr>
        <w:keepNext w:val="0"/>
        <w:keepLines w:val="0"/>
        <w:widowControl/>
        <w:numPr>
          <w:ilvl w:val="0"/>
          <w:numId w:val="0"/>
        </w:numPr>
        <w:spacing w:before="80" w:after="0"/>
        <w:jc w:val="left"/>
        <w:outlineLvl w:val="0"/>
        <w:rPr>
          <w:rFonts w:ascii="宋体" w:hAnsi="宋体" w:eastAsia="宋体" w:cs="Times New Roman"/>
          <w:b/>
          <w:bCs/>
          <w:snapToGrid w:val="0"/>
          <w:color w:val="auto"/>
          <w:kern w:val="0"/>
          <w:sz w:val="30"/>
          <w:szCs w:val="44"/>
          <w:highlight w:val="none"/>
          <w:lang w:val="en-US" w:eastAsia="zh-CN" w:bidi="ar-SA"/>
        </w:rPr>
      </w:pPr>
      <w:bookmarkStart w:id="209" w:name="_Toc302635686"/>
      <w:bookmarkStart w:id="210" w:name="_Toc7973"/>
      <w:bookmarkStart w:id="211" w:name="_Toc29712"/>
      <w:bookmarkStart w:id="212" w:name="_Toc30651"/>
      <w:bookmarkStart w:id="213" w:name="_Toc3317"/>
      <w:bookmarkStart w:id="214" w:name="_Toc6349"/>
      <w:bookmarkStart w:id="215" w:name="_Toc6863"/>
      <w:bookmarkStart w:id="216" w:name="_Toc8870"/>
      <w:bookmarkStart w:id="217" w:name="_Toc13127"/>
      <w:bookmarkStart w:id="218" w:name="_Toc3232"/>
      <w:r>
        <w:rPr>
          <w:rFonts w:hint="eastAsia" w:ascii="宋体" w:hAnsi="宋体" w:eastAsia="宋体" w:cs="Times New Roman"/>
          <w:b/>
          <w:bCs/>
          <w:snapToGrid w:val="0"/>
          <w:color w:val="auto"/>
          <w:kern w:val="0"/>
          <w:sz w:val="30"/>
          <w:szCs w:val="44"/>
          <w:highlight w:val="none"/>
          <w:lang w:val="en-US" w:eastAsia="zh-CN" w:bidi="ar-SA"/>
        </w:rPr>
        <w:t>十、合同订立与生效</w:t>
      </w:r>
      <w:bookmarkEnd w:id="209"/>
      <w:bookmarkEnd w:id="210"/>
      <w:bookmarkEnd w:id="211"/>
      <w:bookmarkEnd w:id="212"/>
      <w:bookmarkEnd w:id="213"/>
      <w:bookmarkEnd w:id="214"/>
      <w:bookmarkEnd w:id="215"/>
      <w:bookmarkEnd w:id="216"/>
      <w:bookmarkEnd w:id="217"/>
      <w:bookmarkEnd w:id="218"/>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本合同订立时间：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pPr>
        <w:spacing w:line="360" w:lineRule="auto"/>
        <w:ind w:firstLine="1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订立地点：</w:t>
      </w:r>
      <w:r>
        <w:rPr>
          <w:rFonts w:hint="eastAsia" w:ascii="宋体" w:hAnsi="宋体" w:eastAsia="宋体" w:cs="Times New Roman"/>
          <w:color w:val="auto"/>
          <w:sz w:val="24"/>
          <w:szCs w:val="24"/>
          <w:highlight w:val="none"/>
          <w:u w:val="single"/>
        </w:rPr>
        <w:t xml:space="preserve">                                            </w:t>
      </w:r>
    </w:p>
    <w:p>
      <w:pPr>
        <w:spacing w:line="360" w:lineRule="auto"/>
        <w:ind w:firstLine="48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发包人和承包人约定本合同自</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后成立。</w:t>
      </w:r>
    </w:p>
    <w:p>
      <w:pPr>
        <w:spacing w:line="360" w:lineRule="auto"/>
        <w:ind w:firstLine="480"/>
        <w:jc w:val="left"/>
        <w:rPr>
          <w:rFonts w:hint="eastAsia"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本合同一式</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rPr>
        <w:t>份，均具有同等法律效力，发包人执</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rPr>
        <w:t>份，承包人执</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rPr>
        <w:t>份。</w:t>
      </w:r>
    </w:p>
    <w:p>
      <w:pPr>
        <w:spacing w:line="360" w:lineRule="auto"/>
        <w:ind w:firstLine="480"/>
        <w:jc w:val="left"/>
        <w:rPr>
          <w:rFonts w:hint="eastAsia" w:ascii="宋体" w:hAnsi="宋体" w:eastAsia="宋体" w:cs="Times New Roman"/>
          <w:bCs/>
          <w:color w:val="auto"/>
          <w:sz w:val="24"/>
          <w:szCs w:val="24"/>
          <w:highlight w:val="none"/>
        </w:rPr>
      </w:pPr>
    </w:p>
    <w:p>
      <w:pPr>
        <w:spacing w:line="360" w:lineRule="auto"/>
        <w:ind w:firstLine="480"/>
        <w:jc w:val="left"/>
        <w:rPr>
          <w:rFonts w:hint="eastAsia" w:ascii="宋体" w:hAnsi="宋体" w:eastAsia="宋体" w:cs="Times New Roman"/>
          <w:bCs/>
          <w:color w:val="auto"/>
          <w:sz w:val="24"/>
          <w:szCs w:val="24"/>
          <w:highlight w:val="none"/>
        </w:rPr>
      </w:pPr>
    </w:p>
    <w:p>
      <w:pPr>
        <w:spacing w:line="360" w:lineRule="auto"/>
        <w:ind w:firstLine="480"/>
        <w:jc w:val="left"/>
        <w:rPr>
          <w:rFonts w:hint="eastAsia" w:ascii="宋体" w:hAnsi="宋体" w:eastAsia="宋体" w:cs="Times New Roman"/>
          <w:bCs/>
          <w:color w:val="auto"/>
          <w:sz w:val="24"/>
          <w:szCs w:val="24"/>
          <w:highlight w:val="none"/>
        </w:rPr>
      </w:pPr>
    </w:p>
    <w:p>
      <w:pPr>
        <w:spacing w:line="360" w:lineRule="auto"/>
        <w:ind w:firstLine="480"/>
        <w:jc w:val="left"/>
        <w:rPr>
          <w:rFonts w:hint="eastAsia" w:ascii="宋体" w:hAnsi="宋体" w:eastAsia="宋体" w:cs="Times New Roman"/>
          <w:bCs/>
          <w:color w:val="auto"/>
          <w:sz w:val="24"/>
          <w:szCs w:val="24"/>
          <w:highlight w:val="none"/>
        </w:rPr>
      </w:pPr>
    </w:p>
    <w:p>
      <w:pPr>
        <w:spacing w:line="360" w:lineRule="auto"/>
        <w:ind w:firstLine="480"/>
        <w:jc w:val="left"/>
        <w:rPr>
          <w:rFonts w:hint="eastAsia" w:ascii="宋体" w:hAnsi="宋体" w:eastAsia="宋体" w:cs="Times New Roman"/>
          <w:bCs/>
          <w:color w:val="auto"/>
          <w:sz w:val="24"/>
          <w:szCs w:val="24"/>
          <w:highlight w:val="none"/>
        </w:rPr>
      </w:pPr>
    </w:p>
    <w:p>
      <w:pPr>
        <w:spacing w:line="360" w:lineRule="auto"/>
        <w:ind w:firstLine="480"/>
        <w:jc w:val="left"/>
        <w:rPr>
          <w:rFonts w:hint="eastAsia" w:ascii="宋体" w:hAnsi="宋体" w:eastAsia="宋体" w:cs="Times New Roman"/>
          <w:bCs/>
          <w:color w:val="auto"/>
          <w:sz w:val="24"/>
          <w:szCs w:val="24"/>
          <w:highlight w:val="none"/>
        </w:rPr>
      </w:pPr>
    </w:p>
    <w:p>
      <w:pPr>
        <w:spacing w:line="360" w:lineRule="auto"/>
        <w:ind w:firstLine="480"/>
        <w:jc w:val="left"/>
        <w:rPr>
          <w:rFonts w:hint="eastAsia" w:ascii="宋体" w:hAnsi="宋体" w:eastAsia="宋体" w:cs="Times New Roman"/>
          <w:bCs/>
          <w:color w:val="auto"/>
          <w:sz w:val="24"/>
          <w:szCs w:val="24"/>
          <w:highlight w:val="none"/>
        </w:rPr>
      </w:pPr>
    </w:p>
    <w:tbl>
      <w:tblPr>
        <w:tblStyle w:val="40"/>
        <w:tblW w:w="0" w:type="auto"/>
        <w:tblInd w:w="0" w:type="dxa"/>
        <w:tblLayout w:type="autofit"/>
        <w:tblCellMar>
          <w:top w:w="0" w:type="dxa"/>
          <w:left w:w="108" w:type="dxa"/>
          <w:bottom w:w="0" w:type="dxa"/>
          <w:right w:w="108" w:type="dxa"/>
        </w:tblCellMar>
      </w:tblPr>
      <w:tblGrid>
        <w:gridCol w:w="4360"/>
        <w:gridCol w:w="4360"/>
      </w:tblGrid>
      <w:tr>
        <w:tblPrEx>
          <w:tblCellMar>
            <w:top w:w="0" w:type="dxa"/>
            <w:left w:w="108" w:type="dxa"/>
            <w:bottom w:w="0" w:type="dxa"/>
            <w:right w:w="108" w:type="dxa"/>
          </w:tblCellMar>
        </w:tblPrEx>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发包人</w:t>
            </w:r>
            <w:r>
              <w:rPr>
                <w:rFonts w:hint="eastAsia" w:ascii="宋体" w:hAnsi="宋体" w:eastAsia="宋体" w:cs="Times New Roman"/>
                <w:b/>
                <w:color w:val="auto"/>
                <w:sz w:val="24"/>
                <w:szCs w:val="24"/>
                <w:highlight w:val="none"/>
              </w:rPr>
              <w:t>：</w:t>
            </w:r>
            <w:r>
              <w:rPr>
                <w:rFonts w:ascii="宋体" w:hAnsi="宋体" w:eastAsia="宋体" w:cs="Times New Roman"/>
                <w:color w:val="auto"/>
                <w:sz w:val="24"/>
                <w:szCs w:val="24"/>
                <w:highlight w:val="none"/>
              </w:rPr>
              <w:t>(公章)</w:t>
            </w:r>
          </w:p>
        </w:tc>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hint="eastAsia" w:ascii="宋体" w:hAnsi="宋体" w:eastAsia="宋体" w:cs="Times New Roman"/>
                <w:b/>
                <w:color w:val="auto"/>
                <w:sz w:val="24"/>
                <w:szCs w:val="24"/>
                <w:highlight w:val="none"/>
              </w:rPr>
              <w:t>承包</w:t>
            </w:r>
            <w:r>
              <w:rPr>
                <w:rFonts w:ascii="宋体" w:hAnsi="宋体" w:eastAsia="宋体" w:cs="Times New Roman"/>
                <w:b/>
                <w:color w:val="auto"/>
                <w:sz w:val="24"/>
                <w:szCs w:val="24"/>
                <w:highlight w:val="none"/>
              </w:rPr>
              <w:t>人</w:t>
            </w:r>
            <w:r>
              <w:rPr>
                <w:rFonts w:hint="eastAsia" w:ascii="宋体" w:hAnsi="宋体" w:eastAsia="宋体" w:cs="Times New Roman"/>
                <w:b/>
                <w:color w:val="auto"/>
                <w:sz w:val="24"/>
                <w:szCs w:val="24"/>
                <w:highlight w:val="none"/>
              </w:rPr>
              <w:t>：</w:t>
            </w:r>
            <w:r>
              <w:rPr>
                <w:rFonts w:ascii="宋体" w:hAnsi="宋体" w:eastAsia="宋体" w:cs="Times New Roman"/>
                <w:color w:val="auto"/>
                <w:sz w:val="24"/>
                <w:szCs w:val="24"/>
                <w:highlight w:val="none"/>
              </w:rPr>
              <w:t>(公章)</w:t>
            </w:r>
          </w:p>
        </w:tc>
      </w:tr>
      <w:tr>
        <w:tblPrEx>
          <w:tblCellMar>
            <w:top w:w="0" w:type="dxa"/>
            <w:left w:w="108" w:type="dxa"/>
            <w:bottom w:w="0" w:type="dxa"/>
            <w:right w:w="108" w:type="dxa"/>
          </w:tblCellMar>
        </w:tblPrEx>
        <w:trPr>
          <w:trHeight w:val="1267" w:hRule="atLeast"/>
        </w:trPr>
        <w:tc>
          <w:tcPr>
            <w:tcW w:w="4360" w:type="dxa"/>
            <w:noWrap w:val="0"/>
            <w:vAlign w:val="top"/>
          </w:tcPr>
          <w:p>
            <w:pPr>
              <w:spacing w:line="360" w:lineRule="auto"/>
              <w:jc w:val="left"/>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法定代表人或其委托代理人：</w:t>
            </w:r>
          </w:p>
          <w:p>
            <w:pPr>
              <w:spacing w:line="360" w:lineRule="auto"/>
              <w:jc w:val="left"/>
              <w:rPr>
                <w:rFonts w:hint="eastAsia" w:ascii="宋体" w:hAnsi="宋体" w:eastAsia="宋体" w:cs="Times New Roman"/>
                <w:bCs/>
                <w:color w:val="auto"/>
                <w:sz w:val="24"/>
                <w:szCs w:val="24"/>
                <w:highlight w:val="none"/>
              </w:rPr>
            </w:pPr>
            <w:r>
              <w:rPr>
                <w:rFonts w:hint="eastAsia" w:ascii="宋体" w:hAnsi="宋体" w:eastAsia="宋体" w:cs="Times New Roman"/>
                <w:color w:val="auto"/>
                <w:sz w:val="24"/>
                <w:szCs w:val="24"/>
                <w:highlight w:val="none"/>
              </w:rPr>
              <w:t>（签字）</w:t>
            </w:r>
          </w:p>
        </w:tc>
        <w:tc>
          <w:tcPr>
            <w:tcW w:w="4360" w:type="dxa"/>
            <w:noWrap w:val="0"/>
            <w:vAlign w:val="top"/>
          </w:tcPr>
          <w:p>
            <w:pPr>
              <w:spacing w:line="360" w:lineRule="auto"/>
              <w:jc w:val="left"/>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法定代表人或其委托代理人：</w:t>
            </w:r>
          </w:p>
          <w:p>
            <w:pPr>
              <w:spacing w:line="360" w:lineRule="auto"/>
              <w:jc w:val="left"/>
              <w:rPr>
                <w:rFonts w:hint="eastAsia" w:ascii="宋体" w:hAnsi="宋体" w:eastAsia="宋体" w:cs="Times New Roman"/>
                <w:bCs/>
                <w:color w:val="auto"/>
                <w:sz w:val="24"/>
                <w:szCs w:val="24"/>
                <w:highlight w:val="none"/>
              </w:rPr>
            </w:pPr>
            <w:r>
              <w:rPr>
                <w:rFonts w:hint="eastAsia" w:ascii="宋体" w:hAnsi="宋体" w:eastAsia="宋体" w:cs="Times New Roman"/>
                <w:color w:val="auto"/>
                <w:sz w:val="24"/>
                <w:szCs w:val="24"/>
                <w:highlight w:val="none"/>
              </w:rPr>
              <w:t>（签字）</w:t>
            </w:r>
          </w:p>
        </w:tc>
      </w:tr>
      <w:tr>
        <w:tblPrEx>
          <w:tblCellMar>
            <w:top w:w="0" w:type="dxa"/>
            <w:left w:w="108" w:type="dxa"/>
            <w:bottom w:w="0" w:type="dxa"/>
            <w:right w:w="108" w:type="dxa"/>
          </w:tblCellMar>
        </w:tblPrEx>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hint="eastAsia" w:ascii="宋体" w:hAnsi="宋体" w:eastAsia="宋体" w:cs="Times New Roman"/>
                <w:b/>
                <w:color w:val="auto"/>
                <w:sz w:val="24"/>
                <w:szCs w:val="24"/>
                <w:highlight w:val="none"/>
              </w:rPr>
              <w:t>统一社会信用代码：</w:t>
            </w:r>
            <w:r>
              <w:rPr>
                <w:rFonts w:ascii="宋体" w:hAnsi="宋体" w:eastAsia="宋体" w:cs="Times New Roman"/>
                <w:b/>
                <w:color w:val="auto"/>
                <w:sz w:val="24"/>
                <w:szCs w:val="24"/>
                <w:highlight w:val="none"/>
                <w:u w:val="single"/>
              </w:rPr>
              <w:t xml:space="preserve">                 </w:t>
            </w:r>
          </w:p>
        </w:tc>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hint="eastAsia" w:ascii="宋体" w:hAnsi="宋体" w:eastAsia="宋体" w:cs="Times New Roman"/>
                <w:b/>
                <w:color w:val="auto"/>
                <w:sz w:val="24"/>
                <w:szCs w:val="24"/>
                <w:highlight w:val="none"/>
              </w:rPr>
              <w:t>统一社会信用代码：</w:t>
            </w:r>
            <w:r>
              <w:rPr>
                <w:rFonts w:ascii="宋体" w:hAnsi="宋体" w:eastAsia="宋体" w:cs="Times New Roman"/>
                <w:b/>
                <w:color w:val="auto"/>
                <w:sz w:val="24"/>
                <w:szCs w:val="24"/>
                <w:highlight w:val="none"/>
                <w:u w:val="single"/>
              </w:rPr>
              <w:t xml:space="preserve">                 </w:t>
            </w:r>
          </w:p>
        </w:tc>
      </w:tr>
      <w:tr>
        <w:tblPrEx>
          <w:tblCellMar>
            <w:top w:w="0" w:type="dxa"/>
            <w:left w:w="108" w:type="dxa"/>
            <w:bottom w:w="0" w:type="dxa"/>
            <w:right w:w="108" w:type="dxa"/>
          </w:tblCellMar>
        </w:tblPrEx>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地址：</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p>
        </w:tc>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地址：</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p>
        </w:tc>
      </w:tr>
      <w:tr>
        <w:tblPrEx>
          <w:tblCellMar>
            <w:top w:w="0" w:type="dxa"/>
            <w:left w:w="108" w:type="dxa"/>
            <w:bottom w:w="0" w:type="dxa"/>
            <w:right w:w="108" w:type="dxa"/>
          </w:tblCellMar>
        </w:tblPrEx>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邮政编码：</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rPr>
              <w:t xml:space="preserve"> </w:t>
            </w:r>
            <w:r>
              <w:rPr>
                <w:rFonts w:hint="eastAsia" w:ascii="宋体" w:hAnsi="宋体" w:eastAsia="宋体" w:cs="Times New Roman"/>
                <w:b/>
                <w:color w:val="auto"/>
                <w:sz w:val="24"/>
                <w:szCs w:val="24"/>
                <w:highlight w:val="none"/>
              </w:rPr>
              <w:t xml:space="preserve">  </w:t>
            </w:r>
          </w:p>
        </w:tc>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邮政编码：</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rPr>
              <w:t xml:space="preserve"> </w:t>
            </w:r>
            <w:r>
              <w:rPr>
                <w:rFonts w:hint="eastAsia" w:ascii="宋体" w:hAnsi="宋体" w:eastAsia="宋体" w:cs="Times New Roman"/>
                <w:b/>
                <w:color w:val="auto"/>
                <w:sz w:val="24"/>
                <w:szCs w:val="24"/>
                <w:highlight w:val="none"/>
              </w:rPr>
              <w:t xml:space="preserve">  </w:t>
            </w:r>
          </w:p>
        </w:tc>
      </w:tr>
      <w:tr>
        <w:tblPrEx>
          <w:tblCellMar>
            <w:top w:w="0" w:type="dxa"/>
            <w:left w:w="108" w:type="dxa"/>
            <w:bottom w:w="0" w:type="dxa"/>
            <w:right w:w="108" w:type="dxa"/>
          </w:tblCellMar>
        </w:tblPrEx>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法定代表人：</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rPr>
              <w:t xml:space="preserve"> </w:t>
            </w:r>
          </w:p>
        </w:tc>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法定代表人：</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rPr>
              <w:t xml:space="preserve"> </w:t>
            </w:r>
          </w:p>
        </w:tc>
      </w:tr>
      <w:tr>
        <w:tblPrEx>
          <w:tblCellMar>
            <w:top w:w="0" w:type="dxa"/>
            <w:left w:w="108" w:type="dxa"/>
            <w:bottom w:w="0" w:type="dxa"/>
            <w:right w:w="108" w:type="dxa"/>
          </w:tblCellMar>
        </w:tblPrEx>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委托代理人：</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rPr>
              <w:t xml:space="preserve"> </w:t>
            </w:r>
            <w:r>
              <w:rPr>
                <w:rFonts w:hint="eastAsia" w:ascii="宋体" w:hAnsi="宋体" w:eastAsia="宋体" w:cs="Times New Roman"/>
                <w:b/>
                <w:color w:val="auto"/>
                <w:sz w:val="24"/>
                <w:szCs w:val="24"/>
                <w:highlight w:val="none"/>
              </w:rPr>
              <w:t xml:space="preserve"> </w:t>
            </w:r>
          </w:p>
        </w:tc>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委托代理人：</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rPr>
              <w:t xml:space="preserve"> </w:t>
            </w:r>
            <w:r>
              <w:rPr>
                <w:rFonts w:hint="eastAsia" w:ascii="宋体" w:hAnsi="宋体" w:eastAsia="宋体" w:cs="Times New Roman"/>
                <w:b/>
                <w:color w:val="auto"/>
                <w:sz w:val="24"/>
                <w:szCs w:val="24"/>
                <w:highlight w:val="none"/>
              </w:rPr>
              <w:t xml:space="preserve"> </w:t>
            </w:r>
          </w:p>
        </w:tc>
      </w:tr>
      <w:tr>
        <w:tblPrEx>
          <w:tblCellMar>
            <w:top w:w="0" w:type="dxa"/>
            <w:left w:w="108" w:type="dxa"/>
            <w:bottom w:w="0" w:type="dxa"/>
            <w:right w:w="108" w:type="dxa"/>
          </w:tblCellMar>
        </w:tblPrEx>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电话：</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rPr>
              <w:t xml:space="preserve"> </w:t>
            </w:r>
            <w:r>
              <w:rPr>
                <w:rFonts w:hint="eastAsia" w:ascii="宋体" w:hAnsi="宋体" w:eastAsia="宋体" w:cs="Times New Roman"/>
                <w:b/>
                <w:color w:val="auto"/>
                <w:sz w:val="24"/>
                <w:szCs w:val="24"/>
                <w:highlight w:val="none"/>
              </w:rPr>
              <w:t xml:space="preserve">  </w:t>
            </w:r>
          </w:p>
        </w:tc>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电话：</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rPr>
              <w:t xml:space="preserve"> </w:t>
            </w:r>
            <w:r>
              <w:rPr>
                <w:rFonts w:hint="eastAsia" w:ascii="宋体" w:hAnsi="宋体" w:eastAsia="宋体" w:cs="Times New Roman"/>
                <w:b/>
                <w:color w:val="auto"/>
                <w:sz w:val="24"/>
                <w:szCs w:val="24"/>
                <w:highlight w:val="none"/>
              </w:rPr>
              <w:t xml:space="preserve">  </w:t>
            </w:r>
          </w:p>
        </w:tc>
      </w:tr>
      <w:tr>
        <w:tblPrEx>
          <w:tblCellMar>
            <w:top w:w="0" w:type="dxa"/>
            <w:left w:w="108" w:type="dxa"/>
            <w:bottom w:w="0" w:type="dxa"/>
            <w:right w:w="108" w:type="dxa"/>
          </w:tblCellMar>
        </w:tblPrEx>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传真：</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rPr>
              <w:t xml:space="preserve"> </w:t>
            </w:r>
            <w:r>
              <w:rPr>
                <w:rFonts w:hint="eastAsia" w:ascii="宋体" w:hAnsi="宋体" w:eastAsia="宋体" w:cs="Times New Roman"/>
                <w:b/>
                <w:color w:val="auto"/>
                <w:sz w:val="24"/>
                <w:szCs w:val="24"/>
                <w:highlight w:val="none"/>
              </w:rPr>
              <w:t xml:space="preserve">  </w:t>
            </w:r>
          </w:p>
        </w:tc>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传真：</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rPr>
              <w:t xml:space="preserve"> </w:t>
            </w:r>
            <w:r>
              <w:rPr>
                <w:rFonts w:hint="eastAsia" w:ascii="宋体" w:hAnsi="宋体" w:eastAsia="宋体" w:cs="Times New Roman"/>
                <w:b/>
                <w:color w:val="auto"/>
                <w:sz w:val="24"/>
                <w:szCs w:val="24"/>
                <w:highlight w:val="none"/>
              </w:rPr>
              <w:t xml:space="preserve">  </w:t>
            </w:r>
          </w:p>
        </w:tc>
      </w:tr>
      <w:tr>
        <w:tblPrEx>
          <w:tblCellMar>
            <w:top w:w="0" w:type="dxa"/>
            <w:left w:w="108" w:type="dxa"/>
            <w:bottom w:w="0" w:type="dxa"/>
            <w:right w:w="108" w:type="dxa"/>
          </w:tblCellMar>
        </w:tblPrEx>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电子信箱：</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p>
        </w:tc>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电子信箱：</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p>
        </w:tc>
      </w:tr>
      <w:tr>
        <w:tblPrEx>
          <w:tblCellMar>
            <w:top w:w="0" w:type="dxa"/>
            <w:left w:w="108" w:type="dxa"/>
            <w:bottom w:w="0" w:type="dxa"/>
            <w:right w:w="108" w:type="dxa"/>
          </w:tblCellMar>
        </w:tblPrEx>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开户银行：</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rPr>
              <w:t xml:space="preserve"> </w:t>
            </w:r>
          </w:p>
        </w:tc>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开户银行：</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rPr>
              <w:t xml:space="preserve"> </w:t>
            </w:r>
          </w:p>
        </w:tc>
      </w:tr>
      <w:tr>
        <w:tblPrEx>
          <w:tblCellMar>
            <w:top w:w="0" w:type="dxa"/>
            <w:left w:w="108" w:type="dxa"/>
            <w:bottom w:w="0" w:type="dxa"/>
            <w:right w:w="108" w:type="dxa"/>
          </w:tblCellMar>
        </w:tblPrEx>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账号：</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p>
        </w:tc>
        <w:tc>
          <w:tcPr>
            <w:tcW w:w="4360" w:type="dxa"/>
            <w:noWrap w:val="0"/>
            <w:vAlign w:val="top"/>
          </w:tcPr>
          <w:p>
            <w:pPr>
              <w:spacing w:line="360" w:lineRule="auto"/>
              <w:jc w:val="left"/>
              <w:rPr>
                <w:rFonts w:hint="eastAsia" w:ascii="宋体" w:hAnsi="宋体" w:eastAsia="宋体" w:cs="Times New Roman"/>
                <w:bCs/>
                <w:color w:val="auto"/>
                <w:sz w:val="24"/>
                <w:szCs w:val="24"/>
                <w:highlight w:val="none"/>
              </w:rPr>
            </w:pPr>
            <w:r>
              <w:rPr>
                <w:rFonts w:ascii="宋体" w:hAnsi="宋体" w:eastAsia="宋体" w:cs="Times New Roman"/>
                <w:b/>
                <w:color w:val="auto"/>
                <w:sz w:val="24"/>
                <w:szCs w:val="24"/>
                <w:highlight w:val="none"/>
              </w:rPr>
              <w:t>账号：</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p>
        </w:tc>
      </w:tr>
    </w:tbl>
    <w:p>
      <w:pPr>
        <w:spacing w:line="360" w:lineRule="auto"/>
        <w:ind w:firstLine="142"/>
        <w:jc w:val="left"/>
        <w:rPr>
          <w:rFonts w:hint="eastAsia" w:ascii="宋体" w:hAnsi="宋体" w:eastAsia="宋体" w:cs="Times New Roman"/>
          <w:bCs/>
          <w:color w:val="auto"/>
          <w:sz w:val="24"/>
          <w:szCs w:val="24"/>
          <w:highlight w:val="none"/>
        </w:rPr>
      </w:pPr>
    </w:p>
    <w:p>
      <w:pPr>
        <w:spacing w:line="360" w:lineRule="auto"/>
        <w:rPr>
          <w:rFonts w:hint="eastAsia" w:ascii="宋体" w:hAnsi="宋体" w:eastAsia="宋体" w:cs="Times New Roman"/>
          <w:b/>
          <w:color w:val="auto"/>
          <w:sz w:val="24"/>
          <w:szCs w:val="24"/>
          <w:highlight w:val="none"/>
          <w:u w:val="single"/>
        </w:rPr>
      </w:pPr>
      <w:r>
        <w:rPr>
          <w:rFonts w:hint="eastAsia" w:ascii="宋体" w:hAnsi="宋体" w:eastAsia="宋体" w:cs="Times New Roman"/>
          <w:b/>
          <w:color w:val="auto"/>
          <w:sz w:val="24"/>
          <w:szCs w:val="24"/>
          <w:highlight w:val="none"/>
        </w:rPr>
        <w:t xml:space="preserve">                                 </w:t>
      </w:r>
    </w:p>
    <w:p>
      <w:pPr>
        <w:spacing w:line="360" w:lineRule="auto"/>
        <w:ind w:firstLine="480"/>
        <w:jc w:val="left"/>
        <w:rPr>
          <w:rFonts w:ascii="宋体" w:hAnsi="宋体" w:eastAsia="宋体" w:cs="Times New Roman"/>
          <w:bCs/>
          <w:color w:val="auto"/>
          <w:sz w:val="24"/>
          <w:szCs w:val="24"/>
          <w:highlight w:val="none"/>
        </w:rPr>
      </w:pPr>
    </w:p>
    <w:p>
      <w:pPr>
        <w:keepNext w:val="0"/>
        <w:keepLines w:val="0"/>
        <w:widowControl w:val="0"/>
        <w:numPr>
          <w:ilvl w:val="0"/>
          <w:numId w:val="0"/>
        </w:numPr>
        <w:spacing w:before="340" w:after="330"/>
        <w:jc w:val="center"/>
        <w:outlineLvl w:val="0"/>
        <w:rPr>
          <w:rFonts w:ascii="宋体" w:hAnsi="宋体" w:eastAsia="宋体" w:cs="Times New Roman"/>
          <w:b/>
          <w:bCs/>
          <w:snapToGrid w:val="0"/>
          <w:color w:val="auto"/>
          <w:kern w:val="0"/>
          <w:sz w:val="24"/>
          <w:szCs w:val="44"/>
          <w:highlight w:val="none"/>
          <w:lang w:val="en-US" w:eastAsia="zh-CN" w:bidi="ar-SA"/>
        </w:rPr>
        <w:sectPr>
          <w:headerReference r:id="rId9" w:type="default"/>
          <w:footerReference r:id="rId10" w:type="default"/>
          <w:pgSz w:w="11907" w:h="16840"/>
          <w:pgMar w:top="1417" w:right="1417" w:bottom="1417" w:left="1417" w:header="851" w:footer="851" w:gutter="0"/>
          <w:pgNumType w:fmt="decimal"/>
          <w:cols w:space="425" w:num="1"/>
          <w:docGrid w:type="lines" w:linePitch="312" w:charSpace="0"/>
        </w:sectPr>
      </w:pPr>
      <w:r>
        <w:rPr>
          <w:rFonts w:ascii="宋体" w:hAnsi="宋体" w:eastAsia="宋体" w:cs="Times New Roman"/>
          <w:b/>
          <w:bCs/>
          <w:snapToGrid w:val="0"/>
          <w:color w:val="auto"/>
          <w:kern w:val="0"/>
          <w:sz w:val="24"/>
          <w:szCs w:val="44"/>
          <w:highlight w:val="none"/>
          <w:lang w:val="en-US" w:eastAsia="zh-CN" w:bidi="ar-SA"/>
        </w:rPr>
        <w:br w:type="page"/>
      </w:r>
      <w:bookmarkStart w:id="219" w:name="_Toc25662"/>
      <w:bookmarkStart w:id="220" w:name="_Toc16411"/>
      <w:bookmarkStart w:id="221" w:name="_Toc19012"/>
      <w:bookmarkStart w:id="222" w:name="_Toc35656454"/>
      <w:bookmarkStart w:id="223" w:name="_Toc34908886"/>
      <w:bookmarkStart w:id="224" w:name="_Toc29244"/>
      <w:bookmarkStart w:id="225" w:name="_Toc4725"/>
      <w:bookmarkStart w:id="226" w:name="_Toc14765"/>
      <w:bookmarkStart w:id="227" w:name="_Toc305331221"/>
      <w:bookmarkStart w:id="228" w:name="_Toc35656954"/>
      <w:bookmarkStart w:id="229" w:name="_Toc1350"/>
      <w:bookmarkStart w:id="230" w:name="_Toc17442"/>
      <w:bookmarkStart w:id="231" w:name="_Toc9023"/>
      <w:bookmarkStart w:id="232" w:name="_Toc302635687"/>
      <w:bookmarkStart w:id="233" w:name="_Toc42392984"/>
      <w:bookmarkStart w:id="234" w:name="_Toc47425624"/>
      <w:bookmarkStart w:id="235" w:name="_Toc84303950"/>
    </w:p>
    <w:p>
      <w:pPr>
        <w:keepNext w:val="0"/>
        <w:keepLines w:val="0"/>
        <w:widowControl w:val="0"/>
        <w:numPr>
          <w:ilvl w:val="0"/>
          <w:numId w:val="0"/>
        </w:numPr>
        <w:spacing w:before="340" w:after="330"/>
        <w:jc w:val="center"/>
        <w:outlineLvl w:val="0"/>
        <w:rPr>
          <w:rFonts w:ascii="宋体" w:hAnsi="宋体" w:eastAsia="宋体" w:cs="Times New Roman"/>
          <w:b/>
          <w:bCs/>
          <w:snapToGrid w:val="0"/>
          <w:color w:val="auto"/>
          <w:kern w:val="0"/>
          <w:sz w:val="32"/>
          <w:szCs w:val="44"/>
          <w:highlight w:val="none"/>
          <w:lang w:val="en-US" w:eastAsia="zh-CN" w:bidi="ar-SA"/>
        </w:rPr>
      </w:pPr>
      <w:r>
        <w:rPr>
          <w:rFonts w:hint="eastAsia" w:ascii="黑体" w:hAnsi="黑体" w:eastAsia="黑体" w:cs="黑体"/>
          <w:b/>
          <w:bCs w:val="0"/>
          <w:snapToGrid/>
          <w:color w:val="auto"/>
          <w:kern w:val="2"/>
          <w:sz w:val="32"/>
          <w:szCs w:val="32"/>
          <w:highlight w:val="none"/>
          <w:lang w:val="en-US" w:eastAsia="zh-CN" w:bidi="ar-SA"/>
        </w:rPr>
        <w:t>第二部分  通用条款</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keepNext w:val="0"/>
        <w:keepLines w:val="0"/>
        <w:widowControl w:val="0"/>
        <w:numPr>
          <w:ilvl w:val="0"/>
          <w:numId w:val="1"/>
        </w:numPr>
        <w:tabs>
          <w:tab w:val="left" w:pos="540"/>
          <w:tab w:val="left" w:pos="1620"/>
          <w:tab w:val="left" w:pos="2340"/>
          <w:tab w:val="clear"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236" w:name="_Toc302635688"/>
      <w:bookmarkStart w:id="237" w:name="_Toc18613"/>
      <w:bookmarkStart w:id="238" w:name="_Toc30825"/>
      <w:bookmarkStart w:id="239" w:name="_Toc2205"/>
      <w:bookmarkStart w:id="240" w:name="_Toc35656956"/>
      <w:bookmarkStart w:id="241" w:name="_Toc5984"/>
      <w:bookmarkStart w:id="242" w:name="_Toc17378"/>
      <w:bookmarkStart w:id="243" w:name="_Toc27360"/>
      <w:bookmarkStart w:id="244" w:name="_Toc34908888"/>
      <w:bookmarkStart w:id="245" w:name="_Toc24804"/>
      <w:bookmarkStart w:id="246" w:name="_Toc30670"/>
      <w:bookmarkStart w:id="247" w:name="_Toc35656456"/>
      <w:bookmarkStart w:id="248" w:name="_Toc14725"/>
      <w:bookmarkStart w:id="249" w:name="_Toc305331222"/>
      <w:r>
        <w:rPr>
          <w:rFonts w:hint="eastAsia" w:ascii="华文细黑" w:hAnsi="宋体" w:eastAsia="宋体" w:cs="Times New Roman"/>
          <w:b/>
          <w:bCs/>
          <w:snapToGrid w:val="0"/>
          <w:color w:val="auto"/>
          <w:kern w:val="0"/>
          <w:sz w:val="28"/>
          <w:szCs w:val="44"/>
          <w:highlight w:val="none"/>
          <w:lang w:val="en-US" w:eastAsia="zh-CN" w:bidi="ar-SA"/>
        </w:rPr>
        <w:t>词语定义</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tabs>
          <w:tab w:val="left" w:pos="1620"/>
          <w:tab w:val="left" w:pos="2340"/>
        </w:tabs>
        <w:ind w:firstLine="420"/>
        <w:jc w:val="left"/>
        <w:rPr>
          <w:rFonts w:ascii="宋体" w:hAnsi="宋体" w:eastAsia="宋体" w:cs="Times New Roman"/>
          <w:color w:val="auto"/>
          <w:kern w:val="0"/>
          <w:szCs w:val="24"/>
          <w:highlight w:val="none"/>
        </w:rPr>
      </w:pPr>
      <w:bookmarkStart w:id="250" w:name="_Toc34908889"/>
      <w:r>
        <w:rPr>
          <w:rFonts w:hint="eastAsia" w:ascii="宋体" w:hAnsi="宋体" w:eastAsia="宋体" w:cs="Times New Roman"/>
          <w:color w:val="auto"/>
          <w:kern w:val="0"/>
          <w:szCs w:val="24"/>
          <w:highlight w:val="none"/>
        </w:rPr>
        <w:t>下列词语除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另有约定外，应具有本条所赋予的定义：</w:t>
      </w:r>
      <w:bookmarkEnd w:id="250"/>
    </w:p>
    <w:p>
      <w:pPr>
        <w:widowControl w:val="0"/>
        <w:numPr>
          <w:ilvl w:val="1"/>
          <w:numId w:val="1"/>
        </w:numPr>
        <w:tabs>
          <w:tab w:val="left" w:pos="540"/>
          <w:tab w:val="left" w:pos="900"/>
          <w:tab w:val="left" w:pos="234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51" w:name="_Toc6782"/>
      <w:bookmarkStart w:id="252" w:name="_Toc21076"/>
      <w:bookmarkStart w:id="253" w:name="_Toc12556"/>
      <w:bookmarkStart w:id="254" w:name="_Toc302635689"/>
      <w:bookmarkStart w:id="255" w:name="_Toc23348"/>
      <w:bookmarkStart w:id="256" w:name="_Toc240"/>
      <w:bookmarkStart w:id="257" w:name="_Toc305331223"/>
      <w:bookmarkStart w:id="258" w:name="_Toc27766"/>
      <w:bookmarkStart w:id="259" w:name="_Toc13521"/>
      <w:bookmarkStart w:id="260" w:name="_Toc9183"/>
      <w:bookmarkStart w:id="261" w:name="_Toc17095"/>
      <w:bookmarkStart w:id="262" w:name="_Toc34908892"/>
      <w:r>
        <w:rPr>
          <w:rFonts w:hint="eastAsia" w:ascii="宋体" w:hAnsi="宋体" w:eastAsia="宋体" w:cs="Times New Roman"/>
          <w:b/>
          <w:bCs/>
          <w:color w:val="auto"/>
          <w:kern w:val="0"/>
          <w:sz w:val="24"/>
          <w:szCs w:val="24"/>
          <w:highlight w:val="none"/>
          <w:lang w:val="en-US" w:eastAsia="zh-CN" w:bidi="ar-SA"/>
        </w:rPr>
        <w:t>合同主体与参与各方</w:t>
      </w:r>
      <w:bookmarkEnd w:id="251"/>
      <w:bookmarkEnd w:id="252"/>
      <w:bookmarkEnd w:id="253"/>
      <w:bookmarkEnd w:id="254"/>
      <w:bookmarkEnd w:id="255"/>
      <w:bookmarkEnd w:id="256"/>
      <w:bookmarkEnd w:id="257"/>
      <w:bookmarkEnd w:id="258"/>
      <w:bookmarkEnd w:id="259"/>
      <w:bookmarkEnd w:id="260"/>
      <w:bookmarkEnd w:id="261"/>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⑴发包人：指本合同指明执行本工程投资或负责管理本工程的、具有相应工程发包主体资格和支付工程价款能力的当事人，以及取得该资格和能力的合法继承人。</w:t>
      </w:r>
      <w:bookmarkEnd w:id="262"/>
      <w:r>
        <w:rPr>
          <w:rFonts w:hint="eastAsia" w:ascii="宋体" w:hAnsi="宋体" w:eastAsia="宋体" w:cs="Times New Roman"/>
          <w:color w:val="auto"/>
          <w:kern w:val="0"/>
          <w:szCs w:val="24"/>
          <w:highlight w:val="none"/>
        </w:rPr>
        <w:t xml:space="preserve"> </w:t>
      </w:r>
    </w:p>
    <w:p>
      <w:pPr>
        <w:tabs>
          <w:tab w:val="left" w:pos="1620"/>
          <w:tab w:val="left" w:pos="2340"/>
        </w:tabs>
        <w:spacing w:after="156"/>
        <w:ind w:left="899"/>
        <w:jc w:val="left"/>
        <w:rPr>
          <w:rFonts w:ascii="宋体" w:hAnsi="宋体" w:eastAsia="宋体" w:cs="Times New Roman"/>
          <w:color w:val="auto"/>
          <w:kern w:val="0"/>
          <w:szCs w:val="24"/>
          <w:highlight w:val="none"/>
        </w:rPr>
      </w:pPr>
      <w:bookmarkStart w:id="263" w:name="_Toc34908893"/>
      <w:r>
        <w:rPr>
          <w:rFonts w:hint="eastAsia" w:ascii="宋体" w:hAnsi="宋体" w:eastAsia="宋体" w:cs="Times New Roman"/>
          <w:color w:val="auto"/>
          <w:kern w:val="0"/>
          <w:szCs w:val="24"/>
          <w:highlight w:val="none"/>
        </w:rPr>
        <w:t>⑵发包人代表：指由发包人任命的行使发包人在本合同约定的权利和义务的代表。</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⑶承包人：指其投标文件已为发包人所接受，并与发包人签订了合同协议书承建本工程、具有相应工程施工资质的当事人</w:t>
      </w:r>
      <w:bookmarkEnd w:id="263"/>
      <w:r>
        <w:rPr>
          <w:rFonts w:hint="eastAsia" w:ascii="宋体" w:hAnsi="宋体" w:eastAsia="宋体" w:cs="Times New Roman"/>
          <w:color w:val="auto"/>
          <w:kern w:val="0"/>
          <w:szCs w:val="24"/>
          <w:highlight w:val="none"/>
        </w:rPr>
        <w:t>，以及取得该资格的合法继承人。</w:t>
      </w:r>
    </w:p>
    <w:p>
      <w:pPr>
        <w:tabs>
          <w:tab w:val="left" w:pos="1620"/>
          <w:tab w:val="left" w:pos="2340"/>
        </w:tabs>
        <w:spacing w:after="156"/>
        <w:ind w:left="899"/>
        <w:jc w:val="left"/>
        <w:rPr>
          <w:rFonts w:ascii="宋体" w:hAnsi="宋体" w:eastAsia="宋体" w:cs="Times New Roman"/>
          <w:color w:val="auto"/>
          <w:kern w:val="0"/>
          <w:szCs w:val="24"/>
          <w:highlight w:val="none"/>
        </w:rPr>
      </w:pPr>
      <w:bookmarkStart w:id="264" w:name="_Toc34908895"/>
      <w:r>
        <w:rPr>
          <w:rFonts w:hint="eastAsia" w:ascii="宋体" w:hAnsi="宋体" w:eastAsia="宋体" w:cs="Times New Roman"/>
          <w:color w:val="auto"/>
          <w:kern w:val="0"/>
          <w:szCs w:val="24"/>
          <w:highlight w:val="none"/>
        </w:rPr>
        <w:t>⑷项目经理：指由承包人任命常驻现场、并取得相应资格的工程管理人员，代表承包人履行本合同约定的权利和义务。</w:t>
      </w:r>
      <w:bookmarkEnd w:id="264"/>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⑸专业工程承包人：指与发包人签订专业工程施工合同并承建该合同指定专业工程的、具有相应工程施工资质的当事人，以及取得该当事人资格的合法继承人。</w:t>
      </w:r>
    </w:p>
    <w:p>
      <w:pPr>
        <w:tabs>
          <w:tab w:val="left" w:pos="1620"/>
          <w:tab w:val="left" w:pos="2340"/>
        </w:tabs>
        <w:spacing w:after="156"/>
        <w:ind w:left="899"/>
        <w:jc w:val="left"/>
        <w:rPr>
          <w:rFonts w:ascii="宋体" w:hAnsi="宋体" w:eastAsia="宋体" w:cs="Times New Roman"/>
          <w:color w:val="auto"/>
          <w:kern w:val="0"/>
          <w:szCs w:val="24"/>
          <w:highlight w:val="none"/>
        </w:rPr>
      </w:pPr>
      <w:bookmarkStart w:id="265" w:name="_Toc34908894"/>
      <w:r>
        <w:rPr>
          <w:rFonts w:hint="eastAsia" w:ascii="宋体" w:hAnsi="宋体" w:eastAsia="宋体" w:cs="Times New Roman"/>
          <w:color w:val="auto"/>
          <w:kern w:val="0"/>
          <w:szCs w:val="24"/>
          <w:highlight w:val="none"/>
        </w:rPr>
        <w:t>⑹分包人：指经发包人认可并与承包人签订了分包合同承建本工程部分工程的、具有相应工程施工资质的当事人，以及取得该当事人资格的合法继承人。</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⑺</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：指由发包人委托的负责本工程监理工作并取得相应工程监理资质的当事人，以及取得该当事人资格的合法继承人。</w:t>
      </w:r>
      <w:bookmarkEnd w:id="265"/>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266" w:name="_Toc34908897"/>
      <w:r>
        <w:rPr>
          <w:rFonts w:hint="eastAsia" w:ascii="宋体" w:hAnsi="宋体" w:eastAsia="宋体" w:cs="Times New Roman"/>
          <w:color w:val="auto"/>
          <w:kern w:val="0"/>
          <w:szCs w:val="24"/>
          <w:highlight w:val="none"/>
        </w:rPr>
        <w:t>⑻总监理工程师：指</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指派常驻现场履行</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职责的代表。</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⑼</w:t>
      </w:r>
      <w:r>
        <w:rPr>
          <w:rFonts w:ascii="宋体" w:hAnsi="宋体" w:eastAsia="宋体" w:cs="Times New Roman"/>
          <w:color w:val="auto"/>
          <w:kern w:val="0"/>
          <w:szCs w:val="24"/>
          <w:highlight w:val="none"/>
        </w:rPr>
        <w:t>设计人</w:t>
      </w:r>
      <w:r>
        <w:rPr>
          <w:rFonts w:hint="eastAsia" w:ascii="宋体" w:hAnsi="宋体" w:eastAsia="宋体" w:cs="Times New Roman"/>
          <w:color w:val="auto"/>
          <w:kern w:val="0"/>
          <w:szCs w:val="24"/>
          <w:highlight w:val="none"/>
        </w:rPr>
        <w:t>：指发包人委托的负责本工程设计并取得相应工程设计资质的当事人，以及取得该当事人资格的合法继承人。</w:t>
      </w:r>
      <w:bookmarkEnd w:id="266"/>
    </w:p>
    <w:p>
      <w:pPr>
        <w:widowControl w:val="0"/>
        <w:numPr>
          <w:ilvl w:val="1"/>
          <w:numId w:val="1"/>
        </w:numPr>
        <w:tabs>
          <w:tab w:val="left" w:pos="540"/>
          <w:tab w:val="left" w:pos="900"/>
          <w:tab w:val="left" w:pos="234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67" w:name="_Toc8606"/>
      <w:bookmarkStart w:id="268" w:name="_Toc26155"/>
      <w:bookmarkStart w:id="269" w:name="_Toc1341"/>
      <w:bookmarkStart w:id="270" w:name="_Toc28967"/>
      <w:bookmarkStart w:id="271" w:name="_Toc16880"/>
      <w:bookmarkStart w:id="272" w:name="_Toc302635690"/>
      <w:bookmarkStart w:id="273" w:name="_Toc27846"/>
      <w:bookmarkStart w:id="274" w:name="_Toc13446"/>
      <w:bookmarkStart w:id="275" w:name="_Toc1817"/>
      <w:bookmarkStart w:id="276" w:name="_Toc3187"/>
      <w:bookmarkStart w:id="277" w:name="_Toc305331224"/>
      <w:bookmarkStart w:id="278" w:name="_Toc34908898"/>
      <w:r>
        <w:rPr>
          <w:rFonts w:hint="eastAsia" w:ascii="宋体" w:hAnsi="宋体" w:eastAsia="宋体" w:cs="Times New Roman"/>
          <w:b/>
          <w:bCs/>
          <w:color w:val="auto"/>
          <w:kern w:val="0"/>
          <w:sz w:val="24"/>
          <w:szCs w:val="24"/>
          <w:highlight w:val="none"/>
          <w:lang w:val="en-US" w:eastAsia="zh-CN" w:bidi="ar-SA"/>
        </w:rPr>
        <w:t>合同文件</w:t>
      </w:r>
      <w:bookmarkEnd w:id="267"/>
      <w:bookmarkEnd w:id="268"/>
      <w:bookmarkEnd w:id="269"/>
      <w:bookmarkEnd w:id="270"/>
      <w:bookmarkEnd w:id="271"/>
      <w:bookmarkEnd w:id="272"/>
      <w:bookmarkEnd w:id="273"/>
      <w:bookmarkEnd w:id="274"/>
      <w:bookmarkEnd w:id="275"/>
      <w:bookmarkEnd w:id="276"/>
      <w:bookmarkEnd w:id="277"/>
    </w:p>
    <w:p>
      <w:pPr>
        <w:tabs>
          <w:tab w:val="left" w:pos="1620"/>
          <w:tab w:val="left" w:pos="2340"/>
        </w:tabs>
        <w:spacing w:after="156"/>
        <w:ind w:left="899"/>
        <w:jc w:val="left"/>
        <w:rPr>
          <w:rFonts w:ascii="宋体" w:hAnsi="宋体" w:eastAsia="宋体" w:cs="Times New Roman"/>
          <w:color w:val="auto"/>
          <w:kern w:val="0"/>
          <w:szCs w:val="24"/>
          <w:highlight w:val="none"/>
        </w:rPr>
      </w:pPr>
      <w:bookmarkStart w:id="279" w:name="_Toc34908916"/>
      <w:r>
        <w:rPr>
          <w:rFonts w:hint="eastAsia" w:ascii="宋体" w:hAnsi="宋体" w:eastAsia="宋体" w:cs="Times New Roman"/>
          <w:color w:val="auto"/>
          <w:kern w:val="0"/>
          <w:szCs w:val="24"/>
          <w:highlight w:val="none"/>
        </w:rPr>
        <w:t>⑴合同：是指由承包人进行本工程施工并提供工程保修服务，发包人支付价款，约定双方权利义务的协议。合同由通用条款第</w:t>
      </w:r>
      <w:r>
        <w:rPr>
          <w:rFonts w:ascii="宋体" w:hAnsi="宋体" w:eastAsia="宋体" w:cs="Times New Roman"/>
          <w:color w:val="auto"/>
          <w:kern w:val="0"/>
          <w:szCs w:val="24"/>
          <w:highlight w:val="none"/>
        </w:rPr>
        <w:t>2.</w:t>
      </w:r>
      <w:r>
        <w:rPr>
          <w:rFonts w:hint="eastAsia" w:ascii="宋体" w:hAnsi="宋体" w:eastAsia="宋体" w:cs="Times New Roman"/>
          <w:color w:val="auto"/>
          <w:kern w:val="0"/>
          <w:szCs w:val="24"/>
          <w:highlight w:val="none"/>
        </w:rPr>
        <w:t>1款所列的文件组成。</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⑵图纸：指由发包人按本合同约定向承包人提供的全部设计图纸、计算书和性质类似的技术资料，或由承包人提交并经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批准的所有图纸、计算书和其他性质类似的技术资料。</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⑶标准、规范：指本合同中约定的适用于本工程的技术标准、规范及其修改或补充。</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bookmarkEnd w:id="279"/>
      <w:r>
        <w:rPr>
          <w:rFonts w:hint="eastAsia" w:ascii="宋体" w:hAnsi="宋体" w:eastAsia="宋体" w:cs="Times New Roman"/>
          <w:color w:val="auto"/>
          <w:kern w:val="0"/>
          <w:szCs w:val="24"/>
          <w:highlight w:val="none"/>
        </w:rPr>
        <w:t>工程量清单：指根据图纸、技术规范，按照《建设工程工程量清单计价规范》有关格式、工程量计算规则等列出的项目名称和相应数量等的明细清单。载明分部分项工程项目、措施项目、其他项目的名称和相应数量以及规费、税金项目等内容。</w:t>
      </w:r>
    </w:p>
    <w:p>
      <w:pPr>
        <w:tabs>
          <w:tab w:val="left" w:pos="1620"/>
          <w:tab w:val="left" w:pos="2340"/>
        </w:tabs>
        <w:spacing w:after="156"/>
        <w:ind w:left="899"/>
        <w:jc w:val="left"/>
        <w:rPr>
          <w:rFonts w:ascii="宋体" w:hAnsi="宋体" w:eastAsia="宋体" w:cs="Times New Roman"/>
          <w:color w:val="auto"/>
          <w:kern w:val="0"/>
          <w:szCs w:val="24"/>
          <w:highlight w:val="none"/>
        </w:rPr>
      </w:pPr>
      <w:bookmarkStart w:id="280" w:name="_Toc34908917"/>
      <w:r>
        <w:rPr>
          <w:rFonts w:hint="eastAsia" w:ascii="宋体" w:hAnsi="宋体" w:eastAsia="宋体" w:cs="Times New Roman"/>
          <w:color w:val="auto"/>
          <w:kern w:val="0"/>
          <w:szCs w:val="24"/>
          <w:highlight w:val="none"/>
        </w:rPr>
        <w:t>⑸</w:t>
      </w:r>
      <w:bookmarkEnd w:id="280"/>
      <w:r>
        <w:rPr>
          <w:rFonts w:hint="eastAsia" w:ascii="宋体" w:hAnsi="宋体" w:eastAsia="宋体" w:cs="Times New Roman"/>
          <w:color w:val="auto"/>
          <w:kern w:val="0"/>
          <w:szCs w:val="24"/>
          <w:highlight w:val="none"/>
        </w:rPr>
        <w:t>书面形式：指合同、协议、信件和数据电文(包括电报、电传、传真、电子数据交换和电子邮件)等可以有形地表现所载内容的形式。</w:t>
      </w:r>
    </w:p>
    <w:p>
      <w:pPr>
        <w:tabs>
          <w:tab w:val="left" w:pos="1620"/>
          <w:tab w:val="left" w:pos="2340"/>
        </w:tabs>
        <w:spacing w:after="156"/>
        <w:ind w:left="899"/>
        <w:jc w:val="left"/>
        <w:rPr>
          <w:rFonts w:ascii="宋体" w:hAnsi="宋体" w:eastAsia="宋体" w:cs="Times New Roman"/>
          <w:color w:val="auto"/>
          <w:kern w:val="0"/>
          <w:szCs w:val="24"/>
          <w:highlight w:val="none"/>
        </w:rPr>
      </w:pPr>
      <w:bookmarkStart w:id="281" w:name="_Toc34908918"/>
      <w:r>
        <w:rPr>
          <w:rFonts w:hint="eastAsia" w:ascii="宋体" w:hAnsi="宋体" w:eastAsia="宋体" w:cs="Times New Roman"/>
          <w:color w:val="auto"/>
          <w:kern w:val="0"/>
          <w:szCs w:val="24"/>
          <w:highlight w:val="none"/>
        </w:rPr>
        <w:t>⑹</w:t>
      </w:r>
      <w:bookmarkEnd w:id="281"/>
      <w:r>
        <w:rPr>
          <w:rFonts w:hint="eastAsia" w:ascii="宋体" w:hAnsi="宋体" w:eastAsia="宋体" w:cs="Times New Roman"/>
          <w:color w:val="auto"/>
          <w:kern w:val="0"/>
          <w:szCs w:val="24"/>
          <w:highlight w:val="none"/>
        </w:rPr>
        <w:t>其他合同文件：是指经承发包双方约定的与工程施工有关的具有合同约束力的文件或书面协议。承发包双方可以在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中进行约定。</w:t>
      </w:r>
    </w:p>
    <w:p>
      <w:pPr>
        <w:widowControl w:val="0"/>
        <w:numPr>
          <w:ilvl w:val="1"/>
          <w:numId w:val="1"/>
        </w:numPr>
        <w:tabs>
          <w:tab w:val="left" w:pos="540"/>
          <w:tab w:val="left" w:pos="900"/>
          <w:tab w:val="left" w:pos="234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82" w:name="_Toc25197"/>
      <w:bookmarkStart w:id="283" w:name="_Toc16541"/>
      <w:bookmarkStart w:id="284" w:name="_Toc302635691"/>
      <w:bookmarkStart w:id="285" w:name="_Toc29427"/>
      <w:bookmarkStart w:id="286" w:name="_Toc305331225"/>
      <w:bookmarkStart w:id="287" w:name="_Toc14600"/>
      <w:bookmarkStart w:id="288" w:name="_Toc21216"/>
      <w:bookmarkStart w:id="289" w:name="_Toc20141"/>
      <w:bookmarkStart w:id="290" w:name="_Toc22333"/>
      <w:bookmarkStart w:id="291" w:name="_Toc17398"/>
      <w:bookmarkStart w:id="292" w:name="_Toc12608"/>
      <w:r>
        <w:rPr>
          <w:rFonts w:hint="eastAsia" w:ascii="宋体" w:hAnsi="宋体" w:eastAsia="宋体" w:cs="Times New Roman"/>
          <w:b/>
          <w:bCs/>
          <w:color w:val="auto"/>
          <w:kern w:val="0"/>
          <w:sz w:val="24"/>
          <w:szCs w:val="24"/>
          <w:highlight w:val="none"/>
          <w:lang w:val="en-US" w:eastAsia="zh-CN" w:bidi="ar-SA"/>
        </w:rPr>
        <w:t>工程、现场与装备</w:t>
      </w:r>
      <w:bookmarkEnd w:id="282"/>
      <w:bookmarkEnd w:id="283"/>
      <w:bookmarkEnd w:id="284"/>
      <w:bookmarkEnd w:id="285"/>
      <w:bookmarkEnd w:id="286"/>
      <w:bookmarkEnd w:id="287"/>
      <w:bookmarkEnd w:id="288"/>
      <w:bookmarkEnd w:id="289"/>
      <w:bookmarkEnd w:id="290"/>
      <w:bookmarkEnd w:id="291"/>
      <w:bookmarkEnd w:id="292"/>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⑴永久工程：指根据本合同约定应实施的永久性工程，包括1.3⑻款所指的设备。</w:t>
      </w:r>
      <w:bookmarkEnd w:id="278"/>
    </w:p>
    <w:p>
      <w:pPr>
        <w:tabs>
          <w:tab w:val="left" w:pos="1620"/>
          <w:tab w:val="left" w:pos="2340"/>
        </w:tabs>
        <w:spacing w:after="156"/>
        <w:ind w:left="899"/>
        <w:jc w:val="left"/>
        <w:rPr>
          <w:rFonts w:ascii="宋体" w:hAnsi="宋体" w:eastAsia="宋体" w:cs="Times New Roman"/>
          <w:color w:val="auto"/>
          <w:kern w:val="0"/>
          <w:szCs w:val="24"/>
          <w:highlight w:val="none"/>
        </w:rPr>
      </w:pPr>
      <w:bookmarkStart w:id="293" w:name="_Toc34908899"/>
      <w:r>
        <w:rPr>
          <w:rFonts w:hint="eastAsia" w:ascii="宋体" w:hAnsi="宋体" w:eastAsia="宋体" w:cs="Times New Roman"/>
          <w:color w:val="auto"/>
          <w:kern w:val="0"/>
          <w:szCs w:val="24"/>
          <w:highlight w:val="none"/>
        </w:rPr>
        <w:t>⑵临时工程：指实施和完成本工程及其缺陷的修复过程中所需的各种临时性工程，但不包括1.3⑼款所指的承包人装备。</w:t>
      </w:r>
      <w:bookmarkEnd w:id="293"/>
    </w:p>
    <w:p>
      <w:pPr>
        <w:tabs>
          <w:tab w:val="left" w:pos="1620"/>
          <w:tab w:val="left" w:pos="2340"/>
        </w:tabs>
        <w:spacing w:after="156"/>
        <w:ind w:left="899"/>
        <w:jc w:val="left"/>
        <w:rPr>
          <w:rFonts w:ascii="宋体" w:hAnsi="宋体" w:eastAsia="宋体" w:cs="Times New Roman"/>
          <w:color w:val="auto"/>
          <w:kern w:val="0"/>
          <w:szCs w:val="24"/>
          <w:highlight w:val="none"/>
        </w:rPr>
      </w:pPr>
      <w:bookmarkStart w:id="294" w:name="_Toc34908900"/>
      <w:r>
        <w:rPr>
          <w:rFonts w:hint="eastAsia" w:ascii="宋体" w:hAnsi="宋体" w:eastAsia="宋体" w:cs="Times New Roman"/>
          <w:color w:val="auto"/>
          <w:kern w:val="0"/>
          <w:szCs w:val="24"/>
          <w:highlight w:val="none"/>
        </w:rPr>
        <w:t>⑶工程：指永久工程和临时工程，或视具体情况指两者中的任何一个。</w:t>
      </w:r>
      <w:bookmarkEnd w:id="294"/>
    </w:p>
    <w:p>
      <w:pPr>
        <w:tabs>
          <w:tab w:val="left" w:pos="1620"/>
          <w:tab w:val="left" w:pos="2340"/>
        </w:tabs>
        <w:spacing w:after="156"/>
        <w:ind w:left="899"/>
        <w:jc w:val="left"/>
        <w:rPr>
          <w:rFonts w:ascii="宋体" w:hAnsi="宋体" w:eastAsia="宋体" w:cs="Times New Roman"/>
          <w:color w:val="auto"/>
          <w:kern w:val="0"/>
          <w:szCs w:val="24"/>
          <w:highlight w:val="none"/>
        </w:rPr>
      </w:pPr>
      <w:bookmarkStart w:id="295" w:name="_Toc34908901"/>
      <w:r>
        <w:rPr>
          <w:rFonts w:hint="eastAsia" w:ascii="宋体" w:hAnsi="宋体" w:eastAsia="宋体" w:cs="Times New Roman"/>
          <w:color w:val="auto"/>
          <w:kern w:val="0"/>
          <w:szCs w:val="24"/>
          <w:highlight w:val="none"/>
        </w:rPr>
        <w:t>⑷单项工程：指本工程范围内、合同约定或能单独发挥效益的某一独立工程。</w:t>
      </w:r>
      <w:bookmarkEnd w:id="295"/>
    </w:p>
    <w:p>
      <w:pPr>
        <w:tabs>
          <w:tab w:val="left" w:pos="1620"/>
          <w:tab w:val="left" w:pos="2340"/>
        </w:tabs>
        <w:spacing w:after="156"/>
        <w:ind w:left="899"/>
        <w:jc w:val="left"/>
        <w:rPr>
          <w:rFonts w:ascii="宋体" w:hAnsi="宋体" w:eastAsia="宋体" w:cs="Times New Roman"/>
          <w:color w:val="auto"/>
          <w:kern w:val="0"/>
          <w:szCs w:val="24"/>
          <w:highlight w:val="none"/>
        </w:rPr>
      </w:pPr>
      <w:bookmarkStart w:id="296" w:name="_Toc34908905"/>
      <w:bookmarkStart w:id="297" w:name="_Toc34908902"/>
      <w:r>
        <w:rPr>
          <w:rFonts w:hint="eastAsia" w:ascii="宋体" w:hAnsi="宋体" w:eastAsia="宋体" w:cs="Times New Roman"/>
          <w:color w:val="auto"/>
          <w:kern w:val="0"/>
          <w:szCs w:val="24"/>
          <w:highlight w:val="none"/>
        </w:rPr>
        <w:t>⑸现场：指由发包人提供的用于本工程施工的场地以及发包人在本合同中具体指定构成现场一部分的其他场所。</w:t>
      </w:r>
      <w:bookmarkEnd w:id="296"/>
    </w:p>
    <w:p>
      <w:pPr>
        <w:tabs>
          <w:tab w:val="left" w:pos="1620"/>
          <w:tab w:val="left" w:pos="2340"/>
        </w:tabs>
        <w:spacing w:after="156"/>
        <w:ind w:left="899"/>
        <w:jc w:val="left"/>
        <w:rPr>
          <w:rFonts w:ascii="宋体" w:hAnsi="宋体" w:eastAsia="宋体" w:cs="Times New Roman"/>
          <w:color w:val="auto"/>
          <w:kern w:val="0"/>
          <w:szCs w:val="24"/>
          <w:highlight w:val="none"/>
        </w:rPr>
      </w:pPr>
      <w:bookmarkStart w:id="298" w:name="_Toc34908906"/>
      <w:r>
        <w:rPr>
          <w:rFonts w:hint="eastAsia" w:ascii="宋体" w:hAnsi="宋体" w:eastAsia="宋体" w:cs="Times New Roman"/>
          <w:color w:val="auto"/>
          <w:kern w:val="0"/>
          <w:szCs w:val="24"/>
          <w:highlight w:val="none"/>
        </w:rPr>
        <w:t>⑹永久占地：</w:t>
      </w:r>
      <w:bookmarkEnd w:id="298"/>
      <w:r>
        <w:rPr>
          <w:rFonts w:hint="eastAsia" w:ascii="宋体" w:hAnsi="宋体" w:eastAsia="宋体" w:cs="Times New Roman"/>
          <w:color w:val="auto"/>
          <w:kern w:val="0"/>
          <w:szCs w:val="24"/>
          <w:highlight w:val="none"/>
        </w:rPr>
        <w:t>指为实施本工程而需要的长期占用的土地，具体期限以政府批准的土地使用年限为准。</w:t>
      </w:r>
    </w:p>
    <w:p>
      <w:pPr>
        <w:tabs>
          <w:tab w:val="left" w:pos="1620"/>
          <w:tab w:val="left" w:pos="2340"/>
        </w:tabs>
        <w:spacing w:after="156"/>
        <w:ind w:left="899"/>
        <w:jc w:val="left"/>
        <w:rPr>
          <w:rFonts w:ascii="宋体" w:hAnsi="宋体" w:eastAsia="宋体" w:cs="Times New Roman"/>
          <w:color w:val="auto"/>
          <w:kern w:val="0"/>
          <w:szCs w:val="24"/>
          <w:highlight w:val="none"/>
        </w:rPr>
      </w:pPr>
      <w:bookmarkStart w:id="299" w:name="_Toc34908907"/>
      <w:r>
        <w:rPr>
          <w:rFonts w:hint="eastAsia" w:ascii="宋体" w:hAnsi="宋体" w:eastAsia="宋体" w:cs="Times New Roman"/>
          <w:color w:val="auto"/>
          <w:kern w:val="0"/>
          <w:szCs w:val="24"/>
          <w:highlight w:val="none"/>
        </w:rPr>
        <w:t>⑺临时占地：指为实施本工程而需要的一切临时占用土地，包括施工所用的临时支线、便道、便桥和现场的临时出入通道，以及生产、生活等临时设施用地等。</w:t>
      </w:r>
      <w:bookmarkEnd w:id="299"/>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⑻设备：指预定构成或构成永久工程一部分的机械、仪器、装置。</w:t>
      </w:r>
      <w:bookmarkEnd w:id="297"/>
    </w:p>
    <w:p>
      <w:pPr>
        <w:tabs>
          <w:tab w:val="left" w:pos="1620"/>
          <w:tab w:val="left" w:pos="2340"/>
        </w:tabs>
        <w:spacing w:after="156"/>
        <w:ind w:left="899"/>
        <w:jc w:val="left"/>
        <w:rPr>
          <w:rFonts w:ascii="宋体" w:hAnsi="宋体" w:eastAsia="宋体" w:cs="Times New Roman"/>
          <w:color w:val="auto"/>
          <w:kern w:val="0"/>
          <w:szCs w:val="24"/>
          <w:highlight w:val="none"/>
        </w:rPr>
      </w:pPr>
      <w:bookmarkStart w:id="300" w:name="_Toc34908903"/>
      <w:r>
        <w:rPr>
          <w:rFonts w:hint="eastAsia" w:ascii="宋体" w:hAnsi="宋体" w:eastAsia="宋体" w:cs="Times New Roman"/>
          <w:color w:val="auto"/>
          <w:kern w:val="0"/>
          <w:szCs w:val="24"/>
          <w:highlight w:val="none"/>
        </w:rPr>
        <w:t>⑼承包人装备：指属承包人所有(或租赁)的，为实施和完成本工程及其缺陷修复所需的机械、器具或物品。</w:t>
      </w:r>
      <w:bookmarkEnd w:id="300"/>
    </w:p>
    <w:p>
      <w:pPr>
        <w:widowControl w:val="0"/>
        <w:numPr>
          <w:ilvl w:val="1"/>
          <w:numId w:val="1"/>
        </w:numPr>
        <w:tabs>
          <w:tab w:val="left" w:pos="540"/>
          <w:tab w:val="left" w:pos="900"/>
          <w:tab w:val="left" w:pos="234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301" w:name="_Toc24985"/>
      <w:bookmarkStart w:id="302" w:name="_Toc14483"/>
      <w:bookmarkStart w:id="303" w:name="_Toc707"/>
      <w:bookmarkStart w:id="304" w:name="_Toc305331226"/>
      <w:bookmarkStart w:id="305" w:name="_Toc735"/>
      <w:bookmarkStart w:id="306" w:name="_Toc9109"/>
      <w:bookmarkStart w:id="307" w:name="_Toc302635692"/>
      <w:bookmarkStart w:id="308" w:name="_Toc5518"/>
      <w:bookmarkStart w:id="309" w:name="_Toc25323"/>
      <w:bookmarkStart w:id="310" w:name="_Toc21333"/>
      <w:bookmarkStart w:id="311" w:name="_Toc20917"/>
      <w:bookmarkStart w:id="312" w:name="_Toc34908908"/>
      <w:r>
        <w:rPr>
          <w:rFonts w:hint="eastAsia" w:ascii="宋体" w:hAnsi="宋体" w:eastAsia="宋体" w:cs="Times New Roman"/>
          <w:b/>
          <w:bCs/>
          <w:color w:val="auto"/>
          <w:kern w:val="0"/>
          <w:sz w:val="24"/>
          <w:szCs w:val="24"/>
          <w:highlight w:val="none"/>
          <w:lang w:val="en-US" w:eastAsia="zh-CN" w:bidi="ar-SA"/>
        </w:rPr>
        <w:t>合同价格与费用</w:t>
      </w:r>
      <w:bookmarkEnd w:id="301"/>
      <w:bookmarkEnd w:id="302"/>
      <w:bookmarkEnd w:id="303"/>
      <w:bookmarkEnd w:id="304"/>
      <w:bookmarkEnd w:id="305"/>
      <w:bookmarkEnd w:id="306"/>
      <w:bookmarkEnd w:id="307"/>
      <w:bookmarkEnd w:id="308"/>
      <w:bookmarkEnd w:id="309"/>
      <w:bookmarkEnd w:id="310"/>
      <w:bookmarkEnd w:id="311"/>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⑴签约合同价：指在中标通知书和合同协议书中写明的，承包人按合同约定实施和完成本工程及其缺陷的修复应得到的价款。</w:t>
      </w:r>
      <w:bookmarkEnd w:id="312"/>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⑵合同价格：指发包人用于支付承包人按照合同约定完成承包范围内全部工作的金额，包括合同履行过程中按合同约定发生的价格变化。</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⑶费用：指为履行合同所发生的或将要发生的所有必需的开支，包括管理费和应分摊的其他费用，但不包括利润。</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⑷计日工：承包人在本合同履行过程中依发包人要求所完成的施工图纸以外的零星项目或工作。</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⑸现场签证：发包人和承包人双方对其在本合同履行过程中涉及的相关责任事件所作的签认证明。</w:t>
      </w:r>
    </w:p>
    <w:p>
      <w:pPr>
        <w:tabs>
          <w:tab w:val="left" w:pos="1620"/>
          <w:tab w:val="left" w:pos="2340"/>
        </w:tabs>
        <w:spacing w:after="156"/>
        <w:ind w:left="899"/>
        <w:jc w:val="left"/>
        <w:rPr>
          <w:rFonts w:ascii="宋体" w:hAnsi="宋体" w:eastAsia="宋体" w:cs="Times New Roman"/>
          <w:color w:val="auto"/>
          <w:kern w:val="0"/>
          <w:szCs w:val="24"/>
          <w:highlight w:val="none"/>
        </w:rPr>
      </w:pPr>
      <w:bookmarkStart w:id="313" w:name="_Toc34908909"/>
      <w:r>
        <w:rPr>
          <w:rFonts w:hint="eastAsia" w:ascii="宋体" w:hAnsi="宋体" w:eastAsia="宋体" w:cs="Times New Roman"/>
          <w:color w:val="auto"/>
          <w:kern w:val="0"/>
          <w:szCs w:val="24"/>
          <w:highlight w:val="none"/>
        </w:rPr>
        <w:t>⑹</w:t>
      </w:r>
      <w:bookmarkEnd w:id="313"/>
      <w:r>
        <w:rPr>
          <w:rFonts w:hint="eastAsia" w:ascii="宋体" w:hAnsi="宋体" w:eastAsia="宋体" w:cs="Times New Roman"/>
          <w:color w:val="auto"/>
          <w:kern w:val="0"/>
          <w:szCs w:val="24"/>
          <w:highlight w:val="none"/>
        </w:rPr>
        <w:t>质量保证金：指承包人用于保证其在缺陷责任期内履行缺陷修补义务的担保。</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314" w:name="_Toc617"/>
      <w:bookmarkStart w:id="315" w:name="_Toc305331227"/>
      <w:bookmarkStart w:id="316" w:name="_Toc302635693"/>
      <w:bookmarkStart w:id="317" w:name="_Toc34908910"/>
      <w:r>
        <w:rPr>
          <w:rFonts w:hint="eastAsia" w:ascii="宋体" w:hAnsi="宋体" w:eastAsia="宋体" w:cs="Times New Roman"/>
          <w:color w:val="auto"/>
          <w:kern w:val="0"/>
          <w:szCs w:val="24"/>
          <w:highlight w:val="none"/>
        </w:rPr>
        <w:t>⑺过程结算：指项目实施过程中，发承包双方依据本合同，对结算周期内完成的工程内容开展工程价款计算、调整、确认及支付等的活动。</w:t>
      </w:r>
    </w:p>
    <w:p>
      <w:pPr>
        <w:widowControl w:val="0"/>
        <w:numPr>
          <w:ilvl w:val="1"/>
          <w:numId w:val="1"/>
        </w:numPr>
        <w:tabs>
          <w:tab w:val="left" w:pos="540"/>
          <w:tab w:val="left" w:pos="900"/>
          <w:tab w:val="left" w:pos="234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318" w:name="_Toc8215"/>
      <w:bookmarkStart w:id="319" w:name="_Toc28629"/>
      <w:bookmarkStart w:id="320" w:name="_Toc7036"/>
      <w:bookmarkStart w:id="321" w:name="_Toc5859"/>
      <w:bookmarkStart w:id="322" w:name="_Toc26726"/>
      <w:bookmarkStart w:id="323" w:name="_Toc23408"/>
      <w:bookmarkStart w:id="324" w:name="_Toc5422"/>
      <w:bookmarkStart w:id="325" w:name="_Toc13524"/>
      <w:r>
        <w:rPr>
          <w:rFonts w:hint="eastAsia" w:ascii="宋体" w:hAnsi="宋体" w:eastAsia="宋体" w:cs="Times New Roman"/>
          <w:b/>
          <w:bCs/>
          <w:color w:val="auto"/>
          <w:kern w:val="0"/>
          <w:sz w:val="24"/>
          <w:szCs w:val="24"/>
          <w:highlight w:val="none"/>
          <w:lang w:val="en-US" w:eastAsia="zh-CN" w:bidi="ar-SA"/>
        </w:rPr>
        <w:t>施工工期</w:t>
      </w:r>
      <w:bookmarkEnd w:id="314"/>
      <w:bookmarkEnd w:id="315"/>
      <w:bookmarkEnd w:id="316"/>
      <w:bookmarkEnd w:id="318"/>
      <w:bookmarkEnd w:id="319"/>
      <w:bookmarkEnd w:id="320"/>
      <w:bookmarkEnd w:id="321"/>
      <w:bookmarkEnd w:id="322"/>
      <w:bookmarkEnd w:id="323"/>
      <w:bookmarkEnd w:id="324"/>
      <w:bookmarkEnd w:id="325"/>
    </w:p>
    <w:bookmarkEnd w:id="317"/>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326" w:name="_Toc34908911"/>
      <w:r>
        <w:rPr>
          <w:rFonts w:hint="eastAsia" w:ascii="宋体" w:hAnsi="宋体" w:eastAsia="宋体" w:cs="Times New Roman"/>
          <w:color w:val="auto"/>
          <w:kern w:val="0"/>
          <w:szCs w:val="24"/>
          <w:highlight w:val="none"/>
        </w:rPr>
        <w:t>⑴计划开工日期：指发包人和承包人在本合同协议书中约定，承包人开始本工程施工的绝对或相对的日期。</w:t>
      </w:r>
      <w:bookmarkEnd w:id="326"/>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bookmarkStart w:id="327" w:name="_Toc34908912"/>
      <w:r>
        <w:rPr>
          <w:rFonts w:hint="eastAsia" w:ascii="宋体" w:hAnsi="宋体" w:eastAsia="宋体" w:cs="Times New Roman"/>
          <w:color w:val="auto"/>
          <w:kern w:val="0"/>
          <w:szCs w:val="24"/>
          <w:highlight w:val="none"/>
        </w:rPr>
        <w:t>计划竣工日期：指发包人和承包人在本合同协议书中约定，承包人完成本工程施工的绝对或相对的日期。</w:t>
      </w:r>
      <w:bookmarkEnd w:id="327"/>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bookmarkStart w:id="328" w:name="_Toc34908914"/>
      <w:r>
        <w:rPr>
          <w:rFonts w:hint="eastAsia" w:ascii="宋体" w:hAnsi="宋体" w:eastAsia="宋体" w:cs="Times New Roman"/>
          <w:color w:val="auto"/>
          <w:kern w:val="0"/>
          <w:szCs w:val="24"/>
          <w:highlight w:val="none"/>
        </w:rPr>
        <w:t>合同工期：指发包人和承包人在本合同协议书中约定的，按总日历天数(包括法定节假日)计算的从开工日期至竣工日期的天数。</w:t>
      </w:r>
      <w:bookmarkEnd w:id="328"/>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⑷定额工期：指按《深圳市建设工程施工工期定额》计算的本工程工期。《深圳市建设工程施工工期定额》缺项的专业工程，其定额工期由发包人组织专家论证评审确定。</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⑸实际开工日期：指工程具备开工条件，</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向承包人发出开工通知书中指令的开始本工程施工的日期。</w:t>
      </w:r>
    </w:p>
    <w:p>
      <w:pPr>
        <w:tabs>
          <w:tab w:val="left" w:pos="1620"/>
          <w:tab w:val="left" w:pos="2340"/>
        </w:tabs>
        <w:spacing w:after="156"/>
        <w:ind w:left="899"/>
        <w:jc w:val="left"/>
        <w:rPr>
          <w:rFonts w:ascii="宋体" w:hAnsi="宋体" w:eastAsia="宋体" w:cs="Times New Roman"/>
          <w:color w:val="auto"/>
          <w:kern w:val="0"/>
          <w:szCs w:val="24"/>
          <w:highlight w:val="none"/>
        </w:rPr>
      </w:pPr>
      <w:bookmarkStart w:id="329" w:name="_Toc34908913"/>
      <w:r>
        <w:rPr>
          <w:rFonts w:hint="eastAsia" w:ascii="宋体" w:hAnsi="宋体" w:eastAsia="宋体" w:cs="Times New Roman"/>
          <w:color w:val="auto"/>
          <w:kern w:val="0"/>
          <w:szCs w:val="24"/>
          <w:highlight w:val="none"/>
        </w:rPr>
        <w:t>⑹实际竣工日期：指承包人按本合同约定承包范围和质量要求完成本工程施工并通过竣工验收的日期。</w:t>
      </w:r>
      <w:bookmarkEnd w:id="329"/>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330" w:name="_Toc34908915"/>
      <w:r>
        <w:rPr>
          <w:rFonts w:hint="eastAsia" w:ascii="宋体" w:hAnsi="宋体" w:eastAsia="宋体" w:cs="Times New Roman"/>
          <w:color w:val="auto"/>
          <w:kern w:val="0"/>
          <w:szCs w:val="24"/>
          <w:highlight w:val="none"/>
        </w:rPr>
        <w:t>⑺实际工期：指按总日历天数(包括法定节假日)计算的从实际开工日期至实际竣工日期的天数。</w:t>
      </w:r>
      <w:bookmarkEnd w:id="330"/>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⑻交接证书：指本工程或本合同中约定有单独工期的单项工程竣工后，发包人和承包人进行本工程移交所签发的证书。</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⑼缺陷责任期：是指承包人按照合同约定承担缺陷修复义务，且发包人预留质量保证金的期限，自工程实际竣工日期起计算。</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⑽保修期：是指承包人按照合同约定对工程承担保修责任的期限，从工程竣工验收合格之日起计算。</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⑾基准日期：</w:t>
      </w:r>
      <w:r>
        <w:rPr>
          <w:rFonts w:ascii="宋体" w:hAnsi="宋体" w:eastAsia="宋体" w:cs="Times New Roman"/>
          <w:color w:val="auto"/>
          <w:kern w:val="0"/>
          <w:szCs w:val="24"/>
          <w:highlight w:val="none"/>
        </w:rPr>
        <w:t>以投标截止日前28天的日期为基准日</w:t>
      </w:r>
      <w:r>
        <w:rPr>
          <w:rFonts w:hint="eastAsia" w:ascii="宋体" w:hAnsi="宋体" w:eastAsia="宋体" w:cs="Times New Roman"/>
          <w:color w:val="auto"/>
          <w:kern w:val="0"/>
          <w:szCs w:val="24"/>
          <w:highlight w:val="none"/>
        </w:rPr>
        <w:t>期</w:t>
      </w:r>
      <w:r>
        <w:rPr>
          <w:rFonts w:ascii="宋体" w:hAnsi="宋体" w:eastAsia="宋体" w:cs="Times New Roman"/>
          <w:color w:val="auto"/>
          <w:kern w:val="0"/>
          <w:szCs w:val="24"/>
          <w:highlight w:val="none"/>
        </w:rPr>
        <w:t>。</w:t>
      </w:r>
    </w:p>
    <w:p>
      <w:pPr>
        <w:widowControl w:val="0"/>
        <w:numPr>
          <w:ilvl w:val="1"/>
          <w:numId w:val="1"/>
        </w:numPr>
        <w:tabs>
          <w:tab w:val="left" w:pos="540"/>
          <w:tab w:val="left" w:pos="900"/>
          <w:tab w:val="left" w:pos="234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331" w:name="_Toc4253"/>
      <w:bookmarkStart w:id="332" w:name="_Toc22420"/>
      <w:bookmarkStart w:id="333" w:name="_Toc2166"/>
      <w:bookmarkStart w:id="334" w:name="_Toc302635694"/>
      <w:bookmarkStart w:id="335" w:name="_Toc305331228"/>
      <w:bookmarkStart w:id="336" w:name="_Toc776"/>
      <w:bookmarkStart w:id="337" w:name="_Toc32018"/>
      <w:bookmarkStart w:id="338" w:name="_Toc13142"/>
      <w:bookmarkStart w:id="339" w:name="_Toc24346"/>
      <w:bookmarkStart w:id="340" w:name="_Toc18730"/>
      <w:bookmarkStart w:id="341" w:name="_Toc1160"/>
      <w:bookmarkStart w:id="342" w:name="_Toc34908921"/>
      <w:r>
        <w:rPr>
          <w:rFonts w:hint="eastAsia" w:ascii="宋体" w:hAnsi="宋体" w:eastAsia="宋体" w:cs="Times New Roman"/>
          <w:b/>
          <w:bCs/>
          <w:color w:val="auto"/>
          <w:kern w:val="0"/>
          <w:sz w:val="24"/>
          <w:szCs w:val="24"/>
          <w:highlight w:val="none"/>
          <w:lang w:val="en-US" w:eastAsia="zh-CN" w:bidi="ar-SA"/>
        </w:rPr>
        <w:t>其它</w:t>
      </w:r>
      <w:bookmarkEnd w:id="331"/>
      <w:bookmarkEnd w:id="332"/>
      <w:bookmarkEnd w:id="333"/>
      <w:bookmarkEnd w:id="334"/>
      <w:bookmarkEnd w:id="335"/>
      <w:bookmarkEnd w:id="336"/>
      <w:bookmarkEnd w:id="337"/>
      <w:bookmarkEnd w:id="338"/>
      <w:bookmarkEnd w:id="339"/>
      <w:bookmarkEnd w:id="340"/>
      <w:bookmarkEnd w:id="341"/>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⑴违约责任：指合同一方不履行合同义务或履行合同义务不符合约定所应承担的责任。</w:t>
      </w:r>
      <w:bookmarkEnd w:id="342"/>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343" w:name="_Toc34908922"/>
      <w:r>
        <w:rPr>
          <w:rFonts w:hint="eastAsia" w:ascii="宋体" w:hAnsi="宋体" w:eastAsia="宋体" w:cs="Times New Roman"/>
          <w:color w:val="auto"/>
          <w:kern w:val="0"/>
          <w:szCs w:val="24"/>
          <w:highlight w:val="none"/>
        </w:rPr>
        <w:t>⑵索赔：指在合同履行过程中，对于并非自己的过错、而应由对方承担责任的情况造成的损失，向对方提出经济补偿和</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或</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工期顺延的要求。</w:t>
      </w:r>
      <w:bookmarkEnd w:id="343"/>
    </w:p>
    <w:p>
      <w:pPr>
        <w:tabs>
          <w:tab w:val="left" w:pos="1620"/>
          <w:tab w:val="left" w:pos="2340"/>
        </w:tabs>
        <w:spacing w:after="156"/>
        <w:ind w:left="899"/>
        <w:jc w:val="left"/>
        <w:rPr>
          <w:rFonts w:ascii="宋体" w:hAnsi="宋体" w:eastAsia="宋体" w:cs="Times New Roman"/>
          <w:color w:val="auto"/>
          <w:kern w:val="0"/>
          <w:szCs w:val="24"/>
          <w:highlight w:val="none"/>
        </w:rPr>
      </w:pPr>
      <w:bookmarkStart w:id="344" w:name="_Toc34908923"/>
      <w:r>
        <w:rPr>
          <w:rFonts w:hint="eastAsia" w:ascii="宋体" w:hAnsi="宋体" w:eastAsia="宋体" w:cs="Times New Roman"/>
          <w:color w:val="auto"/>
          <w:kern w:val="0"/>
          <w:szCs w:val="24"/>
          <w:highlight w:val="none"/>
        </w:rPr>
        <w:t>⑶不可抗力：发包人和承包人在合同签订时不能预见、对其发生的后果不能避免，并且不能克服的自然灾害和社会性突发事件。</w:t>
      </w:r>
      <w:bookmarkEnd w:id="344"/>
    </w:p>
    <w:p>
      <w:pPr>
        <w:tabs>
          <w:tab w:val="left" w:pos="1620"/>
          <w:tab w:val="left" w:pos="2340"/>
        </w:tabs>
        <w:spacing w:after="156"/>
        <w:ind w:left="899"/>
        <w:jc w:val="left"/>
        <w:rPr>
          <w:rFonts w:ascii="宋体" w:hAnsi="宋体" w:eastAsia="宋体" w:cs="Times New Roman"/>
          <w:color w:val="auto"/>
          <w:kern w:val="0"/>
          <w:szCs w:val="24"/>
          <w:highlight w:val="none"/>
        </w:rPr>
      </w:pPr>
      <w:bookmarkStart w:id="345" w:name="_Toc34908924"/>
      <w:r>
        <w:rPr>
          <w:rFonts w:hint="eastAsia" w:ascii="宋体" w:hAnsi="宋体" w:eastAsia="宋体" w:cs="Times New Roman"/>
          <w:color w:val="auto"/>
          <w:kern w:val="0"/>
          <w:szCs w:val="24"/>
          <w:highlight w:val="none"/>
        </w:rPr>
        <w:t>⑷小时或天：合同中约定按小时计算时间的，从事件有效开始时计算(不扣除休息时间)；约定按天计算时间的，开始当天不计入，从次日开始计算。时限的最后一天是法定节假日的，以节假日次日为时限的最后一天，但竣工日期除外。时限的最后一天的截止时间为当日24时。</w:t>
      </w:r>
      <w:bookmarkEnd w:id="345"/>
    </w:p>
    <w:p>
      <w:pPr>
        <w:tabs>
          <w:tab w:val="left" w:pos="1620"/>
          <w:tab w:val="left" w:pos="2340"/>
        </w:tabs>
        <w:spacing w:after="156"/>
        <w:ind w:left="899"/>
        <w:jc w:val="left"/>
        <w:rPr>
          <w:rFonts w:ascii="宋体" w:hAnsi="宋体" w:eastAsia="宋体" w:cs="Times New Roman"/>
          <w:color w:val="auto"/>
          <w:kern w:val="0"/>
          <w:szCs w:val="24"/>
          <w:highlight w:val="none"/>
        </w:rPr>
      </w:pPr>
      <w:bookmarkStart w:id="346" w:name="_Toc34908925"/>
      <w:r>
        <w:rPr>
          <w:rFonts w:hint="eastAsia" w:ascii="宋体" w:hAnsi="宋体" w:eastAsia="宋体" w:cs="Times New Roman"/>
          <w:color w:val="auto"/>
          <w:kern w:val="0"/>
          <w:szCs w:val="24"/>
          <w:highlight w:val="none"/>
        </w:rPr>
        <w:t>⑸法定节假日：指星期六、星期天及国家法定的其它节假日。</w:t>
      </w:r>
      <w:bookmarkEnd w:id="346"/>
    </w:p>
    <w:p>
      <w:pPr>
        <w:widowControl w:val="0"/>
        <w:numPr>
          <w:ilvl w:val="1"/>
          <w:numId w:val="1"/>
        </w:numPr>
        <w:tabs>
          <w:tab w:val="left" w:pos="540"/>
          <w:tab w:val="left" w:pos="900"/>
          <w:tab w:val="left" w:pos="234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347" w:name="_Toc3476"/>
      <w:bookmarkStart w:id="348" w:name="_Toc305331229"/>
      <w:bookmarkStart w:id="349" w:name="_Toc302635695"/>
      <w:bookmarkStart w:id="350" w:name="_Toc24821"/>
      <w:bookmarkStart w:id="351" w:name="_Toc594"/>
      <w:bookmarkStart w:id="352" w:name="_Toc3711"/>
      <w:bookmarkStart w:id="353" w:name="_Toc15073"/>
      <w:bookmarkStart w:id="354" w:name="_Toc27199"/>
      <w:bookmarkStart w:id="355" w:name="_Toc28056"/>
      <w:bookmarkStart w:id="356" w:name="_Toc23936"/>
      <w:bookmarkStart w:id="357" w:name="_Toc7170"/>
      <w:bookmarkStart w:id="358" w:name="_Toc34908927"/>
      <w:r>
        <w:rPr>
          <w:rFonts w:hint="eastAsia" w:ascii="宋体" w:hAnsi="宋体" w:eastAsia="宋体" w:cs="Times New Roman"/>
          <w:b/>
          <w:bCs/>
          <w:color w:val="auto"/>
          <w:kern w:val="0"/>
          <w:sz w:val="24"/>
          <w:szCs w:val="24"/>
          <w:highlight w:val="none"/>
          <w:lang w:val="en-US" w:eastAsia="zh-CN" w:bidi="ar-SA"/>
        </w:rPr>
        <w:t>标题</w:t>
      </w:r>
      <w:bookmarkEnd w:id="347"/>
      <w:bookmarkEnd w:id="348"/>
      <w:bookmarkEnd w:id="349"/>
      <w:bookmarkEnd w:id="350"/>
      <w:bookmarkEnd w:id="351"/>
      <w:bookmarkEnd w:id="352"/>
      <w:bookmarkEnd w:id="353"/>
      <w:bookmarkEnd w:id="354"/>
      <w:bookmarkEnd w:id="355"/>
      <w:bookmarkEnd w:id="356"/>
      <w:bookmarkEnd w:id="357"/>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本合同条款的标题不视为合同条款或合同本身的一部分，在解释及推定合同条款时，不列入考虑。</w:t>
      </w:r>
      <w:bookmarkEnd w:id="358"/>
    </w:p>
    <w:p>
      <w:pPr>
        <w:widowControl w:val="0"/>
        <w:numPr>
          <w:ilvl w:val="1"/>
          <w:numId w:val="1"/>
        </w:numPr>
        <w:tabs>
          <w:tab w:val="left" w:pos="540"/>
          <w:tab w:val="left" w:pos="900"/>
          <w:tab w:val="left" w:pos="234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359" w:name="_Toc32326"/>
      <w:bookmarkStart w:id="360" w:name="_Toc34908928"/>
      <w:bookmarkStart w:id="361" w:name="_Toc20292"/>
      <w:bookmarkStart w:id="362" w:name="_Toc26422"/>
      <w:bookmarkStart w:id="363" w:name="_Toc35656458"/>
      <w:bookmarkStart w:id="364" w:name="_Toc23300"/>
      <w:bookmarkStart w:id="365" w:name="_Toc305331230"/>
      <w:bookmarkStart w:id="366" w:name="_Toc8311"/>
      <w:bookmarkStart w:id="367" w:name="_Toc15570"/>
      <w:bookmarkStart w:id="368" w:name="_Toc30709"/>
      <w:bookmarkStart w:id="369" w:name="_Toc302635696"/>
      <w:bookmarkStart w:id="370" w:name="_Toc35656958"/>
      <w:bookmarkStart w:id="371" w:name="_Toc10220"/>
      <w:bookmarkStart w:id="372" w:name="_Toc25665"/>
      <w:r>
        <w:rPr>
          <w:rFonts w:hint="eastAsia" w:ascii="宋体" w:hAnsi="宋体" w:eastAsia="宋体" w:cs="Times New Roman"/>
          <w:b/>
          <w:bCs/>
          <w:color w:val="auto"/>
          <w:kern w:val="0"/>
          <w:sz w:val="24"/>
          <w:szCs w:val="24"/>
          <w:highlight w:val="none"/>
          <w:lang w:val="en-US" w:eastAsia="zh-CN" w:bidi="ar-SA"/>
        </w:rPr>
        <w:t>书面形式</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373" w:name="_Toc34908929"/>
      <w:r>
        <w:rPr>
          <w:rFonts w:hint="eastAsia" w:ascii="宋体" w:hAnsi="宋体" w:eastAsia="宋体" w:cs="Times New Roman"/>
          <w:color w:val="auto"/>
          <w:kern w:val="0"/>
          <w:szCs w:val="24"/>
          <w:highlight w:val="none"/>
        </w:rPr>
        <w:t>⑴本合同另有约定外，在合同履行过程中承发包双方发出或发布的任何通知、指令，均应是书面的，收件方应在回执上签署姓名和收到时间</w:t>
      </w:r>
      <w:bookmarkEnd w:id="373"/>
      <w:r>
        <w:rPr>
          <w:rFonts w:hint="eastAsia" w:ascii="宋体" w:hAnsi="宋体" w:eastAsia="宋体" w:cs="Times New Roman"/>
          <w:color w:val="auto"/>
          <w:kern w:val="0"/>
          <w:szCs w:val="24"/>
          <w:highlight w:val="none"/>
        </w:rPr>
        <w:t>，不应无理扣压或拖延。</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⑵本合同在签订过程中应由打印形成，除承发包双方的法定代表人或授权代表签名外，如需手写的，所有手写部分必须由同一人手写。发包人和承包人应共同指定填写人，并在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中明确填写人的姓名和身份证号码。</w:t>
      </w:r>
    </w:p>
    <w:p>
      <w:pPr>
        <w:keepNext w:val="0"/>
        <w:keepLines w:val="0"/>
        <w:widowControl w:val="0"/>
        <w:numPr>
          <w:ilvl w:val="0"/>
          <w:numId w:val="1"/>
        </w:numPr>
        <w:tabs>
          <w:tab w:val="left" w:pos="540"/>
          <w:tab w:val="left" w:pos="1620"/>
          <w:tab w:val="left" w:pos="2340"/>
          <w:tab w:val="clear"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374" w:name="_Toc22192"/>
      <w:bookmarkStart w:id="375" w:name="_Toc22878"/>
      <w:bookmarkStart w:id="376" w:name="_Toc13294"/>
      <w:bookmarkStart w:id="377" w:name="_Toc410"/>
      <w:bookmarkStart w:id="378" w:name="_Toc25889"/>
      <w:bookmarkStart w:id="379" w:name="_Toc302635697"/>
      <w:bookmarkStart w:id="380" w:name="_Toc2558"/>
      <w:bookmarkStart w:id="381" w:name="_Toc13730"/>
      <w:bookmarkStart w:id="382" w:name="_Toc31920"/>
      <w:bookmarkStart w:id="383" w:name="_Toc12905"/>
      <w:r>
        <w:rPr>
          <w:rFonts w:hint="eastAsia" w:ascii="华文细黑" w:hAnsi="宋体" w:eastAsia="宋体" w:cs="Times New Roman"/>
          <w:b/>
          <w:bCs/>
          <w:snapToGrid w:val="0"/>
          <w:color w:val="auto"/>
          <w:kern w:val="0"/>
          <w:sz w:val="28"/>
          <w:szCs w:val="44"/>
          <w:highlight w:val="none"/>
          <w:lang w:val="en-US" w:eastAsia="zh-CN" w:bidi="ar-SA"/>
        </w:rPr>
        <w:t>一般约定</w:t>
      </w:r>
      <w:bookmarkEnd w:id="374"/>
      <w:bookmarkEnd w:id="375"/>
      <w:bookmarkEnd w:id="376"/>
      <w:bookmarkEnd w:id="377"/>
      <w:bookmarkEnd w:id="378"/>
      <w:bookmarkEnd w:id="379"/>
      <w:bookmarkEnd w:id="380"/>
      <w:bookmarkEnd w:id="381"/>
      <w:bookmarkEnd w:id="382"/>
      <w:bookmarkEnd w:id="383"/>
    </w:p>
    <w:p>
      <w:pPr>
        <w:widowControl w:val="0"/>
        <w:numPr>
          <w:ilvl w:val="1"/>
          <w:numId w:val="2"/>
        </w:numPr>
        <w:tabs>
          <w:tab w:val="left" w:pos="540"/>
          <w:tab w:val="left" w:pos="576"/>
          <w:tab w:val="left" w:pos="900"/>
          <w:tab w:val="left" w:pos="234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384" w:name="_Toc27725"/>
      <w:bookmarkStart w:id="385" w:name="_Toc302635698"/>
      <w:bookmarkStart w:id="386" w:name="_Toc14287"/>
      <w:bookmarkStart w:id="387" w:name="_Toc34908931"/>
      <w:bookmarkStart w:id="388" w:name="_Toc29594"/>
      <w:bookmarkStart w:id="389" w:name="_Toc305331232"/>
      <w:bookmarkStart w:id="390" w:name="_Toc21264"/>
      <w:bookmarkStart w:id="391" w:name="_Toc22149"/>
      <w:bookmarkStart w:id="392" w:name="_Toc3522"/>
      <w:bookmarkStart w:id="393" w:name="_Toc35656460"/>
      <w:bookmarkStart w:id="394" w:name="_Toc2099"/>
      <w:bookmarkStart w:id="395" w:name="_Toc35656960"/>
      <w:bookmarkStart w:id="396" w:name="_Toc3874"/>
      <w:bookmarkStart w:id="397" w:name="_Toc12493"/>
      <w:r>
        <w:rPr>
          <w:rFonts w:hint="eastAsia" w:ascii="宋体" w:hAnsi="宋体" w:eastAsia="宋体" w:cs="Times New Roman"/>
          <w:b/>
          <w:bCs/>
          <w:color w:val="auto"/>
          <w:kern w:val="0"/>
          <w:sz w:val="24"/>
          <w:szCs w:val="24"/>
          <w:highlight w:val="none"/>
          <w:lang w:val="en-US" w:eastAsia="zh-CN" w:bidi="ar-SA"/>
        </w:rPr>
        <w:t>合同文件组成及解释顺序</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tabs>
          <w:tab w:val="left" w:pos="1620"/>
          <w:tab w:val="left" w:pos="2340"/>
        </w:tabs>
        <w:ind w:left="899"/>
        <w:jc w:val="left"/>
        <w:rPr>
          <w:rFonts w:ascii="宋体" w:hAnsi="宋体" w:eastAsia="宋体" w:cs="Times New Roman"/>
          <w:color w:val="auto"/>
          <w:kern w:val="0"/>
          <w:szCs w:val="24"/>
          <w:highlight w:val="none"/>
        </w:rPr>
      </w:pPr>
      <w:bookmarkStart w:id="398" w:name="_Toc34908932"/>
      <w:r>
        <w:rPr>
          <w:rFonts w:ascii="宋体" w:hAnsi="宋体" w:eastAsia="宋体" w:cs="Times New Roman"/>
          <w:color w:val="auto"/>
          <w:kern w:val="0"/>
          <w:szCs w:val="24"/>
          <w:highlight w:val="none"/>
        </w:rPr>
        <w:t>在合同订立及履行过程中形成的与合同有关的文件均构成合同文件组成部分。</w:t>
      </w:r>
      <w:r>
        <w:rPr>
          <w:rFonts w:hint="eastAsia" w:ascii="宋体" w:hAnsi="宋体" w:eastAsia="宋体" w:cs="Times New Roman"/>
          <w:color w:val="auto"/>
          <w:kern w:val="0"/>
          <w:szCs w:val="24"/>
          <w:highlight w:val="none"/>
        </w:rPr>
        <w:t>组成合同的各个文件应该是一个整体，彼此相互解释，互为说明。本合同组成文件及优先解释顺序如下：</w:t>
      </w:r>
      <w:bookmarkEnd w:id="398"/>
    </w:p>
    <w:p>
      <w:pPr>
        <w:tabs>
          <w:tab w:val="left" w:pos="1620"/>
          <w:tab w:val="left" w:pos="2340"/>
        </w:tabs>
        <w:ind w:left="899"/>
        <w:jc w:val="left"/>
        <w:rPr>
          <w:rFonts w:hint="eastAsia" w:ascii="宋体" w:hAnsi="宋体" w:eastAsia="宋体" w:cs="Times New Roman"/>
          <w:color w:val="auto"/>
          <w:kern w:val="0"/>
          <w:szCs w:val="24"/>
          <w:highlight w:val="none"/>
        </w:rPr>
      </w:pPr>
      <w:bookmarkStart w:id="399" w:name="_Toc34908933"/>
      <w:r>
        <w:rPr>
          <w:rFonts w:hint="eastAsia" w:ascii="宋体" w:hAnsi="宋体" w:eastAsia="宋体" w:cs="Times New Roman"/>
          <w:color w:val="auto"/>
          <w:kern w:val="0"/>
          <w:szCs w:val="24"/>
          <w:highlight w:val="none"/>
        </w:rPr>
        <w:t>⑴本合同签订后双方新签订的补充协议；</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⑵合同协议书；</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⑶中标通知书及其附件；</w:t>
      </w:r>
      <w:r>
        <w:rPr>
          <w:rFonts w:ascii="宋体" w:hAnsi="宋体" w:eastAsia="宋体" w:cs="Times New Roman"/>
          <w:color w:val="auto"/>
          <w:kern w:val="0"/>
          <w:szCs w:val="24"/>
          <w:highlight w:val="none"/>
        </w:rPr>
        <w:t xml:space="preserve"> </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⑷合同补充条款；</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⑸合同专用条款；</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⑹合同通用条款；</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⑺本工程招标文件中的技术要求和投标报价规定；</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⑻投标文件(包括承包人在评标期间和合同谈判过程中递交和确认并经发包人同意的对有关问题的补充资料和澄清文件等)；</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⑼现行的标准、规范、规定及有关技术文件；</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⑽图纸和技术规格书；</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⑾已标价工程量清单；</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⑿发包人和承包人双方有关本工程的变更、签证、洽商、索赔、询价采购凭证等书面文件及组成合同的其他文件。</w:t>
      </w:r>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上述各项合同文件包括承发包双方就该项合同文件所作出的补充和修改，属于同一类内容的文件，应以最新签署的为准。</w:t>
      </w:r>
    </w:p>
    <w:p>
      <w:pPr>
        <w:widowControl w:val="0"/>
        <w:numPr>
          <w:ilvl w:val="1"/>
          <w:numId w:val="2"/>
        </w:numPr>
        <w:tabs>
          <w:tab w:val="left" w:pos="540"/>
          <w:tab w:val="left" w:pos="576"/>
          <w:tab w:val="left" w:pos="900"/>
          <w:tab w:val="left" w:pos="234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400" w:name="_Toc855"/>
      <w:bookmarkStart w:id="401" w:name="_Toc12037"/>
      <w:bookmarkStart w:id="402" w:name="_Toc13513"/>
      <w:bookmarkStart w:id="403" w:name="_Toc30379"/>
      <w:bookmarkStart w:id="404" w:name="_Toc1812"/>
      <w:bookmarkStart w:id="405" w:name="_Toc7070"/>
      <w:bookmarkStart w:id="406" w:name="_Toc302635699"/>
      <w:bookmarkStart w:id="407" w:name="_Toc17990"/>
      <w:bookmarkStart w:id="408" w:name="_Toc30316"/>
      <w:bookmarkStart w:id="409" w:name="_Toc28180"/>
      <w:r>
        <w:rPr>
          <w:rFonts w:hint="eastAsia" w:ascii="宋体" w:hAnsi="宋体" w:eastAsia="宋体" w:cs="Times New Roman"/>
          <w:b/>
          <w:bCs/>
          <w:color w:val="auto"/>
          <w:kern w:val="0"/>
          <w:sz w:val="24"/>
          <w:szCs w:val="24"/>
          <w:highlight w:val="none"/>
          <w:lang w:val="en-US" w:eastAsia="zh-CN" w:bidi="ar-SA"/>
        </w:rPr>
        <w:t>合同文件内容争议</w:t>
      </w:r>
      <w:bookmarkEnd w:id="400"/>
      <w:bookmarkEnd w:id="401"/>
      <w:bookmarkEnd w:id="402"/>
      <w:bookmarkEnd w:id="403"/>
      <w:bookmarkEnd w:id="404"/>
      <w:bookmarkEnd w:id="405"/>
      <w:bookmarkEnd w:id="406"/>
      <w:bookmarkEnd w:id="407"/>
      <w:bookmarkEnd w:id="408"/>
      <w:bookmarkEnd w:id="409"/>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当合同文件内容含糊不清或相互矛盾时，由发包人与承包人在不影响本工程正常实施的情况下协商解决，并达成补充协议予以明确约定。双方协商不成的，按通用条款第</w:t>
      </w:r>
      <w:r>
        <w:rPr>
          <w:rFonts w:hint="eastAsia" w:ascii="宋体" w:hAnsi="宋体" w:eastAsia="宋体" w:cs="Times New Roman"/>
          <w:color w:val="auto"/>
          <w:kern w:val="0"/>
          <w:szCs w:val="24"/>
          <w:highlight w:val="none"/>
          <w:lang w:val="en-US" w:eastAsia="zh-CN"/>
        </w:rPr>
        <w:t>31</w:t>
      </w:r>
      <w:r>
        <w:rPr>
          <w:rFonts w:hint="eastAsia" w:ascii="宋体" w:hAnsi="宋体" w:eastAsia="宋体" w:cs="Times New Roman"/>
          <w:color w:val="auto"/>
          <w:kern w:val="0"/>
          <w:szCs w:val="24"/>
          <w:highlight w:val="none"/>
        </w:rPr>
        <w:t>条〔争议解决〕的约定处理。</w:t>
      </w:r>
      <w:bookmarkEnd w:id="399"/>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410" w:name="_Toc22103"/>
      <w:bookmarkStart w:id="411" w:name="_Toc5962"/>
      <w:bookmarkStart w:id="412" w:name="_Toc25489"/>
      <w:bookmarkStart w:id="413" w:name="_Toc29413"/>
      <w:bookmarkStart w:id="414" w:name="_Toc4678"/>
      <w:bookmarkStart w:id="415" w:name="_Toc24828"/>
      <w:bookmarkStart w:id="416" w:name="_Toc9971"/>
      <w:bookmarkStart w:id="417" w:name="_Toc302635700"/>
      <w:bookmarkStart w:id="418" w:name="_Toc15164"/>
      <w:bookmarkStart w:id="419" w:name="_Toc305331234"/>
      <w:bookmarkStart w:id="420" w:name="_Toc9499"/>
      <w:bookmarkStart w:id="421" w:name="_Toc35656461"/>
      <w:bookmarkStart w:id="422" w:name="_Toc35656961"/>
      <w:bookmarkStart w:id="423" w:name="_Toc34908934"/>
      <w:r>
        <w:rPr>
          <w:rFonts w:hint="eastAsia" w:ascii="宋体" w:hAnsi="宋体" w:eastAsia="宋体" w:cs="Times New Roman"/>
          <w:b/>
          <w:bCs/>
          <w:color w:val="auto"/>
          <w:kern w:val="0"/>
          <w:sz w:val="24"/>
          <w:szCs w:val="24"/>
          <w:highlight w:val="none"/>
          <w:lang w:val="en-US" w:eastAsia="zh-CN" w:bidi="ar-SA"/>
        </w:rPr>
        <w:t>语言文字</w:t>
      </w:r>
      <w:bookmarkEnd w:id="410"/>
      <w:bookmarkEnd w:id="411"/>
      <w:bookmarkEnd w:id="412"/>
      <w:bookmarkEnd w:id="413"/>
      <w:bookmarkEnd w:id="414"/>
      <w:bookmarkEnd w:id="415"/>
      <w:bookmarkEnd w:id="416"/>
      <w:bookmarkEnd w:id="417"/>
      <w:bookmarkEnd w:id="418"/>
      <w:bookmarkEnd w:id="419"/>
      <w:bookmarkEnd w:id="420"/>
    </w:p>
    <w:p>
      <w:pPr>
        <w:tabs>
          <w:tab w:val="left" w:pos="1620"/>
          <w:tab w:val="left" w:pos="2340"/>
        </w:tabs>
        <w:spacing w:after="156"/>
        <w:ind w:left="899"/>
        <w:jc w:val="left"/>
        <w:rPr>
          <w:rFonts w:ascii="宋体" w:hAnsi="宋体" w:eastAsia="宋体" w:cs="Times New Roman"/>
          <w:color w:val="auto"/>
          <w:kern w:val="0"/>
          <w:szCs w:val="24"/>
          <w:highlight w:val="none"/>
        </w:rPr>
      </w:pPr>
      <w:bookmarkStart w:id="424" w:name="_Toc34908935"/>
      <w:r>
        <w:rPr>
          <w:rFonts w:hint="eastAsia" w:ascii="宋体" w:hAnsi="宋体" w:eastAsia="宋体" w:cs="Times New Roman"/>
          <w:color w:val="auto"/>
          <w:kern w:val="0"/>
          <w:szCs w:val="24"/>
          <w:highlight w:val="none"/>
        </w:rPr>
        <w:t>本合同文件使用汉语语言文字书写、解释和说明。</w:t>
      </w:r>
      <w:bookmarkEnd w:id="424"/>
    </w:p>
    <w:p>
      <w:pPr>
        <w:widowControl w:val="0"/>
        <w:numPr>
          <w:ilvl w:val="1"/>
          <w:numId w:val="2"/>
        </w:numPr>
        <w:tabs>
          <w:tab w:val="left" w:pos="540"/>
          <w:tab w:val="left" w:pos="576"/>
          <w:tab w:val="left" w:pos="900"/>
          <w:tab w:val="left" w:pos="234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425" w:name="_Toc25801"/>
      <w:bookmarkStart w:id="426" w:name="_Toc8340"/>
      <w:bookmarkStart w:id="427" w:name="_Toc28382"/>
      <w:bookmarkStart w:id="428" w:name="_Toc305331235"/>
      <w:bookmarkStart w:id="429" w:name="_Toc8366"/>
      <w:bookmarkStart w:id="430" w:name="_Toc302635701"/>
      <w:bookmarkStart w:id="431" w:name="_Toc20108"/>
      <w:bookmarkStart w:id="432" w:name="_Toc2981"/>
      <w:bookmarkStart w:id="433" w:name="_Toc7154"/>
      <w:bookmarkStart w:id="434" w:name="_Toc5750"/>
      <w:bookmarkStart w:id="435" w:name="_Toc288"/>
      <w:r>
        <w:rPr>
          <w:rFonts w:hint="eastAsia" w:ascii="宋体" w:hAnsi="宋体" w:eastAsia="宋体" w:cs="Times New Roman"/>
          <w:b/>
          <w:bCs/>
          <w:color w:val="auto"/>
          <w:kern w:val="0"/>
          <w:sz w:val="24"/>
          <w:szCs w:val="24"/>
          <w:highlight w:val="none"/>
          <w:lang w:val="en-US" w:eastAsia="zh-CN" w:bidi="ar-SA"/>
        </w:rPr>
        <w:t>法律、法规</w:t>
      </w:r>
      <w:bookmarkEnd w:id="421"/>
      <w:bookmarkEnd w:id="422"/>
      <w:bookmarkEnd w:id="423"/>
      <w:r>
        <w:rPr>
          <w:rFonts w:hint="eastAsia" w:ascii="宋体" w:hAnsi="宋体" w:eastAsia="宋体" w:cs="Times New Roman"/>
          <w:b/>
          <w:bCs/>
          <w:color w:val="auto"/>
          <w:kern w:val="0"/>
          <w:sz w:val="24"/>
          <w:szCs w:val="24"/>
          <w:highlight w:val="none"/>
          <w:lang w:val="en-US" w:eastAsia="zh-CN" w:bidi="ar-SA"/>
        </w:rPr>
        <w:t>和规章</w:t>
      </w:r>
      <w:bookmarkEnd w:id="425"/>
      <w:bookmarkEnd w:id="426"/>
      <w:bookmarkEnd w:id="427"/>
      <w:bookmarkEnd w:id="428"/>
      <w:bookmarkEnd w:id="429"/>
      <w:bookmarkEnd w:id="430"/>
      <w:bookmarkEnd w:id="431"/>
      <w:bookmarkEnd w:id="432"/>
      <w:bookmarkEnd w:id="433"/>
      <w:bookmarkEnd w:id="434"/>
      <w:bookmarkEnd w:id="435"/>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436" w:name="_Toc34908936"/>
      <w:r>
        <w:rPr>
          <w:rFonts w:hint="eastAsia" w:ascii="宋体" w:hAnsi="宋体" w:eastAsia="宋体" w:cs="Times New Roman"/>
          <w:color w:val="auto"/>
          <w:kern w:val="0"/>
          <w:szCs w:val="24"/>
          <w:highlight w:val="none"/>
        </w:rPr>
        <w:t>本合同适用中华人民共和国法律、法规和规章，以及本</w:t>
      </w:r>
      <w:r>
        <w:rPr>
          <w:rFonts w:hint="eastAsia" w:ascii="Times New Roman" w:hAnsi="宋体" w:eastAsia="宋体" w:cs="Times New Roman"/>
          <w:color w:val="auto"/>
          <w:sz w:val="20"/>
          <w:szCs w:val="24"/>
          <w:highlight w:val="none"/>
        </w:rPr>
        <w:t>工程所在地的地方性法规和规章</w:t>
      </w:r>
      <w:r>
        <w:rPr>
          <w:rFonts w:hint="eastAsia" w:ascii="宋体" w:hAnsi="宋体" w:eastAsia="宋体" w:cs="Times New Roman"/>
          <w:color w:val="auto"/>
          <w:kern w:val="0"/>
          <w:szCs w:val="24"/>
          <w:highlight w:val="none"/>
        </w:rPr>
        <w:t>。需要明示的法律、法规和规章，由发包人和承包人在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w:t>
      </w:r>
      <w:bookmarkEnd w:id="436"/>
    </w:p>
    <w:p>
      <w:pPr>
        <w:widowControl w:val="0"/>
        <w:numPr>
          <w:ilvl w:val="1"/>
          <w:numId w:val="2"/>
        </w:numPr>
        <w:tabs>
          <w:tab w:val="left" w:pos="540"/>
          <w:tab w:val="left" w:pos="576"/>
          <w:tab w:val="left" w:pos="900"/>
          <w:tab w:val="left" w:pos="234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437" w:name="_Toc17870"/>
      <w:bookmarkStart w:id="438" w:name="_Toc6484"/>
      <w:bookmarkStart w:id="439" w:name="_Toc31291"/>
      <w:bookmarkStart w:id="440" w:name="_Toc18572"/>
      <w:bookmarkStart w:id="441" w:name="_Toc34908937"/>
      <w:bookmarkStart w:id="442" w:name="_Toc17469"/>
      <w:bookmarkStart w:id="443" w:name="_Toc35656962"/>
      <w:bookmarkStart w:id="444" w:name="_Toc26500"/>
      <w:bookmarkStart w:id="445" w:name="_Toc28392"/>
      <w:bookmarkStart w:id="446" w:name="_Toc11365"/>
      <w:bookmarkStart w:id="447" w:name="_Toc35656462"/>
      <w:bookmarkStart w:id="448" w:name="_Toc25590"/>
      <w:bookmarkStart w:id="449" w:name="_Toc305331236"/>
      <w:bookmarkStart w:id="450" w:name="_Toc302635702"/>
      <w:r>
        <w:rPr>
          <w:rFonts w:hint="eastAsia" w:ascii="宋体" w:hAnsi="宋体" w:eastAsia="宋体" w:cs="Times New Roman"/>
          <w:b/>
          <w:bCs/>
          <w:color w:val="auto"/>
          <w:kern w:val="0"/>
          <w:sz w:val="24"/>
          <w:szCs w:val="24"/>
          <w:highlight w:val="none"/>
          <w:lang w:val="en-US" w:eastAsia="zh-CN" w:bidi="ar-SA"/>
        </w:rPr>
        <w:t>标准、规范</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pPr>
        <w:tabs>
          <w:tab w:val="left" w:pos="1620"/>
          <w:tab w:val="left" w:pos="2340"/>
        </w:tabs>
        <w:spacing w:after="156"/>
        <w:ind w:left="899"/>
        <w:jc w:val="left"/>
        <w:rPr>
          <w:rFonts w:ascii="宋体" w:hAnsi="宋体" w:eastAsia="宋体" w:cs="Times New Roman"/>
          <w:color w:val="auto"/>
          <w:kern w:val="0"/>
          <w:szCs w:val="24"/>
          <w:highlight w:val="none"/>
        </w:rPr>
      </w:pPr>
      <w:bookmarkStart w:id="451" w:name="_Toc34908938"/>
      <w:r>
        <w:rPr>
          <w:rFonts w:hint="eastAsia" w:ascii="宋体" w:hAnsi="宋体" w:eastAsia="宋体" w:cs="Times New Roman"/>
          <w:color w:val="auto"/>
          <w:kern w:val="0"/>
          <w:szCs w:val="24"/>
          <w:highlight w:val="none"/>
        </w:rPr>
        <w:t>⑴本工程的材料、设备、施工必须符合现行国家、行业及住房和城乡建设部、广东省、深圳市颁布的相关标准、规范、规程和验收标准的要求。当国家、行业及深圳市地方标准、规范存在不一致时，以要求更严格者为准，设计文件另有规定除外。</w:t>
      </w:r>
    </w:p>
    <w:bookmarkEnd w:id="451"/>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452" w:name="_Toc34908939"/>
      <w:r>
        <w:rPr>
          <w:rFonts w:hint="eastAsia" w:ascii="宋体" w:hAnsi="宋体" w:eastAsia="宋体" w:cs="Times New Roman"/>
          <w:color w:val="auto"/>
          <w:kern w:val="0"/>
          <w:szCs w:val="24"/>
          <w:highlight w:val="none"/>
        </w:rPr>
        <w:t>⑵发包人对工程的技术标准、功能要求高于或严于现行国家、行业或地方标准的，应当在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中予以明确。除</w:t>
      </w:r>
      <w:r>
        <w:rPr>
          <w:rFonts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中另有约定外，应视为承包人在签订合同前已充分预见前述技术标准和功能要求的复杂程度，签约合同价中已包含由此产生的费用。</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⑶国内没有相应标准、规范的，以设计文件、产品说明书或承包人提交的且由发包人和</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批准的技术方案为准。发包人要求使用国外标准、规范的，发包人负责提供原文版本和中文译本。</w:t>
      </w:r>
    </w:p>
    <w:bookmarkEnd w:id="452"/>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⑷用于本工程的标准、规范按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中约定的方式提供。</w:t>
      </w:r>
    </w:p>
    <w:p>
      <w:pPr>
        <w:widowControl w:val="0"/>
        <w:numPr>
          <w:ilvl w:val="1"/>
          <w:numId w:val="2"/>
        </w:numPr>
        <w:tabs>
          <w:tab w:val="left" w:pos="540"/>
          <w:tab w:val="left" w:pos="576"/>
          <w:tab w:val="left" w:pos="900"/>
          <w:tab w:val="left" w:pos="234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453" w:name="_Toc35656463"/>
      <w:bookmarkStart w:id="454" w:name="_Toc34908940"/>
      <w:bookmarkStart w:id="455" w:name="_Toc35656963"/>
      <w:bookmarkStart w:id="456" w:name="_Toc4323"/>
      <w:bookmarkStart w:id="457" w:name="_Toc23781"/>
      <w:bookmarkStart w:id="458" w:name="_Toc305331237"/>
      <w:bookmarkStart w:id="459" w:name="_Toc302635703"/>
      <w:bookmarkStart w:id="460" w:name="_Toc28241"/>
      <w:bookmarkStart w:id="461" w:name="_Toc27795"/>
      <w:bookmarkStart w:id="462" w:name="_Toc21566"/>
      <w:bookmarkStart w:id="463" w:name="_Toc10022"/>
      <w:bookmarkStart w:id="464" w:name="_Toc22939"/>
      <w:bookmarkStart w:id="465" w:name="_Toc23553"/>
      <w:bookmarkStart w:id="466" w:name="_Toc13079"/>
      <w:r>
        <w:rPr>
          <w:rFonts w:hint="eastAsia" w:ascii="宋体" w:hAnsi="宋体" w:eastAsia="宋体" w:cs="Times New Roman"/>
          <w:b/>
          <w:bCs/>
          <w:color w:val="auto"/>
          <w:kern w:val="0"/>
          <w:sz w:val="24"/>
          <w:szCs w:val="24"/>
          <w:highlight w:val="none"/>
          <w:lang w:val="en-US" w:eastAsia="zh-CN" w:bidi="ar-SA"/>
        </w:rPr>
        <w:t>图纸</w:t>
      </w:r>
      <w:bookmarkEnd w:id="453"/>
      <w:bookmarkEnd w:id="454"/>
      <w:bookmarkEnd w:id="455"/>
      <w:r>
        <w:rPr>
          <w:rFonts w:hint="eastAsia" w:ascii="宋体" w:hAnsi="宋体" w:eastAsia="宋体" w:cs="Times New Roman"/>
          <w:b/>
          <w:bCs/>
          <w:color w:val="auto"/>
          <w:kern w:val="0"/>
          <w:sz w:val="24"/>
          <w:szCs w:val="24"/>
          <w:highlight w:val="none"/>
          <w:lang w:val="en-US" w:eastAsia="zh-CN" w:bidi="ar-SA"/>
        </w:rPr>
        <w:t>和技术资料的提供</w:t>
      </w:r>
      <w:bookmarkEnd w:id="456"/>
      <w:bookmarkEnd w:id="457"/>
      <w:bookmarkEnd w:id="458"/>
      <w:bookmarkEnd w:id="459"/>
      <w:bookmarkEnd w:id="460"/>
      <w:bookmarkEnd w:id="461"/>
      <w:bookmarkEnd w:id="462"/>
      <w:bookmarkEnd w:id="463"/>
      <w:bookmarkEnd w:id="464"/>
      <w:bookmarkEnd w:id="465"/>
      <w:bookmarkEnd w:id="466"/>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467" w:name="_Toc34908941"/>
      <w:r>
        <w:rPr>
          <w:rFonts w:hint="eastAsia" w:ascii="宋体" w:hAnsi="宋体" w:eastAsia="宋体" w:cs="Times New Roman"/>
          <w:color w:val="auto"/>
          <w:kern w:val="0"/>
          <w:szCs w:val="24"/>
          <w:highlight w:val="none"/>
        </w:rPr>
        <w:t>⑴发包人应按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约定的时间和数量向承包人提供由发包人委托的</w:t>
      </w:r>
      <w:r>
        <w:rPr>
          <w:rFonts w:ascii="宋体" w:hAnsi="宋体" w:eastAsia="宋体" w:cs="Times New Roman"/>
          <w:color w:val="auto"/>
          <w:kern w:val="0"/>
          <w:szCs w:val="24"/>
          <w:highlight w:val="none"/>
        </w:rPr>
        <w:t>设计人</w:t>
      </w:r>
      <w:r>
        <w:rPr>
          <w:rFonts w:hint="eastAsia" w:ascii="宋体" w:hAnsi="宋体" w:eastAsia="宋体" w:cs="Times New Roman"/>
          <w:color w:val="auto"/>
          <w:kern w:val="0"/>
          <w:szCs w:val="24"/>
          <w:highlight w:val="none"/>
        </w:rPr>
        <w:t>设计的全部施工图纸和其他技术资料，并组织向承包人进行技术交底。承包人需要增加图纸和资料套数的，应自费复制。发包人至迟不得晚于第11.1款〔开工〕中开工通知书载明的开工日期前14天向承包人提供图纸。</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⑵承包人应在施工现场保留一套完整的图纸，供</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及有关人员进行工程检查时使用。</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如发包人提供的图纸</w:t>
      </w:r>
      <w:r>
        <w:rPr>
          <w:rFonts w:hint="eastAsia" w:ascii="宋体" w:hAnsi="宋体" w:eastAsia="宋体" w:cs="Times New Roman"/>
          <w:color w:val="auto"/>
          <w:kern w:val="0"/>
          <w:szCs w:val="24"/>
          <w:highlight w:val="none"/>
        </w:rPr>
        <w:t>和</w:t>
      </w:r>
      <w:r>
        <w:rPr>
          <w:rFonts w:ascii="宋体" w:hAnsi="宋体" w:eastAsia="宋体" w:cs="Times New Roman"/>
          <w:color w:val="auto"/>
          <w:kern w:val="0"/>
          <w:szCs w:val="24"/>
          <w:highlight w:val="none"/>
        </w:rPr>
        <w:t>资料不完整，承包人应在</w:t>
      </w:r>
      <w:r>
        <w:rPr>
          <w:rFonts w:hint="eastAsia" w:ascii="宋体" w:hAnsi="宋体" w:eastAsia="宋体" w:cs="Times New Roman"/>
          <w:color w:val="auto"/>
          <w:kern w:val="0"/>
          <w:szCs w:val="24"/>
          <w:highlight w:val="none"/>
        </w:rPr>
        <w:t>本</w:t>
      </w:r>
      <w:r>
        <w:rPr>
          <w:rFonts w:ascii="宋体" w:hAnsi="宋体" w:eastAsia="宋体" w:cs="Times New Roman"/>
          <w:color w:val="auto"/>
          <w:kern w:val="0"/>
          <w:szCs w:val="24"/>
          <w:highlight w:val="none"/>
        </w:rPr>
        <w:t>工程开工</w:t>
      </w:r>
      <w:r>
        <w:rPr>
          <w:rFonts w:hint="eastAsia" w:ascii="宋体" w:hAnsi="宋体" w:eastAsia="宋体" w:cs="Times New Roman"/>
          <w:color w:val="auto"/>
          <w:kern w:val="0"/>
          <w:szCs w:val="24"/>
          <w:highlight w:val="none"/>
        </w:rPr>
        <w:t>前</w:t>
      </w:r>
      <w:r>
        <w:rPr>
          <w:rFonts w:ascii="宋体" w:hAnsi="宋体" w:eastAsia="宋体" w:cs="Times New Roman"/>
          <w:color w:val="auto"/>
          <w:kern w:val="0"/>
          <w:szCs w:val="24"/>
          <w:highlight w:val="none"/>
        </w:rPr>
        <w:t>7日向发包人提交</w:t>
      </w:r>
      <w:r>
        <w:rPr>
          <w:rFonts w:hint="eastAsia" w:ascii="宋体" w:hAnsi="宋体" w:eastAsia="宋体" w:cs="Times New Roman"/>
          <w:color w:val="auto"/>
          <w:kern w:val="0"/>
          <w:szCs w:val="24"/>
          <w:highlight w:val="none"/>
        </w:rPr>
        <w:t>书面报告</w:t>
      </w:r>
      <w:r>
        <w:rPr>
          <w:rFonts w:ascii="宋体" w:hAnsi="宋体" w:eastAsia="宋体" w:cs="Times New Roman"/>
          <w:color w:val="auto"/>
          <w:kern w:val="0"/>
          <w:szCs w:val="24"/>
          <w:highlight w:val="none"/>
        </w:rPr>
        <w:t>，列明在不影响进度的条件下，发包人在整个</w:t>
      </w:r>
      <w:r>
        <w:rPr>
          <w:rFonts w:hint="eastAsia" w:ascii="宋体" w:hAnsi="宋体" w:eastAsia="宋体" w:cs="Times New Roman"/>
          <w:color w:val="auto"/>
          <w:kern w:val="0"/>
          <w:szCs w:val="24"/>
          <w:highlight w:val="none"/>
        </w:rPr>
        <w:t>施</w:t>
      </w:r>
      <w:r>
        <w:rPr>
          <w:rFonts w:ascii="宋体" w:hAnsi="宋体" w:eastAsia="宋体" w:cs="Times New Roman"/>
          <w:color w:val="auto"/>
          <w:kern w:val="0"/>
          <w:szCs w:val="24"/>
          <w:highlight w:val="none"/>
        </w:rPr>
        <w:t>工期内应向承包人提供补充的图纸及资料的种类及最后期限。</w:t>
      </w:r>
      <w:r>
        <w:rPr>
          <w:rFonts w:hint="eastAsia" w:ascii="宋体" w:hAnsi="宋体" w:eastAsia="宋体" w:cs="Times New Roman"/>
          <w:color w:val="auto"/>
          <w:kern w:val="0"/>
          <w:szCs w:val="24"/>
          <w:highlight w:val="none"/>
        </w:rPr>
        <w:t>发包人收到书面报告后应及时通知</w:t>
      </w:r>
      <w:r>
        <w:rPr>
          <w:rFonts w:ascii="宋体" w:hAnsi="宋体" w:eastAsia="宋体" w:cs="Times New Roman"/>
          <w:color w:val="auto"/>
          <w:kern w:val="0"/>
          <w:szCs w:val="24"/>
          <w:highlight w:val="none"/>
        </w:rPr>
        <w:t>设计人</w:t>
      </w:r>
      <w:r>
        <w:rPr>
          <w:rFonts w:hint="eastAsia" w:ascii="宋体" w:hAnsi="宋体" w:eastAsia="宋体" w:cs="Times New Roman"/>
          <w:color w:val="auto"/>
          <w:kern w:val="0"/>
          <w:szCs w:val="24"/>
          <w:highlight w:val="none"/>
        </w:rPr>
        <w:t>予以补充，并按照2.6(1)款约定的时间和数量提供给承包人。</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⑷承包人在收到发包人提供的图纸后，发现图纸存在差错、遗漏或缺陷的，应在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约定的时限内通知</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接到该通知后，应附具相关意见并在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约定的时限内报送发包人，发包人应在收到</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报送的通知后在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约定的时限内作出决定。</w:t>
      </w:r>
    </w:p>
    <w:bookmarkEnd w:id="467"/>
    <w:p>
      <w:pPr>
        <w:widowControl w:val="0"/>
        <w:numPr>
          <w:ilvl w:val="1"/>
          <w:numId w:val="2"/>
        </w:numPr>
        <w:tabs>
          <w:tab w:val="left" w:pos="540"/>
          <w:tab w:val="left" w:pos="576"/>
          <w:tab w:val="left" w:pos="900"/>
          <w:tab w:val="left" w:pos="234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468" w:name="_Toc1003"/>
      <w:bookmarkStart w:id="469" w:name="_Toc15763"/>
      <w:bookmarkStart w:id="470" w:name="_Toc30421"/>
      <w:bookmarkStart w:id="471" w:name="_Toc12532"/>
      <w:bookmarkStart w:id="472" w:name="_Toc305331238"/>
      <w:bookmarkStart w:id="473" w:name="_Toc16968"/>
      <w:bookmarkStart w:id="474" w:name="_Toc27697"/>
      <w:bookmarkStart w:id="475" w:name="_Toc4878"/>
      <w:bookmarkStart w:id="476" w:name="_Toc10431"/>
      <w:bookmarkStart w:id="477" w:name="_Toc23856"/>
      <w:bookmarkStart w:id="478" w:name="_Toc302635704"/>
      <w:bookmarkStart w:id="479" w:name="_Toc34908942"/>
      <w:r>
        <w:rPr>
          <w:rFonts w:hint="eastAsia" w:ascii="宋体" w:hAnsi="宋体" w:eastAsia="宋体" w:cs="Times New Roman"/>
          <w:b/>
          <w:bCs/>
          <w:color w:val="auto"/>
          <w:kern w:val="0"/>
          <w:sz w:val="24"/>
          <w:szCs w:val="24"/>
          <w:highlight w:val="none"/>
          <w:lang w:val="en-US" w:eastAsia="zh-CN" w:bidi="ar-SA"/>
        </w:rPr>
        <w:t>图纸和资料提供的延误</w:t>
      </w:r>
      <w:bookmarkEnd w:id="468"/>
      <w:bookmarkEnd w:id="469"/>
      <w:bookmarkEnd w:id="470"/>
      <w:bookmarkEnd w:id="471"/>
      <w:bookmarkEnd w:id="472"/>
      <w:bookmarkEnd w:id="473"/>
      <w:bookmarkEnd w:id="474"/>
      <w:bookmarkEnd w:id="475"/>
      <w:bookmarkEnd w:id="476"/>
      <w:bookmarkEnd w:id="477"/>
      <w:bookmarkEnd w:id="478"/>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⑴因发包人未能按约定提供图纸和资料，打乱工程施工进度计划，给承包人造成损失和(或)导致工期延误的，发包人应赔偿承包人损失和(或)顺延延误的工期。</w:t>
      </w:r>
      <w:bookmarkEnd w:id="479"/>
    </w:p>
    <w:p>
      <w:pPr>
        <w:tabs>
          <w:tab w:val="left" w:pos="1620"/>
          <w:tab w:val="left" w:pos="2340"/>
        </w:tabs>
        <w:spacing w:after="156"/>
        <w:ind w:left="899"/>
        <w:jc w:val="left"/>
        <w:rPr>
          <w:rFonts w:ascii="宋体" w:hAnsi="宋体" w:eastAsia="宋体" w:cs="Times New Roman"/>
          <w:color w:val="auto"/>
          <w:kern w:val="0"/>
          <w:szCs w:val="24"/>
          <w:highlight w:val="none"/>
        </w:rPr>
      </w:pPr>
      <w:bookmarkStart w:id="480" w:name="_Toc34908943"/>
      <w:r>
        <w:rPr>
          <w:rFonts w:hint="eastAsia" w:ascii="宋体" w:hAnsi="宋体" w:eastAsia="宋体" w:cs="Times New Roman"/>
          <w:color w:val="auto"/>
          <w:kern w:val="0"/>
          <w:szCs w:val="24"/>
          <w:highlight w:val="none"/>
        </w:rPr>
        <w:t>⑵发包人之所以不能按约定提供图纸和资料，是因为承包人未能提交本合同约定应由其提交的资料或提交的资料有误所致，则承包人无权要求发包人赔偿损失、顺延工期。</w:t>
      </w:r>
      <w:bookmarkEnd w:id="480"/>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481" w:name="_Toc24258"/>
      <w:bookmarkStart w:id="482" w:name="_Toc26378"/>
      <w:bookmarkStart w:id="483" w:name="_Toc29640"/>
      <w:bookmarkStart w:id="484" w:name="_Toc305331239"/>
      <w:bookmarkStart w:id="485" w:name="_Toc31457"/>
      <w:bookmarkStart w:id="486" w:name="_Toc27111"/>
      <w:bookmarkStart w:id="487" w:name="_Toc27832"/>
      <w:bookmarkStart w:id="488" w:name="_Toc27313"/>
      <w:bookmarkStart w:id="489" w:name="_Toc23118"/>
      <w:bookmarkStart w:id="490" w:name="_Toc31587"/>
      <w:bookmarkStart w:id="491" w:name="_Toc302635705"/>
      <w:bookmarkStart w:id="492" w:name="_Toc34908945"/>
      <w:r>
        <w:rPr>
          <w:rFonts w:hint="eastAsia" w:ascii="宋体" w:hAnsi="宋体" w:eastAsia="宋体" w:cs="Times New Roman"/>
          <w:b/>
          <w:bCs/>
          <w:color w:val="auto"/>
          <w:kern w:val="0"/>
          <w:sz w:val="24"/>
          <w:szCs w:val="24"/>
          <w:highlight w:val="none"/>
          <w:lang w:val="en-US" w:eastAsia="zh-CN" w:bidi="ar-SA"/>
        </w:rPr>
        <w:t>补充图纸和资料</w:t>
      </w:r>
      <w:bookmarkEnd w:id="481"/>
      <w:bookmarkEnd w:id="482"/>
      <w:bookmarkEnd w:id="483"/>
      <w:bookmarkEnd w:id="484"/>
      <w:bookmarkEnd w:id="485"/>
      <w:bookmarkEnd w:id="486"/>
      <w:bookmarkEnd w:id="487"/>
      <w:bookmarkEnd w:id="488"/>
      <w:bookmarkEnd w:id="489"/>
      <w:bookmarkEnd w:id="490"/>
      <w:bookmarkEnd w:id="491"/>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发包人为满足本工程的正确实施和完成及其缺陷修复所需，可委托</w:t>
      </w:r>
      <w:r>
        <w:rPr>
          <w:rFonts w:ascii="宋体" w:hAnsi="宋体" w:eastAsia="宋体" w:cs="Times New Roman"/>
          <w:color w:val="auto"/>
          <w:kern w:val="0"/>
          <w:szCs w:val="24"/>
          <w:highlight w:val="none"/>
        </w:rPr>
        <w:t>设计人</w:t>
      </w:r>
      <w:r>
        <w:rPr>
          <w:rFonts w:hint="eastAsia" w:ascii="宋体" w:hAnsi="宋体" w:eastAsia="宋体" w:cs="Times New Roman"/>
          <w:color w:val="auto"/>
          <w:kern w:val="0"/>
          <w:szCs w:val="24"/>
          <w:highlight w:val="none"/>
        </w:rPr>
        <w:t>设计补充图纸(含深化设计图纸)和技术资料，并按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约定的时间和数量向承包人发出，承包人应予执行。</w:t>
      </w:r>
      <w:bookmarkEnd w:id="492"/>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493" w:name="_Toc29726"/>
      <w:bookmarkStart w:id="494" w:name="_Toc657"/>
      <w:bookmarkStart w:id="495" w:name="_Toc30351"/>
      <w:bookmarkStart w:id="496" w:name="_Toc305331240"/>
      <w:bookmarkStart w:id="497" w:name="_Toc29587"/>
      <w:bookmarkStart w:id="498" w:name="_Toc302635706"/>
      <w:bookmarkStart w:id="499" w:name="_Toc25258"/>
      <w:bookmarkStart w:id="500" w:name="_Toc29084"/>
      <w:bookmarkStart w:id="501" w:name="_Toc9795"/>
      <w:bookmarkStart w:id="502" w:name="_Toc26081"/>
      <w:bookmarkStart w:id="503" w:name="_Toc14552"/>
      <w:bookmarkStart w:id="504" w:name="_Toc34908944"/>
      <w:bookmarkStart w:id="505" w:name="_Toc35656964"/>
      <w:bookmarkStart w:id="506" w:name="_Toc34908946"/>
      <w:bookmarkStart w:id="507" w:name="_Toc35656464"/>
      <w:r>
        <w:rPr>
          <w:rFonts w:hint="eastAsia" w:ascii="宋体" w:hAnsi="宋体" w:eastAsia="宋体" w:cs="Times New Roman"/>
          <w:b/>
          <w:bCs/>
          <w:color w:val="auto"/>
          <w:kern w:val="0"/>
          <w:sz w:val="24"/>
          <w:szCs w:val="24"/>
          <w:highlight w:val="none"/>
          <w:lang w:val="en-US" w:eastAsia="zh-CN" w:bidi="ar-SA"/>
        </w:rPr>
        <w:t>临时工程图纸</w:t>
      </w:r>
      <w:bookmarkEnd w:id="493"/>
      <w:bookmarkEnd w:id="494"/>
      <w:bookmarkEnd w:id="495"/>
      <w:bookmarkEnd w:id="496"/>
      <w:bookmarkEnd w:id="497"/>
      <w:bookmarkEnd w:id="498"/>
      <w:bookmarkEnd w:id="499"/>
      <w:bookmarkEnd w:id="500"/>
      <w:bookmarkEnd w:id="501"/>
      <w:bookmarkEnd w:id="502"/>
      <w:bookmarkEnd w:id="503"/>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当</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认为需要时，承包人应提交本工程临时工程的设计图纸一式3份，供</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批准或备查。</w:t>
      </w:r>
      <w:bookmarkEnd w:id="504"/>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508" w:name="_Toc4559"/>
      <w:bookmarkStart w:id="509" w:name="_Toc25083"/>
      <w:bookmarkStart w:id="510" w:name="_Toc302635707"/>
      <w:bookmarkStart w:id="511" w:name="_Toc6624"/>
      <w:bookmarkStart w:id="512" w:name="_Toc27833"/>
      <w:bookmarkStart w:id="513" w:name="_Toc305331241"/>
      <w:bookmarkStart w:id="514" w:name="_Toc20176"/>
      <w:bookmarkStart w:id="515" w:name="_Toc226"/>
      <w:bookmarkStart w:id="516" w:name="_Toc19100"/>
      <w:bookmarkStart w:id="517" w:name="_Toc29909"/>
      <w:bookmarkStart w:id="518" w:name="_Toc23948"/>
      <w:r>
        <w:rPr>
          <w:rFonts w:hint="eastAsia" w:ascii="宋体" w:hAnsi="宋体" w:eastAsia="宋体" w:cs="Times New Roman"/>
          <w:b/>
          <w:bCs/>
          <w:color w:val="auto"/>
          <w:kern w:val="0"/>
          <w:sz w:val="24"/>
          <w:szCs w:val="24"/>
          <w:highlight w:val="none"/>
          <w:lang w:val="en-US" w:eastAsia="zh-CN" w:bidi="ar-SA"/>
        </w:rPr>
        <w:t>竣工图</w:t>
      </w:r>
      <w:bookmarkEnd w:id="508"/>
      <w:bookmarkEnd w:id="509"/>
      <w:bookmarkEnd w:id="510"/>
      <w:bookmarkEnd w:id="511"/>
      <w:bookmarkEnd w:id="512"/>
      <w:bookmarkEnd w:id="513"/>
      <w:bookmarkEnd w:id="514"/>
      <w:bookmarkEnd w:id="515"/>
      <w:bookmarkEnd w:id="516"/>
      <w:bookmarkEnd w:id="517"/>
      <w:bookmarkEnd w:id="518"/>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w:t>
      </w:r>
      <w:r>
        <w:rPr>
          <w:rFonts w:ascii="宋体" w:hAnsi="宋体" w:eastAsia="宋体" w:cs="Times New Roman"/>
          <w:color w:val="auto"/>
          <w:kern w:val="0"/>
          <w:szCs w:val="24"/>
          <w:highlight w:val="none"/>
        </w:rPr>
        <w:t>在本工程</w:t>
      </w:r>
      <w:r>
        <w:rPr>
          <w:rFonts w:hint="eastAsia" w:ascii="宋体" w:hAnsi="宋体" w:eastAsia="宋体" w:cs="Times New Roman"/>
          <w:color w:val="auto"/>
          <w:kern w:val="0"/>
          <w:szCs w:val="24"/>
          <w:highlight w:val="none"/>
        </w:rPr>
        <w:t>竣工</w:t>
      </w:r>
      <w:r>
        <w:rPr>
          <w:rFonts w:ascii="宋体" w:hAnsi="宋体" w:eastAsia="宋体" w:cs="Times New Roman"/>
          <w:color w:val="auto"/>
          <w:kern w:val="0"/>
          <w:szCs w:val="24"/>
          <w:highlight w:val="none"/>
        </w:rPr>
        <w:t>验收之前，承包人须按</w:t>
      </w:r>
      <w:r>
        <w:rPr>
          <w:rFonts w:hint="eastAsia" w:ascii="宋体" w:hAnsi="宋体" w:eastAsia="宋体" w:cs="Times New Roman"/>
          <w:color w:val="auto"/>
          <w:kern w:val="0"/>
          <w:szCs w:val="24"/>
          <w:highlight w:val="none"/>
        </w:rPr>
        <w:t>政府</w:t>
      </w:r>
      <w:r>
        <w:rPr>
          <w:rFonts w:ascii="宋体" w:hAnsi="宋体" w:eastAsia="宋体" w:cs="Times New Roman"/>
          <w:color w:val="auto"/>
          <w:kern w:val="0"/>
          <w:szCs w:val="24"/>
          <w:highlight w:val="none"/>
        </w:rPr>
        <w:t>建设行政</w:t>
      </w:r>
      <w:r>
        <w:rPr>
          <w:rFonts w:hint="eastAsia" w:ascii="宋体" w:hAnsi="宋体" w:eastAsia="宋体" w:cs="Times New Roman"/>
          <w:color w:val="auto"/>
          <w:kern w:val="0"/>
          <w:szCs w:val="24"/>
          <w:highlight w:val="none"/>
        </w:rPr>
        <w:t>主管</w:t>
      </w:r>
      <w:r>
        <w:rPr>
          <w:rFonts w:ascii="宋体" w:hAnsi="宋体" w:eastAsia="宋体" w:cs="Times New Roman"/>
          <w:color w:val="auto"/>
          <w:kern w:val="0"/>
          <w:szCs w:val="24"/>
          <w:highlight w:val="none"/>
        </w:rPr>
        <w:t>部门</w:t>
      </w:r>
      <w:r>
        <w:rPr>
          <w:rFonts w:hint="eastAsia" w:ascii="宋体" w:hAnsi="宋体" w:eastAsia="宋体" w:cs="Times New Roman"/>
          <w:color w:val="auto"/>
          <w:kern w:val="0"/>
          <w:szCs w:val="24"/>
          <w:highlight w:val="none"/>
        </w:rPr>
        <w:t>及政府</w:t>
      </w:r>
      <w:r>
        <w:rPr>
          <w:rFonts w:ascii="宋体" w:hAnsi="宋体" w:eastAsia="宋体" w:cs="Times New Roman"/>
          <w:color w:val="auto"/>
          <w:kern w:val="0"/>
          <w:szCs w:val="24"/>
          <w:highlight w:val="none"/>
        </w:rPr>
        <w:t>档案</w:t>
      </w:r>
      <w:r>
        <w:rPr>
          <w:rFonts w:hint="eastAsia" w:ascii="宋体" w:hAnsi="宋体" w:eastAsia="宋体" w:cs="Times New Roman"/>
          <w:color w:val="auto"/>
          <w:kern w:val="0"/>
          <w:szCs w:val="24"/>
          <w:highlight w:val="none"/>
        </w:rPr>
        <w:t>主管部门有关</w:t>
      </w:r>
      <w:r>
        <w:rPr>
          <w:rFonts w:ascii="宋体" w:hAnsi="宋体" w:eastAsia="宋体" w:cs="Times New Roman"/>
          <w:color w:val="auto"/>
          <w:kern w:val="0"/>
          <w:szCs w:val="24"/>
          <w:highlight w:val="none"/>
        </w:rPr>
        <w:t>技术档案管理</w:t>
      </w:r>
      <w:r>
        <w:rPr>
          <w:rFonts w:hint="eastAsia" w:ascii="宋体" w:hAnsi="宋体" w:eastAsia="宋体" w:cs="Times New Roman"/>
          <w:color w:val="auto"/>
          <w:kern w:val="0"/>
          <w:szCs w:val="24"/>
          <w:highlight w:val="none"/>
        </w:rPr>
        <w:t>要求</w:t>
      </w:r>
      <w:r>
        <w:rPr>
          <w:rFonts w:ascii="宋体" w:hAnsi="宋体" w:eastAsia="宋体" w:cs="Times New Roman"/>
          <w:color w:val="auto"/>
          <w:kern w:val="0"/>
          <w:szCs w:val="24"/>
          <w:highlight w:val="none"/>
        </w:rPr>
        <w:t>编制整理竣工图</w:t>
      </w:r>
      <w:r>
        <w:rPr>
          <w:rFonts w:hint="eastAsia" w:ascii="宋体" w:hAnsi="宋体" w:eastAsia="宋体" w:cs="Times New Roman"/>
          <w:color w:val="auto"/>
          <w:kern w:val="0"/>
          <w:szCs w:val="24"/>
          <w:highlight w:val="none"/>
        </w:rPr>
        <w:t>，报</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审核</w:t>
      </w:r>
      <w:r>
        <w:rPr>
          <w:rFonts w:ascii="宋体" w:hAnsi="宋体" w:eastAsia="宋体" w:cs="Times New Roman"/>
          <w:color w:val="auto"/>
          <w:kern w:val="0"/>
          <w:szCs w:val="24"/>
          <w:highlight w:val="none"/>
        </w:rPr>
        <w:t>后移交给发包人</w:t>
      </w:r>
      <w:r>
        <w:rPr>
          <w:rFonts w:hint="eastAsia" w:ascii="宋体" w:hAnsi="宋体" w:eastAsia="宋体" w:cs="Times New Roman"/>
          <w:color w:val="auto"/>
          <w:kern w:val="0"/>
          <w:szCs w:val="24"/>
          <w:highlight w:val="none"/>
        </w:rPr>
        <w:t>。</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竣工图</w:t>
      </w:r>
      <w:r>
        <w:rPr>
          <w:rFonts w:hint="eastAsia" w:ascii="宋体" w:hAnsi="宋体" w:eastAsia="宋体" w:cs="Times New Roman"/>
          <w:color w:val="auto"/>
          <w:kern w:val="0"/>
          <w:szCs w:val="24"/>
          <w:highlight w:val="none"/>
        </w:rPr>
        <w:t>内容应</w:t>
      </w:r>
      <w:r>
        <w:rPr>
          <w:rFonts w:ascii="宋体" w:hAnsi="宋体" w:eastAsia="宋体" w:cs="Times New Roman"/>
          <w:color w:val="auto"/>
          <w:kern w:val="0"/>
          <w:szCs w:val="24"/>
          <w:highlight w:val="none"/>
        </w:rPr>
        <w:t>与工程实物相符，加盖竣工图章，</w:t>
      </w:r>
      <w:r>
        <w:rPr>
          <w:rFonts w:hint="eastAsia" w:ascii="宋体" w:hAnsi="宋体" w:eastAsia="宋体" w:cs="Times New Roman"/>
          <w:color w:val="auto"/>
          <w:kern w:val="0"/>
          <w:szCs w:val="24"/>
          <w:highlight w:val="none"/>
        </w:rPr>
        <w:t>由承包人</w:t>
      </w:r>
      <w:r>
        <w:rPr>
          <w:rFonts w:ascii="宋体" w:hAnsi="宋体" w:eastAsia="宋体" w:cs="Times New Roman"/>
          <w:color w:val="auto"/>
          <w:kern w:val="0"/>
          <w:szCs w:val="24"/>
          <w:highlight w:val="none"/>
        </w:rPr>
        <w:t>本工程技术负责人签名</w:t>
      </w:r>
      <w:r>
        <w:rPr>
          <w:rFonts w:hint="eastAsia" w:ascii="宋体" w:hAnsi="宋体" w:eastAsia="宋体" w:cs="Times New Roman"/>
          <w:color w:val="auto"/>
          <w:kern w:val="0"/>
          <w:szCs w:val="24"/>
          <w:highlight w:val="none"/>
        </w:rPr>
        <w:t>，并</w:t>
      </w:r>
      <w:r>
        <w:rPr>
          <w:rFonts w:ascii="宋体" w:hAnsi="宋体" w:eastAsia="宋体" w:cs="Times New Roman"/>
          <w:color w:val="auto"/>
          <w:kern w:val="0"/>
          <w:szCs w:val="24"/>
          <w:highlight w:val="none"/>
        </w:rPr>
        <w:t>按规定要求叠折、装订和组卷。承包人</w:t>
      </w:r>
      <w:r>
        <w:rPr>
          <w:rFonts w:hint="eastAsia" w:ascii="宋体" w:hAnsi="宋体" w:eastAsia="宋体" w:cs="Times New Roman"/>
          <w:color w:val="auto"/>
          <w:kern w:val="0"/>
          <w:szCs w:val="24"/>
          <w:highlight w:val="none"/>
        </w:rPr>
        <w:t>应向政府</w:t>
      </w:r>
      <w:r>
        <w:rPr>
          <w:rFonts w:ascii="宋体" w:hAnsi="宋体" w:eastAsia="宋体" w:cs="Times New Roman"/>
          <w:color w:val="auto"/>
          <w:kern w:val="0"/>
          <w:szCs w:val="24"/>
          <w:highlight w:val="none"/>
        </w:rPr>
        <w:t>档案</w:t>
      </w:r>
      <w:r>
        <w:rPr>
          <w:rFonts w:hint="eastAsia" w:ascii="宋体" w:hAnsi="宋体" w:eastAsia="宋体" w:cs="Times New Roman"/>
          <w:color w:val="auto"/>
          <w:kern w:val="0"/>
          <w:szCs w:val="24"/>
          <w:highlight w:val="none"/>
        </w:rPr>
        <w:t>主管部门</w:t>
      </w:r>
      <w:r>
        <w:rPr>
          <w:rFonts w:ascii="宋体" w:hAnsi="宋体" w:eastAsia="宋体" w:cs="Times New Roman"/>
          <w:color w:val="auto"/>
          <w:kern w:val="0"/>
          <w:szCs w:val="24"/>
          <w:highlight w:val="none"/>
        </w:rPr>
        <w:t>和发包人各</w:t>
      </w:r>
      <w:r>
        <w:rPr>
          <w:rFonts w:hint="eastAsia" w:ascii="宋体" w:hAnsi="宋体" w:eastAsia="宋体" w:cs="Times New Roman"/>
          <w:color w:val="auto"/>
          <w:kern w:val="0"/>
          <w:szCs w:val="24"/>
          <w:highlight w:val="none"/>
        </w:rPr>
        <w:t>提交</w:t>
      </w:r>
      <w:r>
        <w:rPr>
          <w:rFonts w:ascii="宋体" w:hAnsi="宋体" w:eastAsia="宋体" w:cs="Times New Roman"/>
          <w:color w:val="auto"/>
          <w:kern w:val="0"/>
          <w:szCs w:val="24"/>
          <w:highlight w:val="none"/>
        </w:rPr>
        <w:t>一份竣工图</w:t>
      </w:r>
      <w:r>
        <w:rPr>
          <w:rFonts w:hint="eastAsia" w:ascii="宋体" w:hAnsi="宋体" w:eastAsia="宋体" w:cs="Times New Roman"/>
          <w:color w:val="auto"/>
          <w:kern w:val="0"/>
          <w:szCs w:val="24"/>
          <w:highlight w:val="none"/>
        </w:rPr>
        <w:t>及</w:t>
      </w:r>
      <w:r>
        <w:rPr>
          <w:rFonts w:ascii="宋体" w:hAnsi="宋体" w:eastAsia="宋体" w:cs="Times New Roman"/>
          <w:color w:val="auto"/>
          <w:kern w:val="0"/>
          <w:szCs w:val="24"/>
          <w:highlight w:val="none"/>
        </w:rPr>
        <w:t>电子</w:t>
      </w:r>
      <w:r>
        <w:rPr>
          <w:rFonts w:hint="eastAsia" w:ascii="宋体" w:hAnsi="宋体" w:eastAsia="宋体" w:cs="Times New Roman"/>
          <w:color w:val="auto"/>
          <w:kern w:val="0"/>
          <w:szCs w:val="24"/>
          <w:highlight w:val="none"/>
        </w:rPr>
        <w:t>文档，</w:t>
      </w:r>
      <w:r>
        <w:rPr>
          <w:rFonts w:ascii="宋体" w:hAnsi="宋体" w:eastAsia="宋体" w:cs="Times New Roman"/>
          <w:color w:val="auto"/>
          <w:kern w:val="0"/>
          <w:szCs w:val="24"/>
          <w:highlight w:val="none"/>
        </w:rPr>
        <w:t>交</w:t>
      </w:r>
      <w:r>
        <w:rPr>
          <w:rFonts w:hint="eastAsia" w:ascii="宋体" w:hAnsi="宋体" w:eastAsia="宋体" w:cs="Times New Roman"/>
          <w:color w:val="auto"/>
          <w:kern w:val="0"/>
          <w:szCs w:val="24"/>
          <w:highlight w:val="none"/>
        </w:rPr>
        <w:t>政府</w:t>
      </w:r>
      <w:r>
        <w:rPr>
          <w:rFonts w:ascii="宋体" w:hAnsi="宋体" w:eastAsia="宋体" w:cs="Times New Roman"/>
          <w:color w:val="auto"/>
          <w:kern w:val="0"/>
          <w:szCs w:val="24"/>
          <w:highlight w:val="none"/>
        </w:rPr>
        <w:t>档案</w:t>
      </w:r>
      <w:r>
        <w:rPr>
          <w:rFonts w:hint="eastAsia" w:ascii="宋体" w:hAnsi="宋体" w:eastAsia="宋体" w:cs="Times New Roman"/>
          <w:color w:val="auto"/>
          <w:kern w:val="0"/>
          <w:szCs w:val="24"/>
          <w:highlight w:val="none"/>
        </w:rPr>
        <w:t>主管部门</w:t>
      </w:r>
      <w:r>
        <w:rPr>
          <w:rFonts w:ascii="宋体" w:hAnsi="宋体" w:eastAsia="宋体" w:cs="Times New Roman"/>
          <w:color w:val="auto"/>
          <w:kern w:val="0"/>
          <w:szCs w:val="24"/>
          <w:highlight w:val="none"/>
        </w:rPr>
        <w:t>的竣工图需要由设计人加盖设计人公章。</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519" w:name="_Toc19545"/>
      <w:bookmarkStart w:id="520" w:name="_Toc302635708"/>
      <w:bookmarkStart w:id="521" w:name="_Toc29233"/>
      <w:bookmarkStart w:id="522" w:name="_Toc305331242"/>
      <w:bookmarkStart w:id="523" w:name="_Toc28162"/>
      <w:bookmarkStart w:id="524" w:name="_Toc10019"/>
      <w:bookmarkStart w:id="525" w:name="_Toc15868"/>
      <w:bookmarkStart w:id="526" w:name="_Toc27598"/>
      <w:bookmarkStart w:id="527" w:name="_Toc7908"/>
      <w:bookmarkStart w:id="528" w:name="_Toc840"/>
      <w:bookmarkStart w:id="529" w:name="_Toc15057"/>
      <w:r>
        <w:rPr>
          <w:rFonts w:hint="eastAsia" w:ascii="宋体" w:hAnsi="宋体" w:eastAsia="宋体" w:cs="Times New Roman"/>
          <w:b/>
          <w:bCs/>
          <w:color w:val="auto"/>
          <w:kern w:val="0"/>
          <w:sz w:val="24"/>
          <w:szCs w:val="24"/>
          <w:highlight w:val="none"/>
          <w:lang w:val="en-US" w:eastAsia="zh-CN" w:bidi="ar-SA"/>
        </w:rPr>
        <w:t>通知</w:t>
      </w:r>
      <w:bookmarkEnd w:id="505"/>
      <w:bookmarkEnd w:id="506"/>
      <w:bookmarkEnd w:id="507"/>
      <w:bookmarkEnd w:id="519"/>
      <w:bookmarkEnd w:id="520"/>
      <w:bookmarkEnd w:id="521"/>
      <w:bookmarkEnd w:id="522"/>
      <w:bookmarkEnd w:id="523"/>
      <w:bookmarkEnd w:id="524"/>
      <w:bookmarkEnd w:id="525"/>
      <w:bookmarkEnd w:id="526"/>
      <w:bookmarkEnd w:id="527"/>
      <w:bookmarkEnd w:id="528"/>
      <w:bookmarkEnd w:id="529"/>
    </w:p>
    <w:p>
      <w:pPr>
        <w:tabs>
          <w:tab w:val="left" w:pos="1620"/>
          <w:tab w:val="left" w:pos="2340"/>
        </w:tabs>
        <w:spacing w:after="156"/>
        <w:ind w:left="899"/>
        <w:jc w:val="left"/>
        <w:rPr>
          <w:rFonts w:ascii="宋体" w:hAnsi="宋体" w:eastAsia="宋体" w:cs="Times New Roman"/>
          <w:color w:val="auto"/>
          <w:kern w:val="0"/>
          <w:szCs w:val="24"/>
          <w:highlight w:val="none"/>
        </w:rPr>
      </w:pPr>
      <w:bookmarkStart w:id="530" w:name="_Toc34908947"/>
      <w:r>
        <w:rPr>
          <w:rFonts w:hint="eastAsia" w:ascii="宋体" w:hAnsi="宋体" w:eastAsia="宋体" w:cs="Times New Roman"/>
          <w:color w:val="auto"/>
          <w:kern w:val="0"/>
          <w:szCs w:val="24"/>
          <w:highlight w:val="none"/>
        </w:rPr>
        <w:t>⑴根据本合同条款由发包人或</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发给承包人的一切证书、通知或指令均应发送或派专人送达承包人在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中指定的地址。</w:t>
      </w:r>
      <w:bookmarkEnd w:id="530"/>
    </w:p>
    <w:p>
      <w:pPr>
        <w:tabs>
          <w:tab w:val="left" w:pos="1620"/>
          <w:tab w:val="left" w:pos="2340"/>
        </w:tabs>
        <w:spacing w:after="156"/>
        <w:ind w:left="899"/>
        <w:jc w:val="left"/>
        <w:rPr>
          <w:rFonts w:ascii="宋体" w:hAnsi="宋体" w:eastAsia="宋体" w:cs="Times New Roman"/>
          <w:color w:val="auto"/>
          <w:kern w:val="0"/>
          <w:szCs w:val="24"/>
          <w:highlight w:val="none"/>
        </w:rPr>
      </w:pPr>
      <w:bookmarkStart w:id="531" w:name="_Toc34908948"/>
      <w:r>
        <w:rPr>
          <w:rFonts w:hint="eastAsia" w:ascii="宋体" w:hAnsi="宋体" w:eastAsia="宋体" w:cs="Times New Roman"/>
          <w:color w:val="auto"/>
          <w:kern w:val="0"/>
          <w:szCs w:val="24"/>
          <w:highlight w:val="none"/>
        </w:rPr>
        <w:t>⑵根据本合同条款由承包人发给发包人或</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的一切通知均应发送或派专人送达发包人或</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中指定的地址。</w:t>
      </w:r>
      <w:bookmarkEnd w:id="531"/>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⑶若一方的通信地址发生改变，应提前3天书面通知另一方，</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⑷如一方拒绝签收另一方通知，另一方以特快专递方式将通知送至2.11⑴、⑵款指定的地址，视为送达。</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532" w:name="_Toc337"/>
      <w:bookmarkStart w:id="533" w:name="_Toc13986"/>
      <w:bookmarkStart w:id="534" w:name="_Toc30477"/>
      <w:bookmarkStart w:id="535" w:name="_Toc302635709"/>
      <w:bookmarkStart w:id="536" w:name="_Toc4308"/>
      <w:bookmarkStart w:id="537" w:name="_Toc8098"/>
      <w:bookmarkStart w:id="538" w:name="_Toc16124"/>
      <w:bookmarkStart w:id="539" w:name="_Toc10537"/>
      <w:bookmarkStart w:id="540" w:name="_Toc336"/>
      <w:bookmarkStart w:id="541" w:name="_Toc30893"/>
      <w:r>
        <w:rPr>
          <w:rFonts w:hint="eastAsia" w:ascii="宋体" w:hAnsi="宋体" w:eastAsia="宋体" w:cs="Times New Roman"/>
          <w:b/>
          <w:bCs/>
          <w:color w:val="auto"/>
          <w:kern w:val="0"/>
          <w:sz w:val="24"/>
          <w:szCs w:val="24"/>
          <w:highlight w:val="none"/>
          <w:lang w:val="en-US" w:eastAsia="zh-CN" w:bidi="ar-SA"/>
        </w:rPr>
        <w:t>严禁贿赂</w:t>
      </w:r>
      <w:bookmarkEnd w:id="532"/>
      <w:bookmarkEnd w:id="533"/>
      <w:bookmarkEnd w:id="534"/>
      <w:bookmarkEnd w:id="535"/>
      <w:bookmarkEnd w:id="536"/>
      <w:bookmarkEnd w:id="537"/>
      <w:bookmarkEnd w:id="538"/>
      <w:bookmarkEnd w:id="539"/>
      <w:bookmarkEnd w:id="540"/>
      <w:bookmarkEnd w:id="541"/>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⑴承发包双方不得以贿赂或变相贿赂的方式，谋取非法利益或损害对方权益。因一方的贿赂造成对方损失的，应赔偿损失，并承担相应的法律责任。</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⑵承包人不得与</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或发包人聘请的第三方串通损害发包人利益。未经发包人书面同意，承包人不得为</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提供合同约定以外的通讯设备、交通工具及其他任何形式的利益，不得向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支付报酬。</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542" w:name="_Toc26184"/>
      <w:bookmarkStart w:id="543" w:name="_Toc14832"/>
      <w:bookmarkStart w:id="544" w:name="_Toc302635710"/>
      <w:bookmarkStart w:id="545" w:name="_Toc30053"/>
      <w:bookmarkStart w:id="546" w:name="_Toc26277"/>
      <w:bookmarkStart w:id="547" w:name="_Toc27442"/>
      <w:bookmarkStart w:id="548" w:name="_Toc26179"/>
      <w:bookmarkStart w:id="549" w:name="_Toc13760"/>
      <w:bookmarkStart w:id="550" w:name="_Toc21345"/>
      <w:bookmarkStart w:id="551" w:name="_Toc2598"/>
      <w:r>
        <w:rPr>
          <w:rFonts w:hint="eastAsia" w:ascii="宋体" w:hAnsi="宋体" w:eastAsia="宋体" w:cs="Times New Roman"/>
          <w:b/>
          <w:bCs/>
          <w:color w:val="auto"/>
          <w:kern w:val="0"/>
          <w:sz w:val="24"/>
          <w:szCs w:val="24"/>
          <w:highlight w:val="none"/>
          <w:lang w:val="en-US" w:eastAsia="zh-CN" w:bidi="ar-SA"/>
        </w:rPr>
        <w:t>交通运输</w:t>
      </w:r>
      <w:bookmarkEnd w:id="542"/>
      <w:bookmarkEnd w:id="543"/>
      <w:bookmarkEnd w:id="544"/>
      <w:bookmarkEnd w:id="545"/>
      <w:bookmarkEnd w:id="546"/>
      <w:bookmarkEnd w:id="547"/>
      <w:bookmarkEnd w:id="548"/>
      <w:bookmarkEnd w:id="549"/>
      <w:bookmarkEnd w:id="550"/>
      <w:bookmarkEnd w:id="551"/>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⑴出入现场的权利</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⑵场外交通</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余泥渣土运输车辆要求详见第18条〔余泥渣土运输车辆要求〕。</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⑶场内交通</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发包人应提供场内交通设施的技术参数和具体条件，并应按照</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的约定向承包人免费提供满足工程施工所需的场内道路和交通设施。因承包人原因造成上述道路或交通设施损坏的，承包人负责修复并承担由此增加的费用。</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另有约定外，为保证正常的公共交通秩序而修建的社会便道或便桥及交通疏解费用由发包人承担。</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除发包人按照合同约定提供的场内道路和交通设施外，承包人负责修建、维修、养护和管理施工所需的其他场内临时道路和交通设施。</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⑷超大件和超重件的运输</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另有约定除外</w:t>
      </w:r>
      <w:r>
        <w:rPr>
          <w:rFonts w:hint="eastAsia" w:ascii="宋体" w:hAnsi="宋体" w:eastAsia="宋体" w:cs="Times New Roman"/>
          <w:color w:val="auto"/>
          <w:kern w:val="0"/>
          <w:szCs w:val="24"/>
          <w:highlight w:val="none"/>
        </w:rPr>
        <w:t>。</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⑸道路和桥梁的损坏责任</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因承包人运输造成施工场地内外公共道路和桥梁损坏的，由承包人承担修复损坏的全部费用和可能引起的赔偿。</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⑹水路和航空运输</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本款前述各项的内容适用于水路运输和航空运输，其中“道路”一词的涵义包括河道、航线、船闸、机场、码头、堤防以及水路或航空运输中其他相似结构物；“车辆”一词的涵义包括船舶和</w:t>
      </w:r>
      <w:r>
        <w:rPr>
          <w:rFonts w:hint="eastAsia" w:ascii="宋体" w:hAnsi="宋体" w:eastAsia="宋体" w:cs="Times New Roman"/>
          <w:color w:val="auto"/>
          <w:kern w:val="0"/>
          <w:szCs w:val="24"/>
          <w:highlight w:val="none"/>
        </w:rPr>
        <w:t>飞机等。</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552" w:name="_Toc26953"/>
      <w:bookmarkStart w:id="553" w:name="_Toc25183"/>
      <w:bookmarkStart w:id="554" w:name="_Toc12841"/>
      <w:bookmarkStart w:id="555" w:name="_Toc2462"/>
      <w:bookmarkStart w:id="556" w:name="_Toc14162"/>
      <w:bookmarkStart w:id="557" w:name="_Toc13155"/>
      <w:bookmarkStart w:id="558" w:name="_Toc3515"/>
      <w:bookmarkStart w:id="559" w:name="_Toc19376"/>
      <w:bookmarkStart w:id="560" w:name="_Toc11990"/>
      <w:bookmarkStart w:id="561" w:name="_Toc302635711"/>
      <w:r>
        <w:rPr>
          <w:rFonts w:hint="eastAsia" w:ascii="宋体" w:hAnsi="宋体" w:eastAsia="宋体" w:cs="Times New Roman"/>
          <w:b/>
          <w:bCs/>
          <w:color w:val="auto"/>
          <w:kern w:val="0"/>
          <w:sz w:val="24"/>
          <w:szCs w:val="24"/>
          <w:highlight w:val="none"/>
          <w:lang w:val="en-US" w:eastAsia="zh-CN" w:bidi="ar-SA"/>
        </w:rPr>
        <w:t>水土保持</w:t>
      </w:r>
      <w:bookmarkEnd w:id="552"/>
      <w:bookmarkEnd w:id="553"/>
      <w:bookmarkEnd w:id="554"/>
      <w:bookmarkEnd w:id="555"/>
      <w:bookmarkEnd w:id="556"/>
      <w:bookmarkEnd w:id="557"/>
      <w:bookmarkEnd w:id="558"/>
      <w:bookmarkEnd w:id="559"/>
      <w:bookmarkEnd w:id="560"/>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⑴发包人应及时向承包人提供本工程已通过市区水务行政主管部门审批（备案）的水土保持方案（报告书或报告表）及准予行政许可决定书。</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在施工期间，应严格执行《中华人民共和国水土保持法》、《广东省水土保持条例》、《深圳经济特区水土保持条例》等有关法律法规的规定，做好施工区和生活区的水土保持工作，减少对项目周边水土资源和生态环境的影响和破坏。</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承包人应按合同约定和监理人指令，接受国家和省、市、县、流域等地方水务行政主管部门的监督和检查。承包人应对其违反水土保持相关法律法规规定以及合同约定所造成的水土流失灾害、人身伤害和财产损失负责。</w:t>
      </w:r>
    </w:p>
    <w:p>
      <w:pPr>
        <w:tabs>
          <w:tab w:val="left" w:pos="1620"/>
          <w:tab w:val="left" w:pos="2340"/>
        </w:tabs>
        <w:spacing w:after="156"/>
        <w:ind w:left="899"/>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Cs w:val="24"/>
          <w:highlight w:val="none"/>
        </w:rPr>
        <w:t>⑷承包人的施工组织设计应满足《生产建设项目水土保持技术标准》、《生产建设项目水土流失防治标准》、《深圳市生产建设项目水土保持技术规范》等技术标准和要求。</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562" w:name="_Toc18753"/>
      <w:bookmarkStart w:id="563" w:name="_Toc13466"/>
      <w:bookmarkStart w:id="564" w:name="_Toc4247"/>
      <w:bookmarkStart w:id="565" w:name="_Toc19016"/>
      <w:bookmarkStart w:id="566" w:name="_Toc29839"/>
      <w:bookmarkStart w:id="567" w:name="_Toc28890"/>
      <w:bookmarkStart w:id="568" w:name="_Toc4239"/>
      <w:bookmarkStart w:id="569" w:name="_Toc9475"/>
      <w:bookmarkStart w:id="570" w:name="_Toc12742"/>
      <w:r>
        <w:rPr>
          <w:rFonts w:hint="eastAsia" w:ascii="宋体" w:hAnsi="宋体" w:eastAsia="宋体" w:cs="Times New Roman"/>
          <w:b/>
          <w:bCs/>
          <w:color w:val="auto"/>
          <w:kern w:val="0"/>
          <w:sz w:val="24"/>
          <w:szCs w:val="24"/>
          <w:highlight w:val="none"/>
          <w:lang w:val="en-US" w:eastAsia="zh-CN" w:bidi="ar-SA"/>
        </w:rPr>
        <w:t>BIM实施应用</w:t>
      </w:r>
      <w:bookmarkEnd w:id="562"/>
      <w:bookmarkEnd w:id="563"/>
      <w:bookmarkEnd w:id="564"/>
      <w:bookmarkEnd w:id="565"/>
      <w:bookmarkEnd w:id="566"/>
      <w:bookmarkEnd w:id="567"/>
      <w:bookmarkEnd w:id="568"/>
      <w:bookmarkEnd w:id="569"/>
      <w:bookmarkEnd w:id="570"/>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⑴BIM实施范围</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本工程需实施BIM技术应用的，BIM实施内容应包含“施工BIM实施准备”、“设计BIM成果接收”、“施工BIM应用内容和要求”、“施工BIM成果归档和移交”、“竣工数字化资产验收和运维移交”、“施工BIM考核评价”及</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约定的内容。</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BIM实施应继承和延用设计阶段BIM成果，并考虑运维阶段的BIM技术应用需求。</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⑵BIM实施内容和要求</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承包人应在BIM实施前编制《施工BIM实施方案》，经发包人确认后，作为承包人BIM实施以及发包人BIM审查验收的依据。</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本工程BIM模型的创建和管理应分为深化设计、施工过程和竣工验收3个阶段，承包人应用BIM技术进行深化设计、施工过程可视化模拟、施工方案优化、施工进度和成本的管控等。各阶段的BIM技术和管理应用应满足</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中约定的要求。</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承包人创建的BIM模型应保证信息要素全面完备，模型精细度应符合</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中的标准要求。</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发包人应在办理规划许可、施工许可、竣工验收审批报建环节提交BIM模型。</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⑶BIM成果的归档和移交</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发包人应在工程竣工后，组织对本工程BIM实施成果进行归档和移交。</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本工程BIM成果包括BIM模型和与之对应的图纸、文档、统计表格，以及综合协调、模拟分析、统计计算等形成的数字化成果文件。BIM模型必须与竣工图纸一致。</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承包人应按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约定的交付标准移交BIM成果。发包人审核后，按照政府有关部门的要求进行归档，并在工程交付使用时，应将BIM模型提交给运维单位。</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⑷BIM信息安全责任</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承包双方应按照《深圳经济特区数据条例》的有关规定，加强对BIM数据的安全管理，建立健全数据管理制度，及时排查BIM数据在存储、使用、加工、传递、交付过程中可能出现的信息安全隐患，做好安全防护和处理。</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571" w:name="_Toc31452"/>
      <w:bookmarkStart w:id="572" w:name="_Toc13424"/>
      <w:bookmarkStart w:id="573" w:name="_Toc8060"/>
      <w:bookmarkStart w:id="574" w:name="_Toc25824"/>
      <w:bookmarkStart w:id="575" w:name="_Toc23274"/>
      <w:bookmarkStart w:id="576" w:name="_Toc31090"/>
      <w:bookmarkStart w:id="577" w:name="_Toc24308"/>
      <w:bookmarkStart w:id="578" w:name="_Toc4587"/>
      <w:bookmarkStart w:id="579" w:name="_Toc22438"/>
      <w:r>
        <w:rPr>
          <w:rFonts w:hint="eastAsia" w:ascii="宋体" w:hAnsi="宋体" w:eastAsia="宋体" w:cs="Times New Roman"/>
          <w:b/>
          <w:bCs/>
          <w:color w:val="auto"/>
          <w:kern w:val="0"/>
          <w:sz w:val="24"/>
          <w:szCs w:val="24"/>
          <w:highlight w:val="none"/>
          <w:lang w:val="en-US" w:eastAsia="zh-CN" w:bidi="ar-SA"/>
        </w:rPr>
        <w:t>知识产权</w:t>
      </w:r>
      <w:bookmarkEnd w:id="561"/>
      <w:bookmarkEnd w:id="571"/>
      <w:bookmarkEnd w:id="572"/>
      <w:bookmarkEnd w:id="573"/>
      <w:bookmarkEnd w:id="574"/>
      <w:bookmarkEnd w:id="575"/>
      <w:bookmarkEnd w:id="576"/>
      <w:bookmarkEnd w:id="577"/>
      <w:bookmarkEnd w:id="578"/>
      <w:bookmarkEnd w:id="579"/>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⑴除</w:t>
      </w:r>
      <w:r>
        <w:rPr>
          <w:rFonts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⑵除</w:t>
      </w:r>
      <w:r>
        <w:rPr>
          <w:rFonts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承发包双方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⑷除</w:t>
      </w:r>
      <w:r>
        <w:rPr>
          <w:rFonts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另有约定外，承包人在合同签订前和签订时已确定采用的专利、专有技术、技术秘密的使用费已包含在签约合同价中。</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580" w:name="_Toc4701"/>
      <w:bookmarkStart w:id="581" w:name="_Toc2916"/>
      <w:bookmarkStart w:id="582" w:name="_Toc30776"/>
      <w:bookmarkStart w:id="583" w:name="_Toc302635712"/>
      <w:bookmarkStart w:id="584" w:name="_Toc17887"/>
      <w:bookmarkStart w:id="585" w:name="_Toc21040"/>
      <w:bookmarkStart w:id="586" w:name="_Toc30395"/>
      <w:bookmarkStart w:id="587" w:name="_Toc31737"/>
      <w:bookmarkStart w:id="588" w:name="_Toc12223"/>
      <w:bookmarkStart w:id="589" w:name="_Toc31577"/>
      <w:r>
        <w:rPr>
          <w:rFonts w:hint="eastAsia" w:ascii="宋体" w:hAnsi="宋体" w:eastAsia="宋体" w:cs="Times New Roman"/>
          <w:b/>
          <w:bCs/>
          <w:color w:val="auto"/>
          <w:kern w:val="0"/>
          <w:sz w:val="24"/>
          <w:szCs w:val="24"/>
          <w:highlight w:val="none"/>
          <w:lang w:val="en-US" w:eastAsia="zh-CN" w:bidi="ar-SA"/>
        </w:rPr>
        <w:t>保密</w:t>
      </w:r>
      <w:bookmarkEnd w:id="580"/>
      <w:bookmarkEnd w:id="581"/>
      <w:bookmarkEnd w:id="582"/>
      <w:bookmarkEnd w:id="583"/>
      <w:bookmarkEnd w:id="584"/>
      <w:bookmarkEnd w:id="585"/>
      <w:bookmarkEnd w:id="586"/>
      <w:bookmarkEnd w:id="587"/>
      <w:bookmarkEnd w:id="588"/>
      <w:bookmarkEnd w:id="589"/>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除法律规定或合同另有约定外，未经发包人同意，承包人不得将发包人提供的图纸、文件以及声明需要保密的资料信息等商业秘密泄露给第三方。</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除法律规定或合同另有约定外，未经承包人同意，发包人不得将承包人提供的技术秘密及声明需要保密的资料信息等商业秘密泄露给第三方。</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590" w:name="_Toc236"/>
      <w:bookmarkStart w:id="591" w:name="_Toc23898"/>
      <w:bookmarkStart w:id="592" w:name="_Toc19178"/>
      <w:bookmarkStart w:id="593" w:name="_Toc13049"/>
      <w:bookmarkStart w:id="594" w:name="_Toc17763"/>
      <w:bookmarkStart w:id="595" w:name="_Toc8114"/>
      <w:bookmarkStart w:id="596" w:name="_Toc305331332"/>
      <w:bookmarkStart w:id="597" w:name="_Toc5118"/>
      <w:bookmarkStart w:id="598" w:name="_Toc302635819"/>
      <w:bookmarkStart w:id="599" w:name="_Toc6643"/>
      <w:bookmarkStart w:id="600" w:name="_Toc29930"/>
      <w:bookmarkStart w:id="601" w:name="_Toc34909069"/>
      <w:r>
        <w:rPr>
          <w:rFonts w:hint="eastAsia" w:ascii="宋体" w:hAnsi="宋体" w:eastAsia="宋体" w:cs="Times New Roman"/>
          <w:b/>
          <w:bCs/>
          <w:color w:val="auto"/>
          <w:kern w:val="0"/>
          <w:sz w:val="24"/>
          <w:szCs w:val="24"/>
          <w:highlight w:val="none"/>
          <w:lang w:val="en-US" w:eastAsia="zh-CN" w:bidi="ar-SA"/>
        </w:rPr>
        <w:t>化石、文物的保护</w:t>
      </w:r>
      <w:bookmarkEnd w:id="590"/>
      <w:bookmarkEnd w:id="591"/>
      <w:bookmarkEnd w:id="592"/>
      <w:bookmarkEnd w:id="593"/>
      <w:bookmarkEnd w:id="594"/>
      <w:bookmarkEnd w:id="595"/>
      <w:bookmarkEnd w:id="596"/>
      <w:bookmarkEnd w:id="597"/>
      <w:bookmarkEnd w:id="598"/>
      <w:bookmarkEnd w:id="599"/>
      <w:bookmarkEnd w:id="600"/>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在现场发现的所有化石、文物，以及有地质或考古意义的结构物和其他遗迹或物品时，承包人应立即保护好现场并于4小时内通知</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应于收到通知后24小时内报告当地文物管理部门，发包人和承包人应按文物管理部门的要求采取妥善保护措施。</w:t>
      </w:r>
      <w:bookmarkEnd w:id="601"/>
      <w:r>
        <w:rPr>
          <w:rFonts w:hint="eastAsia" w:ascii="宋体" w:hAnsi="宋体" w:eastAsia="宋体" w:cs="Times New Roman"/>
          <w:color w:val="auto"/>
          <w:kern w:val="0"/>
          <w:szCs w:val="24"/>
          <w:highlight w:val="none"/>
        </w:rPr>
        <w:t>发包人承担由此发生的费用，顺延延误的工期。如发现后隐瞒不报或报告不及时，致使上述化石、文物遭受破坏，责任人依法承担相应责任。</w:t>
      </w:r>
    </w:p>
    <w:p>
      <w:pPr>
        <w:keepNext w:val="0"/>
        <w:keepLines w:val="0"/>
        <w:widowControl w:val="0"/>
        <w:numPr>
          <w:ilvl w:val="0"/>
          <w:numId w:val="2"/>
        </w:numPr>
        <w:tabs>
          <w:tab w:val="left" w:pos="54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602" w:name="_Toc32051"/>
      <w:bookmarkStart w:id="603" w:name="_Toc7045"/>
      <w:bookmarkStart w:id="604" w:name="_Toc19098"/>
      <w:bookmarkStart w:id="605" w:name="_Toc302635714"/>
      <w:bookmarkStart w:id="606" w:name="_Toc35656466"/>
      <w:bookmarkStart w:id="607" w:name="_Toc34908950"/>
      <w:bookmarkStart w:id="608" w:name="_Toc1886"/>
      <w:bookmarkStart w:id="609" w:name="_Toc30366"/>
      <w:bookmarkStart w:id="610" w:name="_Toc15924"/>
      <w:bookmarkStart w:id="611" w:name="_Toc28730"/>
      <w:bookmarkStart w:id="612" w:name="_Toc35656966"/>
      <w:bookmarkStart w:id="613" w:name="_Toc305331243"/>
      <w:bookmarkStart w:id="614" w:name="_Toc31304"/>
      <w:bookmarkStart w:id="615" w:name="_Toc19521"/>
      <w:r>
        <w:rPr>
          <w:rFonts w:hint="eastAsia" w:ascii="华文细黑" w:hAnsi="宋体" w:eastAsia="宋体" w:cs="Times New Roman"/>
          <w:b/>
          <w:bCs/>
          <w:snapToGrid w:val="0"/>
          <w:color w:val="auto"/>
          <w:kern w:val="0"/>
          <w:sz w:val="28"/>
          <w:szCs w:val="44"/>
          <w:highlight w:val="none"/>
          <w:lang w:val="en-US" w:eastAsia="zh-CN" w:bidi="ar-SA"/>
        </w:rPr>
        <w:t>发包人</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616" w:name="_Toc8296"/>
      <w:bookmarkStart w:id="617" w:name="_Toc31217"/>
      <w:bookmarkStart w:id="618" w:name="_Toc25247"/>
      <w:bookmarkStart w:id="619" w:name="_Toc302635715"/>
      <w:bookmarkStart w:id="620" w:name="_Toc24884"/>
      <w:bookmarkStart w:id="621" w:name="_Toc8619"/>
      <w:bookmarkStart w:id="622" w:name="_Toc27057"/>
      <w:bookmarkStart w:id="623" w:name="_Toc305331244"/>
      <w:bookmarkStart w:id="624" w:name="_Toc3048"/>
      <w:bookmarkStart w:id="625" w:name="_Toc20077"/>
      <w:bookmarkStart w:id="626" w:name="_Toc16038"/>
      <w:bookmarkStart w:id="627" w:name="_Toc34908951"/>
      <w:r>
        <w:rPr>
          <w:rFonts w:hint="eastAsia" w:ascii="宋体" w:hAnsi="宋体" w:eastAsia="宋体" w:cs="Times New Roman"/>
          <w:b/>
          <w:bCs/>
          <w:color w:val="auto"/>
          <w:kern w:val="0"/>
          <w:sz w:val="24"/>
          <w:szCs w:val="24"/>
          <w:highlight w:val="none"/>
          <w:lang w:val="en-US" w:eastAsia="zh-CN" w:bidi="ar-SA"/>
        </w:rPr>
        <w:t>发包人代表</w:t>
      </w:r>
      <w:bookmarkEnd w:id="616"/>
      <w:bookmarkEnd w:id="617"/>
      <w:bookmarkEnd w:id="618"/>
      <w:bookmarkEnd w:id="619"/>
      <w:bookmarkEnd w:id="620"/>
      <w:bookmarkEnd w:id="621"/>
      <w:bookmarkEnd w:id="622"/>
      <w:bookmarkEnd w:id="623"/>
      <w:bookmarkEnd w:id="624"/>
      <w:bookmarkEnd w:id="625"/>
      <w:bookmarkEnd w:id="626"/>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发包人应任命发包人代表，发包人代表的姓名在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中明确。本合同中约定由发包人确认、批准、同意、审批等事项均应以发包人盖章或发包人代表签字为准。发包人如需更换发包人代表，应至少提前7天以书面形式通知</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和承包人。</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发包人代表不能按照合同约定履行其职责及义务，并导致合同无法继续正常履行的，承包人可以要求发包人撤换发包人代表。</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628" w:name="_Toc23760"/>
      <w:bookmarkStart w:id="629" w:name="_Toc19898"/>
      <w:bookmarkStart w:id="630" w:name="_Toc3307"/>
      <w:bookmarkStart w:id="631" w:name="_Toc31695"/>
      <w:bookmarkStart w:id="632" w:name="_Toc31530"/>
      <w:bookmarkStart w:id="633" w:name="_Toc31575"/>
      <w:bookmarkStart w:id="634" w:name="_Toc27384"/>
      <w:bookmarkStart w:id="635" w:name="_Toc28217"/>
      <w:bookmarkStart w:id="636" w:name="_Toc6002"/>
      <w:bookmarkStart w:id="637" w:name="_Toc305331245"/>
      <w:bookmarkStart w:id="638" w:name="_Toc302635716"/>
      <w:r>
        <w:rPr>
          <w:rFonts w:hint="eastAsia" w:ascii="宋体" w:hAnsi="宋体" w:eastAsia="宋体" w:cs="Times New Roman"/>
          <w:b/>
          <w:bCs/>
          <w:color w:val="auto"/>
          <w:kern w:val="0"/>
          <w:sz w:val="24"/>
          <w:szCs w:val="24"/>
          <w:highlight w:val="none"/>
          <w:lang w:val="en-US" w:eastAsia="zh-CN" w:bidi="ar-SA"/>
        </w:rPr>
        <w:t>发包人的义务</w:t>
      </w:r>
      <w:bookmarkEnd w:id="628"/>
      <w:bookmarkEnd w:id="629"/>
      <w:bookmarkEnd w:id="630"/>
      <w:bookmarkEnd w:id="631"/>
      <w:bookmarkEnd w:id="632"/>
      <w:bookmarkEnd w:id="633"/>
      <w:bookmarkEnd w:id="634"/>
      <w:bookmarkEnd w:id="635"/>
      <w:bookmarkEnd w:id="636"/>
      <w:bookmarkEnd w:id="637"/>
      <w:bookmarkEnd w:id="638"/>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应履行本合同所约定的全部义务。发包人应按本合同约定的期限和方式向承包人支付合同价款及其它应支付的款项，办理法律规定由其办理的许可、批准或备案，按合同约定向承包人提供基础资料和施工条件，并按合同约定及时组织竣工验收。</w:t>
      </w:r>
      <w:bookmarkEnd w:id="627"/>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639" w:name="_Toc23442"/>
      <w:bookmarkStart w:id="640" w:name="_Toc28940"/>
      <w:bookmarkStart w:id="641" w:name="_Toc17632"/>
      <w:bookmarkStart w:id="642" w:name="_Toc13448"/>
      <w:bookmarkStart w:id="643" w:name="_Toc9933"/>
      <w:bookmarkStart w:id="644" w:name="_Toc21082"/>
      <w:bookmarkStart w:id="645" w:name="_Toc32303"/>
      <w:bookmarkStart w:id="646" w:name="_Toc18177"/>
      <w:bookmarkStart w:id="647" w:name="_Toc302635717"/>
      <w:bookmarkStart w:id="648" w:name="_Toc18851"/>
      <w:r>
        <w:rPr>
          <w:rFonts w:hint="eastAsia" w:ascii="宋体" w:hAnsi="宋体" w:eastAsia="宋体" w:cs="Times New Roman"/>
          <w:b/>
          <w:bCs/>
          <w:color w:val="auto"/>
          <w:kern w:val="0"/>
          <w:sz w:val="24"/>
          <w:szCs w:val="24"/>
          <w:highlight w:val="none"/>
          <w:lang w:val="en-US" w:eastAsia="zh-CN" w:bidi="ar-SA"/>
        </w:rPr>
        <w:t>发包人人员</w:t>
      </w:r>
      <w:bookmarkEnd w:id="639"/>
      <w:bookmarkEnd w:id="640"/>
      <w:bookmarkEnd w:id="641"/>
      <w:bookmarkEnd w:id="642"/>
      <w:bookmarkEnd w:id="643"/>
      <w:bookmarkEnd w:id="644"/>
      <w:bookmarkEnd w:id="645"/>
      <w:bookmarkEnd w:id="646"/>
      <w:bookmarkEnd w:id="647"/>
      <w:bookmarkEnd w:id="648"/>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发包人人员包括发包人代表及其他由发包人派驻施工现场的人员。</w:t>
      </w:r>
      <w:r>
        <w:rPr>
          <w:rFonts w:hint="eastAsia" w:ascii="宋体" w:hAnsi="宋体" w:eastAsia="宋体" w:cs="Times New Roman"/>
          <w:color w:val="auto"/>
          <w:kern w:val="0"/>
          <w:szCs w:val="24"/>
          <w:highlight w:val="none"/>
        </w:rPr>
        <w:t>发包人应要求在施工现场的发包人人员配合承包人的工作并遵守关于工程安全、质量、环境保护与文明施工的规定，并保障承包人免于承受因发包人人员未遵守上述要求给承包人造成的损失和责任。</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649" w:name="_Toc19609"/>
      <w:bookmarkStart w:id="650" w:name="_Toc305331246"/>
      <w:bookmarkStart w:id="651" w:name="_Toc2119"/>
      <w:bookmarkStart w:id="652" w:name="_Toc1703"/>
      <w:bookmarkStart w:id="653" w:name="_Toc3431"/>
      <w:bookmarkStart w:id="654" w:name="_Toc27835"/>
      <w:bookmarkStart w:id="655" w:name="_Toc22229"/>
      <w:bookmarkStart w:id="656" w:name="_Toc2413"/>
      <w:bookmarkStart w:id="657" w:name="_Toc13357"/>
      <w:bookmarkStart w:id="658" w:name="_Toc9149"/>
      <w:bookmarkStart w:id="659" w:name="_Toc302635718"/>
      <w:bookmarkStart w:id="660" w:name="_Toc34908952"/>
      <w:r>
        <w:rPr>
          <w:rFonts w:hint="eastAsia" w:ascii="宋体" w:hAnsi="宋体" w:eastAsia="宋体" w:cs="Times New Roman"/>
          <w:b/>
          <w:bCs/>
          <w:color w:val="auto"/>
          <w:kern w:val="0"/>
          <w:sz w:val="24"/>
          <w:szCs w:val="24"/>
          <w:highlight w:val="none"/>
          <w:lang w:val="en-US" w:eastAsia="zh-CN" w:bidi="ar-SA"/>
        </w:rPr>
        <w:t>发包人的工作</w:t>
      </w:r>
      <w:bookmarkEnd w:id="649"/>
      <w:bookmarkEnd w:id="650"/>
      <w:bookmarkEnd w:id="651"/>
      <w:bookmarkEnd w:id="652"/>
      <w:bookmarkEnd w:id="653"/>
      <w:bookmarkEnd w:id="654"/>
      <w:bookmarkEnd w:id="655"/>
      <w:bookmarkEnd w:id="656"/>
      <w:bookmarkEnd w:id="657"/>
      <w:bookmarkEnd w:id="658"/>
      <w:bookmarkEnd w:id="659"/>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⑴发包人应按照</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的约定在本工程开工前完成以下工作，并承担相关费用</w:t>
      </w:r>
      <w:bookmarkEnd w:id="660"/>
      <w:r>
        <w:rPr>
          <w:rFonts w:hint="eastAsia" w:ascii="宋体" w:hAnsi="宋体" w:eastAsia="宋体" w:cs="Times New Roman"/>
          <w:color w:val="auto"/>
          <w:kern w:val="0"/>
          <w:szCs w:val="24"/>
          <w:highlight w:val="none"/>
        </w:rPr>
        <w:t>：</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①办理土地征用、搬迁补偿、平整施工场地等工作，使施工场地具备施工条件，并在开工后继续负责解决上述工作遗留的问题；</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②根据</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约定的接驳地点，将施工所需水、电、通讯线路从施工场地外部接驳到施工场地内，保证施工期间的需要；</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③开通施工场地与城乡公共道路间的通道，满足施工运输的需要；</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④向承包人提供施工场地的工程地质和地下管线资料，对资料的真实性、准确性负责；</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⑤办理规划、施工许可证以及停水、停电、中断道路交通、爆破作业等的批件；</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⑥确定水准点与坐标控制点，组织现场交验并移交给承包人；</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⑦根据</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约定的时间，组织承包人和</w:t>
      </w:r>
      <w:r>
        <w:rPr>
          <w:rFonts w:ascii="宋体" w:hAnsi="宋体" w:eastAsia="宋体" w:cs="Times New Roman"/>
          <w:color w:val="auto"/>
          <w:kern w:val="0"/>
          <w:szCs w:val="24"/>
          <w:highlight w:val="none"/>
        </w:rPr>
        <w:t>设计人</w:t>
      </w:r>
      <w:r>
        <w:rPr>
          <w:rFonts w:hint="eastAsia" w:ascii="宋体" w:hAnsi="宋体" w:eastAsia="宋体" w:cs="Times New Roman"/>
          <w:color w:val="auto"/>
          <w:kern w:val="0"/>
          <w:szCs w:val="24"/>
          <w:highlight w:val="none"/>
        </w:rPr>
        <w:t>进行图纸会审和设计交底；</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⑧协调处理施工场地周围地下管线和邻近建筑物、构筑物(包括文物保护建筑)、古树名木等的保护工作；</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⑨在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内约定发包人应做的其他工作。</w:t>
      </w:r>
      <w:bookmarkStart w:id="661" w:name="_Toc34908954"/>
    </w:p>
    <w:p>
      <w:pPr>
        <w:tabs>
          <w:tab w:val="left" w:pos="1620"/>
          <w:tab w:val="left" w:pos="2340"/>
        </w:tabs>
        <w:spacing w:before="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⑵发包人未完成前款约定的各项工作，且未委托承包人办理，给承包人造成损失和(或)导致工期延误的，发包人应赔偿承包人损失和(或)顺延延误的工期。</w:t>
      </w:r>
      <w:bookmarkEnd w:id="661"/>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662" w:name="_Toc29269"/>
      <w:bookmarkStart w:id="663" w:name="_Toc29514"/>
      <w:bookmarkStart w:id="664" w:name="_Toc21441"/>
      <w:bookmarkStart w:id="665" w:name="_Toc305331247"/>
      <w:bookmarkStart w:id="666" w:name="_Toc30220"/>
      <w:bookmarkStart w:id="667" w:name="_Toc7565"/>
      <w:bookmarkStart w:id="668" w:name="_Toc23168"/>
      <w:bookmarkStart w:id="669" w:name="_Toc302635719"/>
      <w:bookmarkStart w:id="670" w:name="_Toc85"/>
      <w:bookmarkStart w:id="671" w:name="_Toc2576"/>
      <w:bookmarkStart w:id="672" w:name="_Toc26467"/>
      <w:bookmarkStart w:id="673" w:name="_Toc34908953"/>
      <w:r>
        <w:rPr>
          <w:rFonts w:hint="eastAsia" w:ascii="宋体" w:hAnsi="宋体" w:eastAsia="宋体" w:cs="Times New Roman"/>
          <w:b/>
          <w:bCs/>
          <w:color w:val="auto"/>
          <w:kern w:val="0"/>
          <w:sz w:val="24"/>
          <w:szCs w:val="24"/>
          <w:highlight w:val="none"/>
          <w:lang w:val="en-US" w:eastAsia="zh-CN" w:bidi="ar-SA"/>
        </w:rPr>
        <w:t>发包人委托</w:t>
      </w:r>
      <w:bookmarkEnd w:id="662"/>
      <w:bookmarkEnd w:id="663"/>
      <w:bookmarkEnd w:id="664"/>
      <w:bookmarkEnd w:id="665"/>
      <w:bookmarkEnd w:id="666"/>
      <w:bookmarkEnd w:id="667"/>
      <w:bookmarkEnd w:id="668"/>
      <w:bookmarkEnd w:id="669"/>
      <w:bookmarkEnd w:id="670"/>
      <w:bookmarkEnd w:id="671"/>
      <w:bookmarkEnd w:id="672"/>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发包人可将3.4款部分工作委托承包人办理，具体委托内容由双方在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中约定，费用由发包人承担。</w:t>
      </w:r>
      <w:bookmarkEnd w:id="673"/>
    </w:p>
    <w:p>
      <w:pPr>
        <w:keepNext w:val="0"/>
        <w:keepLines w:val="0"/>
        <w:widowControl w:val="0"/>
        <w:numPr>
          <w:ilvl w:val="0"/>
          <w:numId w:val="2"/>
        </w:numPr>
        <w:tabs>
          <w:tab w:val="left" w:pos="54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674" w:name="_Toc29877"/>
      <w:bookmarkStart w:id="675" w:name="_Toc29684"/>
      <w:bookmarkStart w:id="676" w:name="_Toc305331248"/>
      <w:bookmarkStart w:id="677" w:name="_Toc7753"/>
      <w:bookmarkStart w:id="678" w:name="_Toc10125"/>
      <w:bookmarkStart w:id="679" w:name="_Toc34908955"/>
      <w:bookmarkStart w:id="680" w:name="_Toc16492"/>
      <w:bookmarkStart w:id="681" w:name="_Toc5603"/>
      <w:bookmarkStart w:id="682" w:name="_Toc14361"/>
      <w:bookmarkStart w:id="683" w:name="_Toc302635720"/>
      <w:bookmarkStart w:id="684" w:name="_Toc35656467"/>
      <w:bookmarkStart w:id="685" w:name="_Toc24536"/>
      <w:bookmarkStart w:id="686" w:name="_Toc10602"/>
      <w:bookmarkStart w:id="687" w:name="_Toc35656967"/>
      <w:r>
        <w:rPr>
          <w:rFonts w:hint="eastAsia" w:ascii="华文细黑" w:hAnsi="宋体" w:eastAsia="宋体" w:cs="Times New Roman"/>
          <w:b/>
          <w:bCs/>
          <w:snapToGrid w:val="0"/>
          <w:color w:val="auto"/>
          <w:kern w:val="0"/>
          <w:sz w:val="28"/>
          <w:szCs w:val="44"/>
          <w:highlight w:val="none"/>
          <w:lang w:val="en-US" w:eastAsia="zh-CN" w:bidi="ar-SA"/>
        </w:rPr>
        <w:t>承包人</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688" w:name="_Toc23000"/>
      <w:bookmarkStart w:id="689" w:name="_Toc305331249"/>
      <w:bookmarkStart w:id="690" w:name="_Toc5047"/>
      <w:bookmarkStart w:id="691" w:name="_Toc26003"/>
      <w:bookmarkStart w:id="692" w:name="_Toc7020"/>
      <w:bookmarkStart w:id="693" w:name="_Toc23599"/>
      <w:bookmarkStart w:id="694" w:name="_Toc25890"/>
      <w:bookmarkStart w:id="695" w:name="_Toc9862"/>
      <w:bookmarkStart w:id="696" w:name="_Toc302635721"/>
      <w:bookmarkStart w:id="697" w:name="_Toc27864"/>
      <w:bookmarkStart w:id="698" w:name="_Toc16086"/>
      <w:bookmarkStart w:id="699" w:name="_Toc34908956"/>
      <w:r>
        <w:rPr>
          <w:rFonts w:hint="eastAsia" w:ascii="宋体" w:hAnsi="宋体" w:eastAsia="宋体" w:cs="Times New Roman"/>
          <w:b/>
          <w:bCs/>
          <w:color w:val="auto"/>
          <w:kern w:val="0"/>
          <w:sz w:val="24"/>
          <w:szCs w:val="24"/>
          <w:highlight w:val="none"/>
          <w:lang w:val="en-US" w:eastAsia="zh-CN" w:bidi="ar-SA"/>
        </w:rPr>
        <w:t>承包人的义务</w:t>
      </w:r>
      <w:bookmarkEnd w:id="688"/>
      <w:bookmarkEnd w:id="689"/>
      <w:bookmarkEnd w:id="690"/>
      <w:bookmarkEnd w:id="691"/>
      <w:bookmarkEnd w:id="692"/>
      <w:bookmarkEnd w:id="693"/>
      <w:bookmarkEnd w:id="694"/>
      <w:bookmarkEnd w:id="695"/>
      <w:bookmarkEnd w:id="696"/>
      <w:bookmarkEnd w:id="697"/>
      <w:bookmarkEnd w:id="698"/>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承包人应履行本合同所约定的全部义务。承包人应精心组织施工，按时完成本工程及其在缺陷保修期内对缺陷的修复。为此，承包人应提供所需的全部监督管理、人工、材料、设备、施工装备、往返工地的交通以及合同约定或合理地推断为进行本工程而需要的各种资源。</w:t>
      </w:r>
      <w:bookmarkEnd w:id="699"/>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700" w:name="_Toc31711"/>
      <w:bookmarkStart w:id="701" w:name="_Toc26062"/>
      <w:bookmarkStart w:id="702" w:name="_Toc26399"/>
      <w:bookmarkStart w:id="703" w:name="_Toc31105"/>
      <w:bookmarkStart w:id="704" w:name="_Toc2305"/>
      <w:bookmarkStart w:id="705" w:name="_Toc305331250"/>
      <w:bookmarkStart w:id="706" w:name="_Toc10038"/>
      <w:bookmarkStart w:id="707" w:name="_Toc302635722"/>
      <w:bookmarkStart w:id="708" w:name="_Toc8168"/>
      <w:bookmarkStart w:id="709" w:name="_Toc5587"/>
      <w:bookmarkStart w:id="710" w:name="_Toc3478"/>
      <w:r>
        <w:rPr>
          <w:rFonts w:hint="eastAsia" w:ascii="宋体" w:hAnsi="宋体" w:eastAsia="宋体" w:cs="Times New Roman"/>
          <w:b/>
          <w:bCs/>
          <w:color w:val="auto"/>
          <w:kern w:val="0"/>
          <w:sz w:val="24"/>
          <w:szCs w:val="24"/>
          <w:highlight w:val="none"/>
          <w:lang w:val="en-US" w:eastAsia="zh-CN" w:bidi="ar-SA"/>
        </w:rPr>
        <w:t>承包人的工作</w:t>
      </w:r>
      <w:bookmarkEnd w:id="700"/>
      <w:bookmarkEnd w:id="701"/>
      <w:bookmarkEnd w:id="702"/>
      <w:bookmarkEnd w:id="703"/>
      <w:bookmarkEnd w:id="704"/>
      <w:bookmarkEnd w:id="705"/>
      <w:bookmarkEnd w:id="706"/>
      <w:bookmarkEnd w:id="707"/>
      <w:bookmarkEnd w:id="708"/>
      <w:bookmarkEnd w:id="709"/>
      <w:bookmarkEnd w:id="710"/>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⑴承包人应按照</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约定完成以下工作：</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①办理法律规定应由承包人办理的许可和批准，并将办理结果书面报送发包人留存；</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按法律规定和合同约定完成工程，并在保修期内承担保修义务；在本工程或本工程中某单项工程已竣工但未交付发包人以前，负责已完工程的保护工作，保护期间发生损坏，应予以修复并承担费用。如发包人要求承包人采取特殊保护措施，发包人应承担相应费用；</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 xml:space="preserve">另有约定外，向发包人提供施工场地办公和生活的房屋及设施，发包人承担由此发生的费用； </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④</w:t>
      </w:r>
      <w:r>
        <w:rPr>
          <w:rFonts w:ascii="宋体" w:hAnsi="宋体" w:eastAsia="宋体" w:cs="Times New Roman"/>
          <w:color w:val="auto"/>
          <w:kern w:val="0"/>
          <w:szCs w:val="24"/>
          <w:highlight w:val="none"/>
        </w:rPr>
        <w:t>按法律规定和合同约定采取施工安全措施，确保工程及其人员、材料、设备和设施的安全，防止因工程施工造成的人身伤害和财产损失；采取环境保护措施，负责施工场地及其周边环境与生态的保护工作；</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⑤</w:t>
      </w:r>
      <w:r>
        <w:rPr>
          <w:rFonts w:ascii="宋体" w:hAnsi="宋体" w:eastAsia="宋体" w:cs="Times New Roman"/>
          <w:color w:val="auto"/>
          <w:kern w:val="0"/>
          <w:szCs w:val="24"/>
          <w:highlight w:val="none"/>
        </w:rPr>
        <w:t>按合同约定的工作内容和施工进度要求，编制施工组织设计和施工措施计划，并对所有施工作业和施工方法的完备性和安全可靠性负责；</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⑥</w:t>
      </w:r>
      <w:r>
        <w:rPr>
          <w:rFonts w:ascii="宋体" w:hAnsi="宋体" w:eastAsia="宋体" w:cs="Times New Roman"/>
          <w:color w:val="auto"/>
          <w:kern w:val="0"/>
          <w:szCs w:val="24"/>
          <w:highlight w:val="none"/>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⑦将</w:t>
      </w:r>
      <w:r>
        <w:rPr>
          <w:rFonts w:ascii="宋体" w:hAnsi="宋体" w:eastAsia="宋体" w:cs="Times New Roman"/>
          <w:color w:val="auto"/>
          <w:kern w:val="0"/>
          <w:szCs w:val="24"/>
          <w:highlight w:val="none"/>
        </w:rPr>
        <w:t>发包人按合同约定支付的各项价款专用于合同工程，且应及时支付其雇用人员工资，并及时向分包人支付合同价款；</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⑧</w:t>
      </w:r>
      <w:r>
        <w:rPr>
          <w:rFonts w:ascii="宋体" w:hAnsi="宋体" w:eastAsia="宋体" w:cs="Times New Roman"/>
          <w:color w:val="auto"/>
          <w:kern w:val="0"/>
          <w:szCs w:val="24"/>
          <w:highlight w:val="none"/>
        </w:rPr>
        <w:t>按照法律规定和合同约定编制竣工资料，完成竣工资料立卷及归档，并按</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约定的竣工资料的套数、时间等要求移交发包人；</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⑨在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内约定承包人应做的其他工作。</w:t>
      </w:r>
    </w:p>
    <w:p>
      <w:pPr>
        <w:tabs>
          <w:tab w:val="left" w:pos="1620"/>
          <w:tab w:val="left" w:pos="2340"/>
        </w:tabs>
        <w:spacing w:before="156"/>
        <w:ind w:left="899"/>
        <w:jc w:val="left"/>
        <w:rPr>
          <w:rFonts w:hint="eastAsia" w:ascii="宋体" w:hAnsi="宋体" w:eastAsia="宋体" w:cs="Times New Roman"/>
          <w:color w:val="auto"/>
          <w:kern w:val="0"/>
          <w:szCs w:val="24"/>
          <w:highlight w:val="none"/>
        </w:rPr>
      </w:pPr>
      <w:bookmarkStart w:id="711" w:name="_Toc34908958"/>
      <w:r>
        <w:rPr>
          <w:rFonts w:hint="eastAsia" w:ascii="宋体" w:hAnsi="宋体" w:eastAsia="宋体" w:cs="Times New Roman"/>
          <w:color w:val="auto"/>
          <w:kern w:val="0"/>
          <w:szCs w:val="24"/>
          <w:highlight w:val="none"/>
        </w:rPr>
        <w:t>⑵承包人未完成3.5款及4.2款约定的各项工作，应视为承包人违约，承包人按</w:t>
      </w:r>
      <w:r>
        <w:rPr>
          <w:rFonts w:hint="eastAsia" w:ascii="宋体" w:hAnsi="宋体" w:eastAsia="宋体" w:cs="Times New Roman"/>
          <w:color w:val="auto"/>
          <w:kern w:val="0"/>
          <w:szCs w:val="24"/>
          <w:highlight w:val="none"/>
          <w:lang w:val="en-US" w:eastAsia="zh-CN"/>
        </w:rPr>
        <w:t>29</w:t>
      </w:r>
      <w:r>
        <w:rPr>
          <w:rFonts w:hint="eastAsia" w:ascii="宋体" w:hAnsi="宋体" w:eastAsia="宋体" w:cs="Times New Roman"/>
          <w:color w:val="auto"/>
          <w:kern w:val="0"/>
          <w:szCs w:val="24"/>
          <w:highlight w:val="none"/>
        </w:rPr>
        <w:t>.2款的约定承担违约责任，给发包人造成损失和(或)导致工期延误的，承包人应赔偿发包人的损失和(或)工期不予顺延。</w:t>
      </w:r>
      <w:bookmarkEnd w:id="711"/>
    </w:p>
    <w:p>
      <w:pPr>
        <w:widowControl w:val="0"/>
        <w:numPr>
          <w:ilvl w:val="1"/>
          <w:numId w:val="2"/>
        </w:numPr>
        <w:tabs>
          <w:tab w:val="left" w:pos="540"/>
          <w:tab w:val="left" w:pos="576"/>
          <w:tab w:val="left" w:pos="900"/>
          <w:tab w:val="left" w:pos="234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712" w:name="_Toc35656469"/>
      <w:bookmarkStart w:id="713" w:name="_Toc35656970"/>
      <w:bookmarkStart w:id="714" w:name="_Toc34908971"/>
      <w:bookmarkStart w:id="715" w:name="_Toc305331251"/>
      <w:bookmarkStart w:id="716" w:name="_Toc28313"/>
      <w:bookmarkStart w:id="717" w:name="_Toc26697"/>
      <w:bookmarkStart w:id="718" w:name="_Toc17727"/>
      <w:bookmarkStart w:id="719" w:name="_Toc18637"/>
      <w:bookmarkStart w:id="720" w:name="_Toc23219"/>
      <w:bookmarkStart w:id="721" w:name="_Toc10981"/>
      <w:bookmarkStart w:id="722" w:name="_Toc18776"/>
      <w:bookmarkStart w:id="723" w:name="_Toc9722"/>
      <w:bookmarkStart w:id="724" w:name="_Toc302635723"/>
      <w:bookmarkStart w:id="725" w:name="_Toc1946"/>
      <w:r>
        <w:rPr>
          <w:rFonts w:hint="eastAsia" w:ascii="宋体" w:hAnsi="宋体" w:eastAsia="宋体" w:cs="Times New Roman"/>
          <w:b/>
          <w:bCs/>
          <w:color w:val="auto"/>
          <w:kern w:val="0"/>
          <w:sz w:val="24"/>
          <w:szCs w:val="24"/>
          <w:highlight w:val="none"/>
          <w:lang w:val="en-US" w:eastAsia="zh-CN" w:bidi="ar-SA"/>
        </w:rPr>
        <w:t>项目经理</w:t>
      </w:r>
      <w:bookmarkEnd w:id="712"/>
      <w:bookmarkEnd w:id="713"/>
      <w:bookmarkEnd w:id="714"/>
      <w:r>
        <w:rPr>
          <w:rFonts w:hint="eastAsia" w:ascii="宋体" w:hAnsi="宋体" w:eastAsia="宋体" w:cs="Times New Roman"/>
          <w:b/>
          <w:bCs/>
          <w:color w:val="auto"/>
          <w:kern w:val="0"/>
          <w:sz w:val="24"/>
          <w:szCs w:val="24"/>
          <w:highlight w:val="none"/>
          <w:lang w:val="en-US" w:eastAsia="zh-CN" w:bidi="ar-SA"/>
        </w:rPr>
        <w:t>的任命</w:t>
      </w:r>
      <w:bookmarkEnd w:id="715"/>
      <w:r>
        <w:rPr>
          <w:rFonts w:hint="eastAsia" w:ascii="宋体" w:hAnsi="宋体" w:eastAsia="宋体" w:cs="Times New Roman"/>
          <w:b/>
          <w:bCs/>
          <w:color w:val="auto"/>
          <w:kern w:val="0"/>
          <w:sz w:val="24"/>
          <w:szCs w:val="24"/>
          <w:highlight w:val="none"/>
          <w:lang w:val="en-US" w:eastAsia="zh-CN" w:bidi="ar-SA"/>
        </w:rPr>
        <w:t>和职责</w:t>
      </w:r>
      <w:bookmarkEnd w:id="716"/>
      <w:bookmarkEnd w:id="717"/>
      <w:bookmarkEnd w:id="718"/>
      <w:bookmarkEnd w:id="719"/>
      <w:bookmarkEnd w:id="720"/>
      <w:bookmarkEnd w:id="721"/>
      <w:bookmarkEnd w:id="722"/>
      <w:bookmarkEnd w:id="723"/>
      <w:bookmarkEnd w:id="724"/>
      <w:bookmarkEnd w:id="725"/>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⑴承包人应任命项目经理，授权其代表承包人履行本合同约定的权利和义务，</w:t>
      </w:r>
      <w:bookmarkStart w:id="726" w:name="_Toc34908973"/>
      <w:r>
        <w:rPr>
          <w:rFonts w:hint="eastAsia" w:ascii="宋体" w:hAnsi="宋体" w:eastAsia="宋体" w:cs="Times New Roman"/>
          <w:color w:val="auto"/>
          <w:kern w:val="0"/>
          <w:szCs w:val="24"/>
          <w:highlight w:val="none"/>
        </w:rPr>
        <w:t>承包人根据合同发出的一切文件(包括致发包人或</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的通知)，均应以书面形式由项目经理签字后发出。</w:t>
      </w:r>
      <w:bookmarkEnd w:id="726"/>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⑵承包人任命的项目经理，应取得符合本工程要求的建造师资格，应在承包人单位注册，应与投标文件所载明的人选一致，并经发包人确认后在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中明确。</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727" w:name="_Toc34908974"/>
      <w:r>
        <w:rPr>
          <w:rFonts w:hint="eastAsia" w:ascii="宋体" w:hAnsi="宋体" w:eastAsia="宋体" w:cs="Times New Roman"/>
          <w:color w:val="auto"/>
          <w:kern w:val="0"/>
          <w:szCs w:val="24"/>
          <w:highlight w:val="none"/>
        </w:rPr>
        <w:t>⑶若承包人派驻现场的项目经理与投标文件的承诺不一致，或项目经理未及时到位或未常驻现场，或同时兼任承包人</w:t>
      </w:r>
      <w:r>
        <w:rPr>
          <w:rFonts w:ascii="宋体" w:hAnsi="宋体" w:eastAsia="宋体" w:cs="Times New Roman"/>
          <w:color w:val="auto"/>
          <w:kern w:val="0"/>
          <w:szCs w:val="24"/>
          <w:highlight w:val="none"/>
        </w:rPr>
        <w:t>其它</w:t>
      </w:r>
      <w:r>
        <w:rPr>
          <w:rFonts w:hint="eastAsia" w:ascii="宋体" w:hAnsi="宋体" w:eastAsia="宋体" w:cs="Times New Roman"/>
          <w:color w:val="auto"/>
          <w:kern w:val="0"/>
          <w:szCs w:val="24"/>
          <w:highlight w:val="none"/>
        </w:rPr>
        <w:t>工程</w:t>
      </w:r>
      <w:r>
        <w:rPr>
          <w:rFonts w:ascii="宋体" w:hAnsi="宋体" w:eastAsia="宋体" w:cs="Times New Roman"/>
          <w:color w:val="auto"/>
          <w:kern w:val="0"/>
          <w:szCs w:val="24"/>
          <w:highlight w:val="none"/>
        </w:rPr>
        <w:t>项目的</w:t>
      </w:r>
      <w:r>
        <w:rPr>
          <w:rFonts w:hint="eastAsia" w:ascii="宋体" w:hAnsi="宋体" w:eastAsia="宋体" w:cs="Times New Roman"/>
          <w:color w:val="auto"/>
          <w:kern w:val="0"/>
          <w:szCs w:val="24"/>
          <w:highlight w:val="none"/>
        </w:rPr>
        <w:t>项目经理，发包人可按照</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中的约定对承包人进行相应处罚。</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t>项目经理按合同约定组织工程实施。在紧急情况下</w:t>
      </w:r>
      <w:r>
        <w:rPr>
          <w:rFonts w:hint="eastAsia" w:ascii="宋体" w:hAnsi="宋体" w:eastAsia="宋体" w:cs="Times New Roman"/>
          <w:color w:val="auto"/>
          <w:kern w:val="0"/>
          <w:szCs w:val="24"/>
          <w:highlight w:val="none"/>
        </w:rPr>
        <w:t>为确保施工安全和人员安全</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在</w:t>
      </w:r>
      <w:r>
        <w:rPr>
          <w:rFonts w:ascii="宋体" w:hAnsi="宋体" w:eastAsia="宋体" w:cs="Times New Roman"/>
          <w:color w:val="auto"/>
          <w:kern w:val="0"/>
          <w:szCs w:val="24"/>
          <w:highlight w:val="none"/>
        </w:rPr>
        <w:t>无法与发包人代表和总监理工程师</w:t>
      </w:r>
      <w:r>
        <w:rPr>
          <w:rFonts w:hint="eastAsia" w:ascii="宋体" w:hAnsi="宋体" w:eastAsia="宋体" w:cs="Times New Roman"/>
          <w:color w:val="auto"/>
          <w:kern w:val="0"/>
          <w:szCs w:val="24"/>
          <w:highlight w:val="none"/>
        </w:rPr>
        <w:t>及时</w:t>
      </w:r>
      <w:r>
        <w:rPr>
          <w:rFonts w:ascii="宋体" w:hAnsi="宋体" w:eastAsia="宋体" w:cs="Times New Roman"/>
          <w:color w:val="auto"/>
          <w:kern w:val="0"/>
          <w:szCs w:val="24"/>
          <w:highlight w:val="none"/>
        </w:rPr>
        <w:t>取得联系时，项目经理有权采取必要的措施保证与工程有关的人身、财产和工程的安全，但应在48小时内向发包人代表和总监理工程师提交书面报告。</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728" w:name="_Toc21769"/>
      <w:bookmarkStart w:id="729" w:name="_Toc25435"/>
      <w:bookmarkStart w:id="730" w:name="_Toc17405"/>
      <w:bookmarkStart w:id="731" w:name="_Toc305331252"/>
      <w:bookmarkStart w:id="732" w:name="_Toc8736"/>
      <w:bookmarkStart w:id="733" w:name="_Toc28611"/>
      <w:bookmarkStart w:id="734" w:name="_Toc17312"/>
      <w:bookmarkStart w:id="735" w:name="_Toc8998"/>
      <w:bookmarkStart w:id="736" w:name="_Toc24667"/>
      <w:bookmarkStart w:id="737" w:name="_Toc302635724"/>
      <w:bookmarkStart w:id="738" w:name="_Toc7082"/>
      <w:r>
        <w:rPr>
          <w:rFonts w:hint="eastAsia" w:ascii="宋体" w:hAnsi="宋体" w:eastAsia="宋体" w:cs="Times New Roman"/>
          <w:b/>
          <w:bCs/>
          <w:color w:val="auto"/>
          <w:kern w:val="0"/>
          <w:sz w:val="24"/>
          <w:szCs w:val="24"/>
          <w:highlight w:val="none"/>
          <w:lang w:val="en-US" w:eastAsia="zh-CN" w:bidi="ar-SA"/>
        </w:rPr>
        <w:t>项目经理的更换</w:t>
      </w:r>
      <w:bookmarkEnd w:id="728"/>
      <w:bookmarkEnd w:id="729"/>
      <w:bookmarkEnd w:id="730"/>
      <w:bookmarkEnd w:id="731"/>
      <w:bookmarkEnd w:id="732"/>
      <w:bookmarkEnd w:id="733"/>
      <w:bookmarkEnd w:id="734"/>
      <w:bookmarkEnd w:id="735"/>
      <w:bookmarkEnd w:id="736"/>
      <w:bookmarkEnd w:id="737"/>
      <w:bookmarkEnd w:id="738"/>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⑴承包人的项目经理除以下情形之一外，不得更换：</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①因重病或重伤(持有县、区以上医院证明)两个月以上不能履行职责的；</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②主动辞职或调离原工作单位的；</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③因管理原因发生重大工程质量、安全事故，承包人认为该项目经理不称职需要更换的；</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④无能力履行合同的责任和义务，造成严重后果，发包人要求更换的；</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⑤因违法被责令停止执业的；</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⑥因</w:t>
      </w:r>
      <w:r>
        <w:rPr>
          <w:rFonts w:ascii="宋体" w:hAnsi="宋体" w:eastAsia="宋体" w:cs="Times New Roman"/>
          <w:color w:val="auto"/>
          <w:kern w:val="0"/>
          <w:szCs w:val="24"/>
          <w:highlight w:val="none"/>
        </w:rPr>
        <w:t>涉嫌</w:t>
      </w:r>
      <w:r>
        <w:rPr>
          <w:rFonts w:hint="eastAsia" w:ascii="宋体" w:hAnsi="宋体" w:eastAsia="宋体" w:cs="Times New Roman"/>
          <w:color w:val="auto"/>
          <w:kern w:val="0"/>
          <w:szCs w:val="24"/>
          <w:highlight w:val="none"/>
        </w:rPr>
        <w:t>犯罪被羁押或判刑的；</w:t>
      </w:r>
    </w:p>
    <w:p>
      <w:pPr>
        <w:tabs>
          <w:tab w:val="left" w:pos="1620"/>
          <w:tab w:val="left" w:pos="2340"/>
        </w:tabs>
        <w:spacing w:after="156"/>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⑦死亡。</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⑵承包人如确需更换项目经理，应至少提前7天以书面形式通知</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，并报发包人同意，并按市</w:t>
      </w:r>
      <w:r>
        <w:rPr>
          <w:rFonts w:hint="eastAsia" w:ascii="Times New Roman" w:hAnsi="Times New Roman" w:eastAsia="宋体" w:cs="Times New Roman"/>
          <w:color w:val="auto"/>
          <w:szCs w:val="24"/>
          <w:highlight w:val="none"/>
        </w:rPr>
        <w:t>建设行政主管部门的规定办理变更手续，否则更换无效</w:t>
      </w:r>
      <w:r>
        <w:rPr>
          <w:rFonts w:hint="eastAsia" w:ascii="宋体" w:hAnsi="宋体" w:eastAsia="宋体" w:cs="Times New Roman"/>
          <w:color w:val="auto"/>
          <w:kern w:val="0"/>
          <w:szCs w:val="24"/>
          <w:highlight w:val="none"/>
        </w:rPr>
        <w:t>。</w:t>
      </w:r>
      <w:r>
        <w:rPr>
          <w:rFonts w:hint="eastAsia" w:ascii="Times New Roman" w:hAnsi="Times New Roman" w:eastAsia="宋体" w:cs="Times New Roman"/>
          <w:color w:val="auto"/>
          <w:szCs w:val="24"/>
          <w:highlight w:val="none"/>
        </w:rPr>
        <w:t>发包人应在收到通知后7天内予以答复，否则视为同意。续任项目经理应继续行使合同约定的项目经理的职权和履行相应的义务。</w:t>
      </w:r>
      <w:bookmarkEnd w:id="727"/>
      <w:r>
        <w:rPr>
          <w:rFonts w:hint="eastAsia" w:ascii="Times New Roman" w:hAnsi="Times New Roman" w:eastAsia="宋体" w:cs="Times New Roman"/>
          <w:color w:val="auto"/>
          <w:szCs w:val="24"/>
          <w:highlight w:val="none"/>
        </w:rPr>
        <w:t>承包人</w:t>
      </w:r>
      <w:r>
        <w:rPr>
          <w:rFonts w:hint="eastAsia" w:ascii="宋体" w:hAnsi="宋体" w:eastAsia="宋体" w:cs="Times New Roman"/>
          <w:color w:val="auto"/>
          <w:kern w:val="0"/>
          <w:szCs w:val="24"/>
          <w:highlight w:val="none"/>
        </w:rPr>
        <w:t>未经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及发包人同意更换项目经理的，发包人可按照</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中的约定对承包人进行相应处罚。</w:t>
      </w:r>
    </w:p>
    <w:p>
      <w:pPr>
        <w:tabs>
          <w:tab w:val="left" w:pos="1620"/>
          <w:tab w:val="left" w:pos="2340"/>
        </w:tabs>
        <w:spacing w:after="156"/>
        <w:ind w:left="899"/>
        <w:jc w:val="left"/>
        <w:rPr>
          <w:rFonts w:hint="eastAsia" w:ascii="Times New Roman" w:hAnsi="Times New Roman" w:eastAsia="宋体" w:cs="Times New Roman"/>
          <w:color w:val="auto"/>
          <w:szCs w:val="24"/>
          <w:highlight w:val="none"/>
        </w:rPr>
      </w:pPr>
      <w:r>
        <w:rPr>
          <w:rFonts w:hint="eastAsia" w:ascii="宋体" w:hAnsi="宋体" w:eastAsia="宋体" w:cs="Times New Roman"/>
          <w:color w:val="auto"/>
          <w:kern w:val="0"/>
          <w:szCs w:val="24"/>
          <w:highlight w:val="none"/>
        </w:rPr>
        <w:t>⑶</w:t>
      </w:r>
      <w:r>
        <w:rPr>
          <w:rFonts w:ascii="Times New Roman" w:hAnsi="Times New Roman" w:eastAsia="宋体" w:cs="Times New Roman"/>
          <w:color w:val="auto"/>
          <w:szCs w:val="24"/>
          <w:highlight w:val="none"/>
        </w:rP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承包人无正当理由拒绝更换项目经理的，应按照</w:t>
      </w:r>
      <w:r>
        <w:rPr>
          <w:rFonts w:ascii="Times New Roman" w:hAnsi="Times New Roman" w:eastAsia="宋体" w:cs="Times New Roman"/>
          <w:b/>
          <w:i/>
          <w:color w:val="auto"/>
          <w:szCs w:val="24"/>
          <w:highlight w:val="none"/>
        </w:rPr>
        <w:t>专用条款</w:t>
      </w:r>
      <w:r>
        <w:rPr>
          <w:rFonts w:ascii="Times New Roman" w:hAnsi="Times New Roman" w:eastAsia="宋体" w:cs="Times New Roman"/>
          <w:color w:val="auto"/>
          <w:szCs w:val="24"/>
          <w:highlight w:val="none"/>
        </w:rPr>
        <w:t>的约定承担违约责任。</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739" w:name="_Toc30091"/>
      <w:bookmarkStart w:id="740" w:name="_Toc16785"/>
      <w:bookmarkStart w:id="741" w:name="_Toc9009"/>
      <w:bookmarkStart w:id="742" w:name="_Toc19394"/>
      <w:bookmarkStart w:id="743" w:name="_Toc9849"/>
      <w:bookmarkStart w:id="744" w:name="_Toc13397"/>
      <w:bookmarkStart w:id="745" w:name="_Toc32471"/>
      <w:bookmarkStart w:id="746" w:name="_Toc29950"/>
      <w:bookmarkStart w:id="747" w:name="_Toc302635725"/>
      <w:bookmarkStart w:id="748" w:name="_Toc25884"/>
      <w:r>
        <w:rPr>
          <w:rFonts w:hint="eastAsia" w:ascii="宋体" w:hAnsi="宋体" w:eastAsia="宋体" w:cs="Times New Roman"/>
          <w:b/>
          <w:bCs/>
          <w:color w:val="auto"/>
          <w:kern w:val="0"/>
          <w:sz w:val="24"/>
          <w:szCs w:val="24"/>
          <w:highlight w:val="none"/>
          <w:lang w:val="en-US" w:eastAsia="zh-CN" w:bidi="ar-SA"/>
        </w:rPr>
        <w:t>项目经理的临时授权</w:t>
      </w:r>
      <w:bookmarkEnd w:id="739"/>
      <w:bookmarkEnd w:id="740"/>
      <w:bookmarkEnd w:id="741"/>
      <w:bookmarkEnd w:id="742"/>
      <w:bookmarkEnd w:id="743"/>
      <w:bookmarkEnd w:id="744"/>
      <w:bookmarkEnd w:id="745"/>
      <w:bookmarkEnd w:id="746"/>
      <w:bookmarkEnd w:id="747"/>
      <w:bookmarkEnd w:id="748"/>
    </w:p>
    <w:p>
      <w:pPr>
        <w:tabs>
          <w:tab w:val="left" w:pos="1620"/>
          <w:tab w:val="left" w:pos="2340"/>
        </w:tabs>
        <w:spacing w:after="156"/>
        <w:ind w:left="899"/>
        <w:jc w:val="left"/>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⑴</w:t>
      </w:r>
      <w:r>
        <w:rPr>
          <w:rFonts w:ascii="Times New Roman" w:hAnsi="Times New Roman" w:eastAsia="宋体" w:cs="Times New Roman"/>
          <w:color w:val="auto"/>
          <w:szCs w:val="24"/>
          <w:highlight w:val="none"/>
        </w:rPr>
        <w:t>项目经理因特殊情况授权其下属人员履行其某项工作职责的，该下属人员应具备履行相应职责的能力，并应提前7天将上述人员的姓名和授权范围书面通知监理人，并征得发包人书面同意。</w:t>
      </w:r>
      <w:r>
        <w:rPr>
          <w:rFonts w:hint="eastAsia" w:ascii="Times New Roman" w:hAnsi="Times New Roman" w:eastAsia="宋体" w:cs="Times New Roman"/>
          <w:color w:val="auto"/>
          <w:szCs w:val="24"/>
          <w:highlight w:val="none"/>
        </w:rPr>
        <w:t>未经发包人批准，任何此类任命和撤回均为无效。</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⑵项目经理临时任命人在项目经理暂离现场期间行使项目经理授予的职权，对承包人负责。临时任命人在项目经理授予职权范围和期限内的工作，项目经理应予认可。</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749" w:name="_Toc28477"/>
      <w:bookmarkStart w:id="750" w:name="_Toc23152"/>
      <w:bookmarkStart w:id="751" w:name="_Toc6415"/>
      <w:bookmarkStart w:id="752" w:name="_Toc26650"/>
      <w:bookmarkStart w:id="753" w:name="_Toc275"/>
      <w:bookmarkStart w:id="754" w:name="_Toc11779"/>
      <w:bookmarkStart w:id="755" w:name="_Toc29394"/>
      <w:bookmarkStart w:id="756" w:name="_Toc305331253"/>
      <w:bookmarkStart w:id="757" w:name="_Toc302635726"/>
      <w:bookmarkStart w:id="758" w:name="_Toc8506"/>
      <w:bookmarkStart w:id="759" w:name="_Toc9616"/>
      <w:r>
        <w:rPr>
          <w:rFonts w:hint="eastAsia" w:ascii="宋体" w:hAnsi="宋体" w:eastAsia="宋体" w:cs="Times New Roman"/>
          <w:b/>
          <w:bCs/>
          <w:color w:val="auto"/>
          <w:kern w:val="0"/>
          <w:sz w:val="24"/>
          <w:szCs w:val="24"/>
          <w:highlight w:val="none"/>
          <w:lang w:val="en-US" w:eastAsia="zh-CN" w:bidi="ar-SA"/>
        </w:rPr>
        <w:t>施工管理人员</w:t>
      </w:r>
      <w:bookmarkEnd w:id="749"/>
      <w:bookmarkEnd w:id="750"/>
      <w:bookmarkEnd w:id="751"/>
      <w:bookmarkEnd w:id="752"/>
      <w:bookmarkEnd w:id="753"/>
      <w:bookmarkEnd w:id="754"/>
      <w:bookmarkEnd w:id="755"/>
      <w:bookmarkEnd w:id="756"/>
      <w:bookmarkEnd w:id="757"/>
      <w:bookmarkEnd w:id="758"/>
      <w:bookmarkEnd w:id="759"/>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⑴承包人应按照投标文件的承诺，为本工程配备施工、技术、合同、材料、质量、安全、财务和</w:t>
      </w:r>
      <w:r>
        <w:rPr>
          <w:rFonts w:hint="eastAsia" w:ascii="Times New Roman" w:hAnsi="Times New Roman" w:eastAsia="宋体" w:cs="Times New Roman"/>
          <w:color w:val="auto"/>
          <w:szCs w:val="24"/>
          <w:highlight w:val="none"/>
        </w:rPr>
        <w:t>劳资</w:t>
      </w:r>
      <w:r>
        <w:rPr>
          <w:rFonts w:hint="eastAsia" w:ascii="宋体" w:hAnsi="宋体" w:eastAsia="宋体" w:cs="Times New Roman"/>
          <w:color w:val="auto"/>
          <w:kern w:val="0"/>
          <w:szCs w:val="24"/>
          <w:highlight w:val="none"/>
        </w:rPr>
        <w:t>等施工管理人员。</w:t>
      </w:r>
      <w:r>
        <w:rPr>
          <w:rFonts w:ascii="Times New Roman" w:hAnsi="宋体" w:eastAsia="宋体" w:cs="Times New Roman"/>
          <w:color w:val="auto"/>
          <w:szCs w:val="24"/>
          <w:highlight w:val="none"/>
        </w:rPr>
        <w:t>承包人应在</w:t>
      </w:r>
      <w:r>
        <w:rPr>
          <w:rFonts w:hint="eastAsia" w:ascii="Times New Roman" w:hAnsi="宋体" w:eastAsia="宋体" w:cs="Times New Roman"/>
          <w:color w:val="auto"/>
          <w:szCs w:val="24"/>
          <w:highlight w:val="none"/>
        </w:rPr>
        <w:t>合同签订</w:t>
      </w:r>
      <w:r>
        <w:rPr>
          <w:rFonts w:ascii="Times New Roman" w:hAnsi="宋体" w:eastAsia="宋体" w:cs="Times New Roman"/>
          <w:color w:val="auto"/>
          <w:szCs w:val="24"/>
          <w:highlight w:val="none"/>
        </w:rPr>
        <w:t>后7天内提交</w:t>
      </w:r>
      <w:r>
        <w:rPr>
          <w:rFonts w:hint="eastAsia" w:ascii="Times New Roman" w:hAnsi="宋体" w:eastAsia="宋体" w:cs="Times New Roman"/>
          <w:color w:val="auto"/>
          <w:szCs w:val="24"/>
          <w:highlight w:val="none"/>
        </w:rPr>
        <w:t>施工</w:t>
      </w:r>
      <w:r>
        <w:rPr>
          <w:rFonts w:ascii="Times New Roman" w:hAnsi="宋体" w:eastAsia="宋体" w:cs="Times New Roman"/>
          <w:color w:val="auto"/>
          <w:szCs w:val="24"/>
          <w:highlight w:val="none"/>
        </w:rPr>
        <w:t>管理人员的名单</w:t>
      </w:r>
      <w:r>
        <w:rPr>
          <w:rFonts w:hint="eastAsia" w:ascii="Times New Roman" w:hAnsi="宋体" w:eastAsia="宋体" w:cs="Times New Roman"/>
          <w:color w:val="auto"/>
          <w:szCs w:val="24"/>
          <w:highlight w:val="none"/>
        </w:rPr>
        <w:t>及其岗位、注册执业资格等，以及与承包人之间的劳动关系证明和缴纳社会保险的有效证明</w:t>
      </w:r>
      <w:r>
        <w:rPr>
          <w:rFonts w:ascii="Times New Roman" w:hAnsi="宋体" w:eastAsia="宋体" w:cs="Times New Roman"/>
          <w:color w:val="auto"/>
          <w:szCs w:val="24"/>
          <w:highlight w:val="none"/>
        </w:rPr>
        <w:t>供监理人和发包人</w:t>
      </w:r>
      <w:r>
        <w:rPr>
          <w:rFonts w:hint="eastAsia" w:ascii="Times New Roman" w:hAnsi="宋体" w:eastAsia="宋体" w:cs="Times New Roman"/>
          <w:color w:val="auto"/>
          <w:szCs w:val="24"/>
          <w:highlight w:val="none"/>
        </w:rPr>
        <w:t>审核，承包人项目管理机构的设置应与投标文件一致。</w:t>
      </w:r>
    </w:p>
    <w:p>
      <w:pPr>
        <w:tabs>
          <w:tab w:val="left" w:pos="1620"/>
          <w:tab w:val="left" w:pos="2340"/>
        </w:tabs>
        <w:spacing w:after="156"/>
        <w:ind w:left="899"/>
        <w:jc w:val="left"/>
        <w:rPr>
          <w:rFonts w:hint="eastAsia" w:ascii="Times New Roman" w:hAnsi="Times New Roman" w:eastAsia="宋体" w:cs="Times New Roman"/>
          <w:color w:val="auto"/>
          <w:szCs w:val="24"/>
          <w:highlight w:val="none"/>
        </w:rPr>
      </w:pPr>
      <w:r>
        <w:rPr>
          <w:rFonts w:hint="eastAsia" w:ascii="宋体" w:hAnsi="宋体" w:eastAsia="宋体" w:cs="Times New Roman"/>
          <w:color w:val="auto"/>
          <w:kern w:val="0"/>
          <w:szCs w:val="24"/>
          <w:highlight w:val="none"/>
        </w:rPr>
        <w:t>⑵承包人的主要施工管理人员(技术负责人、质量负责人、安全负责人、安全员、劳资专管员及</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约定的其他人员)应</w:t>
      </w:r>
      <w:r>
        <w:rPr>
          <w:rFonts w:hint="eastAsia" w:ascii="Times New Roman" w:hAnsi="Times New Roman" w:eastAsia="宋体" w:cs="Times New Roman"/>
          <w:color w:val="auto"/>
          <w:szCs w:val="24"/>
          <w:highlight w:val="none"/>
        </w:rPr>
        <w:t>与投标文件所载明的人选一致且</w:t>
      </w:r>
      <w:r>
        <w:rPr>
          <w:rFonts w:hint="eastAsia" w:ascii="宋体" w:hAnsi="宋体" w:eastAsia="宋体" w:cs="Times New Roman"/>
          <w:color w:val="auto"/>
          <w:kern w:val="0"/>
          <w:szCs w:val="24"/>
          <w:highlight w:val="none"/>
        </w:rPr>
        <w:t>相对稳定。承包人如确需更换主要施工管理人员，应至少提前7天以书面形式通知</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，并报发包人同意。</w:t>
      </w:r>
      <w:r>
        <w:rPr>
          <w:rFonts w:hint="eastAsia" w:ascii="Times New Roman" w:hAnsi="Times New Roman" w:eastAsia="宋体" w:cs="Times New Roman"/>
          <w:color w:val="auto"/>
          <w:szCs w:val="24"/>
          <w:highlight w:val="none"/>
        </w:rPr>
        <w:t>发包人应在收到通知后7天内予以答复，否则视为同意。</w:t>
      </w:r>
    </w:p>
    <w:p>
      <w:pPr>
        <w:tabs>
          <w:tab w:val="left" w:pos="1620"/>
          <w:tab w:val="left" w:pos="2340"/>
        </w:tabs>
        <w:spacing w:after="156"/>
        <w:ind w:left="899"/>
        <w:jc w:val="left"/>
        <w:rPr>
          <w:rFonts w:hint="eastAsia" w:ascii="Times New Roman" w:hAnsi="Times New Roman" w:eastAsia="宋体" w:cs="Times New Roman"/>
          <w:color w:val="auto"/>
          <w:szCs w:val="24"/>
          <w:highlight w:val="none"/>
        </w:rPr>
      </w:pPr>
      <w:r>
        <w:rPr>
          <w:rFonts w:hint="eastAsia" w:ascii="宋体" w:hAnsi="宋体" w:eastAsia="宋体" w:cs="Times New Roman"/>
          <w:color w:val="auto"/>
          <w:kern w:val="0"/>
          <w:szCs w:val="24"/>
          <w:highlight w:val="none"/>
        </w:rPr>
        <w:t>⑶承包人的主要施工管理人员应保证常驻现场。除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承包人的主要施工管理人员离开施工现场每月累计不超过5天的，应报监理人同意；离开施工现场每月累计超过5天的，应以书面形式通知监理人，并报发包人同意。主要施工管理人员离开施工现场前应指定一名有经验的人员临时代行其职责，该人员应具备履行相应职责的资格和能力，且应征得监理人或发包人的同意。</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⑷承包人的劳资专管员应掌握施工现场用工、考勤、工资发放等情况，对分包人劳动用工实施监督管理，审核分包人编制的工人工资支付表。</w:t>
      </w:r>
    </w:p>
    <w:p>
      <w:pPr>
        <w:tabs>
          <w:tab w:val="left" w:pos="1620"/>
          <w:tab w:val="left" w:pos="2340"/>
        </w:tabs>
        <w:ind w:left="902"/>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5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⑸</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承包人的</w:t>
      </w:r>
      <w:r>
        <w:rPr>
          <w:rFonts w:hint="eastAsia" w:ascii="宋体" w:hAnsi="宋体" w:eastAsia="宋体" w:cs="Times New Roman"/>
          <w:color w:val="auto"/>
          <w:kern w:val="0"/>
          <w:szCs w:val="24"/>
          <w:highlight w:val="none"/>
        </w:rPr>
        <w:t>管理人员</w:t>
      </w:r>
      <w:r>
        <w:rPr>
          <w:rFonts w:ascii="宋体" w:hAnsi="宋体" w:eastAsia="宋体" w:cs="Times New Roman"/>
          <w:color w:val="auto"/>
          <w:kern w:val="0"/>
          <w:szCs w:val="24"/>
          <w:highlight w:val="none"/>
        </w:rPr>
        <w:t>在</w:t>
      </w:r>
      <w:r>
        <w:rPr>
          <w:rFonts w:hint="eastAsia" w:ascii="宋体" w:hAnsi="宋体" w:eastAsia="宋体" w:cs="Times New Roman"/>
          <w:color w:val="auto"/>
          <w:kern w:val="0"/>
          <w:szCs w:val="24"/>
          <w:highlight w:val="none"/>
        </w:rPr>
        <w:t>施工</w:t>
      </w:r>
      <w:r>
        <w:rPr>
          <w:rFonts w:ascii="宋体" w:hAnsi="宋体" w:eastAsia="宋体" w:cs="Times New Roman"/>
          <w:color w:val="auto"/>
          <w:kern w:val="0"/>
          <w:szCs w:val="24"/>
          <w:highlight w:val="none"/>
        </w:rPr>
        <w:t>期间出现以下情况</w:t>
      </w:r>
      <w:r>
        <w:rPr>
          <w:rFonts w:hint="eastAsia" w:ascii="宋体" w:hAnsi="宋体" w:eastAsia="宋体" w:cs="Times New Roman"/>
          <w:color w:val="auto"/>
          <w:kern w:val="0"/>
          <w:szCs w:val="24"/>
          <w:highlight w:val="none"/>
        </w:rPr>
        <w:t>，应承担</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的约定的违约责任</w:t>
      </w:r>
      <w:r>
        <w:rPr>
          <w:rFonts w:ascii="宋体" w:hAnsi="宋体" w:eastAsia="宋体" w:cs="Times New Roman"/>
          <w:color w:val="auto"/>
          <w:kern w:val="0"/>
          <w:szCs w:val="24"/>
          <w:highlight w:val="none"/>
        </w:rPr>
        <w:t>：</w:t>
      </w:r>
    </w:p>
    <w:p>
      <w:pPr>
        <w:tabs>
          <w:tab w:val="left" w:pos="1620"/>
          <w:tab w:val="left" w:pos="2340"/>
        </w:tabs>
        <w:ind w:left="899" w:firstLine="181"/>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w:t>
      </w:r>
      <w:r>
        <w:rPr>
          <w:rFonts w:ascii="宋体" w:hAnsi="宋体" w:eastAsia="宋体" w:cs="Times New Roman"/>
          <w:color w:val="auto"/>
          <w:kern w:val="0"/>
          <w:szCs w:val="24"/>
          <w:highlight w:val="none"/>
        </w:rPr>
        <w:t>承包人的项目</w:t>
      </w:r>
      <w:r>
        <w:rPr>
          <w:rFonts w:hint="eastAsia" w:ascii="宋体" w:hAnsi="宋体" w:eastAsia="宋体" w:cs="Times New Roman"/>
          <w:color w:val="auto"/>
          <w:kern w:val="0"/>
          <w:szCs w:val="24"/>
          <w:highlight w:val="none"/>
        </w:rPr>
        <w:t>管理</w:t>
      </w:r>
      <w:r>
        <w:rPr>
          <w:rFonts w:ascii="宋体" w:hAnsi="宋体" w:eastAsia="宋体" w:cs="Times New Roman"/>
          <w:color w:val="auto"/>
          <w:kern w:val="0"/>
          <w:szCs w:val="24"/>
          <w:highlight w:val="none"/>
        </w:rPr>
        <w:t>机构设置与</w:t>
      </w:r>
      <w:r>
        <w:rPr>
          <w:rFonts w:hint="eastAsia" w:ascii="Times New Roman" w:hAnsi="宋体" w:eastAsia="宋体" w:cs="Times New Roman"/>
          <w:color w:val="auto"/>
          <w:szCs w:val="24"/>
          <w:highlight w:val="none"/>
        </w:rPr>
        <w:t>投标文件</w:t>
      </w:r>
      <w:r>
        <w:rPr>
          <w:rFonts w:ascii="宋体" w:hAnsi="宋体" w:eastAsia="宋体" w:cs="Times New Roman"/>
          <w:color w:val="auto"/>
          <w:kern w:val="0"/>
          <w:szCs w:val="24"/>
          <w:highlight w:val="none"/>
        </w:rPr>
        <w:t xml:space="preserve">的承诺不一致； </w:t>
      </w:r>
    </w:p>
    <w:p>
      <w:pPr>
        <w:tabs>
          <w:tab w:val="left" w:pos="1620"/>
          <w:tab w:val="left" w:pos="2340"/>
        </w:tabs>
        <w:ind w:left="899" w:firstLine="181"/>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w:t>
      </w:r>
      <w:r>
        <w:rPr>
          <w:rFonts w:ascii="宋体" w:hAnsi="宋体" w:eastAsia="宋体" w:cs="Times New Roman"/>
          <w:color w:val="auto"/>
          <w:kern w:val="0"/>
          <w:szCs w:val="24"/>
          <w:highlight w:val="none"/>
        </w:rPr>
        <w:t>承包人的主要</w:t>
      </w:r>
      <w:r>
        <w:rPr>
          <w:rFonts w:hint="eastAsia" w:ascii="宋体" w:hAnsi="宋体" w:eastAsia="宋体" w:cs="Times New Roman"/>
          <w:color w:val="auto"/>
          <w:kern w:val="0"/>
          <w:szCs w:val="24"/>
          <w:highlight w:val="none"/>
        </w:rPr>
        <w:t>施工管理</w:t>
      </w:r>
      <w:r>
        <w:rPr>
          <w:rFonts w:ascii="宋体" w:hAnsi="宋体" w:eastAsia="宋体" w:cs="Times New Roman"/>
          <w:color w:val="auto"/>
          <w:kern w:val="0"/>
          <w:szCs w:val="24"/>
          <w:highlight w:val="none"/>
        </w:rPr>
        <w:t>人员不到位；</w:t>
      </w:r>
    </w:p>
    <w:p>
      <w:pPr>
        <w:tabs>
          <w:tab w:val="left" w:pos="1620"/>
          <w:tab w:val="left" w:pos="2340"/>
        </w:tabs>
        <w:ind w:left="899" w:firstLine="181"/>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w:t>
      </w:r>
      <w:r>
        <w:rPr>
          <w:rFonts w:ascii="宋体" w:hAnsi="宋体" w:eastAsia="宋体" w:cs="Times New Roman"/>
          <w:color w:val="auto"/>
          <w:kern w:val="0"/>
          <w:szCs w:val="24"/>
          <w:highlight w:val="none"/>
        </w:rPr>
        <w:t>未经发包人</w:t>
      </w:r>
      <w:r>
        <w:rPr>
          <w:rFonts w:hint="eastAsia" w:ascii="宋体" w:hAnsi="宋体" w:eastAsia="宋体" w:cs="Times New Roman"/>
          <w:color w:val="auto"/>
          <w:kern w:val="0"/>
          <w:szCs w:val="24"/>
          <w:highlight w:val="none"/>
        </w:rPr>
        <w:t>同意</w:t>
      </w:r>
      <w:r>
        <w:rPr>
          <w:rFonts w:ascii="宋体" w:hAnsi="宋体" w:eastAsia="宋体" w:cs="Times New Roman"/>
          <w:color w:val="auto"/>
          <w:kern w:val="0"/>
          <w:szCs w:val="24"/>
          <w:highlight w:val="none"/>
        </w:rPr>
        <w:t>，承包人擅自更换主要</w:t>
      </w:r>
      <w:r>
        <w:rPr>
          <w:rFonts w:hint="eastAsia" w:ascii="宋体" w:hAnsi="宋体" w:eastAsia="宋体" w:cs="Times New Roman"/>
          <w:color w:val="auto"/>
          <w:kern w:val="0"/>
          <w:szCs w:val="24"/>
          <w:highlight w:val="none"/>
        </w:rPr>
        <w:t>施工</w:t>
      </w:r>
      <w:r>
        <w:rPr>
          <w:rFonts w:ascii="宋体" w:hAnsi="宋体" w:eastAsia="宋体" w:cs="Times New Roman"/>
          <w:color w:val="auto"/>
          <w:kern w:val="0"/>
          <w:szCs w:val="24"/>
          <w:highlight w:val="none"/>
        </w:rPr>
        <w:t>管理人员；</w:t>
      </w:r>
    </w:p>
    <w:p>
      <w:pPr>
        <w:tabs>
          <w:tab w:val="left" w:pos="1620"/>
          <w:tab w:val="left" w:pos="2340"/>
        </w:tabs>
        <w:ind w:left="899" w:firstLine="181"/>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④</w:t>
      </w:r>
      <w:r>
        <w:rPr>
          <w:rFonts w:ascii="宋体" w:hAnsi="宋体" w:eastAsia="宋体" w:cs="Times New Roman"/>
          <w:color w:val="auto"/>
          <w:kern w:val="0"/>
          <w:szCs w:val="24"/>
          <w:highlight w:val="none"/>
        </w:rPr>
        <w:t>承包人的主要</w:t>
      </w:r>
      <w:r>
        <w:rPr>
          <w:rFonts w:hint="eastAsia" w:ascii="宋体" w:hAnsi="宋体" w:eastAsia="宋体" w:cs="Times New Roman"/>
          <w:color w:val="auto"/>
          <w:kern w:val="0"/>
          <w:szCs w:val="24"/>
          <w:highlight w:val="none"/>
        </w:rPr>
        <w:t>施工管理</w:t>
      </w:r>
      <w:r>
        <w:rPr>
          <w:rFonts w:ascii="宋体" w:hAnsi="宋体" w:eastAsia="宋体" w:cs="Times New Roman"/>
          <w:color w:val="auto"/>
          <w:kern w:val="0"/>
          <w:szCs w:val="24"/>
          <w:highlight w:val="none"/>
        </w:rPr>
        <w:t>人员</w:t>
      </w:r>
      <w:r>
        <w:rPr>
          <w:rFonts w:hint="eastAsia" w:ascii="宋体" w:hAnsi="宋体" w:eastAsia="宋体" w:cs="Times New Roman"/>
          <w:color w:val="auto"/>
          <w:kern w:val="0"/>
          <w:szCs w:val="24"/>
          <w:highlight w:val="none"/>
        </w:rPr>
        <w:t>未经监理人或发包人同意擅自离开施工现场的；</w:t>
      </w:r>
    </w:p>
    <w:p>
      <w:pPr>
        <w:tabs>
          <w:tab w:val="left" w:pos="1620"/>
          <w:tab w:val="left" w:pos="2340"/>
        </w:tabs>
        <w:snapToGrid w:val="0"/>
        <w:spacing w:after="156"/>
        <w:ind w:left="902" w:firstLine="181"/>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⑤</w:t>
      </w:r>
      <w:r>
        <w:rPr>
          <w:rFonts w:ascii="宋体" w:hAnsi="宋体" w:eastAsia="宋体" w:cs="Times New Roman"/>
          <w:color w:val="auto"/>
          <w:kern w:val="0"/>
          <w:szCs w:val="24"/>
          <w:highlight w:val="none"/>
        </w:rPr>
        <w:t>承包人的主要</w:t>
      </w:r>
      <w:r>
        <w:rPr>
          <w:rFonts w:hint="eastAsia" w:ascii="宋体" w:hAnsi="宋体" w:eastAsia="宋体" w:cs="Times New Roman"/>
          <w:color w:val="auto"/>
          <w:kern w:val="0"/>
          <w:szCs w:val="24"/>
          <w:highlight w:val="none"/>
        </w:rPr>
        <w:t>施工管理</w:t>
      </w:r>
      <w:r>
        <w:rPr>
          <w:rFonts w:ascii="宋体" w:hAnsi="宋体" w:eastAsia="宋体" w:cs="Times New Roman"/>
          <w:color w:val="auto"/>
          <w:kern w:val="0"/>
          <w:szCs w:val="24"/>
          <w:highlight w:val="none"/>
        </w:rPr>
        <w:t>人员</w:t>
      </w:r>
      <w:r>
        <w:rPr>
          <w:rFonts w:hint="eastAsia" w:ascii="宋体" w:hAnsi="宋体" w:eastAsia="宋体" w:cs="Times New Roman"/>
          <w:color w:val="auto"/>
          <w:kern w:val="0"/>
          <w:szCs w:val="24"/>
          <w:highlight w:val="none"/>
        </w:rPr>
        <w:t>同时</w:t>
      </w:r>
      <w:r>
        <w:rPr>
          <w:rFonts w:ascii="宋体" w:hAnsi="宋体" w:eastAsia="宋体" w:cs="Times New Roman"/>
          <w:color w:val="auto"/>
          <w:kern w:val="0"/>
          <w:szCs w:val="24"/>
          <w:highlight w:val="none"/>
        </w:rPr>
        <w:t>兼任承包人其它</w:t>
      </w:r>
      <w:r>
        <w:rPr>
          <w:rFonts w:hint="eastAsia" w:ascii="宋体" w:hAnsi="宋体" w:eastAsia="宋体" w:cs="Times New Roman"/>
          <w:color w:val="auto"/>
          <w:kern w:val="0"/>
          <w:szCs w:val="24"/>
          <w:highlight w:val="none"/>
        </w:rPr>
        <w:t>工程</w:t>
      </w:r>
      <w:r>
        <w:rPr>
          <w:rFonts w:ascii="宋体" w:hAnsi="宋体" w:eastAsia="宋体" w:cs="Times New Roman"/>
          <w:color w:val="auto"/>
          <w:kern w:val="0"/>
          <w:szCs w:val="24"/>
          <w:highlight w:val="none"/>
        </w:rPr>
        <w:t>项目</w:t>
      </w:r>
      <w:r>
        <w:rPr>
          <w:rFonts w:hint="eastAsia" w:ascii="宋体" w:hAnsi="宋体" w:eastAsia="宋体" w:cs="Times New Roman"/>
          <w:color w:val="auto"/>
          <w:kern w:val="0"/>
          <w:szCs w:val="24"/>
          <w:highlight w:val="none"/>
        </w:rPr>
        <w:t>的</w:t>
      </w:r>
      <w:r>
        <w:rPr>
          <w:rFonts w:ascii="宋体" w:hAnsi="宋体" w:eastAsia="宋体" w:cs="Times New Roman"/>
          <w:color w:val="auto"/>
          <w:kern w:val="0"/>
          <w:szCs w:val="24"/>
          <w:highlight w:val="none"/>
        </w:rPr>
        <w:t>任何职务</w:t>
      </w:r>
      <w:r>
        <w:rPr>
          <w:rFonts w:hint="eastAsia" w:ascii="宋体" w:hAnsi="宋体" w:eastAsia="宋体" w:cs="Times New Roman"/>
          <w:color w:val="auto"/>
          <w:kern w:val="0"/>
          <w:szCs w:val="24"/>
          <w:highlight w:val="none"/>
        </w:rPr>
        <w:t>。</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⑹</w:t>
      </w:r>
      <w:r>
        <w:rPr>
          <w:rFonts w:ascii="宋体" w:hAnsi="宋体" w:eastAsia="宋体" w:cs="Times New Roman"/>
          <w:color w:val="auto"/>
          <w:kern w:val="0"/>
          <w:szCs w:val="24"/>
          <w:highlight w:val="none"/>
        </w:rPr>
        <w:t>发包人对于承包人主要施工管理人员</w:t>
      </w:r>
      <w:r>
        <w:rPr>
          <w:rFonts w:hint="eastAsia" w:ascii="宋体" w:hAnsi="宋体" w:eastAsia="宋体" w:cs="Times New Roman"/>
          <w:color w:val="auto"/>
          <w:kern w:val="0"/>
          <w:szCs w:val="24"/>
          <w:highlight w:val="none"/>
        </w:rPr>
        <w:t>的资格或能力</w:t>
      </w:r>
      <w:r>
        <w:rPr>
          <w:rFonts w:ascii="宋体" w:hAnsi="宋体" w:eastAsia="宋体" w:cs="Times New Roman"/>
          <w:color w:val="auto"/>
          <w:kern w:val="0"/>
          <w:szCs w:val="24"/>
          <w:highlight w:val="none"/>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的约定承担违约责任。</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760" w:name="_Toc12916"/>
      <w:bookmarkStart w:id="761" w:name="_Toc32049"/>
      <w:bookmarkStart w:id="762" w:name="_Toc1095"/>
      <w:bookmarkStart w:id="763" w:name="_Toc305331254"/>
      <w:bookmarkStart w:id="764" w:name="_Toc302635727"/>
      <w:bookmarkStart w:id="765" w:name="_Toc2154"/>
      <w:bookmarkStart w:id="766" w:name="_Toc13165"/>
      <w:bookmarkStart w:id="767" w:name="_Toc9671"/>
      <w:bookmarkStart w:id="768" w:name="_Toc17159"/>
      <w:bookmarkStart w:id="769" w:name="_Toc3434"/>
      <w:bookmarkStart w:id="770" w:name="_Toc7315"/>
      <w:r>
        <w:rPr>
          <w:rFonts w:hint="eastAsia" w:ascii="宋体" w:hAnsi="宋体" w:eastAsia="宋体" w:cs="Times New Roman"/>
          <w:b/>
          <w:bCs/>
          <w:color w:val="auto"/>
          <w:kern w:val="0"/>
          <w:sz w:val="24"/>
          <w:szCs w:val="24"/>
          <w:highlight w:val="none"/>
          <w:lang w:val="en-US" w:eastAsia="zh-CN" w:bidi="ar-SA"/>
        </w:rPr>
        <w:t>联合体承包人</w:t>
      </w:r>
      <w:bookmarkEnd w:id="760"/>
      <w:bookmarkEnd w:id="761"/>
      <w:bookmarkEnd w:id="762"/>
      <w:bookmarkEnd w:id="763"/>
      <w:bookmarkEnd w:id="764"/>
      <w:bookmarkEnd w:id="765"/>
      <w:bookmarkEnd w:id="766"/>
      <w:bookmarkEnd w:id="767"/>
      <w:bookmarkEnd w:id="768"/>
      <w:bookmarkEnd w:id="769"/>
      <w:bookmarkEnd w:id="770"/>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如果承包人是由两个或两个以上的当事人依法组成的联营体、联合体或其他形式的组合：</w:t>
      </w:r>
    </w:p>
    <w:p>
      <w:pPr>
        <w:tabs>
          <w:tab w:val="left" w:pos="1620"/>
          <w:tab w:val="left" w:pos="2340"/>
        </w:tabs>
        <w:ind w:left="899" w:firstLine="181"/>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①各成员在履行合同上对发包人负有共同的和各自的责任；</w:t>
      </w:r>
    </w:p>
    <w:p>
      <w:pPr>
        <w:tabs>
          <w:tab w:val="left" w:pos="1620"/>
          <w:tab w:val="left" w:pos="2340"/>
        </w:tabs>
        <w:ind w:left="899" w:firstLine="181"/>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②各成员应将有权约束承包人及其各自的负责人通知发包人；</w:t>
      </w:r>
    </w:p>
    <w:p>
      <w:pPr>
        <w:tabs>
          <w:tab w:val="left" w:pos="1620"/>
          <w:tab w:val="left" w:pos="2340"/>
        </w:tabs>
        <w:ind w:left="899" w:firstLine="181"/>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③未经发包人事先同意，承包人不得改变其组成或法律地位；</w:t>
      </w:r>
    </w:p>
    <w:p>
      <w:pPr>
        <w:tabs>
          <w:tab w:val="left" w:pos="1620"/>
          <w:tab w:val="left" w:pos="2340"/>
        </w:tabs>
        <w:ind w:left="899" w:firstLine="181"/>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④各成员的责任、权利、义务、合同价款的分配比例及方式在联合体协议中明确。</w:t>
      </w:r>
    </w:p>
    <w:p>
      <w:pPr>
        <w:keepNext w:val="0"/>
        <w:keepLines w:val="0"/>
        <w:widowControl w:val="0"/>
        <w:numPr>
          <w:ilvl w:val="0"/>
          <w:numId w:val="2"/>
        </w:numPr>
        <w:tabs>
          <w:tab w:val="left" w:pos="54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771" w:name="_Toc28111"/>
      <w:bookmarkStart w:id="772" w:name="_Toc17352"/>
      <w:bookmarkStart w:id="773" w:name="_Toc3396"/>
      <w:bookmarkStart w:id="774" w:name="_Toc29550"/>
      <w:bookmarkStart w:id="775" w:name="_Toc9524"/>
      <w:bookmarkStart w:id="776" w:name="_Toc21524"/>
      <w:bookmarkStart w:id="777" w:name="_Toc31333"/>
      <w:bookmarkStart w:id="778" w:name="_Toc27967"/>
      <w:bookmarkStart w:id="779" w:name="_Toc4746"/>
      <w:r>
        <w:rPr>
          <w:rFonts w:ascii="华文细黑" w:hAnsi="宋体" w:eastAsia="宋体" w:cs="Times New Roman"/>
          <w:b/>
          <w:bCs/>
          <w:snapToGrid w:val="0"/>
          <w:color w:val="auto"/>
          <w:kern w:val="0"/>
          <w:sz w:val="28"/>
          <w:szCs w:val="44"/>
          <w:highlight w:val="none"/>
          <w:lang w:val="en-US" w:eastAsia="zh-CN" w:bidi="ar-SA"/>
        </w:rPr>
        <w:t>监理人</w:t>
      </w:r>
      <w:bookmarkEnd w:id="771"/>
      <w:bookmarkEnd w:id="772"/>
      <w:bookmarkEnd w:id="773"/>
      <w:bookmarkEnd w:id="774"/>
      <w:bookmarkEnd w:id="775"/>
      <w:bookmarkEnd w:id="776"/>
      <w:bookmarkEnd w:id="777"/>
      <w:bookmarkEnd w:id="778"/>
      <w:bookmarkEnd w:id="779"/>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780" w:name="_Toc305331256"/>
      <w:bookmarkStart w:id="781" w:name="_Toc302635729"/>
      <w:bookmarkStart w:id="782" w:name="_Toc624"/>
      <w:bookmarkStart w:id="783" w:name="_Toc6642"/>
      <w:bookmarkStart w:id="784" w:name="_Toc25876"/>
      <w:bookmarkStart w:id="785" w:name="_Toc24863"/>
      <w:bookmarkStart w:id="786" w:name="_Toc16071"/>
      <w:bookmarkStart w:id="787" w:name="_Toc32591"/>
      <w:bookmarkStart w:id="788" w:name="_Toc26789"/>
      <w:bookmarkStart w:id="789" w:name="_Toc27373"/>
      <w:bookmarkStart w:id="790" w:name="_Toc7643"/>
      <w:bookmarkStart w:id="791" w:name="_Toc34908961"/>
      <w:r>
        <w:rPr>
          <w:rFonts w:ascii="宋体" w:hAnsi="宋体" w:eastAsia="宋体" w:cs="Times New Roman"/>
          <w:b/>
          <w:bCs/>
          <w:color w:val="auto"/>
          <w:kern w:val="0"/>
          <w:sz w:val="24"/>
          <w:szCs w:val="24"/>
          <w:highlight w:val="none"/>
          <w:lang w:val="en-US" w:eastAsia="zh-CN" w:bidi="ar-SA"/>
        </w:rPr>
        <w:t>监理人</w:t>
      </w:r>
      <w:r>
        <w:rPr>
          <w:rFonts w:hint="eastAsia" w:ascii="宋体" w:hAnsi="宋体" w:eastAsia="宋体" w:cs="Times New Roman"/>
          <w:b/>
          <w:bCs/>
          <w:color w:val="auto"/>
          <w:kern w:val="0"/>
          <w:sz w:val="24"/>
          <w:szCs w:val="24"/>
          <w:highlight w:val="none"/>
          <w:lang w:val="en-US" w:eastAsia="zh-CN" w:bidi="ar-SA"/>
        </w:rPr>
        <w:t>的</w:t>
      </w:r>
      <w:bookmarkEnd w:id="780"/>
      <w:bookmarkEnd w:id="781"/>
      <w:r>
        <w:rPr>
          <w:rFonts w:hint="eastAsia" w:ascii="宋体" w:hAnsi="宋体" w:eastAsia="宋体" w:cs="Times New Roman"/>
          <w:b/>
          <w:bCs/>
          <w:color w:val="auto"/>
          <w:kern w:val="0"/>
          <w:sz w:val="24"/>
          <w:szCs w:val="24"/>
          <w:highlight w:val="none"/>
          <w:lang w:val="en-US" w:eastAsia="zh-CN" w:bidi="ar-SA"/>
        </w:rPr>
        <w:t>通知</w:t>
      </w:r>
      <w:bookmarkEnd w:id="782"/>
      <w:bookmarkEnd w:id="783"/>
      <w:bookmarkEnd w:id="784"/>
      <w:bookmarkEnd w:id="785"/>
      <w:bookmarkEnd w:id="786"/>
      <w:bookmarkEnd w:id="787"/>
      <w:bookmarkEnd w:id="788"/>
      <w:bookmarkEnd w:id="789"/>
      <w:bookmarkEnd w:id="790"/>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发包人应在本合同</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w:t>
      </w:r>
      <w:bookmarkEnd w:id="791"/>
      <w:r>
        <w:rPr>
          <w:rFonts w:hint="eastAsia" w:ascii="宋体" w:hAnsi="宋体" w:eastAsia="宋体" w:cs="Times New Roman"/>
          <w:color w:val="auto"/>
          <w:kern w:val="0"/>
          <w:szCs w:val="24"/>
          <w:highlight w:val="none"/>
        </w:rPr>
        <w:t>列明</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。实施监理的工程，发包人应在开工前将</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和总监理工程师的名称、姓名、监理内容书面通知承包人。发包人如需更换</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，应至少提前7天以书面形式通知承包人。</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792" w:name="_Toc305331257"/>
      <w:bookmarkStart w:id="793" w:name="_Toc15209"/>
      <w:bookmarkStart w:id="794" w:name="_Toc4387"/>
      <w:bookmarkStart w:id="795" w:name="_Toc22934"/>
      <w:bookmarkStart w:id="796" w:name="_Toc16547"/>
      <w:bookmarkStart w:id="797" w:name="_Toc8375"/>
      <w:bookmarkStart w:id="798" w:name="_Toc1779"/>
      <w:bookmarkStart w:id="799" w:name="_Toc302635730"/>
      <w:bookmarkStart w:id="800" w:name="_Toc14215"/>
      <w:bookmarkStart w:id="801" w:name="_Toc27291"/>
      <w:bookmarkStart w:id="802" w:name="_Toc9539"/>
      <w:bookmarkStart w:id="803" w:name="_Toc34908962"/>
      <w:r>
        <w:rPr>
          <w:rFonts w:ascii="宋体" w:hAnsi="宋体" w:eastAsia="宋体" w:cs="Times New Roman"/>
          <w:b/>
          <w:bCs/>
          <w:color w:val="auto"/>
          <w:kern w:val="0"/>
          <w:sz w:val="24"/>
          <w:szCs w:val="24"/>
          <w:highlight w:val="none"/>
          <w:lang w:val="en-US" w:eastAsia="zh-CN" w:bidi="ar-SA"/>
        </w:rPr>
        <w:t>监理人</w:t>
      </w:r>
      <w:r>
        <w:rPr>
          <w:rFonts w:hint="eastAsia" w:ascii="宋体" w:hAnsi="宋体" w:eastAsia="宋体" w:cs="Times New Roman"/>
          <w:b/>
          <w:bCs/>
          <w:color w:val="auto"/>
          <w:kern w:val="0"/>
          <w:sz w:val="24"/>
          <w:szCs w:val="24"/>
          <w:highlight w:val="none"/>
          <w:lang w:val="en-US" w:eastAsia="zh-CN" w:bidi="ar-SA"/>
        </w:rPr>
        <w:t>的职权</w:t>
      </w:r>
      <w:bookmarkEnd w:id="792"/>
      <w:bookmarkEnd w:id="793"/>
      <w:bookmarkEnd w:id="794"/>
      <w:bookmarkEnd w:id="795"/>
      <w:bookmarkEnd w:id="796"/>
      <w:bookmarkEnd w:id="797"/>
      <w:bookmarkEnd w:id="798"/>
      <w:bookmarkEnd w:id="799"/>
      <w:bookmarkEnd w:id="800"/>
      <w:bookmarkEnd w:id="801"/>
      <w:bookmarkEnd w:id="802"/>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应履行本合同条款约定的职责，行使本合同订明或必然隐含的权力。除合同明确说明外，</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无权修改合同，亦无权免除承包人在合同内的任何职责和义务。</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在履行和行使其职权时，其任何行为或遗漏，不免除承包人履行合同约定的任何职责和义务。</w:t>
      </w:r>
      <w:bookmarkEnd w:id="803"/>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804" w:name="_Toc3056"/>
      <w:bookmarkStart w:id="805" w:name="_Toc25456"/>
      <w:bookmarkStart w:id="806" w:name="_Toc16912"/>
      <w:bookmarkStart w:id="807" w:name="_Toc302635731"/>
      <w:bookmarkStart w:id="808" w:name="_Toc28115"/>
      <w:bookmarkStart w:id="809" w:name="_Toc13548"/>
      <w:bookmarkStart w:id="810" w:name="_Toc305331258"/>
      <w:bookmarkStart w:id="811" w:name="_Toc28954"/>
      <w:bookmarkStart w:id="812" w:name="_Toc2684"/>
      <w:bookmarkStart w:id="813" w:name="_Toc19944"/>
      <w:bookmarkStart w:id="814" w:name="_Toc23426"/>
      <w:bookmarkStart w:id="815" w:name="_Toc34908963"/>
      <w:r>
        <w:rPr>
          <w:rFonts w:ascii="宋体" w:hAnsi="宋体" w:eastAsia="宋体" w:cs="Times New Roman"/>
          <w:b/>
          <w:bCs/>
          <w:color w:val="auto"/>
          <w:kern w:val="0"/>
          <w:sz w:val="24"/>
          <w:szCs w:val="24"/>
          <w:highlight w:val="none"/>
          <w:lang w:val="en-US" w:eastAsia="zh-CN" w:bidi="ar-SA"/>
        </w:rPr>
        <w:t>监理人</w:t>
      </w:r>
      <w:r>
        <w:rPr>
          <w:rFonts w:hint="eastAsia" w:ascii="宋体" w:hAnsi="宋体" w:eastAsia="宋体" w:cs="Times New Roman"/>
          <w:b/>
          <w:bCs/>
          <w:color w:val="auto"/>
          <w:kern w:val="0"/>
          <w:sz w:val="24"/>
          <w:szCs w:val="24"/>
          <w:highlight w:val="none"/>
          <w:lang w:val="en-US" w:eastAsia="zh-CN" w:bidi="ar-SA"/>
        </w:rPr>
        <w:t>权力的限制</w:t>
      </w:r>
      <w:bookmarkEnd w:id="804"/>
      <w:bookmarkEnd w:id="805"/>
      <w:bookmarkEnd w:id="806"/>
      <w:bookmarkEnd w:id="807"/>
      <w:bookmarkEnd w:id="808"/>
      <w:bookmarkEnd w:id="809"/>
      <w:bookmarkEnd w:id="810"/>
      <w:bookmarkEnd w:id="811"/>
      <w:bookmarkEnd w:id="812"/>
      <w:bookmarkEnd w:id="813"/>
      <w:bookmarkEnd w:id="814"/>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行使下列权力时，应先取得发包人的批准。但是，当</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行使下列需经发包人批准的权力时，应视为发包人已予批准：</w:t>
      </w:r>
      <w:bookmarkEnd w:id="815"/>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①发布开工令、停工令、复工令；</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②向</w:t>
      </w:r>
      <w:r>
        <w:rPr>
          <w:rFonts w:ascii="宋体" w:hAnsi="宋体" w:eastAsia="宋体" w:cs="Times New Roman"/>
          <w:color w:val="auto"/>
          <w:kern w:val="0"/>
          <w:szCs w:val="24"/>
          <w:highlight w:val="none"/>
        </w:rPr>
        <w:t>设计人</w:t>
      </w:r>
      <w:r>
        <w:rPr>
          <w:rFonts w:hint="eastAsia" w:ascii="宋体" w:hAnsi="宋体" w:eastAsia="宋体" w:cs="Times New Roman"/>
          <w:color w:val="auto"/>
          <w:kern w:val="0"/>
          <w:szCs w:val="24"/>
          <w:highlight w:val="none"/>
        </w:rPr>
        <w:t>或承包人提出建议且提出的建议可能会提高工程造价或延误工期；</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③对本工程任何形式、数量、质量、价款和内容上的变动；</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④对合同约定的承包人职责和义务进行变更；</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⑤提出或批准索赔；</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⑥签发工程款支付证书；</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⑦合同条款中明确约定应取得发包人批准的其他权力；</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⑧</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中明确的其他需经发包人批准的权力。</w:t>
      </w:r>
    </w:p>
    <w:p>
      <w:pPr>
        <w:tabs>
          <w:tab w:val="left" w:pos="1620"/>
          <w:tab w:val="left" w:pos="2340"/>
        </w:tabs>
        <w:spacing w:before="156" w:after="156"/>
        <w:ind w:left="899"/>
        <w:jc w:val="left"/>
        <w:rPr>
          <w:rFonts w:ascii="宋体" w:hAnsi="宋体" w:eastAsia="宋体" w:cs="Times New Roman"/>
          <w:color w:val="auto"/>
          <w:kern w:val="0"/>
          <w:szCs w:val="24"/>
          <w:highlight w:val="none"/>
        </w:rPr>
      </w:pPr>
      <w:bookmarkStart w:id="816" w:name="_Toc34908964"/>
      <w:r>
        <w:rPr>
          <w:rFonts w:hint="eastAsia" w:ascii="宋体" w:hAnsi="宋体" w:eastAsia="宋体" w:cs="Times New Roman"/>
          <w:color w:val="auto"/>
          <w:kern w:val="0"/>
          <w:szCs w:val="24"/>
          <w:highlight w:val="none"/>
        </w:rPr>
        <w:t>⑵当</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认为出现了危及人身、财产安全和立即影响工程安危的紧急情况，且不可能在事前把情况报告给发包人时，在不免除合同约定的承包人的任何职责和义务的情况下，</w:t>
      </w:r>
      <w:r>
        <w:rPr>
          <w:rFonts w:ascii="宋体" w:hAnsi="宋体" w:eastAsia="宋体" w:cs="Times New Roman"/>
          <w:color w:val="auto"/>
          <w:kern w:val="0"/>
          <w:szCs w:val="24"/>
          <w:highlight w:val="none"/>
        </w:rPr>
        <w:t>监理人</w:t>
      </w:r>
      <w:bookmarkEnd w:id="816"/>
      <w:r>
        <w:rPr>
          <w:rFonts w:hint="eastAsia" w:ascii="宋体" w:hAnsi="宋体" w:eastAsia="宋体" w:cs="Times New Roman"/>
          <w:color w:val="auto"/>
          <w:kern w:val="0"/>
          <w:szCs w:val="24"/>
          <w:highlight w:val="none"/>
        </w:rPr>
        <w:t>可先行行使5.3款⑴中的权力，并应在事后24小时内向发包人作出书面报告。</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817" w:name="_Toc30678"/>
      <w:bookmarkStart w:id="818" w:name="_Toc29596"/>
      <w:bookmarkStart w:id="819" w:name="_Toc20949"/>
      <w:bookmarkStart w:id="820" w:name="_Toc19710"/>
      <w:bookmarkStart w:id="821" w:name="_Toc29259"/>
      <w:bookmarkStart w:id="822" w:name="_Toc19270"/>
      <w:bookmarkStart w:id="823" w:name="_Toc28371"/>
      <w:bookmarkStart w:id="824" w:name="_Toc23108"/>
      <w:bookmarkStart w:id="825" w:name="_Toc24257"/>
      <w:bookmarkStart w:id="826" w:name="_Toc302635732"/>
      <w:bookmarkStart w:id="827" w:name="_Toc34908965"/>
      <w:r>
        <w:rPr>
          <w:rFonts w:hint="eastAsia" w:ascii="宋体" w:hAnsi="宋体" w:eastAsia="宋体" w:cs="Times New Roman"/>
          <w:b/>
          <w:bCs/>
          <w:color w:val="auto"/>
          <w:kern w:val="0"/>
          <w:sz w:val="24"/>
          <w:szCs w:val="24"/>
          <w:highlight w:val="none"/>
          <w:lang w:val="en-US" w:eastAsia="zh-CN" w:bidi="ar-SA"/>
        </w:rPr>
        <w:t>总监理工程师</w:t>
      </w:r>
      <w:bookmarkEnd w:id="817"/>
      <w:bookmarkEnd w:id="818"/>
      <w:bookmarkEnd w:id="819"/>
      <w:bookmarkEnd w:id="820"/>
      <w:bookmarkEnd w:id="821"/>
      <w:bookmarkEnd w:id="822"/>
      <w:bookmarkEnd w:id="823"/>
      <w:bookmarkEnd w:id="824"/>
      <w:bookmarkEnd w:id="825"/>
      <w:bookmarkEnd w:id="826"/>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可随时将其任何职责和权力授予其任命的总监理工程师(按有关规定或发包人指定必须由</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亲自履行的职权不得转授)，亦可随时将其授予总监理工程师的任何职权撤回。任何此类授权和撤回应由</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提前7天以书面形式通知发包人和承包人，在未将有关文件副本送交承包人之前，该项授权和撤回不能生效。</w:t>
      </w:r>
      <w:bookmarkEnd w:id="827"/>
      <w:bookmarkStart w:id="828" w:name="_Toc34908966"/>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⑵总监理工程师对</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负责，履行和行使</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授予的职责和权力。总监理工程师在其授权范围内履行职权时，视同</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w:t>
      </w:r>
      <w:bookmarkEnd w:id="828"/>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829" w:name="_Toc26453"/>
      <w:bookmarkStart w:id="830" w:name="_Toc305331260"/>
      <w:bookmarkStart w:id="831" w:name="_Toc11940"/>
      <w:bookmarkStart w:id="832" w:name="_Toc30406"/>
      <w:bookmarkStart w:id="833" w:name="_Toc1367"/>
      <w:bookmarkStart w:id="834" w:name="_Toc302635733"/>
      <w:bookmarkStart w:id="835" w:name="_Toc11693"/>
      <w:bookmarkStart w:id="836" w:name="_Toc3842"/>
      <w:bookmarkStart w:id="837" w:name="_Toc18164"/>
      <w:bookmarkStart w:id="838" w:name="_Toc28187"/>
      <w:bookmarkStart w:id="839" w:name="_Toc2635"/>
      <w:bookmarkStart w:id="840" w:name="_Toc34908969"/>
      <w:r>
        <w:rPr>
          <w:rFonts w:ascii="宋体" w:hAnsi="宋体" w:eastAsia="宋体" w:cs="Times New Roman"/>
          <w:b/>
          <w:bCs/>
          <w:color w:val="auto"/>
          <w:kern w:val="0"/>
          <w:sz w:val="24"/>
          <w:szCs w:val="24"/>
          <w:highlight w:val="none"/>
          <w:lang w:val="en-US" w:eastAsia="zh-CN" w:bidi="ar-SA"/>
        </w:rPr>
        <w:t>监理人</w:t>
      </w:r>
      <w:r>
        <w:rPr>
          <w:rFonts w:hint="eastAsia" w:ascii="宋体" w:hAnsi="宋体" w:eastAsia="宋体" w:cs="Times New Roman"/>
          <w:b/>
          <w:bCs/>
          <w:color w:val="auto"/>
          <w:kern w:val="0"/>
          <w:sz w:val="24"/>
          <w:szCs w:val="24"/>
          <w:highlight w:val="none"/>
          <w:lang w:val="en-US" w:eastAsia="zh-CN" w:bidi="ar-SA"/>
        </w:rPr>
        <w:t>指令</w:t>
      </w:r>
      <w:bookmarkEnd w:id="829"/>
      <w:bookmarkEnd w:id="830"/>
      <w:bookmarkEnd w:id="831"/>
      <w:bookmarkEnd w:id="832"/>
      <w:bookmarkEnd w:id="833"/>
      <w:bookmarkEnd w:id="834"/>
      <w:bookmarkEnd w:id="835"/>
      <w:bookmarkEnd w:id="836"/>
      <w:bookmarkEnd w:id="837"/>
      <w:bookmarkEnd w:id="838"/>
      <w:bookmarkEnd w:id="839"/>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应按合同约定，及时向承包人提供所需的指令。</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的指令以书面形式送达项目经理，项目经理在回执上签署姓名和收到时间后生效。</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⑵必要时，</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可以发出口头指令，并在48小时内给予书面确认。对</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的口头指令，承包人应予执行。如承包人在</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发出的口头指令48小时之后，未收到</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的书面确认，应在</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发出口头指令后7天内提出书面确认要求，</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应在承包人提出书面确认要求后48小时内给予答复，逾期不予答复的，视为口头指令已被确认。</w:t>
      </w:r>
      <w:bookmarkEnd w:id="840"/>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⑶承包人认为</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的指令不合理，应在收到指令后24小时内向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报告，</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应在收到承包人报告后24小时内作出修改指令或继续执行原指令的决定，通知承包人。</w:t>
      </w:r>
      <w:r>
        <w:rPr>
          <w:rFonts w:ascii="宋体" w:hAnsi="宋体" w:eastAsia="宋体" w:cs="Times New Roman"/>
          <w:color w:val="auto"/>
          <w:kern w:val="0"/>
          <w:szCs w:val="24"/>
          <w:highlight w:val="none"/>
        </w:rPr>
        <w:t>监理人逾期未回复的，承包人有权拒绝执行上述指示。</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widowControl w:val="0"/>
        <w:numPr>
          <w:ilvl w:val="1"/>
          <w:numId w:val="2"/>
        </w:numPr>
        <w:tabs>
          <w:tab w:val="left" w:pos="540"/>
          <w:tab w:val="left" w:pos="576"/>
          <w:tab w:val="left" w:pos="900"/>
          <w:tab w:val="left" w:pos="234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841" w:name="_Toc28322"/>
      <w:bookmarkStart w:id="842" w:name="_Toc6922"/>
      <w:bookmarkStart w:id="843" w:name="_Toc305331261"/>
      <w:bookmarkStart w:id="844" w:name="_Toc545"/>
      <w:bookmarkStart w:id="845" w:name="_Toc30932"/>
      <w:bookmarkStart w:id="846" w:name="_Toc30646"/>
      <w:bookmarkStart w:id="847" w:name="_Toc24479"/>
      <w:bookmarkStart w:id="848" w:name="_Toc11200"/>
      <w:bookmarkStart w:id="849" w:name="_Toc6292"/>
      <w:bookmarkStart w:id="850" w:name="_Toc6592"/>
      <w:bookmarkStart w:id="851" w:name="_Toc302635734"/>
      <w:r>
        <w:rPr>
          <w:rFonts w:ascii="宋体" w:hAnsi="宋体" w:eastAsia="宋体" w:cs="Times New Roman"/>
          <w:b/>
          <w:bCs/>
          <w:color w:val="auto"/>
          <w:kern w:val="0"/>
          <w:sz w:val="24"/>
          <w:szCs w:val="24"/>
          <w:highlight w:val="none"/>
          <w:lang w:val="en-US" w:eastAsia="zh-CN" w:bidi="ar-SA"/>
        </w:rPr>
        <w:t>监理人</w:t>
      </w:r>
      <w:r>
        <w:rPr>
          <w:rFonts w:hint="eastAsia" w:ascii="宋体" w:hAnsi="宋体" w:eastAsia="宋体" w:cs="Times New Roman"/>
          <w:b/>
          <w:bCs/>
          <w:color w:val="auto"/>
          <w:kern w:val="0"/>
          <w:sz w:val="24"/>
          <w:szCs w:val="24"/>
          <w:highlight w:val="none"/>
          <w:lang w:val="en-US" w:eastAsia="zh-CN" w:bidi="ar-SA"/>
        </w:rPr>
        <w:t>未尽义务或失误</w:t>
      </w:r>
      <w:bookmarkEnd w:id="841"/>
      <w:bookmarkEnd w:id="842"/>
      <w:bookmarkEnd w:id="843"/>
      <w:bookmarkEnd w:id="844"/>
      <w:bookmarkEnd w:id="845"/>
      <w:bookmarkEnd w:id="846"/>
      <w:bookmarkEnd w:id="847"/>
      <w:bookmarkEnd w:id="848"/>
      <w:bookmarkEnd w:id="849"/>
      <w:bookmarkEnd w:id="850"/>
      <w:bookmarkEnd w:id="851"/>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应按本合同约定，及时向承包人提供所需的指令、批准并履行约定的其他义务。因</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未能按合同约定履行义务或因</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的失误，给承包人造成损失和(或)导致工期延误的，发包人应赔偿承包人的损失，顺延延误的工期。</w:t>
      </w:r>
    </w:p>
    <w:p>
      <w:pPr>
        <w:keepNext w:val="0"/>
        <w:keepLines w:val="0"/>
        <w:widowControl w:val="0"/>
        <w:numPr>
          <w:ilvl w:val="0"/>
          <w:numId w:val="2"/>
        </w:numPr>
        <w:tabs>
          <w:tab w:val="left" w:pos="54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852" w:name="_Toc35656971"/>
      <w:bookmarkStart w:id="853" w:name="_Toc14348"/>
      <w:bookmarkStart w:id="854" w:name="_Toc15533"/>
      <w:bookmarkStart w:id="855" w:name="_Toc302635736"/>
      <w:bookmarkStart w:id="856" w:name="_Toc28116"/>
      <w:bookmarkStart w:id="857" w:name="_Toc24929"/>
      <w:bookmarkStart w:id="858" w:name="_Toc20607"/>
      <w:bookmarkStart w:id="859" w:name="_Toc32571"/>
      <w:bookmarkStart w:id="860" w:name="_Toc305331262"/>
      <w:bookmarkStart w:id="861" w:name="_Toc34908976"/>
      <w:bookmarkStart w:id="862" w:name="_Toc2712"/>
      <w:bookmarkStart w:id="863" w:name="_Toc22492"/>
      <w:bookmarkStart w:id="864" w:name="_Toc27630"/>
      <w:r>
        <w:rPr>
          <w:rFonts w:hint="eastAsia" w:ascii="华文细黑" w:hAnsi="宋体" w:eastAsia="宋体" w:cs="Times New Roman"/>
          <w:b/>
          <w:bCs/>
          <w:snapToGrid w:val="0"/>
          <w:color w:val="auto"/>
          <w:kern w:val="0"/>
          <w:sz w:val="28"/>
          <w:szCs w:val="44"/>
          <w:highlight w:val="none"/>
          <w:lang w:val="en-US" w:eastAsia="zh-CN" w:bidi="ar-SA"/>
        </w:rPr>
        <w:t>转让、分包</w:t>
      </w:r>
      <w:bookmarkEnd w:id="852"/>
      <w:bookmarkEnd w:id="853"/>
      <w:bookmarkEnd w:id="854"/>
      <w:bookmarkEnd w:id="855"/>
      <w:bookmarkEnd w:id="856"/>
      <w:bookmarkEnd w:id="857"/>
      <w:bookmarkEnd w:id="858"/>
      <w:bookmarkEnd w:id="859"/>
      <w:bookmarkEnd w:id="860"/>
      <w:bookmarkEnd w:id="861"/>
      <w:bookmarkEnd w:id="862"/>
      <w:bookmarkEnd w:id="863"/>
      <w:bookmarkEnd w:id="864"/>
    </w:p>
    <w:p>
      <w:pPr>
        <w:widowControl w:val="0"/>
        <w:numPr>
          <w:ilvl w:val="1"/>
          <w:numId w:val="2"/>
        </w:numPr>
        <w:tabs>
          <w:tab w:val="left" w:pos="540"/>
          <w:tab w:val="left" w:pos="576"/>
          <w:tab w:val="left" w:pos="900"/>
          <w:tab w:val="left" w:pos="234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865" w:name="_Toc302635737"/>
      <w:bookmarkStart w:id="866" w:name="_Toc11640"/>
      <w:bookmarkStart w:id="867" w:name="_Toc35656972"/>
      <w:bookmarkStart w:id="868" w:name="_Toc22771"/>
      <w:bookmarkStart w:id="869" w:name="_Toc34908977"/>
      <w:bookmarkStart w:id="870" w:name="_Toc763"/>
      <w:bookmarkStart w:id="871" w:name="_Toc35656470"/>
      <w:bookmarkStart w:id="872" w:name="_Toc14987"/>
      <w:bookmarkStart w:id="873" w:name="_Toc20896"/>
      <w:bookmarkStart w:id="874" w:name="_Toc305331263"/>
      <w:bookmarkStart w:id="875" w:name="_Toc18552"/>
      <w:bookmarkStart w:id="876" w:name="_Toc6108"/>
      <w:bookmarkStart w:id="877" w:name="_Toc24181"/>
      <w:bookmarkStart w:id="878" w:name="_Toc18341"/>
      <w:r>
        <w:rPr>
          <w:rFonts w:hint="eastAsia" w:ascii="宋体" w:hAnsi="宋体" w:eastAsia="宋体" w:cs="Times New Roman"/>
          <w:b/>
          <w:bCs/>
          <w:color w:val="auto"/>
          <w:kern w:val="0"/>
          <w:sz w:val="24"/>
          <w:szCs w:val="24"/>
          <w:highlight w:val="none"/>
          <w:lang w:val="en-US" w:eastAsia="zh-CN" w:bidi="ar-SA"/>
        </w:rPr>
        <w:t>转让</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pPr>
        <w:tabs>
          <w:tab w:val="left" w:pos="1620"/>
          <w:tab w:val="left" w:pos="2340"/>
        </w:tabs>
        <w:spacing w:after="156"/>
        <w:ind w:left="899"/>
        <w:jc w:val="left"/>
        <w:rPr>
          <w:rFonts w:ascii="宋体" w:hAnsi="宋体" w:eastAsia="宋体" w:cs="Times New Roman"/>
          <w:color w:val="auto"/>
          <w:kern w:val="0"/>
          <w:szCs w:val="24"/>
          <w:highlight w:val="none"/>
        </w:rPr>
      </w:pPr>
      <w:bookmarkStart w:id="879" w:name="_Toc34908978"/>
      <w:r>
        <w:rPr>
          <w:rFonts w:hint="eastAsia" w:ascii="宋体" w:hAnsi="宋体" w:eastAsia="宋体" w:cs="Times New Roman"/>
          <w:color w:val="auto"/>
          <w:kern w:val="0"/>
          <w:szCs w:val="24"/>
          <w:highlight w:val="none"/>
        </w:rPr>
        <w:t>承包人不得将本合同的全部工程或其中任何部分转让给其他单位或个人。</w:t>
      </w:r>
      <w:bookmarkEnd w:id="879"/>
      <w:r>
        <w:rPr>
          <w:rFonts w:hint="eastAsia" w:ascii="宋体" w:hAnsi="宋体" w:eastAsia="宋体" w:cs="Times New Roman"/>
          <w:color w:val="auto"/>
          <w:kern w:val="0"/>
          <w:szCs w:val="24"/>
          <w:highlight w:val="none"/>
        </w:rPr>
        <w:t>如承包人有上述转让行为，按照</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的约定承担违约责任。</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880" w:name="_Toc9309"/>
      <w:bookmarkStart w:id="881" w:name="_Toc2976"/>
      <w:bookmarkStart w:id="882" w:name="_Toc302635738"/>
      <w:bookmarkStart w:id="883" w:name="_Toc29041"/>
      <w:bookmarkStart w:id="884" w:name="_Toc20252"/>
      <w:bookmarkStart w:id="885" w:name="_Toc17975"/>
      <w:bookmarkStart w:id="886" w:name="_Toc16945"/>
      <w:bookmarkStart w:id="887" w:name="_Toc4431"/>
      <w:bookmarkStart w:id="888" w:name="_Toc29852"/>
      <w:bookmarkStart w:id="889" w:name="_Toc26590"/>
      <w:bookmarkStart w:id="890" w:name="_Toc305331264"/>
      <w:bookmarkStart w:id="891" w:name="_Toc35656973"/>
      <w:bookmarkStart w:id="892" w:name="_Toc35656471"/>
      <w:bookmarkStart w:id="893" w:name="_Toc34908979"/>
      <w:r>
        <w:rPr>
          <w:rFonts w:hint="eastAsia" w:ascii="宋体" w:hAnsi="宋体" w:eastAsia="宋体" w:cs="Times New Roman"/>
          <w:b/>
          <w:bCs/>
          <w:color w:val="auto"/>
          <w:kern w:val="0"/>
          <w:sz w:val="24"/>
          <w:szCs w:val="24"/>
          <w:highlight w:val="none"/>
          <w:lang w:val="en-US" w:eastAsia="zh-CN" w:bidi="ar-SA"/>
        </w:rPr>
        <w:t>分包</w:t>
      </w:r>
      <w:bookmarkEnd w:id="880"/>
      <w:bookmarkEnd w:id="881"/>
      <w:bookmarkEnd w:id="882"/>
      <w:bookmarkEnd w:id="883"/>
      <w:bookmarkEnd w:id="884"/>
      <w:bookmarkEnd w:id="885"/>
      <w:bookmarkEnd w:id="886"/>
      <w:bookmarkEnd w:id="887"/>
      <w:bookmarkEnd w:id="888"/>
      <w:bookmarkEnd w:id="889"/>
      <w:bookmarkEnd w:id="890"/>
    </w:p>
    <w:bookmarkEnd w:id="891"/>
    <w:bookmarkEnd w:id="892"/>
    <w:bookmarkEnd w:id="893"/>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894" w:name="_Toc34908984"/>
      <w:bookmarkStart w:id="895" w:name="_Toc34908982"/>
      <w:r>
        <w:rPr>
          <w:rFonts w:hint="eastAsia" w:ascii="宋体" w:hAnsi="宋体" w:eastAsia="宋体" w:cs="Times New Roman"/>
          <w:color w:val="auto"/>
          <w:kern w:val="0"/>
          <w:szCs w:val="24"/>
          <w:highlight w:val="none"/>
        </w:rPr>
        <w:t>⑴如承包人不具备其本工程承包范围内的某专业工程的专项施工资质时，应对该专业工程实施分包</w:t>
      </w:r>
      <w:bookmarkEnd w:id="894"/>
      <w:r>
        <w:rPr>
          <w:rFonts w:hint="eastAsia" w:ascii="宋体" w:hAnsi="宋体" w:eastAsia="宋体" w:cs="Times New Roman"/>
          <w:color w:val="auto"/>
          <w:kern w:val="0"/>
          <w:szCs w:val="24"/>
          <w:highlight w:val="none"/>
        </w:rPr>
        <w:t>。</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承包人不得将工程主体结构、关键性工作及</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中禁止分包的专业工程分包给第三人，主体结构、关键性工作的范围由承发包双方按照法律规定在</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中予以明确。</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⑶未报经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审查并取得发包人批准，承包人不得将其本工程承包范围内的任何部分工程分包。如承包人有未经发包人同意的分包行为，按照</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的约定承担违约责任。</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⑷承包人应禁止分包人将分包工程的任何部分再分包。如出现分包人将分包工程的任何部分再分包的行为，承包人应按照</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的约定承担违约责任。</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5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⑸</w:t>
      </w:r>
      <w:r>
        <w:rPr>
          <w:rFonts w:ascii="宋体" w:hAnsi="宋体" w:eastAsia="宋体" w:cs="Times New Roman"/>
          <w:color w:val="auto"/>
          <w:kern w:val="0"/>
          <w:szCs w:val="24"/>
          <w:highlight w:val="none"/>
        </w:rPr>
        <w:fldChar w:fldCharType="end"/>
      </w:r>
      <w:r>
        <w:rPr>
          <w:rFonts w:hint="eastAsia" w:ascii="宋体" w:hAnsi="宋体" w:eastAsia="宋体" w:cs="Times New Roman"/>
          <w:color w:val="auto"/>
          <w:kern w:val="0"/>
          <w:szCs w:val="24"/>
          <w:highlight w:val="none"/>
        </w:rPr>
        <w:t>承包人不得将其承包范围内全部工程肢解分包。如承包人有将其承包范围内全部工程肢解分包的行为，按照</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的约定承担违约责任。</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896" w:name="_Toc15240"/>
      <w:bookmarkStart w:id="897" w:name="_Toc17603"/>
      <w:bookmarkStart w:id="898" w:name="_Toc16755"/>
      <w:bookmarkStart w:id="899" w:name="_Toc12989"/>
      <w:bookmarkStart w:id="900" w:name="_Toc23634"/>
      <w:bookmarkStart w:id="901" w:name="_Toc18417"/>
      <w:bookmarkStart w:id="902" w:name="_Toc8933"/>
      <w:bookmarkStart w:id="903" w:name="_Toc31041"/>
      <w:bookmarkStart w:id="904" w:name="_Toc18884"/>
      <w:bookmarkStart w:id="905" w:name="_Toc302635739"/>
      <w:bookmarkStart w:id="906" w:name="_Toc305331265"/>
      <w:r>
        <w:rPr>
          <w:rFonts w:hint="eastAsia" w:ascii="宋体" w:hAnsi="宋体" w:eastAsia="宋体" w:cs="Times New Roman"/>
          <w:b/>
          <w:bCs/>
          <w:color w:val="auto"/>
          <w:kern w:val="0"/>
          <w:sz w:val="24"/>
          <w:szCs w:val="24"/>
          <w:highlight w:val="none"/>
          <w:lang w:val="en-US" w:eastAsia="zh-CN" w:bidi="ar-SA"/>
        </w:rPr>
        <w:t>分包人的确定</w:t>
      </w:r>
      <w:bookmarkEnd w:id="896"/>
      <w:bookmarkEnd w:id="897"/>
      <w:bookmarkEnd w:id="898"/>
      <w:bookmarkEnd w:id="899"/>
      <w:bookmarkEnd w:id="900"/>
      <w:bookmarkEnd w:id="901"/>
      <w:bookmarkEnd w:id="902"/>
      <w:bookmarkEnd w:id="903"/>
      <w:bookmarkEnd w:id="904"/>
      <w:bookmarkEnd w:id="905"/>
      <w:bookmarkEnd w:id="906"/>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⑴承包人按照6.2⑴款对某专业工程实施分包时，分包人必须具备承建该专业工程的施工资质条件，同时满足</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约定的条件。</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⑵选择分包人时，承包人有义务依据</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的要求向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提供拟选分包人的一切资料，经发包人和</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批准后作为分包人。</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907" w:name="_Toc305331266"/>
      <w:bookmarkStart w:id="908" w:name="_Toc30915"/>
      <w:bookmarkStart w:id="909" w:name="_Toc24870"/>
      <w:bookmarkStart w:id="910" w:name="_Toc11165"/>
      <w:bookmarkStart w:id="911" w:name="_Toc31293"/>
      <w:bookmarkStart w:id="912" w:name="_Toc15132"/>
      <w:bookmarkStart w:id="913" w:name="_Toc23965"/>
      <w:bookmarkStart w:id="914" w:name="_Toc9580"/>
      <w:bookmarkStart w:id="915" w:name="_Toc30474"/>
      <w:bookmarkStart w:id="916" w:name="_Toc302635740"/>
      <w:bookmarkStart w:id="917" w:name="_Toc8009"/>
      <w:r>
        <w:rPr>
          <w:rFonts w:hint="eastAsia" w:ascii="宋体" w:hAnsi="宋体" w:eastAsia="宋体" w:cs="Times New Roman"/>
          <w:b/>
          <w:bCs/>
          <w:color w:val="auto"/>
          <w:kern w:val="0"/>
          <w:sz w:val="24"/>
          <w:szCs w:val="24"/>
          <w:highlight w:val="none"/>
          <w:lang w:val="en-US" w:eastAsia="zh-CN" w:bidi="ar-SA"/>
        </w:rPr>
        <w:t>分包合同</w:t>
      </w:r>
      <w:bookmarkEnd w:id="907"/>
      <w:bookmarkEnd w:id="908"/>
      <w:bookmarkEnd w:id="909"/>
      <w:bookmarkEnd w:id="910"/>
      <w:bookmarkEnd w:id="911"/>
      <w:bookmarkEnd w:id="912"/>
      <w:bookmarkEnd w:id="913"/>
      <w:bookmarkEnd w:id="914"/>
      <w:bookmarkEnd w:id="915"/>
      <w:bookmarkEnd w:id="916"/>
      <w:bookmarkEnd w:id="917"/>
    </w:p>
    <w:bookmarkEnd w:id="895"/>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918" w:name="_Toc34908985"/>
      <w:r>
        <w:rPr>
          <w:rFonts w:hint="eastAsia" w:ascii="宋体" w:hAnsi="宋体" w:eastAsia="宋体" w:cs="Times New Roman"/>
          <w:color w:val="auto"/>
          <w:kern w:val="0"/>
          <w:szCs w:val="24"/>
          <w:highlight w:val="none"/>
        </w:rPr>
        <w:t>⑴承包人与分包人签订分包合同后7天内，应将分包合同送发包人</w:t>
      </w:r>
      <w:r>
        <w:rPr>
          <w:rFonts w:hint="eastAsia" w:ascii="Times New Roman" w:hAnsi="Times New Roman" w:eastAsia="宋体" w:cs="Times New Roman"/>
          <w:color w:val="auto"/>
          <w:szCs w:val="24"/>
          <w:highlight w:val="none"/>
        </w:rPr>
        <w:t>和</w:t>
      </w:r>
      <w:r>
        <w:rPr>
          <w:rFonts w:ascii="Times New Roman" w:hAnsi="Times New Roman" w:eastAsia="宋体" w:cs="Times New Roman"/>
          <w:color w:val="auto"/>
          <w:szCs w:val="24"/>
          <w:highlight w:val="none"/>
        </w:rPr>
        <w:t>监理人</w:t>
      </w:r>
      <w:r>
        <w:rPr>
          <w:rFonts w:hint="eastAsia" w:ascii="Times New Roman" w:hAnsi="Times New Roman" w:eastAsia="宋体" w:cs="Times New Roman"/>
          <w:color w:val="auto"/>
          <w:szCs w:val="24"/>
          <w:highlight w:val="none"/>
        </w:rPr>
        <w:t>各一份</w:t>
      </w:r>
      <w:r>
        <w:rPr>
          <w:rFonts w:hint="eastAsia" w:ascii="宋体" w:hAnsi="宋体" w:eastAsia="宋体" w:cs="Times New Roman"/>
          <w:color w:val="auto"/>
          <w:kern w:val="0"/>
          <w:szCs w:val="24"/>
          <w:highlight w:val="none"/>
        </w:rPr>
        <w:t>存档。</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对分包合同承担连带责任。分包合同不解除本合同约定承包人的任何义务与责任，承包人在分包工程现场应派驻监督管理人员，保证分包合同的履行。分包人的任何违约或疏忽，均视为承包人违约或疏忽。</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⑶分包工程价款由承包人与分包人结算。</w:t>
      </w:r>
      <w:bookmarkEnd w:id="918"/>
      <w:bookmarkStart w:id="919" w:name="_Toc34908983"/>
      <w:r>
        <w:rPr>
          <w:rFonts w:hint="eastAsia" w:ascii="宋体" w:hAnsi="宋体" w:eastAsia="宋体" w:cs="Times New Roman"/>
          <w:color w:val="auto"/>
          <w:kern w:val="0"/>
          <w:szCs w:val="24"/>
          <w:highlight w:val="none"/>
        </w:rPr>
        <w:t>除本合同另有约定或取得承包人的同意外，发包人不得以任何形式向分包人支付各种工程价款。</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⑷承包人有义务向发包人提供其向分包人支付工程款项的证明。如承包人有拖欠分包人工程款项行为的，视为承包人违约，</w:t>
      </w:r>
      <w:r>
        <w:rPr>
          <w:rFonts w:hint="eastAsia" w:ascii="Times New Roman" w:hAnsi="宋体" w:eastAsia="宋体" w:cs="Times New Roman"/>
          <w:color w:val="auto"/>
          <w:szCs w:val="24"/>
          <w:highlight w:val="none"/>
        </w:rPr>
        <w:t>发包人有权直接向分包人支付承包人未支付的应得款项，</w:t>
      </w:r>
      <w:r>
        <w:rPr>
          <w:rFonts w:hint="eastAsia" w:ascii="宋体" w:hAnsi="宋体" w:eastAsia="宋体" w:cs="Times New Roman"/>
          <w:color w:val="auto"/>
          <w:kern w:val="0"/>
          <w:szCs w:val="24"/>
          <w:highlight w:val="none"/>
        </w:rPr>
        <w:t>并从承包人的应得工程款项中抵扣。</w:t>
      </w:r>
    </w:p>
    <w:bookmarkEnd w:id="919"/>
    <w:p>
      <w:pPr>
        <w:keepNext w:val="0"/>
        <w:keepLines w:val="0"/>
        <w:widowControl w:val="0"/>
        <w:numPr>
          <w:ilvl w:val="0"/>
          <w:numId w:val="2"/>
        </w:numPr>
        <w:tabs>
          <w:tab w:val="left" w:pos="54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920" w:name="_Toc32098"/>
      <w:bookmarkStart w:id="921" w:name="_Toc8113"/>
      <w:bookmarkStart w:id="922" w:name="_Toc21448"/>
      <w:bookmarkStart w:id="923" w:name="_Toc6067"/>
      <w:bookmarkStart w:id="924" w:name="_Toc18886"/>
      <w:bookmarkStart w:id="925" w:name="_Toc15907"/>
      <w:bookmarkStart w:id="926" w:name="_Toc19159"/>
      <w:bookmarkStart w:id="927" w:name="_Toc305331267"/>
      <w:bookmarkStart w:id="928" w:name="_Toc9576"/>
      <w:bookmarkStart w:id="929" w:name="_Toc302635741"/>
      <w:bookmarkStart w:id="930" w:name="_Toc29755"/>
      <w:r>
        <w:rPr>
          <w:rFonts w:hint="eastAsia" w:ascii="华文细黑" w:hAnsi="宋体" w:eastAsia="宋体" w:cs="Times New Roman"/>
          <w:b/>
          <w:bCs/>
          <w:snapToGrid w:val="0"/>
          <w:color w:val="auto"/>
          <w:kern w:val="0"/>
          <w:sz w:val="28"/>
          <w:szCs w:val="44"/>
          <w:highlight w:val="none"/>
          <w:lang w:val="en-US" w:eastAsia="zh-CN" w:bidi="ar-SA"/>
        </w:rPr>
        <w:t>专业工程发包</w:t>
      </w:r>
      <w:bookmarkEnd w:id="920"/>
      <w:bookmarkEnd w:id="921"/>
      <w:bookmarkEnd w:id="922"/>
      <w:bookmarkEnd w:id="923"/>
      <w:bookmarkEnd w:id="924"/>
      <w:bookmarkEnd w:id="925"/>
      <w:bookmarkEnd w:id="926"/>
      <w:bookmarkEnd w:id="927"/>
      <w:bookmarkEnd w:id="928"/>
      <w:bookmarkEnd w:id="929"/>
      <w:bookmarkEnd w:id="930"/>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931" w:name="_Toc409"/>
      <w:bookmarkStart w:id="932" w:name="_Toc9958"/>
      <w:bookmarkStart w:id="933" w:name="_Toc302635742"/>
      <w:bookmarkStart w:id="934" w:name="_Toc26600"/>
      <w:bookmarkStart w:id="935" w:name="_Toc12607"/>
      <w:bookmarkStart w:id="936" w:name="_Toc5043"/>
      <w:bookmarkStart w:id="937" w:name="_Toc305331268"/>
      <w:bookmarkStart w:id="938" w:name="_Toc30521"/>
      <w:bookmarkStart w:id="939" w:name="_Toc32139"/>
      <w:bookmarkStart w:id="940" w:name="_Toc29212"/>
      <w:bookmarkStart w:id="941" w:name="_Toc17158"/>
      <w:r>
        <w:rPr>
          <w:rFonts w:hint="eastAsia" w:ascii="宋体" w:hAnsi="宋体" w:eastAsia="宋体" w:cs="Times New Roman"/>
          <w:b/>
          <w:bCs/>
          <w:color w:val="auto"/>
          <w:kern w:val="0"/>
          <w:sz w:val="24"/>
          <w:szCs w:val="24"/>
          <w:highlight w:val="none"/>
          <w:lang w:val="en-US" w:eastAsia="zh-CN" w:bidi="ar-SA"/>
        </w:rPr>
        <w:t>专业工程承包人</w:t>
      </w:r>
      <w:bookmarkEnd w:id="931"/>
      <w:bookmarkEnd w:id="932"/>
      <w:bookmarkEnd w:id="933"/>
      <w:bookmarkEnd w:id="934"/>
      <w:bookmarkEnd w:id="935"/>
      <w:bookmarkEnd w:id="936"/>
      <w:bookmarkEnd w:id="937"/>
      <w:bookmarkEnd w:id="938"/>
      <w:bookmarkEnd w:id="939"/>
      <w:bookmarkEnd w:id="940"/>
      <w:bookmarkEnd w:id="941"/>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⑴发包人可将本工程中承包人承包范围以外的专业工程，按照有关法律、法规的规定另行组织招标确定专业工程承包人，并在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中明确另行发包的专业工程以及专业工程承包人。</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专业工程施工合同由发包人与专业工程承包人签订。发包人应保障承包人免于承担应由专业工程承包人承担的责任和义务，任何由于专业工程承包人未履行上述责任和义务，或由于专业工程承包人的过失而造成的任何损失，承包人免于承担。</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⑶专业工程承包人应接受承包人的统一协调管理，施工中协作配合。</w:t>
      </w:r>
    </w:p>
    <w:p>
      <w:pPr>
        <w:widowControl w:val="0"/>
        <w:numPr>
          <w:ilvl w:val="1"/>
          <w:numId w:val="2"/>
        </w:numPr>
        <w:tabs>
          <w:tab w:val="left" w:pos="540"/>
          <w:tab w:val="left" w:pos="576"/>
          <w:tab w:val="left" w:pos="900"/>
          <w:tab w:val="left" w:pos="234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942" w:name="_Toc15322"/>
      <w:bookmarkStart w:id="943" w:name="_Toc32002"/>
      <w:bookmarkStart w:id="944" w:name="_Toc3159"/>
      <w:bookmarkStart w:id="945" w:name="_Toc3532"/>
      <w:bookmarkStart w:id="946" w:name="_Toc78"/>
      <w:bookmarkStart w:id="947" w:name="_Toc15410"/>
      <w:bookmarkStart w:id="948" w:name="_Toc11447"/>
      <w:bookmarkStart w:id="949" w:name="_Toc30368"/>
      <w:bookmarkStart w:id="950" w:name="_Toc11026"/>
      <w:bookmarkStart w:id="951" w:name="_Toc302635743"/>
      <w:bookmarkStart w:id="952" w:name="_Toc305331269"/>
      <w:r>
        <w:rPr>
          <w:rFonts w:ascii="宋体" w:hAnsi="宋体" w:eastAsia="宋体" w:cs="Times New Roman"/>
          <w:b/>
          <w:bCs/>
          <w:color w:val="auto"/>
          <w:kern w:val="0"/>
          <w:sz w:val="24"/>
          <w:szCs w:val="24"/>
          <w:highlight w:val="none"/>
          <w:lang w:val="en-US" w:eastAsia="zh-CN" w:bidi="ar-SA"/>
        </w:rPr>
        <w:t>总承包服务费</w:t>
      </w:r>
      <w:bookmarkEnd w:id="942"/>
      <w:bookmarkEnd w:id="943"/>
      <w:bookmarkEnd w:id="944"/>
      <w:bookmarkEnd w:id="945"/>
      <w:bookmarkEnd w:id="946"/>
      <w:bookmarkEnd w:id="947"/>
      <w:bookmarkEnd w:id="948"/>
      <w:bookmarkEnd w:id="949"/>
      <w:bookmarkEnd w:id="950"/>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总承包服务费是承包人为配合协调发包人进行的专业工程发包、对发包人自行采购的材料与设备等进行保管以及施工现场管理、竣工资料汇总整理等服务所需的费用。包括总包管理服务费和发包人供应材料（设备）保管费</w:t>
      </w:r>
      <w:r>
        <w:rPr>
          <w:rFonts w:hint="eastAsia" w:ascii="宋体" w:hAnsi="宋体" w:eastAsia="宋体" w:cs="Times New Roman"/>
          <w:color w:val="auto"/>
          <w:kern w:val="0"/>
          <w:szCs w:val="24"/>
          <w:highlight w:val="none"/>
        </w:rPr>
        <w:t>，其对应的工作内容可在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中详细约定</w:t>
      </w:r>
      <w:r>
        <w:rPr>
          <w:rFonts w:ascii="宋体" w:hAnsi="宋体" w:eastAsia="宋体" w:cs="Times New Roman"/>
          <w:color w:val="auto"/>
          <w:kern w:val="0"/>
          <w:szCs w:val="24"/>
          <w:highlight w:val="none"/>
        </w:rPr>
        <w:t>。</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发包人自行发包的专业工程需要使用承包人设施或其提供的服务，其费用已包含在总包工程费用或该分包工程费用中，可由</w:t>
      </w:r>
      <w:r>
        <w:rPr>
          <w:rFonts w:hint="eastAsia" w:ascii="宋体" w:hAnsi="宋体" w:eastAsia="宋体" w:cs="Times New Roman"/>
          <w:color w:val="auto"/>
          <w:kern w:val="0"/>
          <w:szCs w:val="24"/>
          <w:highlight w:val="none"/>
        </w:rPr>
        <w:t>专业工程承包人和承包人</w:t>
      </w:r>
      <w:r>
        <w:rPr>
          <w:rFonts w:ascii="宋体" w:hAnsi="宋体" w:eastAsia="宋体" w:cs="Times New Roman"/>
          <w:color w:val="auto"/>
          <w:kern w:val="0"/>
          <w:szCs w:val="24"/>
          <w:highlight w:val="none"/>
        </w:rPr>
        <w:t>根据该设施或服务情况协商支付，不得向发包人另行索要。</w:t>
      </w:r>
    </w:p>
    <w:bookmarkEnd w:id="951"/>
    <w:bookmarkEnd w:id="952"/>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953" w:name="_Toc1053"/>
      <w:bookmarkStart w:id="954" w:name="_Toc2201"/>
      <w:bookmarkStart w:id="955" w:name="_Toc302635745"/>
      <w:bookmarkStart w:id="956" w:name="_Toc12061"/>
      <w:bookmarkStart w:id="957" w:name="_Toc2005"/>
      <w:bookmarkStart w:id="958" w:name="_Toc32514"/>
      <w:bookmarkStart w:id="959" w:name="_Toc23834"/>
      <w:bookmarkStart w:id="960" w:name="_Toc20033"/>
      <w:bookmarkStart w:id="961" w:name="_Toc15061"/>
      <w:bookmarkStart w:id="962" w:name="_Toc29879"/>
      <w:bookmarkStart w:id="963" w:name="_Toc305331271"/>
      <w:r>
        <w:rPr>
          <w:rFonts w:hint="eastAsia" w:ascii="宋体" w:hAnsi="宋体" w:eastAsia="宋体" w:cs="Times New Roman"/>
          <w:b/>
          <w:bCs/>
          <w:color w:val="auto"/>
          <w:kern w:val="0"/>
          <w:sz w:val="24"/>
          <w:szCs w:val="24"/>
          <w:highlight w:val="none"/>
          <w:lang w:val="en-US" w:eastAsia="zh-CN" w:bidi="ar-SA"/>
        </w:rPr>
        <w:t>工作界面协调</w:t>
      </w:r>
      <w:bookmarkEnd w:id="953"/>
      <w:bookmarkEnd w:id="954"/>
      <w:bookmarkEnd w:id="955"/>
      <w:bookmarkEnd w:id="956"/>
      <w:bookmarkEnd w:id="957"/>
      <w:bookmarkEnd w:id="958"/>
      <w:bookmarkEnd w:id="959"/>
      <w:bookmarkEnd w:id="960"/>
      <w:bookmarkEnd w:id="961"/>
      <w:bookmarkEnd w:id="962"/>
      <w:bookmarkEnd w:id="963"/>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⑴承包人应</w:t>
      </w:r>
      <w:r>
        <w:rPr>
          <w:rFonts w:ascii="宋体" w:hAnsi="宋体" w:eastAsia="宋体" w:cs="Times New Roman"/>
          <w:color w:val="auto"/>
          <w:kern w:val="0"/>
          <w:szCs w:val="24"/>
          <w:highlight w:val="none"/>
        </w:rPr>
        <w:t>做好</w:t>
      </w:r>
      <w:r>
        <w:rPr>
          <w:rFonts w:hint="eastAsia" w:ascii="宋体" w:hAnsi="宋体" w:eastAsia="宋体" w:cs="Times New Roman"/>
          <w:color w:val="auto"/>
          <w:kern w:val="0"/>
          <w:szCs w:val="24"/>
          <w:highlight w:val="none"/>
        </w:rPr>
        <w:t>与本工程相关</w:t>
      </w:r>
      <w:r>
        <w:rPr>
          <w:rFonts w:ascii="宋体" w:hAnsi="宋体" w:eastAsia="宋体" w:cs="Times New Roman"/>
          <w:color w:val="auto"/>
          <w:kern w:val="0"/>
          <w:szCs w:val="24"/>
          <w:highlight w:val="none"/>
        </w:rPr>
        <w:t>各专业</w:t>
      </w:r>
      <w:r>
        <w:rPr>
          <w:rFonts w:hint="eastAsia" w:ascii="宋体" w:hAnsi="宋体" w:eastAsia="宋体" w:cs="Times New Roman"/>
          <w:color w:val="auto"/>
          <w:kern w:val="0"/>
          <w:szCs w:val="24"/>
          <w:highlight w:val="none"/>
        </w:rPr>
        <w:t>工作</w:t>
      </w:r>
      <w:r>
        <w:rPr>
          <w:rFonts w:ascii="宋体" w:hAnsi="宋体" w:eastAsia="宋体" w:cs="Times New Roman"/>
          <w:color w:val="auto"/>
          <w:kern w:val="0"/>
          <w:szCs w:val="24"/>
          <w:highlight w:val="none"/>
        </w:rPr>
        <w:t>界面的</w:t>
      </w:r>
      <w:r>
        <w:rPr>
          <w:rFonts w:hint="eastAsia" w:ascii="宋体" w:hAnsi="宋体" w:eastAsia="宋体" w:cs="Times New Roman"/>
          <w:color w:val="auto"/>
          <w:kern w:val="0"/>
          <w:szCs w:val="24"/>
          <w:highlight w:val="none"/>
        </w:rPr>
        <w:t>协调工作。</w:t>
      </w:r>
      <w:r>
        <w:rPr>
          <w:rFonts w:ascii="宋体" w:hAnsi="宋体" w:eastAsia="宋体" w:cs="Times New Roman"/>
          <w:color w:val="auto"/>
          <w:kern w:val="0"/>
          <w:szCs w:val="24"/>
          <w:highlight w:val="none"/>
        </w:rPr>
        <w:t>本工程施工期间，承包人</w:t>
      </w:r>
      <w:r>
        <w:rPr>
          <w:rFonts w:hint="eastAsia" w:ascii="宋体" w:hAnsi="宋体" w:eastAsia="宋体" w:cs="Times New Roman"/>
          <w:color w:val="auto"/>
          <w:kern w:val="0"/>
          <w:szCs w:val="24"/>
          <w:highlight w:val="none"/>
        </w:rPr>
        <w:t>应</w:t>
      </w:r>
      <w:r>
        <w:rPr>
          <w:rFonts w:ascii="宋体" w:hAnsi="宋体" w:eastAsia="宋体" w:cs="Times New Roman"/>
          <w:color w:val="auto"/>
          <w:kern w:val="0"/>
          <w:szCs w:val="24"/>
          <w:highlight w:val="none"/>
        </w:rPr>
        <w:t>无条件服从发包人及</w:t>
      </w:r>
      <w:r>
        <w:rPr>
          <w:rFonts w:hint="eastAsia" w:ascii="宋体" w:hAnsi="宋体" w:eastAsia="宋体" w:cs="Times New Roman"/>
          <w:color w:val="auto"/>
          <w:kern w:val="0"/>
          <w:szCs w:val="24"/>
          <w:highlight w:val="none"/>
        </w:rPr>
        <w:t>监理人</w:t>
      </w:r>
      <w:r>
        <w:rPr>
          <w:rFonts w:ascii="宋体" w:hAnsi="宋体" w:eastAsia="宋体" w:cs="Times New Roman"/>
          <w:color w:val="auto"/>
          <w:kern w:val="0"/>
          <w:szCs w:val="24"/>
          <w:highlight w:val="none"/>
        </w:rPr>
        <w:t>的统一协调指令</w:t>
      </w:r>
      <w:r>
        <w:rPr>
          <w:rFonts w:hint="eastAsia" w:ascii="宋体" w:hAnsi="宋体" w:eastAsia="宋体" w:cs="Times New Roman"/>
          <w:color w:val="auto"/>
          <w:kern w:val="0"/>
          <w:szCs w:val="24"/>
          <w:highlight w:val="none"/>
        </w:rPr>
        <w:t>，并指定</w:t>
      </w:r>
      <w:r>
        <w:rPr>
          <w:rFonts w:ascii="宋体" w:hAnsi="宋体" w:eastAsia="宋体" w:cs="Times New Roman"/>
          <w:color w:val="auto"/>
          <w:kern w:val="0"/>
          <w:szCs w:val="24"/>
          <w:highlight w:val="none"/>
        </w:rPr>
        <w:t>专人负责接口协调工作，确保发包人及</w:t>
      </w:r>
      <w:r>
        <w:rPr>
          <w:rFonts w:hint="eastAsia" w:ascii="宋体" w:hAnsi="宋体" w:eastAsia="宋体" w:cs="Times New Roman"/>
          <w:color w:val="auto"/>
          <w:kern w:val="0"/>
          <w:szCs w:val="24"/>
          <w:highlight w:val="none"/>
        </w:rPr>
        <w:t>监理人</w:t>
      </w:r>
      <w:r>
        <w:rPr>
          <w:rFonts w:ascii="宋体" w:hAnsi="宋体" w:eastAsia="宋体" w:cs="Times New Roman"/>
          <w:color w:val="auto"/>
          <w:kern w:val="0"/>
          <w:szCs w:val="24"/>
          <w:highlight w:val="none"/>
        </w:rPr>
        <w:t>指令的及时实施。</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承包人在编制施工组织设计时，应根据设计文件</w:t>
      </w:r>
      <w:r>
        <w:rPr>
          <w:rFonts w:hint="eastAsia" w:ascii="宋体" w:hAnsi="宋体" w:eastAsia="宋体" w:cs="Times New Roman"/>
          <w:color w:val="auto"/>
          <w:kern w:val="0"/>
          <w:szCs w:val="24"/>
          <w:highlight w:val="none"/>
        </w:rPr>
        <w:t>和</w:t>
      </w:r>
      <w:r>
        <w:rPr>
          <w:rFonts w:ascii="宋体" w:hAnsi="宋体" w:eastAsia="宋体" w:cs="Times New Roman"/>
          <w:color w:val="auto"/>
          <w:kern w:val="0"/>
          <w:szCs w:val="24"/>
          <w:highlight w:val="none"/>
        </w:rPr>
        <w:t>现场调查资料，充分考虑施工接口的部位及内容，制定可能引起接口部位安全质量问题的预防措施；及时向</w:t>
      </w:r>
      <w:r>
        <w:rPr>
          <w:rFonts w:hint="eastAsia" w:ascii="宋体" w:hAnsi="宋体" w:eastAsia="宋体" w:cs="Times New Roman"/>
          <w:color w:val="auto"/>
          <w:kern w:val="0"/>
          <w:szCs w:val="24"/>
          <w:highlight w:val="none"/>
        </w:rPr>
        <w:t>监理人</w:t>
      </w:r>
      <w:r>
        <w:rPr>
          <w:rFonts w:ascii="宋体" w:hAnsi="宋体" w:eastAsia="宋体" w:cs="Times New Roman"/>
          <w:color w:val="auto"/>
          <w:kern w:val="0"/>
          <w:szCs w:val="24"/>
          <w:highlight w:val="none"/>
        </w:rPr>
        <w:t>提交本工程需其它专业工程提供接口的细目清单，交由</w:t>
      </w:r>
      <w:r>
        <w:rPr>
          <w:rFonts w:hint="eastAsia" w:ascii="宋体" w:hAnsi="宋体" w:eastAsia="宋体" w:cs="Times New Roman"/>
          <w:color w:val="auto"/>
          <w:kern w:val="0"/>
          <w:szCs w:val="24"/>
          <w:highlight w:val="none"/>
        </w:rPr>
        <w:t>监理人</w:t>
      </w:r>
      <w:r>
        <w:rPr>
          <w:rFonts w:ascii="宋体" w:hAnsi="宋体" w:eastAsia="宋体" w:cs="Times New Roman"/>
          <w:color w:val="auto"/>
          <w:kern w:val="0"/>
          <w:szCs w:val="24"/>
          <w:highlight w:val="none"/>
        </w:rPr>
        <w:t>统一协调；或接受</w:t>
      </w:r>
      <w:r>
        <w:rPr>
          <w:rFonts w:hint="eastAsia" w:ascii="宋体" w:hAnsi="宋体" w:eastAsia="宋体" w:cs="Times New Roman"/>
          <w:color w:val="auto"/>
          <w:kern w:val="0"/>
          <w:szCs w:val="24"/>
          <w:highlight w:val="none"/>
        </w:rPr>
        <w:t>监理人</w:t>
      </w:r>
      <w:r>
        <w:rPr>
          <w:rFonts w:ascii="宋体" w:hAnsi="宋体" w:eastAsia="宋体" w:cs="Times New Roman"/>
          <w:color w:val="auto"/>
          <w:kern w:val="0"/>
          <w:szCs w:val="24"/>
          <w:highlight w:val="none"/>
        </w:rPr>
        <w:t>的接口指令，及时实施接口指令作业。</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承包人与其它工程之间</w:t>
      </w:r>
      <w:r>
        <w:rPr>
          <w:rFonts w:hint="eastAsia" w:ascii="宋体" w:hAnsi="宋体" w:eastAsia="宋体" w:cs="Times New Roman"/>
          <w:color w:val="auto"/>
          <w:kern w:val="0"/>
          <w:szCs w:val="24"/>
          <w:highlight w:val="none"/>
        </w:rPr>
        <w:t>应当就</w:t>
      </w:r>
      <w:r>
        <w:rPr>
          <w:rFonts w:ascii="宋体" w:hAnsi="宋体" w:eastAsia="宋体" w:cs="Times New Roman"/>
          <w:color w:val="auto"/>
          <w:kern w:val="0"/>
          <w:szCs w:val="24"/>
          <w:highlight w:val="none"/>
        </w:rPr>
        <w:t>施工接</w:t>
      </w:r>
      <w:r>
        <w:rPr>
          <w:rFonts w:hint="eastAsia" w:ascii="宋体" w:hAnsi="宋体" w:eastAsia="宋体" w:cs="Times New Roman"/>
          <w:color w:val="auto"/>
          <w:kern w:val="0"/>
          <w:szCs w:val="24"/>
          <w:highlight w:val="none"/>
        </w:rPr>
        <w:t>口</w:t>
      </w:r>
      <w:r>
        <w:rPr>
          <w:rFonts w:ascii="宋体" w:hAnsi="宋体" w:eastAsia="宋体" w:cs="Times New Roman"/>
          <w:color w:val="auto"/>
          <w:kern w:val="0"/>
          <w:szCs w:val="24"/>
          <w:highlight w:val="none"/>
        </w:rPr>
        <w:t>、测量控制网点</w:t>
      </w:r>
      <w:r>
        <w:rPr>
          <w:rFonts w:hint="eastAsia" w:ascii="宋体" w:hAnsi="宋体" w:eastAsia="宋体" w:cs="Times New Roman"/>
          <w:color w:val="auto"/>
          <w:kern w:val="0"/>
          <w:szCs w:val="24"/>
          <w:highlight w:val="none"/>
        </w:rPr>
        <w:t>、预埋件(预留孔洞)位置和尺寸等资料及时互通信息，中线控制桩点应贯通测定，水准点应相互闭合，以确保施工顺利进行，避免工程质量事故的发生。</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t>由于承包人未能及时对工程接口问题进行协调或未及时实施</w:t>
      </w:r>
      <w:r>
        <w:rPr>
          <w:rFonts w:hint="eastAsia" w:ascii="宋体" w:hAnsi="宋体" w:eastAsia="宋体" w:cs="Times New Roman"/>
          <w:color w:val="auto"/>
          <w:kern w:val="0"/>
          <w:szCs w:val="24"/>
          <w:highlight w:val="none"/>
        </w:rPr>
        <w:t>监理人</w:t>
      </w:r>
      <w:r>
        <w:rPr>
          <w:rFonts w:ascii="宋体" w:hAnsi="宋体" w:eastAsia="宋体" w:cs="Times New Roman"/>
          <w:color w:val="auto"/>
          <w:kern w:val="0"/>
          <w:szCs w:val="24"/>
          <w:highlight w:val="none"/>
        </w:rPr>
        <w:t>接口指令而造成工程延误、返工或其它损失，所有损失和费用由承包人</w:t>
      </w:r>
      <w:r>
        <w:rPr>
          <w:rFonts w:hint="eastAsia" w:ascii="宋体" w:hAnsi="宋体" w:eastAsia="宋体" w:cs="Times New Roman"/>
          <w:color w:val="auto"/>
          <w:kern w:val="0"/>
          <w:szCs w:val="24"/>
          <w:highlight w:val="none"/>
        </w:rPr>
        <w:t>承</w:t>
      </w:r>
      <w:r>
        <w:rPr>
          <w:rFonts w:ascii="宋体" w:hAnsi="宋体" w:eastAsia="宋体" w:cs="Times New Roman"/>
          <w:color w:val="auto"/>
          <w:kern w:val="0"/>
          <w:szCs w:val="24"/>
          <w:highlight w:val="none"/>
        </w:rPr>
        <w:t>担。发包人或监理人均有权根据实际情况，</w:t>
      </w:r>
      <w:r>
        <w:rPr>
          <w:rFonts w:hint="eastAsia" w:ascii="宋体" w:hAnsi="宋体" w:eastAsia="宋体" w:cs="Times New Roman"/>
          <w:color w:val="auto"/>
          <w:kern w:val="0"/>
          <w:szCs w:val="24"/>
          <w:highlight w:val="none"/>
        </w:rPr>
        <w:t>要求</w:t>
      </w:r>
      <w:r>
        <w:rPr>
          <w:rFonts w:ascii="宋体" w:hAnsi="宋体" w:eastAsia="宋体" w:cs="Times New Roman"/>
          <w:color w:val="auto"/>
          <w:kern w:val="0"/>
          <w:szCs w:val="24"/>
          <w:highlight w:val="none"/>
        </w:rPr>
        <w:t>承包人</w:t>
      </w:r>
      <w:r>
        <w:rPr>
          <w:rFonts w:hint="eastAsia" w:ascii="宋体" w:hAnsi="宋体" w:eastAsia="宋体" w:cs="Times New Roman"/>
          <w:color w:val="auto"/>
          <w:kern w:val="0"/>
          <w:szCs w:val="24"/>
          <w:highlight w:val="none"/>
        </w:rPr>
        <w:t>支付</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约定的违约金</w:t>
      </w:r>
      <w:r>
        <w:rPr>
          <w:rFonts w:ascii="宋体" w:hAnsi="宋体" w:eastAsia="宋体" w:cs="Times New Roman"/>
          <w:color w:val="auto"/>
          <w:kern w:val="0"/>
          <w:szCs w:val="24"/>
          <w:highlight w:val="none"/>
        </w:rPr>
        <w:t>，包括并不限于采取扣付工程款等方式。</w:t>
      </w:r>
    </w:p>
    <w:p>
      <w:pPr>
        <w:keepNext w:val="0"/>
        <w:keepLines w:val="0"/>
        <w:widowControl w:val="0"/>
        <w:numPr>
          <w:ilvl w:val="0"/>
          <w:numId w:val="2"/>
        </w:numPr>
        <w:tabs>
          <w:tab w:val="left" w:pos="540"/>
          <w:tab w:val="left" w:pos="1620"/>
          <w:tab w:val="left" w:pos="2340"/>
          <w:tab w:val="left" w:pos="4032"/>
        </w:tabs>
        <w:spacing w:before="240" w:after="120"/>
        <w:ind w:left="178" w:firstLine="0"/>
        <w:jc w:val="left"/>
        <w:outlineLvl w:val="0"/>
        <w:rPr>
          <w:rFonts w:hint="eastAsia" w:ascii="华文细黑" w:hAnsi="宋体" w:eastAsia="宋体" w:cs="Times New Roman"/>
          <w:b/>
          <w:bCs/>
          <w:snapToGrid w:val="0"/>
          <w:color w:val="auto"/>
          <w:kern w:val="0"/>
          <w:sz w:val="28"/>
          <w:szCs w:val="44"/>
          <w:highlight w:val="none"/>
          <w:lang w:val="en-US" w:eastAsia="zh-CN" w:bidi="ar-SA"/>
        </w:rPr>
      </w:pPr>
      <w:bookmarkStart w:id="964" w:name="_Toc302635746"/>
      <w:bookmarkStart w:id="965" w:name="_Toc30975"/>
      <w:bookmarkStart w:id="966" w:name="_Toc23505"/>
      <w:bookmarkStart w:id="967" w:name="_Toc17894"/>
      <w:bookmarkStart w:id="968" w:name="_Toc31732"/>
      <w:bookmarkStart w:id="969" w:name="_Toc8448"/>
      <w:bookmarkStart w:id="970" w:name="_Toc24279"/>
      <w:bookmarkStart w:id="971" w:name="_Toc4245"/>
      <w:bookmarkStart w:id="972" w:name="_Toc12967"/>
      <w:bookmarkStart w:id="973" w:name="_Toc8226"/>
      <w:bookmarkStart w:id="974" w:name="_Toc305331272"/>
      <w:r>
        <w:rPr>
          <w:rFonts w:hint="eastAsia" w:ascii="华文细黑" w:hAnsi="宋体" w:eastAsia="宋体" w:cs="Times New Roman"/>
          <w:b/>
          <w:bCs/>
          <w:snapToGrid w:val="0"/>
          <w:color w:val="auto"/>
          <w:kern w:val="0"/>
          <w:sz w:val="28"/>
          <w:szCs w:val="44"/>
          <w:highlight w:val="none"/>
          <w:lang w:val="en-US" w:eastAsia="zh-CN" w:bidi="ar-SA"/>
        </w:rPr>
        <w:t>用工和劳务</w:t>
      </w:r>
      <w:bookmarkEnd w:id="964"/>
      <w:bookmarkEnd w:id="965"/>
      <w:bookmarkEnd w:id="966"/>
      <w:bookmarkEnd w:id="967"/>
      <w:bookmarkEnd w:id="968"/>
      <w:bookmarkEnd w:id="969"/>
      <w:bookmarkEnd w:id="970"/>
      <w:bookmarkEnd w:id="971"/>
      <w:bookmarkEnd w:id="972"/>
      <w:bookmarkEnd w:id="973"/>
      <w:bookmarkEnd w:id="974"/>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975" w:name="_Toc302635747"/>
      <w:bookmarkStart w:id="976" w:name="_Toc28236"/>
      <w:bookmarkStart w:id="977" w:name="_Toc305331273"/>
      <w:bookmarkStart w:id="978" w:name="_Toc13886"/>
      <w:bookmarkStart w:id="979" w:name="_Toc929"/>
      <w:bookmarkStart w:id="980" w:name="_Toc5322"/>
      <w:bookmarkStart w:id="981" w:name="_Toc1652"/>
      <w:bookmarkStart w:id="982" w:name="_Toc10834"/>
      <w:bookmarkStart w:id="983" w:name="_Toc18004"/>
      <w:bookmarkStart w:id="984" w:name="_Toc13412"/>
      <w:bookmarkStart w:id="985" w:name="_Toc31747"/>
      <w:r>
        <w:rPr>
          <w:rFonts w:hint="eastAsia" w:ascii="宋体" w:hAnsi="宋体" w:eastAsia="宋体" w:cs="Times New Roman"/>
          <w:b/>
          <w:bCs/>
          <w:color w:val="auto"/>
          <w:kern w:val="0"/>
          <w:sz w:val="24"/>
          <w:szCs w:val="24"/>
          <w:highlight w:val="none"/>
          <w:lang w:val="en-US" w:eastAsia="zh-CN" w:bidi="ar-SA"/>
        </w:rPr>
        <w:t>劳动合同</w:t>
      </w:r>
      <w:bookmarkEnd w:id="975"/>
      <w:bookmarkEnd w:id="976"/>
      <w:bookmarkEnd w:id="977"/>
      <w:bookmarkEnd w:id="978"/>
      <w:bookmarkEnd w:id="979"/>
      <w:bookmarkEnd w:id="980"/>
      <w:bookmarkEnd w:id="981"/>
      <w:bookmarkEnd w:id="982"/>
      <w:bookmarkEnd w:id="983"/>
      <w:bookmarkEnd w:id="984"/>
      <w:bookmarkEnd w:id="985"/>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⑴除合同另有规定外，承包人应自行聘(雇)用工人。承包人不得从为发包人或</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服务的人员中招雇任何人员。</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⑵承包人应按照劳动法和劳动合同法的相关规定与聘(雇)用工人签订劳动合同，缴纳社会保险，按国家规定提供劳动保护，明确劳动报酬等内容，及时足额支付工资等劳动报酬。</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⑶若发包人或</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发现有未签订劳动合同的工人在现场施工，则视为承包人违约，并承担</w:t>
      </w:r>
      <w:r>
        <w:rPr>
          <w:rFonts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约定的违约责任。</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986" w:name="_Toc18645"/>
      <w:bookmarkStart w:id="987" w:name="_Toc26337"/>
      <w:bookmarkStart w:id="988" w:name="_Toc9667"/>
      <w:bookmarkStart w:id="989" w:name="_Toc17177"/>
      <w:bookmarkStart w:id="990" w:name="_Toc302635748"/>
      <w:bookmarkStart w:id="991" w:name="_Toc31125"/>
      <w:bookmarkStart w:id="992" w:name="_Toc9775"/>
      <w:bookmarkStart w:id="993" w:name="_Toc305331274"/>
      <w:bookmarkStart w:id="994" w:name="_Toc22430"/>
      <w:bookmarkStart w:id="995" w:name="_Toc9930"/>
      <w:bookmarkStart w:id="996" w:name="_Toc8428"/>
      <w:r>
        <w:rPr>
          <w:rFonts w:hint="eastAsia" w:ascii="宋体" w:hAnsi="宋体" w:eastAsia="宋体" w:cs="Times New Roman"/>
          <w:b/>
          <w:bCs/>
          <w:color w:val="auto"/>
          <w:kern w:val="0"/>
          <w:sz w:val="24"/>
          <w:szCs w:val="24"/>
          <w:highlight w:val="none"/>
          <w:lang w:val="en-US" w:eastAsia="zh-CN" w:bidi="ar-SA"/>
        </w:rPr>
        <w:t>劳务分包</w:t>
      </w:r>
      <w:bookmarkEnd w:id="986"/>
      <w:bookmarkEnd w:id="987"/>
      <w:bookmarkEnd w:id="988"/>
      <w:bookmarkEnd w:id="989"/>
      <w:bookmarkEnd w:id="990"/>
      <w:bookmarkEnd w:id="991"/>
      <w:bookmarkEnd w:id="992"/>
      <w:bookmarkEnd w:id="993"/>
      <w:bookmarkEnd w:id="994"/>
      <w:bookmarkEnd w:id="995"/>
      <w:bookmarkEnd w:id="996"/>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⑴承包人实施劳务分包的，应将劳务发包给具有相应劳务资质的劳务企业，与劳务分包企业设立工人工资支付专用账户，并按照劳务分包合同约定及时足额向劳务企业支付劳务费用。</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⑵承包人应在劳务分包合同中要求劳务分包企业对所有派遣工人购买意外伤害险和工伤保险，保险金额不得低于</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额度。保险单复印件应提供一份给发包人备案，承包人未对劳务分包企业提出此要求或虽然提出此要求但劳务企业未购买此保险的，承包人应完善相关购买手续，否则承包人与劳务分包企业向受伤害工人承担连带赔偿责任。</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997" w:name="_Toc4536"/>
      <w:bookmarkStart w:id="998" w:name="_Toc26786"/>
      <w:bookmarkStart w:id="999" w:name="_Toc305331275"/>
      <w:bookmarkStart w:id="1000" w:name="_Toc6789"/>
      <w:bookmarkStart w:id="1001" w:name="_Toc12637"/>
      <w:bookmarkStart w:id="1002" w:name="_Toc14699"/>
      <w:bookmarkStart w:id="1003" w:name="_Toc7487"/>
      <w:bookmarkStart w:id="1004" w:name="_Toc16927"/>
      <w:bookmarkStart w:id="1005" w:name="_Toc24758"/>
      <w:bookmarkStart w:id="1006" w:name="_Toc20764"/>
      <w:bookmarkStart w:id="1007" w:name="_Toc302635749"/>
      <w:r>
        <w:rPr>
          <w:rFonts w:hint="eastAsia" w:ascii="宋体" w:hAnsi="宋体" w:eastAsia="宋体" w:cs="Times New Roman"/>
          <w:b/>
          <w:bCs/>
          <w:color w:val="auto"/>
          <w:kern w:val="0"/>
          <w:sz w:val="24"/>
          <w:szCs w:val="24"/>
          <w:highlight w:val="none"/>
          <w:lang w:val="en-US" w:eastAsia="zh-CN" w:bidi="ar-SA"/>
        </w:rPr>
        <w:t>劳务分包合同</w:t>
      </w:r>
      <w:bookmarkEnd w:id="997"/>
      <w:bookmarkEnd w:id="998"/>
      <w:bookmarkEnd w:id="999"/>
      <w:bookmarkEnd w:id="1000"/>
      <w:bookmarkEnd w:id="1001"/>
      <w:bookmarkEnd w:id="1002"/>
      <w:bookmarkEnd w:id="1003"/>
      <w:bookmarkEnd w:id="1004"/>
      <w:bookmarkEnd w:id="1005"/>
      <w:bookmarkEnd w:id="1006"/>
      <w:bookmarkEnd w:id="1007"/>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⑴选择劳务分包企业时，承包人有义务依据</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的要求向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提供拟选劳务分包企业的一切资料，经发包人和</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批准后作为劳务分包企业。</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⑵承包人与劳务分包企业签订劳务分包合同后7天内，应将劳务分包合同送发包人</w:t>
      </w:r>
      <w:r>
        <w:rPr>
          <w:rFonts w:hint="eastAsia" w:ascii="Times New Roman" w:hAnsi="Times New Roman" w:eastAsia="宋体" w:cs="Times New Roman"/>
          <w:color w:val="auto"/>
          <w:szCs w:val="24"/>
          <w:highlight w:val="none"/>
        </w:rPr>
        <w:t>和</w:t>
      </w:r>
      <w:r>
        <w:rPr>
          <w:rFonts w:ascii="Times New Roman" w:hAnsi="Times New Roman" w:eastAsia="宋体" w:cs="Times New Roman"/>
          <w:color w:val="auto"/>
          <w:szCs w:val="24"/>
          <w:highlight w:val="none"/>
        </w:rPr>
        <w:t>监理人</w:t>
      </w:r>
      <w:r>
        <w:rPr>
          <w:rFonts w:hint="eastAsia" w:ascii="Times New Roman" w:hAnsi="Times New Roman" w:eastAsia="宋体" w:cs="Times New Roman"/>
          <w:color w:val="auto"/>
          <w:szCs w:val="24"/>
          <w:highlight w:val="none"/>
        </w:rPr>
        <w:t>各一份</w:t>
      </w:r>
      <w:r>
        <w:rPr>
          <w:rFonts w:hint="eastAsia" w:ascii="宋体" w:hAnsi="宋体" w:eastAsia="宋体" w:cs="Times New Roman"/>
          <w:color w:val="auto"/>
          <w:kern w:val="0"/>
          <w:szCs w:val="24"/>
          <w:highlight w:val="none"/>
        </w:rPr>
        <w:t>存档。</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⑶若发包人或</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发现工地上有未签订劳务分包合同的劳务企业人员在现场施工，则视为承包人违约，并承担</w:t>
      </w:r>
      <w:r>
        <w:rPr>
          <w:rFonts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约定的违约责任。</w:t>
      </w:r>
    </w:p>
    <w:p>
      <w:pPr>
        <w:widowControl w:val="0"/>
        <w:numPr>
          <w:ilvl w:val="1"/>
          <w:numId w:val="2"/>
        </w:numPr>
        <w:tabs>
          <w:tab w:val="left" w:pos="540"/>
          <w:tab w:val="left" w:pos="576"/>
          <w:tab w:val="left" w:pos="900"/>
          <w:tab w:val="left" w:pos="234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008" w:name="_Toc27641"/>
      <w:bookmarkStart w:id="1009" w:name="_Toc28461"/>
      <w:bookmarkStart w:id="1010" w:name="_Toc10155"/>
      <w:bookmarkStart w:id="1011" w:name="_Toc149"/>
      <w:bookmarkStart w:id="1012" w:name="_Toc302635750"/>
      <w:bookmarkStart w:id="1013" w:name="_Toc13040"/>
      <w:bookmarkStart w:id="1014" w:name="_Toc23092"/>
      <w:bookmarkStart w:id="1015" w:name="_Toc6794"/>
      <w:bookmarkStart w:id="1016" w:name="_Toc305331276"/>
      <w:bookmarkStart w:id="1017" w:name="_Toc3740"/>
      <w:bookmarkStart w:id="1018" w:name="_Toc23726"/>
      <w:r>
        <w:rPr>
          <w:rFonts w:hint="eastAsia" w:ascii="宋体" w:hAnsi="宋体" w:eastAsia="宋体" w:cs="Times New Roman"/>
          <w:b/>
          <w:bCs/>
          <w:color w:val="auto"/>
          <w:kern w:val="0"/>
          <w:sz w:val="24"/>
          <w:szCs w:val="24"/>
          <w:highlight w:val="none"/>
          <w:lang w:val="en-US" w:eastAsia="zh-CN" w:bidi="ar-SA"/>
        </w:rPr>
        <w:t>工人工资</w:t>
      </w:r>
      <w:bookmarkEnd w:id="1008"/>
      <w:bookmarkEnd w:id="1009"/>
      <w:bookmarkEnd w:id="1010"/>
      <w:bookmarkEnd w:id="1011"/>
      <w:bookmarkEnd w:id="1012"/>
      <w:bookmarkEnd w:id="1013"/>
      <w:bookmarkEnd w:id="1014"/>
      <w:bookmarkEnd w:id="1015"/>
      <w:bookmarkEnd w:id="1016"/>
      <w:bookmarkEnd w:id="1017"/>
      <w:bookmarkEnd w:id="1018"/>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⑴承包人应按照有关规定开设工人工资专用账户，专项用于发放本工程工人工资。开设、使用工人工资专用账户有关资料应由承包人妥善保存备查。</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⑵发包人应及时足额地将合同约定的工人工资支付款项支付到工人工资专用账户，并加强对承包人按时足额发放工人工资的监督。</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承包人必须严格按照国家、省、市等有关规定发放工资、劳务费。对发包人支付的工程款，承包人须优先保障工人工资和劳务分包企业的劳务费的发放。对发包人支付到工人工资专用账户的款项，承包人应及时足额发放，不得拖欠或克扣。</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⑷承包人拖欠工人工资或劳务分包企业劳务费用的，经被拖欠人催付，承包人仍不予支付的，被拖欠人可以向发包人请求代为支付，经发包人和</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核查情况属实的，视为承包人违约，发包人有权</w:t>
      </w:r>
      <w:r>
        <w:rPr>
          <w:rFonts w:ascii="宋体" w:hAnsi="宋体" w:eastAsia="宋体" w:cs="Times New Roman"/>
          <w:color w:val="auto"/>
          <w:szCs w:val="24"/>
          <w:highlight w:val="none"/>
        </w:rPr>
        <w:t>从承包人的工程款</w:t>
      </w:r>
      <w:r>
        <w:rPr>
          <w:rFonts w:hint="eastAsia" w:ascii="宋体" w:hAnsi="宋体" w:eastAsia="宋体" w:cs="Times New Roman"/>
          <w:color w:val="auto"/>
          <w:szCs w:val="24"/>
          <w:highlight w:val="none"/>
        </w:rPr>
        <w:t>(</w:t>
      </w:r>
      <w:r>
        <w:rPr>
          <w:rFonts w:ascii="宋体" w:hAnsi="宋体" w:eastAsia="宋体" w:cs="Times New Roman"/>
          <w:color w:val="auto"/>
          <w:szCs w:val="24"/>
          <w:highlight w:val="none"/>
        </w:rPr>
        <w:t>或预付款、保证金等</w:t>
      </w:r>
      <w:r>
        <w:rPr>
          <w:rFonts w:hint="eastAsia" w:ascii="宋体" w:hAnsi="宋体" w:eastAsia="宋体" w:cs="Times New Roman"/>
          <w:color w:val="auto"/>
          <w:szCs w:val="24"/>
          <w:highlight w:val="none"/>
        </w:rPr>
        <w:t>)</w:t>
      </w:r>
      <w:r>
        <w:rPr>
          <w:rFonts w:ascii="宋体" w:hAnsi="宋体" w:eastAsia="宋体" w:cs="Times New Roman"/>
          <w:color w:val="auto"/>
          <w:szCs w:val="24"/>
          <w:highlight w:val="none"/>
        </w:rPr>
        <w:t>中扣付</w:t>
      </w:r>
      <w:r>
        <w:rPr>
          <w:rFonts w:hint="eastAsia" w:ascii="宋体" w:hAnsi="宋体" w:eastAsia="宋体" w:cs="Times New Roman"/>
          <w:color w:val="auto"/>
          <w:szCs w:val="24"/>
          <w:highlight w:val="none"/>
        </w:rPr>
        <w:t>拖欠的</w:t>
      </w:r>
      <w:r>
        <w:rPr>
          <w:rFonts w:ascii="宋体" w:hAnsi="宋体" w:eastAsia="宋体" w:cs="Times New Roman"/>
          <w:color w:val="auto"/>
          <w:szCs w:val="24"/>
          <w:highlight w:val="none"/>
        </w:rPr>
        <w:t>工人工资</w:t>
      </w:r>
      <w:r>
        <w:rPr>
          <w:rFonts w:hint="eastAsia" w:ascii="宋体" w:hAnsi="宋体" w:eastAsia="宋体" w:cs="Times New Roman"/>
          <w:color w:val="auto"/>
          <w:szCs w:val="24"/>
          <w:highlight w:val="none"/>
        </w:rPr>
        <w:t>或劳务费</w:t>
      </w:r>
      <w:r>
        <w:rPr>
          <w:rFonts w:hint="eastAsia" w:ascii="宋体" w:hAnsi="宋体" w:eastAsia="宋体" w:cs="Times New Roman"/>
          <w:color w:val="auto"/>
          <w:kern w:val="0"/>
          <w:szCs w:val="24"/>
          <w:highlight w:val="none"/>
        </w:rPr>
        <w:t>。</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019" w:name="_Toc8852"/>
      <w:bookmarkStart w:id="1020" w:name="_Toc11888"/>
      <w:bookmarkStart w:id="1021" w:name="_Toc14759"/>
      <w:bookmarkStart w:id="1022" w:name="_Toc3865"/>
      <w:bookmarkStart w:id="1023" w:name="_Toc25062"/>
      <w:bookmarkStart w:id="1024" w:name="_Toc302635818"/>
      <w:bookmarkStart w:id="1025" w:name="_Toc2253"/>
      <w:bookmarkStart w:id="1026" w:name="_Toc19698"/>
      <w:bookmarkStart w:id="1027" w:name="_Toc30350"/>
      <w:bookmarkStart w:id="1028" w:name="_Toc24228"/>
      <w:r>
        <w:rPr>
          <w:rFonts w:hint="eastAsia" w:ascii="宋体" w:hAnsi="宋体" w:eastAsia="宋体" w:cs="Times New Roman"/>
          <w:b/>
          <w:bCs/>
          <w:color w:val="auto"/>
          <w:kern w:val="0"/>
          <w:sz w:val="24"/>
          <w:szCs w:val="24"/>
          <w:highlight w:val="none"/>
          <w:lang w:val="en-US" w:eastAsia="zh-CN" w:bidi="ar-SA"/>
        </w:rPr>
        <w:t>职业健康</w:t>
      </w:r>
      <w:bookmarkEnd w:id="1019"/>
      <w:bookmarkEnd w:id="1020"/>
      <w:bookmarkEnd w:id="1021"/>
      <w:bookmarkEnd w:id="1022"/>
      <w:bookmarkEnd w:id="1023"/>
      <w:bookmarkEnd w:id="1024"/>
      <w:bookmarkEnd w:id="1025"/>
      <w:bookmarkEnd w:id="1026"/>
      <w:bookmarkEnd w:id="1027"/>
      <w:bookmarkEnd w:id="1028"/>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承包人应按照法律规定安排现场施工人员的劳动和休息时间，保障工人的休息时间，并支付合理的报酬和费用。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029" w:name="_Toc3108"/>
      <w:bookmarkStart w:id="1030" w:name="_Toc28642"/>
      <w:bookmarkStart w:id="1031" w:name="_Toc19746"/>
      <w:bookmarkStart w:id="1032" w:name="_Toc12891"/>
      <w:bookmarkStart w:id="1033" w:name="_Toc15994"/>
      <w:bookmarkStart w:id="1034" w:name="_Toc7504"/>
      <w:bookmarkStart w:id="1035" w:name="_Toc9304"/>
      <w:bookmarkStart w:id="1036" w:name="_Toc21674"/>
      <w:bookmarkStart w:id="1037" w:name="_Toc29283"/>
      <w:r>
        <w:rPr>
          <w:rFonts w:hint="eastAsia" w:ascii="宋体" w:hAnsi="宋体" w:eastAsia="宋体" w:cs="Times New Roman"/>
          <w:b/>
          <w:bCs/>
          <w:color w:val="auto"/>
          <w:kern w:val="0"/>
          <w:sz w:val="24"/>
          <w:szCs w:val="24"/>
          <w:highlight w:val="none"/>
          <w:lang w:val="en-US" w:eastAsia="zh-CN" w:bidi="ar-SA"/>
        </w:rPr>
        <w:t>用工培训</w:t>
      </w:r>
      <w:bookmarkEnd w:id="1029"/>
      <w:bookmarkEnd w:id="1030"/>
      <w:bookmarkEnd w:id="1031"/>
      <w:bookmarkEnd w:id="1032"/>
      <w:bookmarkEnd w:id="1033"/>
      <w:bookmarkEnd w:id="1034"/>
      <w:bookmarkEnd w:id="1035"/>
      <w:bookmarkEnd w:id="1036"/>
      <w:bookmarkEnd w:id="1037"/>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应切实履行用工主体责任，按照《深圳市工程建设行业产业工人职业训练管理办法》等有关规定计取和使用产业工人职业训练专项经费及开展产业工人职业训练。承包人应对产业工人职业训练专项经费实行专款专用，并妥善保存经费使用情况相关资料。承包人依法将建设工程分包的，应与分包人就经费使用在分包合同中约定。发包人应对经费使用进行监督。</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⑵承包人应按照《深圳市工程建设行业产业工人职业训练管理办法》制定产业工人训练计划，组织工人参加质量安全基础训练，妥善保存产业工人年度训练计划、职业训练管理和实施情况相关资料。</w:t>
      </w:r>
    </w:p>
    <w:p>
      <w:pPr>
        <w:keepNext w:val="0"/>
        <w:keepLines w:val="0"/>
        <w:widowControl w:val="0"/>
        <w:numPr>
          <w:ilvl w:val="0"/>
          <w:numId w:val="2"/>
        </w:numPr>
        <w:tabs>
          <w:tab w:val="left" w:pos="54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1038" w:name="_Toc34908991"/>
      <w:bookmarkStart w:id="1039" w:name="_Toc5489"/>
      <w:bookmarkStart w:id="1040" w:name="_Toc14908"/>
      <w:bookmarkStart w:id="1041" w:name="_Toc10004"/>
      <w:bookmarkStart w:id="1042" w:name="_Toc19532"/>
      <w:bookmarkStart w:id="1043" w:name="_Toc35656976"/>
      <w:bookmarkStart w:id="1044" w:name="_Toc23432"/>
      <w:bookmarkStart w:id="1045" w:name="_Toc4094"/>
      <w:bookmarkStart w:id="1046" w:name="_Toc6934"/>
      <w:bookmarkStart w:id="1047" w:name="_Toc35656474"/>
      <w:bookmarkStart w:id="1048" w:name="_Toc21519"/>
      <w:bookmarkStart w:id="1049" w:name="_Toc20410"/>
      <w:bookmarkStart w:id="1050" w:name="_Toc302635752"/>
      <w:bookmarkStart w:id="1051" w:name="_Toc305331278"/>
      <w:r>
        <w:rPr>
          <w:rFonts w:hint="eastAsia" w:ascii="华文细黑" w:hAnsi="宋体" w:eastAsia="宋体" w:cs="Times New Roman"/>
          <w:b/>
          <w:bCs/>
          <w:snapToGrid w:val="0"/>
          <w:color w:val="auto"/>
          <w:kern w:val="0"/>
          <w:sz w:val="28"/>
          <w:szCs w:val="44"/>
          <w:highlight w:val="none"/>
          <w:lang w:val="en-US" w:eastAsia="zh-CN" w:bidi="ar-SA"/>
        </w:rPr>
        <w:t>施工组织设计和进度计划</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pPr>
        <w:widowControl w:val="0"/>
        <w:numPr>
          <w:ilvl w:val="1"/>
          <w:numId w:val="2"/>
        </w:numPr>
        <w:tabs>
          <w:tab w:val="left" w:pos="540"/>
          <w:tab w:val="left" w:pos="576"/>
          <w:tab w:val="left" w:pos="900"/>
          <w:tab w:val="left" w:pos="234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052" w:name="_Toc29174"/>
      <w:bookmarkStart w:id="1053" w:name="_Toc9382"/>
      <w:bookmarkStart w:id="1054" w:name="_Toc26330"/>
      <w:bookmarkStart w:id="1055" w:name="_Toc531"/>
      <w:bookmarkStart w:id="1056" w:name="_Toc1185"/>
      <w:bookmarkStart w:id="1057" w:name="_Toc20199"/>
      <w:bookmarkStart w:id="1058" w:name="_Toc14226"/>
      <w:bookmarkStart w:id="1059" w:name="_Toc27414"/>
      <w:bookmarkStart w:id="1060" w:name="_Toc305331279"/>
      <w:bookmarkStart w:id="1061" w:name="_Toc302635753"/>
      <w:bookmarkStart w:id="1062" w:name="_Toc18105"/>
      <w:bookmarkStart w:id="1063" w:name="_Toc34908992"/>
      <w:r>
        <w:rPr>
          <w:rFonts w:hint="eastAsia" w:ascii="宋体" w:hAnsi="宋体" w:eastAsia="宋体" w:cs="Times New Roman"/>
          <w:b/>
          <w:bCs/>
          <w:color w:val="auto"/>
          <w:kern w:val="0"/>
          <w:sz w:val="24"/>
          <w:szCs w:val="24"/>
          <w:highlight w:val="none"/>
          <w:lang w:val="en-US" w:eastAsia="zh-CN" w:bidi="ar-SA"/>
        </w:rPr>
        <w:t>施工组织设计和进度计划的编制与提交</w:t>
      </w:r>
      <w:bookmarkEnd w:id="1052"/>
      <w:bookmarkEnd w:id="1053"/>
      <w:bookmarkEnd w:id="1054"/>
      <w:bookmarkEnd w:id="1055"/>
      <w:bookmarkEnd w:id="1056"/>
      <w:bookmarkEnd w:id="1057"/>
      <w:bookmarkEnd w:id="1058"/>
      <w:bookmarkEnd w:id="1059"/>
      <w:bookmarkEnd w:id="1060"/>
      <w:bookmarkEnd w:id="1061"/>
      <w:bookmarkEnd w:id="1062"/>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⑴承包人应编制本工程和</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约定的单项工程的施工组织设计和进度计划</w:t>
      </w:r>
      <w:bookmarkEnd w:id="1063"/>
      <w:bookmarkStart w:id="1064" w:name="_Toc34908993"/>
      <w:r>
        <w:rPr>
          <w:rFonts w:hint="eastAsia" w:ascii="宋体" w:hAnsi="宋体" w:eastAsia="宋体" w:cs="Times New Roman"/>
          <w:color w:val="auto"/>
          <w:kern w:val="0"/>
          <w:szCs w:val="24"/>
          <w:highlight w:val="none"/>
        </w:rPr>
        <w:t>，对合同工程的全部施工作业提出总体上的施工方法、施工安排、作业顺序和时间表。施工组织设计应包含以下内容：</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w:t>
      </w:r>
      <w:r>
        <w:rPr>
          <w:rFonts w:ascii="宋体" w:hAnsi="宋体" w:eastAsia="宋体" w:cs="Times New Roman"/>
          <w:color w:val="auto"/>
          <w:kern w:val="0"/>
          <w:szCs w:val="24"/>
          <w:highlight w:val="none"/>
        </w:rPr>
        <w:t>施工方案</w:t>
      </w:r>
      <w:r>
        <w:rPr>
          <w:rFonts w:hint="eastAsia" w:ascii="宋体" w:hAnsi="宋体" w:eastAsia="宋体" w:cs="Times New Roman"/>
          <w:color w:val="auto"/>
          <w:kern w:val="0"/>
          <w:szCs w:val="24"/>
          <w:highlight w:val="none"/>
        </w:rPr>
        <w:t>；</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w:t>
      </w:r>
      <w:r>
        <w:rPr>
          <w:rFonts w:ascii="宋体" w:hAnsi="宋体" w:eastAsia="宋体" w:cs="Times New Roman"/>
          <w:color w:val="auto"/>
          <w:kern w:val="0"/>
          <w:szCs w:val="24"/>
          <w:highlight w:val="none"/>
        </w:rPr>
        <w:t>施工现场平面布置图；</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w:t>
      </w:r>
      <w:r>
        <w:rPr>
          <w:rFonts w:ascii="宋体" w:hAnsi="宋体" w:eastAsia="宋体" w:cs="Times New Roman"/>
          <w:color w:val="auto"/>
          <w:kern w:val="0"/>
          <w:szCs w:val="24"/>
          <w:highlight w:val="none"/>
        </w:rPr>
        <w:t>施工进度计划和保证措施；</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④</w:t>
      </w:r>
      <w:r>
        <w:rPr>
          <w:rFonts w:ascii="宋体" w:hAnsi="宋体" w:eastAsia="宋体" w:cs="Times New Roman"/>
          <w:color w:val="auto"/>
          <w:kern w:val="0"/>
          <w:szCs w:val="24"/>
          <w:highlight w:val="none"/>
        </w:rPr>
        <w:t>劳动力及材料供应计划；</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⑤</w:t>
      </w:r>
      <w:r>
        <w:rPr>
          <w:rFonts w:ascii="宋体" w:hAnsi="宋体" w:eastAsia="宋体" w:cs="Times New Roman"/>
          <w:color w:val="auto"/>
          <w:kern w:val="0"/>
          <w:szCs w:val="24"/>
          <w:highlight w:val="none"/>
        </w:rPr>
        <w:t>施工机械设备的选用；</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⑥</w:t>
      </w:r>
      <w:r>
        <w:rPr>
          <w:rFonts w:ascii="宋体" w:hAnsi="宋体" w:eastAsia="宋体" w:cs="Times New Roman"/>
          <w:color w:val="auto"/>
          <w:kern w:val="0"/>
          <w:szCs w:val="24"/>
          <w:highlight w:val="none"/>
        </w:rPr>
        <w:t>质量保证体系及措施；</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⑦</w:t>
      </w:r>
      <w:r>
        <w:rPr>
          <w:rFonts w:ascii="宋体" w:hAnsi="宋体" w:eastAsia="宋体" w:cs="Times New Roman"/>
          <w:color w:val="auto"/>
          <w:kern w:val="0"/>
          <w:szCs w:val="24"/>
          <w:highlight w:val="none"/>
        </w:rPr>
        <w:t>安全生产、文明施工措施；</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⑧</w:t>
      </w:r>
      <w:r>
        <w:rPr>
          <w:rFonts w:ascii="宋体" w:hAnsi="宋体" w:eastAsia="宋体" w:cs="Times New Roman"/>
          <w:color w:val="auto"/>
          <w:kern w:val="0"/>
          <w:szCs w:val="24"/>
          <w:highlight w:val="none"/>
        </w:rPr>
        <w:t>环境保护、成本控制措施</w:t>
      </w:r>
      <w:r>
        <w:rPr>
          <w:rFonts w:hint="eastAsia" w:ascii="宋体" w:hAnsi="宋体" w:eastAsia="宋体" w:cs="Times New Roman"/>
          <w:color w:val="auto"/>
          <w:kern w:val="0"/>
          <w:szCs w:val="24"/>
          <w:highlight w:val="none"/>
        </w:rPr>
        <w:t>；</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⑨承发包双方约定的其他内容</w:t>
      </w:r>
      <w:r>
        <w:rPr>
          <w:rFonts w:ascii="宋体" w:hAnsi="宋体" w:eastAsia="宋体" w:cs="Times New Roman"/>
          <w:color w:val="auto"/>
          <w:kern w:val="0"/>
          <w:szCs w:val="24"/>
          <w:highlight w:val="none"/>
        </w:rPr>
        <w:t>。</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⑵承包人应按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中约定的时间和要求向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提交施工组织设计和工程进度计划。</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中约定的时间予以确认或提出修改意见，逾期不确认也不提出修改意见的，应视为同意。</w:t>
      </w:r>
      <w:bookmarkEnd w:id="1064"/>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如期提出合理修改意见的，承包人应根据该意见按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约定的时间或要求提交修改后的施工组织设计和工程进度计划，待</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确认后执行。</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对上述计划的同意，不能因此而解除承包人根据本合同约定应负的任何责任或义务。</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065" w:name="_Toc12829"/>
      <w:bookmarkStart w:id="1066" w:name="_Toc302635754"/>
      <w:bookmarkStart w:id="1067" w:name="_Toc10264"/>
      <w:bookmarkStart w:id="1068" w:name="_Toc12362"/>
      <w:bookmarkStart w:id="1069" w:name="_Toc17314"/>
      <w:bookmarkStart w:id="1070" w:name="_Toc6041"/>
      <w:bookmarkStart w:id="1071" w:name="_Toc305331280"/>
      <w:bookmarkStart w:id="1072" w:name="_Toc23966"/>
      <w:bookmarkStart w:id="1073" w:name="_Toc16394"/>
      <w:bookmarkStart w:id="1074" w:name="_Toc13046"/>
      <w:bookmarkStart w:id="1075" w:name="_Toc11760"/>
      <w:r>
        <w:rPr>
          <w:rFonts w:ascii="宋体" w:hAnsi="宋体" w:eastAsia="宋体" w:cs="Times New Roman"/>
          <w:b/>
          <w:bCs/>
          <w:color w:val="auto"/>
          <w:kern w:val="0"/>
          <w:sz w:val="24"/>
          <w:szCs w:val="24"/>
          <w:highlight w:val="none"/>
          <w:lang w:val="en-US" w:eastAsia="zh-CN" w:bidi="ar-SA"/>
        </w:rPr>
        <w:t>临时设施的图纸和文件</w:t>
      </w:r>
      <w:bookmarkEnd w:id="1065"/>
      <w:bookmarkEnd w:id="1066"/>
      <w:bookmarkEnd w:id="1067"/>
      <w:bookmarkEnd w:id="1068"/>
      <w:bookmarkEnd w:id="1069"/>
      <w:bookmarkEnd w:id="1070"/>
      <w:bookmarkEnd w:id="1071"/>
      <w:bookmarkEnd w:id="1072"/>
      <w:bookmarkEnd w:id="1073"/>
      <w:bookmarkEnd w:id="1074"/>
      <w:bookmarkEnd w:id="1075"/>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承包人应</w:t>
      </w:r>
      <w:r>
        <w:rPr>
          <w:rFonts w:hint="eastAsia" w:ascii="宋体" w:hAnsi="宋体" w:eastAsia="宋体" w:cs="Times New Roman"/>
          <w:color w:val="auto"/>
          <w:kern w:val="0"/>
          <w:szCs w:val="24"/>
          <w:highlight w:val="none"/>
        </w:rPr>
        <w:t>在施工组织设计提交的同时，</w:t>
      </w:r>
      <w:r>
        <w:rPr>
          <w:rFonts w:ascii="宋体" w:hAnsi="宋体" w:eastAsia="宋体" w:cs="Times New Roman"/>
          <w:color w:val="auto"/>
          <w:kern w:val="0"/>
          <w:szCs w:val="24"/>
          <w:highlight w:val="none"/>
        </w:rPr>
        <w:t>向监理人报送本工程临时设施的图纸和资料文件。其内容包括(但不限于)临时设施总平面布置图及必要的文字说明，如生产、生活设施、</w:t>
      </w:r>
      <w:r>
        <w:rPr>
          <w:rFonts w:hint="eastAsia" w:ascii="宋体" w:hAnsi="宋体" w:eastAsia="宋体" w:cs="Times New Roman"/>
          <w:color w:val="auto"/>
          <w:kern w:val="0"/>
          <w:szCs w:val="24"/>
          <w:highlight w:val="none"/>
        </w:rPr>
        <w:t>水电供应、</w:t>
      </w:r>
      <w:r>
        <w:rPr>
          <w:rFonts w:ascii="宋体" w:hAnsi="宋体" w:eastAsia="宋体" w:cs="Times New Roman"/>
          <w:color w:val="auto"/>
          <w:kern w:val="0"/>
          <w:szCs w:val="24"/>
          <w:highlight w:val="none"/>
        </w:rPr>
        <w:t>道路、排水系统、环保环卫、安全防护措施，相关管理制度(办法)等必要的文字说明和图表资料，经批准后实施。</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076" w:name="_Toc23866"/>
      <w:bookmarkStart w:id="1077" w:name="_Toc30753"/>
      <w:bookmarkStart w:id="1078" w:name="_Toc17563"/>
      <w:bookmarkStart w:id="1079" w:name="_Toc28518"/>
      <w:bookmarkStart w:id="1080" w:name="_Toc16799"/>
      <w:bookmarkStart w:id="1081" w:name="_Toc9143"/>
      <w:bookmarkStart w:id="1082" w:name="_Toc302635755"/>
      <w:bookmarkStart w:id="1083" w:name="_Toc4939"/>
      <w:bookmarkStart w:id="1084" w:name="_Toc27566"/>
      <w:bookmarkStart w:id="1085" w:name="_Toc305331281"/>
      <w:bookmarkStart w:id="1086" w:name="_Toc18622"/>
      <w:r>
        <w:rPr>
          <w:rFonts w:hint="eastAsia" w:ascii="宋体" w:hAnsi="宋体" w:eastAsia="宋体" w:cs="Times New Roman"/>
          <w:b/>
          <w:bCs/>
          <w:color w:val="auto"/>
          <w:kern w:val="0"/>
          <w:sz w:val="24"/>
          <w:szCs w:val="24"/>
          <w:highlight w:val="none"/>
          <w:lang w:val="en-US" w:eastAsia="zh-CN" w:bidi="ar-SA"/>
        </w:rPr>
        <w:t>工程进度计划</w:t>
      </w:r>
      <w:bookmarkEnd w:id="1076"/>
      <w:bookmarkEnd w:id="1077"/>
      <w:bookmarkEnd w:id="1078"/>
      <w:bookmarkEnd w:id="1079"/>
      <w:bookmarkEnd w:id="1080"/>
      <w:bookmarkEnd w:id="1081"/>
      <w:bookmarkEnd w:id="1082"/>
      <w:bookmarkEnd w:id="1083"/>
      <w:bookmarkEnd w:id="1084"/>
      <w:bookmarkEnd w:id="1085"/>
      <w:bookmarkEnd w:id="1086"/>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工程进度计划应按照关键线路网络图和主要工作横道图两种形式分别编绘，并应包括每月预计完成的工作量和形象进度，在需要时每个月修正一次。承包人必须按</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确认的进度计划组织施工，接受</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对进度的检查、监督。工程实际进度对于在竣工时间内完工过于迟缓或与经确认的进度计划不符时，承包人应按</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的要求和建议进行整改并提交修订的进度计划，经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确认后执行。因承包人的原因导致实际进度与进度计划不符，承包人无权就改进措施提出追加合同价款。</w:t>
      </w:r>
    </w:p>
    <w:p>
      <w:pPr>
        <w:widowControl w:val="0"/>
        <w:numPr>
          <w:ilvl w:val="1"/>
          <w:numId w:val="2"/>
        </w:numPr>
        <w:tabs>
          <w:tab w:val="left" w:pos="540"/>
          <w:tab w:val="left" w:pos="576"/>
          <w:tab w:val="left" w:pos="900"/>
          <w:tab w:val="left" w:pos="234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087" w:name="_Toc22554"/>
      <w:bookmarkStart w:id="1088" w:name="_Toc9529"/>
      <w:bookmarkStart w:id="1089" w:name="_Toc10083"/>
      <w:bookmarkStart w:id="1090" w:name="_Toc22944"/>
      <w:bookmarkStart w:id="1091" w:name="_Toc305331282"/>
      <w:bookmarkStart w:id="1092" w:name="_Toc16478"/>
      <w:bookmarkStart w:id="1093" w:name="_Toc31359"/>
      <w:bookmarkStart w:id="1094" w:name="_Toc10732"/>
      <w:bookmarkStart w:id="1095" w:name="_Toc878"/>
      <w:bookmarkStart w:id="1096" w:name="_Toc8398"/>
      <w:bookmarkStart w:id="1097" w:name="_Toc302635756"/>
      <w:bookmarkStart w:id="1098" w:name="_Toc34908997"/>
      <w:r>
        <w:rPr>
          <w:rFonts w:hint="eastAsia" w:ascii="宋体" w:hAnsi="宋体" w:eastAsia="宋体" w:cs="Times New Roman"/>
          <w:b/>
          <w:bCs/>
          <w:color w:val="auto"/>
          <w:kern w:val="0"/>
          <w:sz w:val="24"/>
          <w:szCs w:val="24"/>
          <w:highlight w:val="none"/>
          <w:lang w:val="en-US" w:eastAsia="zh-CN" w:bidi="ar-SA"/>
        </w:rPr>
        <w:t>工程用款计划</w:t>
      </w:r>
      <w:bookmarkEnd w:id="1087"/>
      <w:bookmarkEnd w:id="1088"/>
      <w:bookmarkEnd w:id="1089"/>
      <w:bookmarkEnd w:id="1090"/>
      <w:bookmarkEnd w:id="1091"/>
      <w:bookmarkEnd w:id="1092"/>
      <w:bookmarkEnd w:id="1093"/>
      <w:bookmarkEnd w:id="1094"/>
      <w:bookmarkEnd w:id="1095"/>
      <w:bookmarkEnd w:id="1096"/>
      <w:bookmarkEnd w:id="1097"/>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承包人应按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的约定按工程进度计划向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提交按合同约定承包人有权得到支付的工程用款计划，以备</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查阅。如</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提出要求，承包人还应按要求提交修改的工程用款计划。</w:t>
      </w:r>
      <w:bookmarkEnd w:id="1098"/>
    </w:p>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1099" w:name="_Toc21199"/>
      <w:bookmarkStart w:id="1100" w:name="_Toc31504"/>
      <w:bookmarkStart w:id="1101" w:name="_Toc305331283"/>
      <w:bookmarkStart w:id="1102" w:name="_Toc31566"/>
      <w:bookmarkStart w:id="1103" w:name="_Toc2030"/>
      <w:bookmarkStart w:id="1104" w:name="_Toc18021"/>
      <w:bookmarkStart w:id="1105" w:name="_Toc28468"/>
      <w:bookmarkStart w:id="1106" w:name="_Toc20128"/>
      <w:bookmarkStart w:id="1107" w:name="_Toc35656475"/>
      <w:bookmarkStart w:id="1108" w:name="_Toc302635757"/>
      <w:bookmarkStart w:id="1109" w:name="_Toc26319"/>
      <w:bookmarkStart w:id="1110" w:name="_Toc9923"/>
      <w:bookmarkStart w:id="1111" w:name="_Toc34908999"/>
      <w:bookmarkStart w:id="1112" w:name="_Toc35656977"/>
      <w:r>
        <w:rPr>
          <w:rFonts w:hint="eastAsia" w:ascii="华文细黑" w:hAnsi="宋体" w:eastAsia="宋体" w:cs="Times New Roman"/>
          <w:b/>
          <w:bCs/>
          <w:snapToGrid w:val="0"/>
          <w:color w:val="auto"/>
          <w:kern w:val="0"/>
          <w:sz w:val="28"/>
          <w:szCs w:val="44"/>
          <w:highlight w:val="none"/>
          <w:lang w:val="en-US" w:eastAsia="zh-CN" w:bidi="ar-SA"/>
        </w:rPr>
        <w:t>施工准备</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113" w:name="_Toc10040"/>
      <w:bookmarkStart w:id="1114" w:name="_Toc4674"/>
      <w:bookmarkStart w:id="1115" w:name="_Toc13260"/>
      <w:bookmarkStart w:id="1116" w:name="_Toc302635758"/>
      <w:bookmarkStart w:id="1117" w:name="_Toc24210"/>
      <w:bookmarkStart w:id="1118" w:name="_Toc28517"/>
      <w:bookmarkStart w:id="1119" w:name="_Toc7516"/>
      <w:bookmarkStart w:id="1120" w:name="_Toc9883"/>
      <w:bookmarkStart w:id="1121" w:name="_Toc21544"/>
      <w:bookmarkStart w:id="1122" w:name="_Toc305331284"/>
      <w:bookmarkStart w:id="1123" w:name="_Toc27532"/>
      <w:bookmarkStart w:id="1124" w:name="_Toc34909002"/>
      <w:bookmarkStart w:id="1125" w:name="_Toc34909000"/>
      <w:r>
        <w:rPr>
          <w:rFonts w:hint="eastAsia" w:ascii="宋体" w:hAnsi="宋体" w:eastAsia="宋体" w:cs="Times New Roman"/>
          <w:b/>
          <w:bCs/>
          <w:color w:val="auto"/>
          <w:kern w:val="0"/>
          <w:sz w:val="24"/>
          <w:szCs w:val="24"/>
          <w:highlight w:val="none"/>
          <w:lang w:val="en-US" w:eastAsia="zh-CN" w:bidi="ar-SA"/>
        </w:rPr>
        <w:t>现场考察与勘察资料分析</w:t>
      </w:r>
      <w:bookmarkEnd w:id="1113"/>
      <w:bookmarkEnd w:id="1114"/>
      <w:bookmarkEnd w:id="1115"/>
      <w:bookmarkEnd w:id="1116"/>
      <w:bookmarkEnd w:id="1117"/>
      <w:bookmarkEnd w:id="1118"/>
      <w:bookmarkEnd w:id="1119"/>
      <w:bookmarkEnd w:id="1120"/>
      <w:bookmarkEnd w:id="1121"/>
      <w:bookmarkEnd w:id="1122"/>
      <w:bookmarkEnd w:id="1123"/>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在签订合同之前，应研究和分析发包人提供的水文、地质、气象等资料，并在勘察设计文件和发包人提供的相关资料的基础上，对现场存在的管线等地下构筑物作进一步调查和了解，以取得其对施工影响的全部信息，并在施工组织设计和进度计划中作出充分的考虑。</w:t>
      </w:r>
      <w:bookmarkEnd w:id="1124"/>
      <w:r>
        <w:rPr>
          <w:rFonts w:hint="eastAsia" w:ascii="Times New Roman" w:hAnsi="Times New Roman" w:eastAsia="宋体" w:cs="Times New Roman"/>
          <w:color w:val="auto"/>
          <w:szCs w:val="24"/>
          <w:highlight w:val="none"/>
        </w:rPr>
        <w:t>发包人应对其所提供资料的准确性负责，</w:t>
      </w:r>
      <w:r>
        <w:rPr>
          <w:rFonts w:hint="eastAsia" w:ascii="宋体" w:hAnsi="宋体" w:eastAsia="宋体" w:cs="Times New Roman"/>
          <w:color w:val="auto"/>
          <w:kern w:val="0"/>
          <w:szCs w:val="24"/>
          <w:highlight w:val="none"/>
        </w:rPr>
        <w:t>承包人应对其对该资料的理解、判断和应用负责。</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1126" w:name="_Toc34909003"/>
      <w:r>
        <w:rPr>
          <w:rFonts w:hint="eastAsia" w:ascii="宋体" w:hAnsi="宋体" w:eastAsia="宋体" w:cs="Times New Roman"/>
          <w:color w:val="auto"/>
          <w:kern w:val="0"/>
          <w:szCs w:val="24"/>
          <w:highlight w:val="none"/>
        </w:rPr>
        <w:t>⑵承包人在签订合同之前，应视为已研究和察看了工地及其四周环境；已清楚知道关于通往工地的现有道路或其他交通条件、土地及工地的外形和性质、损毁物业的危险、挖掘对象的性质、进行本工程所需的工程及材料的性质、生活与施工条件；已取得影响其签订合同及进行本工程施工的资料。</w:t>
      </w:r>
      <w:bookmarkEnd w:id="1126"/>
      <w:bookmarkStart w:id="1127" w:name="_Toc34909004"/>
      <w:r>
        <w:rPr>
          <w:rFonts w:hint="eastAsia" w:ascii="宋体" w:hAnsi="宋体" w:eastAsia="宋体" w:cs="Times New Roman"/>
          <w:color w:val="auto"/>
          <w:kern w:val="0"/>
          <w:szCs w:val="24"/>
          <w:highlight w:val="none"/>
        </w:rPr>
        <w:t>承包人不得以对上述事项了解不够充分而向发包人索赔，也不得免除根据合同约定须承担的责任。</w:t>
      </w:r>
      <w:bookmarkEnd w:id="1127"/>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128" w:name="_Toc7346"/>
      <w:bookmarkStart w:id="1129" w:name="_Toc5931"/>
      <w:bookmarkStart w:id="1130" w:name="_Toc6634"/>
      <w:bookmarkStart w:id="1131" w:name="_Toc25857"/>
      <w:bookmarkStart w:id="1132" w:name="_Toc8041"/>
      <w:bookmarkStart w:id="1133" w:name="_Toc302635759"/>
      <w:bookmarkStart w:id="1134" w:name="_Toc305331285"/>
      <w:bookmarkStart w:id="1135" w:name="_Toc28253"/>
      <w:bookmarkStart w:id="1136" w:name="_Toc25879"/>
      <w:bookmarkStart w:id="1137" w:name="_Toc31810"/>
      <w:bookmarkStart w:id="1138" w:name="_Toc7519"/>
      <w:bookmarkStart w:id="1139" w:name="_Toc34909008"/>
      <w:r>
        <w:rPr>
          <w:rFonts w:hint="eastAsia" w:ascii="宋体" w:hAnsi="宋体" w:eastAsia="宋体" w:cs="Times New Roman"/>
          <w:b/>
          <w:bCs/>
          <w:color w:val="auto"/>
          <w:kern w:val="0"/>
          <w:sz w:val="24"/>
          <w:szCs w:val="24"/>
          <w:highlight w:val="none"/>
          <w:lang w:val="en-US" w:eastAsia="zh-CN" w:bidi="ar-SA"/>
        </w:rPr>
        <w:t>施工场地提供</w:t>
      </w:r>
      <w:bookmarkEnd w:id="1128"/>
      <w:bookmarkEnd w:id="1129"/>
      <w:bookmarkEnd w:id="1130"/>
      <w:bookmarkEnd w:id="1131"/>
      <w:bookmarkEnd w:id="1132"/>
      <w:bookmarkEnd w:id="1133"/>
      <w:bookmarkEnd w:id="1134"/>
      <w:bookmarkEnd w:id="1135"/>
      <w:bookmarkEnd w:id="1136"/>
      <w:bookmarkEnd w:id="1137"/>
      <w:bookmarkEnd w:id="1138"/>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⑴发包人应按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向承包人提供施工所需的场地，以满足承包人进行本工程施工。发包人未按约定提供施工所需的场地，致使本工程或其他任何部分的进展受到影响，给承包人造成损失和(或)导致工期延误的，发包人应赔偿承包人损失，顺延延误的工期。</w:t>
      </w:r>
      <w:bookmarkEnd w:id="1139"/>
      <w:bookmarkStart w:id="1140" w:name="_Toc34909009"/>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⑵发包人未能按期办妥土地征用和搬迁手续，承包人在接到</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通知后，应按</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指示及时调整工程组织设计和进度计划中的各项工作的施工方案和顺序，以便能够继续施工或者对施工人员和施工机械及时进行调整，以避免停工损失的发生。发包人未能按期办妥土地征用和搬迁手续，给承包人造成损失和(或)导致工期延误的，发包人应赔偿承包人损失，顺延延误的工期。</w:t>
      </w:r>
      <w:bookmarkEnd w:id="1140"/>
      <w:bookmarkStart w:id="1141" w:name="_Toc34909010"/>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征地红线内的工程用地，在不影响施工的前提下，经发包人批准，可免费提供给承包人作施工临时用地。红线范围外的临时占地的租用，由发包人根据开工需要和施工先后顺序，分期办理租用手续，提供给承包人作施工临时用地。红线外的临时占地租用费用由发包人支付(</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另有约定除外)。临时用地使用完毕后，承包人应自费将临时用地恢复原状。</w:t>
      </w:r>
      <w:bookmarkEnd w:id="1141"/>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142" w:name="_Toc8742"/>
      <w:bookmarkStart w:id="1143" w:name="_Toc30094"/>
      <w:bookmarkStart w:id="1144" w:name="_Toc12845"/>
      <w:bookmarkStart w:id="1145" w:name="_Toc12434"/>
      <w:bookmarkStart w:id="1146" w:name="_Toc32265"/>
      <w:bookmarkStart w:id="1147" w:name="_Toc18147"/>
      <w:bookmarkStart w:id="1148" w:name="_Toc302635760"/>
      <w:bookmarkStart w:id="1149" w:name="_Toc305331286"/>
      <w:bookmarkStart w:id="1150" w:name="_Toc12715"/>
      <w:bookmarkStart w:id="1151" w:name="_Toc19569"/>
      <w:bookmarkStart w:id="1152" w:name="_Toc5560"/>
      <w:bookmarkStart w:id="1153" w:name="_Toc34909007"/>
      <w:r>
        <w:rPr>
          <w:rFonts w:hint="eastAsia" w:ascii="宋体" w:hAnsi="宋体" w:eastAsia="宋体" w:cs="Times New Roman"/>
          <w:b/>
          <w:bCs/>
          <w:color w:val="auto"/>
          <w:kern w:val="0"/>
          <w:sz w:val="24"/>
          <w:szCs w:val="24"/>
          <w:highlight w:val="none"/>
          <w:lang w:val="en-US" w:eastAsia="zh-CN" w:bidi="ar-SA"/>
        </w:rPr>
        <w:t>施工放线</w:t>
      </w:r>
      <w:bookmarkEnd w:id="1142"/>
      <w:bookmarkEnd w:id="1143"/>
      <w:bookmarkEnd w:id="1144"/>
      <w:bookmarkEnd w:id="1145"/>
      <w:bookmarkEnd w:id="1146"/>
      <w:bookmarkEnd w:id="1147"/>
      <w:bookmarkEnd w:id="1148"/>
      <w:bookmarkEnd w:id="1149"/>
      <w:bookmarkEnd w:id="1150"/>
      <w:bookmarkEnd w:id="1151"/>
      <w:bookmarkEnd w:id="1152"/>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⑴发包人应</w:t>
      </w:r>
      <w:r>
        <w:rPr>
          <w:rFonts w:ascii="宋体" w:hAnsi="宋体" w:eastAsia="宋体" w:cs="Times New Roman"/>
          <w:color w:val="auto"/>
          <w:kern w:val="0"/>
          <w:szCs w:val="24"/>
          <w:highlight w:val="none"/>
        </w:rPr>
        <w:t>在至迟不得晚于第</w:t>
      </w:r>
      <w:r>
        <w:rPr>
          <w:rFonts w:hint="eastAsia" w:ascii="宋体" w:hAnsi="宋体" w:eastAsia="宋体" w:cs="Times New Roman"/>
          <w:color w:val="auto"/>
          <w:kern w:val="0"/>
          <w:szCs w:val="24"/>
          <w:highlight w:val="none"/>
        </w:rPr>
        <w:t>11.1款〔</w:t>
      </w:r>
      <w:r>
        <w:rPr>
          <w:rFonts w:ascii="宋体" w:hAnsi="宋体" w:eastAsia="宋体" w:cs="Times New Roman"/>
          <w:color w:val="auto"/>
          <w:kern w:val="0"/>
          <w:szCs w:val="24"/>
          <w:highlight w:val="none"/>
        </w:rPr>
        <w:t>开工</w:t>
      </w:r>
      <w:r>
        <w:rPr>
          <w:rFonts w:hint="eastAsia" w:ascii="宋体" w:hAnsi="宋体" w:eastAsia="宋体" w:cs="Times New Roman"/>
          <w:color w:val="auto"/>
          <w:kern w:val="0"/>
          <w:szCs w:val="24"/>
          <w:highlight w:val="none"/>
        </w:rPr>
        <w:t>〕中开工通知书</w:t>
      </w:r>
      <w:r>
        <w:rPr>
          <w:rFonts w:ascii="宋体" w:hAnsi="宋体" w:eastAsia="宋体" w:cs="Times New Roman"/>
          <w:color w:val="auto"/>
          <w:kern w:val="0"/>
          <w:szCs w:val="24"/>
          <w:highlight w:val="none"/>
        </w:rPr>
        <w:t>载明的开工日期前7天通过监理人</w:t>
      </w:r>
      <w:r>
        <w:rPr>
          <w:rFonts w:hint="eastAsia" w:ascii="宋体" w:hAnsi="宋体" w:eastAsia="宋体" w:cs="Times New Roman"/>
          <w:color w:val="auto"/>
          <w:kern w:val="0"/>
          <w:szCs w:val="24"/>
          <w:highlight w:val="none"/>
        </w:rPr>
        <w:t>向承包人提供工程施工所需的原始基准点、基准线和基准标高，以及</w:t>
      </w:r>
      <w:r>
        <w:rPr>
          <w:rFonts w:hint="eastAsia" w:ascii="Times New Roman" w:hAnsi="Times New Roman" w:eastAsia="宋体" w:cs="Times New Roman"/>
          <w:color w:val="auto"/>
          <w:szCs w:val="24"/>
          <w:highlight w:val="none"/>
        </w:rPr>
        <w:t>工程项目范围内城市轨道交通隧道、给水管道、燃气管道分布情况，</w:t>
      </w:r>
      <w:r>
        <w:rPr>
          <w:rFonts w:hint="eastAsia" w:ascii="宋体" w:hAnsi="宋体" w:eastAsia="宋体" w:cs="Times New Roman"/>
          <w:color w:val="auto"/>
          <w:kern w:val="0"/>
          <w:szCs w:val="24"/>
          <w:highlight w:val="none"/>
        </w:rPr>
        <w:t>并对其真实准确性负责，同时承担由于其错误而引起的承包人的费用损失和工期延误的补偿责任。</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⑵承包人按上述基准负责对工程的所有部位正确定位，纠正在工程的位置、标高、尺寸或定线中的任何错误。</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对放样、准线或标高的核查，均不应解除承包人对其准确性所负的责任。</w:t>
      </w:r>
      <w:bookmarkEnd w:id="1153"/>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施工过程中对施工现场内水准点等测量标志物的保护工作由承包人负责。</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4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fldChar w:fldCharType="end"/>
      </w:r>
      <w:r>
        <w:rPr>
          <w:rFonts w:hint="eastAsia" w:ascii="宋体" w:hAnsi="宋体" w:eastAsia="宋体" w:cs="Times New Roman"/>
          <w:color w:val="auto"/>
          <w:kern w:val="0"/>
          <w:szCs w:val="24"/>
          <w:highlight w:val="none"/>
        </w:rPr>
        <w:t>承包人应落实</w:t>
      </w:r>
      <w:r>
        <w:rPr>
          <w:rFonts w:hint="eastAsia" w:ascii="Times New Roman" w:hAnsi="Times New Roman" w:eastAsia="宋体" w:cs="Times New Roman"/>
          <w:color w:val="auto"/>
          <w:szCs w:val="24"/>
          <w:highlight w:val="none"/>
        </w:rPr>
        <w:t>工程项目范围内城市轨道交通隧道、给水管道、燃气管道的安全保护措施。</w:t>
      </w:r>
    </w:p>
    <w:bookmarkEnd w:id="1125"/>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154" w:name="_Toc305331289"/>
      <w:bookmarkStart w:id="1155" w:name="_Toc302635763"/>
      <w:bookmarkStart w:id="1156" w:name="_Toc26967"/>
      <w:bookmarkStart w:id="1157" w:name="_Toc1730"/>
      <w:bookmarkStart w:id="1158" w:name="_Toc11098"/>
      <w:bookmarkStart w:id="1159" w:name="_Toc26461"/>
      <w:bookmarkStart w:id="1160" w:name="_Toc20883"/>
      <w:bookmarkStart w:id="1161" w:name="_Toc14286"/>
      <w:bookmarkStart w:id="1162" w:name="_Toc4817"/>
      <w:bookmarkStart w:id="1163" w:name="_Toc13498"/>
      <w:bookmarkStart w:id="1164" w:name="_Toc31973"/>
      <w:r>
        <w:rPr>
          <w:rFonts w:hint="eastAsia" w:ascii="宋体" w:hAnsi="宋体" w:eastAsia="宋体" w:cs="Times New Roman"/>
          <w:b/>
          <w:bCs/>
          <w:color w:val="auto"/>
          <w:kern w:val="0"/>
          <w:sz w:val="24"/>
          <w:szCs w:val="24"/>
          <w:highlight w:val="none"/>
          <w:lang w:val="en-US" w:eastAsia="zh-CN" w:bidi="ar-SA"/>
        </w:rPr>
        <w:t>施工组织准备工作</w:t>
      </w:r>
      <w:bookmarkEnd w:id="1154"/>
      <w:bookmarkEnd w:id="1155"/>
      <w:bookmarkEnd w:id="1156"/>
      <w:bookmarkEnd w:id="1157"/>
      <w:bookmarkEnd w:id="1158"/>
      <w:bookmarkEnd w:id="1159"/>
      <w:bookmarkEnd w:id="1160"/>
      <w:bookmarkEnd w:id="1161"/>
      <w:bookmarkEnd w:id="1162"/>
      <w:bookmarkEnd w:id="1163"/>
      <w:bookmarkEnd w:id="1164"/>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本</w:t>
      </w:r>
      <w:r>
        <w:rPr>
          <w:rFonts w:ascii="宋体" w:hAnsi="宋体" w:eastAsia="宋体" w:cs="Times New Roman"/>
          <w:color w:val="auto"/>
          <w:kern w:val="0"/>
          <w:szCs w:val="24"/>
          <w:highlight w:val="none"/>
        </w:rPr>
        <w:t>工程开工前，承包人应及时做好</w:t>
      </w:r>
      <w:r>
        <w:rPr>
          <w:rFonts w:hint="eastAsia" w:ascii="宋体" w:hAnsi="宋体" w:eastAsia="宋体" w:cs="Times New Roman"/>
          <w:color w:val="auto"/>
          <w:kern w:val="0"/>
          <w:szCs w:val="24"/>
          <w:highlight w:val="none"/>
        </w:rPr>
        <w:t>如下</w:t>
      </w:r>
      <w:r>
        <w:rPr>
          <w:rFonts w:ascii="宋体" w:hAnsi="宋体" w:eastAsia="宋体" w:cs="Times New Roman"/>
          <w:color w:val="auto"/>
          <w:kern w:val="0"/>
          <w:szCs w:val="24"/>
          <w:highlight w:val="none"/>
        </w:rPr>
        <w:t>施工</w:t>
      </w:r>
      <w:r>
        <w:rPr>
          <w:rFonts w:hint="eastAsia" w:ascii="宋体" w:hAnsi="宋体" w:eastAsia="宋体" w:cs="Times New Roman"/>
          <w:color w:val="auto"/>
          <w:kern w:val="0"/>
          <w:szCs w:val="24"/>
          <w:highlight w:val="none"/>
        </w:rPr>
        <w:t>组织</w:t>
      </w:r>
      <w:r>
        <w:rPr>
          <w:rFonts w:ascii="宋体" w:hAnsi="宋体" w:eastAsia="宋体" w:cs="Times New Roman"/>
          <w:color w:val="auto"/>
          <w:kern w:val="0"/>
          <w:szCs w:val="24"/>
          <w:highlight w:val="none"/>
        </w:rPr>
        <w:t>准备工作</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包括但不限于</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w:t>
      </w:r>
    </w:p>
    <w:p>
      <w:pPr>
        <w:tabs>
          <w:tab w:val="left" w:pos="1620"/>
          <w:tab w:val="left" w:pos="2340"/>
        </w:tabs>
        <w:ind w:left="107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1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组建施工管理机构和专业作业队伍，并进行进场前的施工教育培训</w:t>
      </w:r>
      <w:r>
        <w:rPr>
          <w:rFonts w:hint="eastAsia" w:ascii="宋体" w:hAnsi="宋体" w:eastAsia="宋体" w:cs="Times New Roman"/>
          <w:color w:val="auto"/>
          <w:kern w:val="0"/>
          <w:szCs w:val="24"/>
          <w:highlight w:val="none"/>
        </w:rPr>
        <w:t>；</w:t>
      </w:r>
    </w:p>
    <w:p>
      <w:pPr>
        <w:tabs>
          <w:tab w:val="left" w:pos="1620"/>
          <w:tab w:val="left" w:pos="2340"/>
        </w:tabs>
        <w:ind w:left="107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2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编制材料和设备供应计划并做好供应</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安排好预制构件和非标准件加工以及施工机具设备的维修保养工作</w:t>
      </w:r>
      <w:r>
        <w:rPr>
          <w:rFonts w:hint="eastAsia" w:ascii="宋体" w:hAnsi="宋体" w:eastAsia="宋体" w:cs="Times New Roman"/>
          <w:color w:val="auto"/>
          <w:kern w:val="0"/>
          <w:szCs w:val="24"/>
          <w:highlight w:val="none"/>
        </w:rPr>
        <w:t>；</w:t>
      </w:r>
    </w:p>
    <w:p>
      <w:pPr>
        <w:tabs>
          <w:tab w:val="left" w:pos="1620"/>
          <w:tab w:val="left" w:pos="2340"/>
        </w:tabs>
        <w:ind w:left="107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3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核实场内搬迁项目情况，并报监理人交由发包人与有关部门处理</w:t>
      </w:r>
      <w:r>
        <w:rPr>
          <w:rFonts w:hint="eastAsia" w:ascii="宋体" w:hAnsi="宋体" w:eastAsia="宋体" w:cs="Times New Roman"/>
          <w:color w:val="auto"/>
          <w:kern w:val="0"/>
          <w:szCs w:val="24"/>
          <w:highlight w:val="none"/>
        </w:rPr>
        <w:t>；</w:t>
      </w:r>
    </w:p>
    <w:p>
      <w:pPr>
        <w:tabs>
          <w:tab w:val="left" w:pos="1620"/>
          <w:tab w:val="left" w:pos="2340"/>
        </w:tabs>
        <w:ind w:left="107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4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架设供电线路，接通施工用水管路，确定材料、设备等运输线路</w:t>
      </w:r>
      <w:r>
        <w:rPr>
          <w:rFonts w:hint="eastAsia" w:ascii="宋体" w:hAnsi="宋体" w:eastAsia="宋体" w:cs="Times New Roman"/>
          <w:color w:val="auto"/>
          <w:kern w:val="0"/>
          <w:szCs w:val="24"/>
          <w:highlight w:val="none"/>
        </w:rPr>
        <w:t>；</w:t>
      </w:r>
    </w:p>
    <w:p>
      <w:pPr>
        <w:tabs>
          <w:tab w:val="left" w:pos="1620"/>
          <w:tab w:val="left" w:pos="2340"/>
        </w:tabs>
        <w:ind w:left="107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5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⑸</w:t>
      </w:r>
      <w:r>
        <w:rPr>
          <w:rFonts w:ascii="宋体" w:hAnsi="宋体" w:eastAsia="宋体" w:cs="Times New Roman"/>
          <w:color w:val="auto"/>
          <w:kern w:val="0"/>
          <w:szCs w:val="24"/>
          <w:highlight w:val="none"/>
        </w:rPr>
        <w:fldChar w:fldCharType="end"/>
      </w:r>
      <w:r>
        <w:rPr>
          <w:rFonts w:hint="eastAsia" w:ascii="宋体" w:hAnsi="宋体" w:eastAsia="宋体" w:cs="Times New Roman"/>
          <w:color w:val="auto"/>
          <w:kern w:val="0"/>
          <w:szCs w:val="24"/>
          <w:highlight w:val="none"/>
        </w:rPr>
        <w:t>做好场区的临时排水、</w:t>
      </w:r>
      <w:r>
        <w:rPr>
          <w:rFonts w:ascii="宋体" w:hAnsi="宋体" w:eastAsia="宋体" w:cs="Times New Roman"/>
          <w:color w:val="auto"/>
          <w:kern w:val="0"/>
          <w:szCs w:val="24"/>
          <w:highlight w:val="none"/>
        </w:rPr>
        <w:t>泄水口</w:t>
      </w:r>
      <w:r>
        <w:rPr>
          <w:rFonts w:hint="eastAsia" w:ascii="宋体" w:hAnsi="宋体" w:eastAsia="宋体" w:cs="Times New Roman"/>
          <w:color w:val="auto"/>
          <w:kern w:val="0"/>
          <w:szCs w:val="24"/>
          <w:highlight w:val="none"/>
        </w:rPr>
        <w:t>、车辆、车轮冲洗沟槽设施及场地、道路硬化等及其他全部临时工程；</w:t>
      </w:r>
    </w:p>
    <w:p>
      <w:pPr>
        <w:tabs>
          <w:tab w:val="left" w:pos="1620"/>
          <w:tab w:val="left" w:pos="2340"/>
        </w:tabs>
        <w:ind w:left="107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6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⑹</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组织施工机械设备和材料进场</w:t>
      </w:r>
      <w:r>
        <w:rPr>
          <w:rFonts w:hint="eastAsia" w:ascii="宋体" w:hAnsi="宋体" w:eastAsia="宋体" w:cs="Times New Roman"/>
          <w:color w:val="auto"/>
          <w:kern w:val="0"/>
          <w:szCs w:val="24"/>
          <w:highlight w:val="none"/>
        </w:rPr>
        <w:t>；</w:t>
      </w:r>
    </w:p>
    <w:p>
      <w:pPr>
        <w:tabs>
          <w:tab w:val="left" w:pos="1620"/>
          <w:tab w:val="left" w:pos="2340"/>
        </w:tabs>
        <w:ind w:left="107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7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⑺</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落实季节性施工措施</w:t>
      </w:r>
      <w:r>
        <w:rPr>
          <w:rFonts w:hint="eastAsia" w:ascii="宋体" w:hAnsi="宋体" w:eastAsia="宋体" w:cs="Times New Roman"/>
          <w:color w:val="auto"/>
          <w:kern w:val="0"/>
          <w:szCs w:val="24"/>
          <w:highlight w:val="none"/>
        </w:rPr>
        <w:t>；</w:t>
      </w:r>
    </w:p>
    <w:p>
      <w:pPr>
        <w:tabs>
          <w:tab w:val="left" w:pos="1620"/>
          <w:tab w:val="left" w:pos="2340"/>
        </w:tabs>
        <w:ind w:left="107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8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⑻</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向</w:t>
      </w:r>
      <w:r>
        <w:rPr>
          <w:rFonts w:hint="eastAsia" w:ascii="宋体" w:hAnsi="宋体" w:eastAsia="宋体" w:cs="Times New Roman"/>
          <w:color w:val="auto"/>
          <w:kern w:val="0"/>
          <w:szCs w:val="24"/>
          <w:highlight w:val="none"/>
        </w:rPr>
        <w:t>监理人</w:t>
      </w:r>
      <w:r>
        <w:rPr>
          <w:rFonts w:ascii="宋体" w:hAnsi="宋体" w:eastAsia="宋体" w:cs="Times New Roman"/>
          <w:color w:val="auto"/>
          <w:kern w:val="0"/>
          <w:szCs w:val="24"/>
          <w:highlight w:val="none"/>
        </w:rPr>
        <w:t>提交安全生产</w:t>
      </w:r>
      <w:r>
        <w:rPr>
          <w:rFonts w:hint="eastAsia" w:ascii="宋体" w:hAnsi="宋体" w:eastAsia="宋体" w:cs="Times New Roman"/>
          <w:color w:val="auto"/>
          <w:kern w:val="0"/>
          <w:szCs w:val="24"/>
          <w:highlight w:val="none"/>
        </w:rPr>
        <w:t>(含消防安全)</w:t>
      </w:r>
      <w:r>
        <w:rPr>
          <w:rFonts w:ascii="宋体" w:hAnsi="宋体" w:eastAsia="宋体" w:cs="Times New Roman"/>
          <w:color w:val="auto"/>
          <w:kern w:val="0"/>
          <w:szCs w:val="24"/>
          <w:highlight w:val="none"/>
        </w:rPr>
        <w:t>计划；落实安全、</w:t>
      </w:r>
      <w:r>
        <w:rPr>
          <w:rFonts w:hint="eastAsia" w:ascii="宋体" w:hAnsi="宋体" w:eastAsia="宋体" w:cs="Times New Roman"/>
          <w:color w:val="auto"/>
          <w:kern w:val="0"/>
          <w:szCs w:val="24"/>
          <w:highlight w:val="none"/>
        </w:rPr>
        <w:t>消防和保安措施，以及</w:t>
      </w:r>
      <w:r>
        <w:rPr>
          <w:rFonts w:ascii="宋体" w:hAnsi="宋体" w:eastAsia="宋体" w:cs="Times New Roman"/>
          <w:color w:val="auto"/>
          <w:kern w:val="0"/>
          <w:szCs w:val="24"/>
          <w:highlight w:val="none"/>
        </w:rPr>
        <w:t>文明施工管理措施。</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165" w:name="_Toc18584"/>
      <w:bookmarkStart w:id="1166" w:name="_Toc302635764"/>
      <w:bookmarkStart w:id="1167" w:name="_Toc2860"/>
      <w:bookmarkStart w:id="1168" w:name="_Toc22068"/>
      <w:bookmarkStart w:id="1169" w:name="_Toc7763"/>
      <w:bookmarkStart w:id="1170" w:name="_Toc19076"/>
      <w:bookmarkStart w:id="1171" w:name="_Toc28373"/>
      <w:bookmarkStart w:id="1172" w:name="_Toc305331290"/>
      <w:bookmarkStart w:id="1173" w:name="_Toc20058"/>
      <w:bookmarkStart w:id="1174" w:name="_Toc18232"/>
      <w:bookmarkStart w:id="1175" w:name="_Toc7168"/>
      <w:r>
        <w:rPr>
          <w:rFonts w:hint="eastAsia" w:ascii="宋体" w:hAnsi="宋体" w:eastAsia="宋体" w:cs="Times New Roman"/>
          <w:b/>
          <w:bCs/>
          <w:color w:val="auto"/>
          <w:kern w:val="0"/>
          <w:sz w:val="24"/>
          <w:szCs w:val="24"/>
          <w:highlight w:val="none"/>
          <w:lang w:val="en-US" w:eastAsia="zh-CN" w:bidi="ar-SA"/>
        </w:rPr>
        <w:t>施工技术准备工作</w:t>
      </w:r>
      <w:bookmarkEnd w:id="1165"/>
      <w:bookmarkEnd w:id="1166"/>
      <w:bookmarkEnd w:id="1167"/>
      <w:bookmarkEnd w:id="1168"/>
      <w:bookmarkEnd w:id="1169"/>
      <w:bookmarkEnd w:id="1170"/>
      <w:bookmarkEnd w:id="1171"/>
      <w:bookmarkEnd w:id="1172"/>
      <w:bookmarkEnd w:id="1173"/>
      <w:bookmarkEnd w:id="1174"/>
      <w:bookmarkEnd w:id="1175"/>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本</w:t>
      </w:r>
      <w:r>
        <w:rPr>
          <w:rFonts w:ascii="宋体" w:hAnsi="宋体" w:eastAsia="宋体" w:cs="Times New Roman"/>
          <w:color w:val="auto"/>
          <w:kern w:val="0"/>
          <w:szCs w:val="24"/>
          <w:highlight w:val="none"/>
        </w:rPr>
        <w:t>工程开工前，承包人应及时做好</w:t>
      </w:r>
      <w:r>
        <w:rPr>
          <w:rFonts w:hint="eastAsia" w:ascii="宋体" w:hAnsi="宋体" w:eastAsia="宋体" w:cs="Times New Roman"/>
          <w:color w:val="auto"/>
          <w:kern w:val="0"/>
          <w:szCs w:val="24"/>
          <w:highlight w:val="none"/>
        </w:rPr>
        <w:t>如下</w:t>
      </w:r>
      <w:r>
        <w:rPr>
          <w:rFonts w:ascii="宋体" w:hAnsi="宋体" w:eastAsia="宋体" w:cs="Times New Roman"/>
          <w:color w:val="auto"/>
          <w:kern w:val="0"/>
          <w:szCs w:val="24"/>
          <w:highlight w:val="none"/>
        </w:rPr>
        <w:t>施工</w:t>
      </w:r>
      <w:r>
        <w:rPr>
          <w:rFonts w:hint="eastAsia" w:ascii="宋体" w:hAnsi="宋体" w:eastAsia="宋体" w:cs="Times New Roman"/>
          <w:color w:val="auto"/>
          <w:kern w:val="0"/>
          <w:szCs w:val="24"/>
          <w:highlight w:val="none"/>
        </w:rPr>
        <w:t>技术</w:t>
      </w:r>
      <w:r>
        <w:rPr>
          <w:rFonts w:ascii="宋体" w:hAnsi="宋体" w:eastAsia="宋体" w:cs="Times New Roman"/>
          <w:color w:val="auto"/>
          <w:kern w:val="0"/>
          <w:szCs w:val="24"/>
          <w:highlight w:val="none"/>
        </w:rPr>
        <w:t>准备工作</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包括但不限于</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熟悉、审核设计图，参加监理人</w:t>
      </w:r>
      <w:r>
        <w:rPr>
          <w:rFonts w:hint="eastAsia" w:ascii="宋体" w:hAnsi="宋体" w:eastAsia="宋体" w:cs="Times New Roman"/>
          <w:color w:val="auto"/>
          <w:kern w:val="0"/>
          <w:szCs w:val="24"/>
          <w:highlight w:val="none"/>
        </w:rPr>
        <w:t>组织的</w:t>
      </w:r>
      <w:r>
        <w:rPr>
          <w:rFonts w:ascii="宋体" w:hAnsi="宋体" w:eastAsia="宋体" w:cs="Times New Roman"/>
          <w:color w:val="auto"/>
          <w:kern w:val="0"/>
          <w:szCs w:val="24"/>
          <w:highlight w:val="none"/>
        </w:rPr>
        <w:t>设计交底和图纸会审</w:t>
      </w:r>
      <w:r>
        <w:rPr>
          <w:rFonts w:hint="eastAsia" w:ascii="宋体" w:hAnsi="宋体" w:eastAsia="宋体" w:cs="Times New Roman"/>
          <w:color w:val="auto"/>
          <w:kern w:val="0"/>
          <w:szCs w:val="24"/>
          <w:highlight w:val="none"/>
        </w:rPr>
        <w:t>；</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⑵参与</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组织的</w:t>
      </w:r>
      <w:r>
        <w:rPr>
          <w:rFonts w:ascii="宋体" w:hAnsi="宋体" w:eastAsia="宋体" w:cs="Times New Roman"/>
          <w:color w:val="auto"/>
          <w:kern w:val="0"/>
          <w:szCs w:val="24"/>
          <w:highlight w:val="none"/>
        </w:rPr>
        <w:t>测量交桩</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复测控制桩和水准点，并制定测量方案和监控量测方案</w:t>
      </w:r>
      <w:r>
        <w:rPr>
          <w:rFonts w:hint="eastAsia" w:ascii="宋体" w:hAnsi="宋体" w:eastAsia="宋体" w:cs="Times New Roman"/>
          <w:color w:val="auto"/>
          <w:kern w:val="0"/>
          <w:szCs w:val="24"/>
          <w:highlight w:val="none"/>
        </w:rPr>
        <w:t>；</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按监理人要求，优化施工组织设计</w:t>
      </w:r>
      <w:r>
        <w:rPr>
          <w:rFonts w:hint="eastAsia" w:ascii="宋体" w:hAnsi="宋体" w:eastAsia="宋体" w:cs="Times New Roman"/>
          <w:color w:val="auto"/>
          <w:kern w:val="0"/>
          <w:szCs w:val="24"/>
          <w:highlight w:val="none"/>
        </w:rPr>
        <w:t>；</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t>做好技术交底和培训，安排好检验试验工作</w:t>
      </w:r>
      <w:r>
        <w:rPr>
          <w:rFonts w:hint="eastAsia" w:ascii="宋体" w:hAnsi="宋体" w:eastAsia="宋体" w:cs="Times New Roman"/>
          <w:color w:val="auto"/>
          <w:kern w:val="0"/>
          <w:szCs w:val="24"/>
          <w:highlight w:val="none"/>
        </w:rPr>
        <w:t>。</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176" w:name="_Toc25822"/>
      <w:bookmarkStart w:id="1177" w:name="_Toc27650"/>
      <w:bookmarkStart w:id="1178" w:name="_Toc25117"/>
      <w:bookmarkStart w:id="1179" w:name="_Toc305331291"/>
      <w:bookmarkStart w:id="1180" w:name="_Toc26979"/>
      <w:bookmarkStart w:id="1181" w:name="_Toc26554"/>
      <w:bookmarkStart w:id="1182" w:name="_Toc17821"/>
      <w:bookmarkStart w:id="1183" w:name="_Toc27114"/>
      <w:bookmarkStart w:id="1184" w:name="_Toc21014"/>
      <w:bookmarkStart w:id="1185" w:name="_Toc302635765"/>
      <w:bookmarkStart w:id="1186" w:name="_Toc2714"/>
      <w:bookmarkStart w:id="1187" w:name="_Toc34909005"/>
      <w:r>
        <w:rPr>
          <w:rFonts w:hint="eastAsia" w:ascii="宋体" w:hAnsi="宋体" w:eastAsia="宋体" w:cs="Times New Roman"/>
          <w:b/>
          <w:bCs/>
          <w:color w:val="auto"/>
          <w:kern w:val="0"/>
          <w:sz w:val="24"/>
          <w:szCs w:val="24"/>
          <w:highlight w:val="none"/>
          <w:lang w:val="en-US" w:eastAsia="zh-CN" w:bidi="ar-SA"/>
        </w:rPr>
        <w:t>不利的外界障碍或条件</w:t>
      </w:r>
      <w:bookmarkEnd w:id="1176"/>
      <w:bookmarkEnd w:id="1177"/>
      <w:bookmarkEnd w:id="1178"/>
      <w:bookmarkEnd w:id="1179"/>
      <w:bookmarkEnd w:id="1180"/>
      <w:bookmarkEnd w:id="1181"/>
      <w:bookmarkEnd w:id="1182"/>
      <w:bookmarkEnd w:id="1183"/>
      <w:bookmarkEnd w:id="1184"/>
      <w:bookmarkEnd w:id="1185"/>
      <w:bookmarkEnd w:id="1186"/>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⑴在施工期间，如遇到承包人无法预见的外界障碍或条件，给承包人造成损失和(或)导致工期延误的，发包人应顺延延误的工期，费用的承担在专用条款中另行约定。</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⑵在确定损失和(或)延误的工期时，应该考虑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已经发给承包人与此有关的指令，以及在没有</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具体指令情况下，承包人所采取的合理措施。</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⑶对于</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已经明确指出的不利的外界障碍或条件，均视为承包人在接受合同时已预见其影响因素并已在投标报价中计入由于其影响而可能发生的一切费用。</w:t>
      </w:r>
      <w:bookmarkEnd w:id="1187"/>
    </w:p>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1188" w:name="_Toc35656979"/>
      <w:bookmarkStart w:id="1189" w:name="_Toc14913"/>
      <w:bookmarkStart w:id="1190" w:name="_Toc305331292"/>
      <w:bookmarkStart w:id="1191" w:name="_Toc30048"/>
      <w:bookmarkStart w:id="1192" w:name="_Toc6539"/>
      <w:bookmarkStart w:id="1193" w:name="_Toc6832"/>
      <w:bookmarkStart w:id="1194" w:name="_Toc302635766"/>
      <w:bookmarkStart w:id="1195" w:name="_Toc32024"/>
      <w:bookmarkStart w:id="1196" w:name="_Toc23016"/>
      <w:bookmarkStart w:id="1197" w:name="_Toc18261"/>
      <w:bookmarkStart w:id="1198" w:name="_Toc11092"/>
      <w:bookmarkStart w:id="1199" w:name="_Toc22680"/>
      <w:bookmarkStart w:id="1200" w:name="_Toc34909012"/>
      <w:bookmarkStart w:id="1201" w:name="_Toc35656477"/>
      <w:r>
        <w:rPr>
          <w:rFonts w:hint="eastAsia" w:ascii="华文细黑" w:hAnsi="宋体" w:eastAsia="宋体" w:cs="Times New Roman"/>
          <w:b/>
          <w:bCs/>
          <w:snapToGrid w:val="0"/>
          <w:color w:val="auto"/>
          <w:kern w:val="0"/>
          <w:sz w:val="28"/>
          <w:szCs w:val="44"/>
          <w:highlight w:val="none"/>
          <w:lang w:val="en-US" w:eastAsia="zh-CN" w:bidi="ar-SA"/>
        </w:rPr>
        <w:t>开工及延期</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202" w:name="_Toc32389"/>
      <w:bookmarkStart w:id="1203" w:name="_Toc305331293"/>
      <w:bookmarkStart w:id="1204" w:name="_Toc19292"/>
      <w:bookmarkStart w:id="1205" w:name="_Toc5124"/>
      <w:bookmarkStart w:id="1206" w:name="_Toc14304"/>
      <w:bookmarkStart w:id="1207" w:name="_Toc12842"/>
      <w:bookmarkStart w:id="1208" w:name="_Toc16521"/>
      <w:bookmarkStart w:id="1209" w:name="_Toc21215"/>
      <w:bookmarkStart w:id="1210" w:name="_Toc23062"/>
      <w:bookmarkStart w:id="1211" w:name="_Toc20068"/>
      <w:bookmarkStart w:id="1212" w:name="_Toc302635767"/>
      <w:r>
        <w:rPr>
          <w:rFonts w:hint="eastAsia" w:ascii="宋体" w:hAnsi="宋体" w:eastAsia="宋体" w:cs="Times New Roman"/>
          <w:b/>
          <w:bCs/>
          <w:color w:val="auto"/>
          <w:kern w:val="0"/>
          <w:sz w:val="24"/>
          <w:szCs w:val="24"/>
          <w:highlight w:val="none"/>
          <w:lang w:val="en-US" w:eastAsia="zh-CN" w:bidi="ar-SA"/>
        </w:rPr>
        <w:t>开工</w:t>
      </w:r>
      <w:bookmarkEnd w:id="1202"/>
      <w:bookmarkEnd w:id="1203"/>
      <w:bookmarkEnd w:id="1204"/>
      <w:bookmarkEnd w:id="1205"/>
      <w:bookmarkEnd w:id="1206"/>
      <w:bookmarkEnd w:id="1207"/>
      <w:bookmarkEnd w:id="1208"/>
      <w:bookmarkEnd w:id="1209"/>
      <w:bookmarkEnd w:id="1210"/>
      <w:bookmarkEnd w:id="1211"/>
      <w:bookmarkEnd w:id="1212"/>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应按合同约定的开工日期在不少于7天前向承包人发出开工通知书，承包人应按合同约定的开工日期开始本工程或按专用条款13.1款约定的单项工程开工日期开始本工程中某单项工程的施工。</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213" w:name="_Toc9868"/>
      <w:bookmarkStart w:id="1214" w:name="_Toc302635768"/>
      <w:bookmarkStart w:id="1215" w:name="_Toc23652"/>
      <w:bookmarkStart w:id="1216" w:name="_Toc6413"/>
      <w:bookmarkStart w:id="1217" w:name="_Toc32011"/>
      <w:bookmarkStart w:id="1218" w:name="_Toc1899"/>
      <w:bookmarkStart w:id="1219" w:name="_Toc29096"/>
      <w:bookmarkStart w:id="1220" w:name="_Toc305331294"/>
      <w:bookmarkStart w:id="1221" w:name="_Toc12285"/>
      <w:bookmarkStart w:id="1222" w:name="_Toc13531"/>
      <w:bookmarkStart w:id="1223" w:name="_Toc10260"/>
      <w:bookmarkStart w:id="1224" w:name="_Toc34909014"/>
      <w:r>
        <w:rPr>
          <w:rFonts w:hint="eastAsia" w:ascii="宋体" w:hAnsi="宋体" w:eastAsia="宋体" w:cs="Times New Roman"/>
          <w:b/>
          <w:bCs/>
          <w:color w:val="auto"/>
          <w:kern w:val="0"/>
          <w:sz w:val="24"/>
          <w:szCs w:val="24"/>
          <w:highlight w:val="none"/>
          <w:lang w:val="en-US" w:eastAsia="zh-CN" w:bidi="ar-SA"/>
        </w:rPr>
        <w:t>开工延期</w:t>
      </w:r>
      <w:bookmarkEnd w:id="1213"/>
      <w:bookmarkEnd w:id="1214"/>
      <w:bookmarkEnd w:id="1215"/>
      <w:bookmarkEnd w:id="1216"/>
      <w:bookmarkEnd w:id="1217"/>
      <w:bookmarkEnd w:id="1218"/>
      <w:bookmarkEnd w:id="1219"/>
      <w:bookmarkEnd w:id="1220"/>
      <w:bookmarkEnd w:id="1221"/>
      <w:bookmarkEnd w:id="1222"/>
      <w:bookmarkEnd w:id="1223"/>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⑴承包人因自身的原因不能按本合同约定的开工日期开工，应在不少于本合同约定的开工日期前7天，以书面形式向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提出开工延期的要求和理由。</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在接到开工延期申请后48小时内予以审核，并报发包人审批后答复承包人。发包人同意开工延期或逾期未予答复的，开工延期并相应顺延工期；发包人不同意开工延期或承包人未在约定时限内提出开工延期申请的，开工不予延期并工期不予顺延</w:t>
      </w:r>
      <w:bookmarkEnd w:id="1224"/>
      <w:r>
        <w:rPr>
          <w:rFonts w:hint="eastAsia" w:ascii="宋体" w:hAnsi="宋体" w:eastAsia="宋体" w:cs="Times New Roman"/>
          <w:color w:val="auto"/>
          <w:kern w:val="0"/>
          <w:szCs w:val="24"/>
          <w:highlight w:val="none"/>
        </w:rPr>
        <w:t>。</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1225" w:name="_Toc34909015"/>
      <w:r>
        <w:rPr>
          <w:rFonts w:hint="eastAsia" w:ascii="宋体" w:hAnsi="宋体" w:eastAsia="宋体" w:cs="Times New Roman"/>
          <w:color w:val="auto"/>
          <w:kern w:val="0"/>
          <w:szCs w:val="24"/>
          <w:highlight w:val="none"/>
        </w:rPr>
        <w:t>⑵因发包人的原因造成承包人不能在本合同约定的开工日期开工，</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应在不少于本合同约定的开工日期前7天，以书面形式通知承包人，延期开工并相应顺延工期。因发包人的原因延期开工给承包人造成损失的，发包人应赔偿承包人损失。</w:t>
      </w:r>
      <w:bookmarkEnd w:id="1225"/>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⑶按照11.2⑴、⑵款情形确定延期开工后，</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应在具备开工条件后至少提前7天向承包人发出开工通知书。</w:t>
      </w:r>
    </w:p>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1226" w:name="_Toc34909016"/>
      <w:bookmarkStart w:id="1227" w:name="_Toc35656478"/>
      <w:bookmarkStart w:id="1228" w:name="_Toc35656980"/>
      <w:bookmarkStart w:id="1229" w:name="_Toc24383"/>
      <w:bookmarkStart w:id="1230" w:name="_Toc9059"/>
      <w:bookmarkStart w:id="1231" w:name="_Toc17397"/>
      <w:bookmarkStart w:id="1232" w:name="_Toc18118"/>
      <w:bookmarkStart w:id="1233" w:name="_Toc22920"/>
      <w:bookmarkStart w:id="1234" w:name="_Toc305331295"/>
      <w:bookmarkStart w:id="1235" w:name="_Toc30864"/>
      <w:bookmarkStart w:id="1236" w:name="_Toc302635769"/>
      <w:bookmarkStart w:id="1237" w:name="_Toc10600"/>
      <w:bookmarkStart w:id="1238" w:name="_Toc8515"/>
      <w:bookmarkStart w:id="1239" w:name="_Toc28258"/>
      <w:r>
        <w:rPr>
          <w:rFonts w:hint="eastAsia" w:ascii="华文细黑" w:hAnsi="宋体" w:eastAsia="宋体" w:cs="Times New Roman"/>
          <w:b/>
          <w:bCs/>
          <w:snapToGrid w:val="0"/>
          <w:color w:val="auto"/>
          <w:kern w:val="0"/>
          <w:sz w:val="28"/>
          <w:szCs w:val="44"/>
          <w:highlight w:val="none"/>
          <w:lang w:val="en-US" w:eastAsia="zh-CN" w:bidi="ar-SA"/>
        </w:rPr>
        <w:t>暂停施工和</w:t>
      </w:r>
      <w:bookmarkEnd w:id="1226"/>
      <w:bookmarkEnd w:id="1227"/>
      <w:bookmarkEnd w:id="1228"/>
      <w:r>
        <w:rPr>
          <w:rFonts w:hint="eastAsia" w:ascii="华文细黑" w:hAnsi="宋体" w:eastAsia="宋体" w:cs="Times New Roman"/>
          <w:b/>
          <w:bCs/>
          <w:snapToGrid w:val="0"/>
          <w:color w:val="auto"/>
          <w:kern w:val="0"/>
          <w:sz w:val="28"/>
          <w:szCs w:val="44"/>
          <w:highlight w:val="none"/>
          <w:lang w:val="en-US" w:eastAsia="zh-CN" w:bidi="ar-SA"/>
        </w:rPr>
        <w:t>恢复施工</w:t>
      </w:r>
      <w:bookmarkEnd w:id="1229"/>
      <w:bookmarkEnd w:id="1230"/>
      <w:bookmarkEnd w:id="1231"/>
      <w:bookmarkEnd w:id="1232"/>
      <w:bookmarkEnd w:id="1233"/>
      <w:bookmarkEnd w:id="1234"/>
      <w:bookmarkEnd w:id="1235"/>
      <w:bookmarkEnd w:id="1236"/>
      <w:bookmarkEnd w:id="1237"/>
      <w:bookmarkEnd w:id="1238"/>
      <w:bookmarkEnd w:id="1239"/>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240" w:name="_Toc30824"/>
      <w:bookmarkStart w:id="1241" w:name="_Toc9904"/>
      <w:bookmarkStart w:id="1242" w:name="_Toc20158"/>
      <w:bookmarkStart w:id="1243" w:name="_Toc27491"/>
      <w:bookmarkStart w:id="1244" w:name="_Toc1602"/>
      <w:bookmarkStart w:id="1245" w:name="_Toc20752"/>
      <w:bookmarkStart w:id="1246" w:name="_Toc28523"/>
      <w:bookmarkStart w:id="1247" w:name="_Toc24549"/>
      <w:bookmarkStart w:id="1248" w:name="_Toc8552"/>
      <w:bookmarkStart w:id="1249" w:name="_Toc302635770"/>
      <w:bookmarkStart w:id="1250" w:name="_Toc34909017"/>
      <w:bookmarkStart w:id="1251" w:name="_Toc305331296"/>
      <w:r>
        <w:rPr>
          <w:rFonts w:ascii="宋体" w:hAnsi="宋体" w:eastAsia="宋体" w:cs="Times New Roman"/>
          <w:b/>
          <w:bCs/>
          <w:color w:val="auto"/>
          <w:kern w:val="0"/>
          <w:sz w:val="24"/>
          <w:szCs w:val="24"/>
          <w:highlight w:val="none"/>
          <w:lang w:val="en-US" w:eastAsia="zh-CN" w:bidi="ar-SA"/>
        </w:rPr>
        <w:t>发包人原因引起的暂停施工</w:t>
      </w:r>
      <w:bookmarkEnd w:id="1240"/>
      <w:bookmarkEnd w:id="1241"/>
      <w:bookmarkEnd w:id="1242"/>
      <w:bookmarkEnd w:id="1243"/>
      <w:bookmarkEnd w:id="1244"/>
      <w:bookmarkEnd w:id="1245"/>
      <w:bookmarkEnd w:id="1246"/>
      <w:bookmarkEnd w:id="1247"/>
      <w:bookmarkEnd w:id="1248"/>
      <w:bookmarkEnd w:id="1249"/>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因发包人原因引起暂停施工的，监理人经发包人同意后，应及时下达暂停施工指示。情况紧急且监理人未及时下达暂停施工指示的，按照第</w:t>
      </w:r>
      <w:r>
        <w:rPr>
          <w:rFonts w:hint="eastAsia" w:ascii="宋体" w:hAnsi="宋体" w:eastAsia="宋体" w:cs="Times New Roman"/>
          <w:color w:val="auto"/>
          <w:kern w:val="0"/>
          <w:szCs w:val="24"/>
          <w:highlight w:val="none"/>
        </w:rPr>
        <w:t>12</w:t>
      </w:r>
      <w:r>
        <w:rPr>
          <w:rFonts w:ascii="宋体" w:hAnsi="宋体" w:eastAsia="宋体" w:cs="Times New Roman"/>
          <w:color w:val="auto"/>
          <w:kern w:val="0"/>
          <w:szCs w:val="24"/>
          <w:highlight w:val="none"/>
        </w:rPr>
        <w:t>.4</w:t>
      </w:r>
      <w:r>
        <w:rPr>
          <w:rFonts w:hint="eastAsia" w:ascii="宋体" w:hAnsi="宋体" w:eastAsia="宋体" w:cs="Times New Roman"/>
          <w:color w:val="auto"/>
          <w:kern w:val="0"/>
          <w:szCs w:val="24"/>
          <w:highlight w:val="none"/>
        </w:rPr>
        <w:t>款〔</w:t>
      </w:r>
      <w:r>
        <w:rPr>
          <w:rFonts w:ascii="宋体" w:hAnsi="宋体" w:eastAsia="宋体" w:cs="Times New Roman"/>
          <w:color w:val="auto"/>
          <w:kern w:val="0"/>
          <w:szCs w:val="24"/>
          <w:highlight w:val="none"/>
        </w:rPr>
        <w:t>紧急情况下的暂停施工</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执行。</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因发包人原因引起的暂停施工，发包人应承担由此增加的费用和（或）延误的工期，并支付承包人合理的利润。</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252" w:name="_Toc30869"/>
      <w:bookmarkStart w:id="1253" w:name="_Toc21352"/>
      <w:bookmarkStart w:id="1254" w:name="_Toc302635771"/>
      <w:bookmarkStart w:id="1255" w:name="_Toc31081"/>
      <w:bookmarkStart w:id="1256" w:name="_Toc20420"/>
      <w:bookmarkStart w:id="1257" w:name="_Toc30809"/>
      <w:bookmarkStart w:id="1258" w:name="_Toc2296"/>
      <w:bookmarkStart w:id="1259" w:name="_Toc24326"/>
      <w:bookmarkStart w:id="1260" w:name="_Toc31448"/>
      <w:bookmarkStart w:id="1261" w:name="_Toc8789"/>
      <w:r>
        <w:rPr>
          <w:rFonts w:ascii="宋体" w:hAnsi="宋体" w:eastAsia="宋体" w:cs="Times New Roman"/>
          <w:b/>
          <w:bCs/>
          <w:color w:val="auto"/>
          <w:kern w:val="0"/>
          <w:sz w:val="24"/>
          <w:szCs w:val="24"/>
          <w:highlight w:val="none"/>
          <w:lang w:val="en-US" w:eastAsia="zh-CN" w:bidi="ar-SA"/>
        </w:rPr>
        <w:t>承包人原因引起的暂停施工</w:t>
      </w:r>
      <w:bookmarkEnd w:id="1252"/>
      <w:bookmarkEnd w:id="1253"/>
      <w:bookmarkEnd w:id="1254"/>
      <w:bookmarkEnd w:id="1255"/>
      <w:bookmarkEnd w:id="1256"/>
      <w:bookmarkEnd w:id="1257"/>
      <w:bookmarkEnd w:id="1258"/>
      <w:bookmarkEnd w:id="1259"/>
      <w:bookmarkEnd w:id="1260"/>
      <w:bookmarkEnd w:id="1261"/>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因承包人原因引起的暂停施工，承包人应承担由此增加的费用和（或）延误的工期，且承包人在收到监理人复工指示后</w:t>
      </w:r>
      <w:r>
        <w:rPr>
          <w:rFonts w:hint="eastAsia" w:ascii="宋体" w:hAnsi="宋体" w:eastAsia="宋体" w:cs="Times New Roman"/>
          <w:color w:val="auto"/>
          <w:kern w:val="0"/>
          <w:szCs w:val="24"/>
          <w:highlight w:val="none"/>
        </w:rPr>
        <w:t>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约定的期限</w:t>
      </w:r>
      <w:r>
        <w:rPr>
          <w:rFonts w:ascii="宋体" w:hAnsi="宋体" w:eastAsia="宋体" w:cs="Times New Roman"/>
          <w:color w:val="auto"/>
          <w:kern w:val="0"/>
          <w:szCs w:val="24"/>
          <w:highlight w:val="none"/>
        </w:rPr>
        <w:t>内仍未复工的，视为第</w:t>
      </w:r>
      <w:r>
        <w:rPr>
          <w:rFonts w:hint="eastAsia" w:ascii="宋体" w:hAnsi="宋体" w:eastAsia="宋体" w:cs="Times New Roman"/>
          <w:color w:val="auto"/>
          <w:kern w:val="0"/>
          <w:szCs w:val="24"/>
          <w:highlight w:val="none"/>
          <w:lang w:val="en-US" w:eastAsia="zh-CN"/>
        </w:rPr>
        <w:t>29</w:t>
      </w:r>
      <w:r>
        <w:rPr>
          <w:rFonts w:hint="eastAsia" w:ascii="宋体" w:hAnsi="宋体" w:eastAsia="宋体" w:cs="Times New Roman"/>
          <w:color w:val="auto"/>
          <w:kern w:val="0"/>
          <w:szCs w:val="24"/>
          <w:highlight w:val="none"/>
        </w:rPr>
        <w:t>.2款〔</w:t>
      </w:r>
      <w:r>
        <w:rPr>
          <w:rFonts w:ascii="宋体" w:hAnsi="宋体" w:eastAsia="宋体" w:cs="Times New Roman"/>
          <w:color w:val="auto"/>
          <w:kern w:val="0"/>
          <w:szCs w:val="24"/>
          <w:highlight w:val="none"/>
        </w:rPr>
        <w:t>承包人违约</w:t>
      </w:r>
      <w:r>
        <w:rPr>
          <w:rFonts w:hint="eastAsia" w:ascii="宋体" w:hAnsi="宋体" w:eastAsia="宋体" w:cs="Times New Roman"/>
          <w:color w:val="auto"/>
          <w:kern w:val="0"/>
          <w:szCs w:val="24"/>
          <w:highlight w:val="none"/>
        </w:rPr>
        <w:t>〕第⑺</w:t>
      </w:r>
      <w:r>
        <w:rPr>
          <w:rFonts w:ascii="宋体" w:hAnsi="宋体" w:eastAsia="宋体" w:cs="Times New Roman"/>
          <w:color w:val="auto"/>
          <w:kern w:val="0"/>
          <w:szCs w:val="24"/>
          <w:highlight w:val="none"/>
        </w:rPr>
        <w:t>项约定的承包人无法继续履行合同的情形。</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262" w:name="_Toc18747"/>
      <w:bookmarkStart w:id="1263" w:name="_Toc5855"/>
      <w:bookmarkStart w:id="1264" w:name="_Toc21628"/>
      <w:bookmarkStart w:id="1265" w:name="_Toc14728"/>
      <w:bookmarkStart w:id="1266" w:name="_Toc5745"/>
      <w:bookmarkStart w:id="1267" w:name="_Toc302635772"/>
      <w:bookmarkStart w:id="1268" w:name="_Toc12995"/>
      <w:bookmarkStart w:id="1269" w:name="_Toc3428"/>
      <w:bookmarkStart w:id="1270" w:name="_Toc12267"/>
      <w:bookmarkStart w:id="1271" w:name="_Toc19352"/>
      <w:r>
        <w:rPr>
          <w:rFonts w:ascii="宋体" w:hAnsi="宋体" w:eastAsia="宋体" w:cs="Times New Roman"/>
          <w:b/>
          <w:bCs/>
          <w:color w:val="auto"/>
          <w:kern w:val="0"/>
          <w:sz w:val="24"/>
          <w:szCs w:val="24"/>
          <w:highlight w:val="none"/>
          <w:lang w:val="en-US" w:eastAsia="zh-CN" w:bidi="ar-SA"/>
        </w:rPr>
        <w:t>指示暂停施工</w:t>
      </w:r>
      <w:bookmarkEnd w:id="1262"/>
      <w:bookmarkEnd w:id="1263"/>
      <w:bookmarkEnd w:id="1264"/>
      <w:bookmarkEnd w:id="1265"/>
      <w:bookmarkEnd w:id="1266"/>
      <w:bookmarkEnd w:id="1267"/>
      <w:bookmarkEnd w:id="1268"/>
      <w:bookmarkEnd w:id="1269"/>
      <w:bookmarkEnd w:id="1270"/>
      <w:bookmarkEnd w:id="1271"/>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监理人认为有必要时，并经发包人批准后，可向承包人作出暂停施工的指示，承包人应按监理人指示暂停施工。</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272" w:name="_Toc19338"/>
      <w:bookmarkStart w:id="1273" w:name="_Toc9346"/>
      <w:bookmarkStart w:id="1274" w:name="_Toc25582"/>
      <w:bookmarkStart w:id="1275" w:name="_Toc5162"/>
      <w:bookmarkStart w:id="1276" w:name="_Toc32173"/>
      <w:bookmarkStart w:id="1277" w:name="_Toc28391"/>
      <w:bookmarkStart w:id="1278" w:name="_Toc10406"/>
      <w:bookmarkStart w:id="1279" w:name="_Toc4504"/>
      <w:bookmarkStart w:id="1280" w:name="_Toc29340"/>
      <w:bookmarkStart w:id="1281" w:name="_Toc302635773"/>
      <w:r>
        <w:rPr>
          <w:rFonts w:ascii="宋体" w:hAnsi="宋体" w:eastAsia="宋体" w:cs="Times New Roman"/>
          <w:b/>
          <w:bCs/>
          <w:color w:val="auto"/>
          <w:kern w:val="0"/>
          <w:sz w:val="24"/>
          <w:szCs w:val="24"/>
          <w:highlight w:val="none"/>
          <w:lang w:val="en-US" w:eastAsia="zh-CN" w:bidi="ar-SA"/>
        </w:rPr>
        <w:t>紧急情况下的暂停施工</w:t>
      </w:r>
      <w:bookmarkEnd w:id="1272"/>
      <w:bookmarkEnd w:id="1273"/>
      <w:bookmarkEnd w:id="1274"/>
      <w:bookmarkEnd w:id="1275"/>
      <w:bookmarkEnd w:id="1276"/>
      <w:bookmarkEnd w:id="1277"/>
      <w:bookmarkEnd w:id="1278"/>
      <w:bookmarkEnd w:id="1279"/>
      <w:bookmarkEnd w:id="1280"/>
      <w:bookmarkEnd w:id="1281"/>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w:t>
      </w:r>
      <w:r>
        <w:rPr>
          <w:rFonts w:hint="eastAsia" w:ascii="宋体" w:hAnsi="宋体" w:eastAsia="宋体" w:cs="Times New Roman"/>
          <w:color w:val="auto"/>
          <w:kern w:val="0"/>
          <w:szCs w:val="24"/>
          <w:highlight w:val="none"/>
          <w:lang w:val="en-US" w:eastAsia="zh-CN"/>
        </w:rPr>
        <w:t>31</w:t>
      </w:r>
      <w:r>
        <w:rPr>
          <w:rFonts w:ascii="宋体" w:hAnsi="宋体" w:eastAsia="宋体" w:cs="Times New Roman"/>
          <w:color w:val="auto"/>
          <w:kern w:val="0"/>
          <w:szCs w:val="24"/>
          <w:highlight w:val="none"/>
        </w:rPr>
        <w:t>条</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争议解决</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约定处理。</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282" w:name="_Toc11758"/>
      <w:bookmarkStart w:id="1283" w:name="_Toc13502"/>
      <w:bookmarkStart w:id="1284" w:name="_Toc32447"/>
      <w:bookmarkStart w:id="1285" w:name="_Toc23717"/>
      <w:bookmarkStart w:id="1286" w:name="_Toc302635774"/>
      <w:bookmarkStart w:id="1287" w:name="_Toc7658"/>
      <w:bookmarkStart w:id="1288" w:name="_Toc3570"/>
      <w:bookmarkStart w:id="1289" w:name="_Toc1268"/>
      <w:bookmarkStart w:id="1290" w:name="_Toc24096"/>
      <w:bookmarkStart w:id="1291" w:name="_Toc25721"/>
      <w:r>
        <w:rPr>
          <w:rFonts w:ascii="宋体" w:hAnsi="宋体" w:eastAsia="宋体" w:cs="Times New Roman"/>
          <w:b/>
          <w:bCs/>
          <w:color w:val="auto"/>
          <w:kern w:val="0"/>
          <w:sz w:val="24"/>
          <w:szCs w:val="24"/>
          <w:highlight w:val="none"/>
          <w:lang w:val="en-US" w:eastAsia="zh-CN" w:bidi="ar-SA"/>
        </w:rPr>
        <w:t>暂停施工后的复工</w:t>
      </w:r>
      <w:bookmarkEnd w:id="1282"/>
      <w:bookmarkEnd w:id="1283"/>
      <w:bookmarkEnd w:id="1284"/>
      <w:bookmarkEnd w:id="1285"/>
      <w:bookmarkEnd w:id="1286"/>
      <w:bookmarkEnd w:id="1287"/>
      <w:bookmarkEnd w:id="1288"/>
      <w:bookmarkEnd w:id="1289"/>
      <w:bookmarkEnd w:id="1290"/>
      <w:bookmarkEnd w:id="1291"/>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承包人无故拖延和拒绝复工的，承包人承担由此增加的费用和（或）延误的工期；因发包人原因无法按时复工的，按照第</w:t>
      </w:r>
      <w:r>
        <w:rPr>
          <w:rFonts w:hint="eastAsia" w:ascii="宋体" w:hAnsi="宋体" w:eastAsia="宋体" w:cs="Times New Roman"/>
          <w:color w:val="auto"/>
          <w:kern w:val="0"/>
          <w:szCs w:val="24"/>
          <w:highlight w:val="none"/>
        </w:rPr>
        <w:t>13.2款〔</w:t>
      </w:r>
      <w:r>
        <w:rPr>
          <w:rFonts w:ascii="宋体" w:hAnsi="宋体" w:eastAsia="宋体" w:cs="Times New Roman"/>
          <w:color w:val="auto"/>
          <w:kern w:val="0"/>
          <w:szCs w:val="24"/>
          <w:highlight w:val="none"/>
        </w:rPr>
        <w:t>因发包人原因导致工期延误</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约定办理。</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292" w:name="_Toc8696"/>
      <w:bookmarkStart w:id="1293" w:name="_Toc31049"/>
      <w:bookmarkStart w:id="1294" w:name="_Toc22734"/>
      <w:bookmarkStart w:id="1295" w:name="_Toc19782"/>
      <w:bookmarkStart w:id="1296" w:name="_Toc18185"/>
      <w:bookmarkStart w:id="1297" w:name="_Toc16929"/>
      <w:bookmarkStart w:id="1298" w:name="_Toc2986"/>
      <w:bookmarkStart w:id="1299" w:name="_Toc26531"/>
      <w:bookmarkStart w:id="1300" w:name="_Toc302635775"/>
      <w:bookmarkStart w:id="1301" w:name="_Toc5610"/>
      <w:r>
        <w:rPr>
          <w:rFonts w:ascii="宋体" w:hAnsi="宋体" w:eastAsia="宋体" w:cs="Times New Roman"/>
          <w:b/>
          <w:bCs/>
          <w:color w:val="auto"/>
          <w:kern w:val="0"/>
          <w:sz w:val="24"/>
          <w:szCs w:val="24"/>
          <w:highlight w:val="none"/>
          <w:lang w:val="en-US" w:eastAsia="zh-CN" w:bidi="ar-SA"/>
        </w:rPr>
        <w:t>暂停施工期间的工程照管</w:t>
      </w:r>
      <w:bookmarkEnd w:id="1292"/>
      <w:bookmarkEnd w:id="1293"/>
      <w:bookmarkEnd w:id="1294"/>
      <w:bookmarkEnd w:id="1295"/>
      <w:bookmarkEnd w:id="1296"/>
      <w:bookmarkEnd w:id="1297"/>
      <w:bookmarkEnd w:id="1298"/>
      <w:bookmarkEnd w:id="1299"/>
      <w:bookmarkEnd w:id="1300"/>
      <w:bookmarkEnd w:id="1301"/>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暂停施工期间，承包人应负责妥善照管工程并提供安全保障，由此增加的费用由责任方承担。</w:t>
      </w:r>
    </w:p>
    <w:bookmarkEnd w:id="1250"/>
    <w:bookmarkEnd w:id="1251"/>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1302" w:name="_Toc29750"/>
      <w:bookmarkStart w:id="1303" w:name="_Toc31915"/>
      <w:bookmarkStart w:id="1304" w:name="_Toc34909021"/>
      <w:bookmarkStart w:id="1305" w:name="_Toc28482"/>
      <w:bookmarkStart w:id="1306" w:name="_Toc35656479"/>
      <w:bookmarkStart w:id="1307" w:name="_Toc15335"/>
      <w:bookmarkStart w:id="1308" w:name="_Toc305331299"/>
      <w:bookmarkStart w:id="1309" w:name="_Toc24563"/>
      <w:bookmarkStart w:id="1310" w:name="_Toc1086"/>
      <w:bookmarkStart w:id="1311" w:name="_Toc35656981"/>
      <w:bookmarkStart w:id="1312" w:name="_Toc17308"/>
      <w:bookmarkStart w:id="1313" w:name="_Toc14659"/>
      <w:bookmarkStart w:id="1314" w:name="_Toc2049"/>
      <w:bookmarkStart w:id="1315" w:name="_Toc302635776"/>
      <w:r>
        <w:rPr>
          <w:rFonts w:hint="eastAsia" w:ascii="华文细黑" w:hAnsi="宋体" w:eastAsia="宋体" w:cs="Times New Roman"/>
          <w:b/>
          <w:bCs/>
          <w:snapToGrid w:val="0"/>
          <w:color w:val="auto"/>
          <w:kern w:val="0"/>
          <w:sz w:val="28"/>
          <w:szCs w:val="44"/>
          <w:highlight w:val="none"/>
          <w:lang w:val="en-US" w:eastAsia="zh-CN" w:bidi="ar-SA"/>
        </w:rPr>
        <w:t>工期及延误</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316" w:name="_Toc305331300"/>
      <w:bookmarkStart w:id="1317" w:name="_Toc4711"/>
      <w:bookmarkStart w:id="1318" w:name="_Toc302635777"/>
      <w:bookmarkStart w:id="1319" w:name="_Toc3082"/>
      <w:bookmarkStart w:id="1320" w:name="_Toc11683"/>
      <w:bookmarkStart w:id="1321" w:name="_Toc22490"/>
      <w:bookmarkStart w:id="1322" w:name="_Toc19496"/>
      <w:bookmarkStart w:id="1323" w:name="_Toc6891"/>
      <w:bookmarkStart w:id="1324" w:name="_Toc17827"/>
      <w:bookmarkStart w:id="1325" w:name="_Toc20714"/>
      <w:bookmarkStart w:id="1326" w:name="_Toc15679"/>
      <w:bookmarkStart w:id="1327" w:name="_Toc34909022"/>
      <w:r>
        <w:rPr>
          <w:rFonts w:hint="eastAsia" w:ascii="宋体" w:hAnsi="宋体" w:eastAsia="宋体" w:cs="Times New Roman"/>
          <w:b/>
          <w:bCs/>
          <w:color w:val="auto"/>
          <w:kern w:val="0"/>
          <w:sz w:val="24"/>
          <w:szCs w:val="24"/>
          <w:highlight w:val="none"/>
          <w:lang w:val="en-US" w:eastAsia="zh-CN" w:bidi="ar-SA"/>
        </w:rPr>
        <w:t>工期</w:t>
      </w:r>
      <w:bookmarkEnd w:id="1316"/>
      <w:bookmarkEnd w:id="1317"/>
      <w:bookmarkEnd w:id="1318"/>
      <w:bookmarkEnd w:id="1319"/>
      <w:bookmarkEnd w:id="1320"/>
      <w:bookmarkEnd w:id="1321"/>
      <w:bookmarkEnd w:id="1322"/>
      <w:bookmarkEnd w:id="1323"/>
      <w:bookmarkEnd w:id="1324"/>
      <w:bookmarkEnd w:id="1325"/>
      <w:bookmarkEnd w:id="1326"/>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本工程须在本合同协议书中约定的时间内完成，或在根据第13.2款〔因发包人原因导致工期延误〕约定的延长期限内完成。本工程的任何单项工程须在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约定的各段时间内完成，或在根据第13.2款〔因发包人原因导致工期延误〕约定的延长期限内完成。</w:t>
      </w:r>
      <w:bookmarkEnd w:id="1327"/>
      <w:bookmarkStart w:id="1328" w:name="_Toc34909023"/>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329" w:name="_Toc6186"/>
      <w:bookmarkStart w:id="1330" w:name="_Toc302635778"/>
      <w:bookmarkStart w:id="1331" w:name="_Toc28407"/>
      <w:bookmarkStart w:id="1332" w:name="_Toc12238"/>
      <w:bookmarkStart w:id="1333" w:name="_Toc26591"/>
      <w:bookmarkStart w:id="1334" w:name="_Toc32558"/>
      <w:bookmarkStart w:id="1335" w:name="_Toc21209"/>
      <w:bookmarkStart w:id="1336" w:name="_Toc26607"/>
      <w:bookmarkStart w:id="1337" w:name="_Toc26717"/>
      <w:bookmarkStart w:id="1338" w:name="_Toc25679"/>
      <w:bookmarkStart w:id="1339" w:name="_Toc305331301"/>
      <w:r>
        <w:rPr>
          <w:rFonts w:ascii="宋体" w:hAnsi="宋体" w:eastAsia="宋体" w:cs="Times New Roman"/>
          <w:b/>
          <w:bCs/>
          <w:color w:val="auto"/>
          <w:kern w:val="0"/>
          <w:sz w:val="24"/>
          <w:szCs w:val="24"/>
          <w:highlight w:val="none"/>
          <w:lang w:val="en-US" w:eastAsia="zh-CN" w:bidi="ar-SA"/>
        </w:rPr>
        <w:t>因发包人原因导致工期延误</w:t>
      </w:r>
      <w:bookmarkEnd w:id="1329"/>
      <w:bookmarkEnd w:id="1330"/>
      <w:bookmarkEnd w:id="1331"/>
      <w:bookmarkEnd w:id="1332"/>
      <w:bookmarkEnd w:id="1333"/>
      <w:bookmarkEnd w:id="1334"/>
      <w:bookmarkEnd w:id="1335"/>
      <w:bookmarkEnd w:id="1336"/>
      <w:bookmarkEnd w:id="1337"/>
      <w:bookmarkEnd w:id="1338"/>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 xml:space="preserve">在合同履行过程中，因下列情况导致工期延误和（或）费用增加的，由发包人承担由此延误的工期和（或）增加的费用，且发包人应支付承包人合理的利润： </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1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发包人未能按合同约定提供图纸或所提供图纸不符合合同约定的；</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2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发包人未能按合同约定提供施工现场、施工条件、基础资料、许可、批准等开工条件的；</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3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发包人提供的测量基准点、基准线和水准点及其书面资料存在错误或疏漏的；</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4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发包人未能在计划开工日期之日起7天内同意下达开工通知的；</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5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⑸</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发包人未能按合同约定日期支付工程预付款、进度款</w:t>
      </w:r>
      <w:r>
        <w:rPr>
          <w:rFonts w:hint="eastAsia" w:ascii="宋体" w:hAnsi="宋体" w:eastAsia="宋体" w:cs="Times New Roman"/>
          <w:color w:val="auto"/>
          <w:kern w:val="0"/>
          <w:szCs w:val="24"/>
          <w:highlight w:val="none"/>
          <w:lang w:eastAsia="zh-CN"/>
        </w:rPr>
        <w:t>、过程结算款</w:t>
      </w:r>
      <w:r>
        <w:rPr>
          <w:rFonts w:ascii="宋体" w:hAnsi="宋体" w:eastAsia="宋体" w:cs="Times New Roman"/>
          <w:color w:val="auto"/>
          <w:kern w:val="0"/>
          <w:szCs w:val="24"/>
          <w:highlight w:val="none"/>
        </w:rPr>
        <w:t>或竣工结算款的；</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6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⑹</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监理人未按合同约定发出指示、批准等文件的；</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7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⑺</w:t>
      </w:r>
      <w:r>
        <w:rPr>
          <w:rFonts w:ascii="宋体" w:hAnsi="宋体" w:eastAsia="宋体" w:cs="Times New Roman"/>
          <w:color w:val="auto"/>
          <w:kern w:val="0"/>
          <w:szCs w:val="24"/>
          <w:highlight w:val="none"/>
        </w:rPr>
        <w:fldChar w:fldCharType="end"/>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中约定的其他情形。</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因发包人原因未按计划开工日期开工的，发包人应按实际开工日期顺延竣工日期，确保实际工期不低于合同约定的工期总日历天数。因发包人原因导致工期延误需要修订施工进度计划的，按照第9.3</w:t>
      </w:r>
      <w:r>
        <w:rPr>
          <w:rFonts w:hint="eastAsia" w:ascii="宋体" w:hAnsi="宋体" w:eastAsia="宋体" w:cs="Times New Roman"/>
          <w:color w:val="auto"/>
          <w:kern w:val="0"/>
          <w:szCs w:val="24"/>
          <w:highlight w:val="none"/>
        </w:rPr>
        <w:t>条〔工程</w:t>
      </w:r>
      <w:r>
        <w:rPr>
          <w:rFonts w:ascii="宋体" w:hAnsi="宋体" w:eastAsia="宋体" w:cs="Times New Roman"/>
          <w:color w:val="auto"/>
          <w:kern w:val="0"/>
          <w:szCs w:val="24"/>
          <w:highlight w:val="none"/>
        </w:rPr>
        <w:t>进度计划</w:t>
      </w:r>
      <w:r>
        <w:rPr>
          <w:rFonts w:hint="eastAsia" w:ascii="宋体" w:hAnsi="宋体" w:eastAsia="宋体" w:cs="Times New Roman"/>
          <w:color w:val="auto"/>
          <w:kern w:val="0"/>
          <w:szCs w:val="24"/>
          <w:highlight w:val="none"/>
        </w:rPr>
        <w:t>〕对进度计划进行修订</w:t>
      </w:r>
      <w:r>
        <w:rPr>
          <w:rFonts w:ascii="宋体" w:hAnsi="宋体" w:eastAsia="宋体" w:cs="Times New Roman"/>
          <w:color w:val="auto"/>
          <w:kern w:val="0"/>
          <w:szCs w:val="24"/>
          <w:highlight w:val="none"/>
        </w:rPr>
        <w:t>。</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340" w:name="_Toc2602"/>
      <w:bookmarkStart w:id="1341" w:name="_Toc7631"/>
      <w:bookmarkStart w:id="1342" w:name="_Toc4625"/>
      <w:bookmarkStart w:id="1343" w:name="_Toc23495"/>
      <w:bookmarkStart w:id="1344" w:name="_Toc3579"/>
      <w:bookmarkStart w:id="1345" w:name="_Toc12640"/>
      <w:bookmarkStart w:id="1346" w:name="_Toc27314"/>
      <w:bookmarkStart w:id="1347" w:name="_Toc3375"/>
      <w:bookmarkStart w:id="1348" w:name="_Toc302635779"/>
      <w:bookmarkStart w:id="1349" w:name="_Toc28938"/>
      <w:r>
        <w:rPr>
          <w:rFonts w:ascii="宋体" w:hAnsi="宋体" w:eastAsia="宋体" w:cs="Times New Roman"/>
          <w:b/>
          <w:bCs/>
          <w:color w:val="auto"/>
          <w:kern w:val="0"/>
          <w:sz w:val="24"/>
          <w:szCs w:val="24"/>
          <w:highlight w:val="none"/>
          <w:lang w:val="en-US" w:eastAsia="zh-CN" w:bidi="ar-SA"/>
        </w:rPr>
        <w:t>因承包人原因导致工期延误</w:t>
      </w:r>
      <w:bookmarkEnd w:id="1340"/>
      <w:bookmarkEnd w:id="1341"/>
      <w:bookmarkEnd w:id="1342"/>
      <w:bookmarkEnd w:id="1343"/>
      <w:bookmarkEnd w:id="1344"/>
      <w:bookmarkEnd w:id="1345"/>
      <w:bookmarkEnd w:id="1346"/>
      <w:bookmarkEnd w:id="1347"/>
      <w:bookmarkEnd w:id="1348"/>
      <w:bookmarkEnd w:id="1349"/>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1350" w:name="_Toc296346577"/>
      <w:bookmarkStart w:id="1351" w:name="_Toc296503076"/>
      <w:r>
        <w:rPr>
          <w:rFonts w:ascii="宋体" w:hAnsi="宋体" w:eastAsia="宋体" w:cs="Times New Roman"/>
          <w:color w:val="auto"/>
          <w:kern w:val="0"/>
          <w:szCs w:val="24"/>
          <w:highlight w:val="none"/>
        </w:rPr>
        <w:t>因</w:t>
      </w:r>
      <w:bookmarkEnd w:id="1350"/>
      <w:bookmarkEnd w:id="1351"/>
      <w:r>
        <w:rPr>
          <w:rFonts w:ascii="宋体" w:hAnsi="宋体" w:eastAsia="宋体" w:cs="Times New Roman"/>
          <w:color w:val="auto"/>
          <w:kern w:val="0"/>
          <w:szCs w:val="24"/>
          <w:highlight w:val="none"/>
        </w:rPr>
        <w:t>承包人原因造成工期延误的，可在</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中约定逾期竣工违约金的计算方法和逾期竣工违约金的上限。承包人支付逾期竣工违约金后，不免除承包人继续完成工程及修补缺陷的义务。</w:t>
      </w:r>
      <w:bookmarkEnd w:id="1328"/>
      <w:bookmarkEnd w:id="1339"/>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352" w:name="_Toc28418"/>
      <w:bookmarkStart w:id="1353" w:name="_Toc302635781"/>
      <w:bookmarkStart w:id="1354" w:name="_Toc16387"/>
      <w:bookmarkStart w:id="1355" w:name="_Toc27253"/>
      <w:bookmarkStart w:id="1356" w:name="_Toc8948"/>
      <w:bookmarkStart w:id="1357" w:name="_Toc11402"/>
      <w:bookmarkStart w:id="1358" w:name="_Toc22435"/>
      <w:bookmarkStart w:id="1359" w:name="_Toc305331302"/>
      <w:bookmarkStart w:id="1360" w:name="_Toc12870"/>
      <w:bookmarkStart w:id="1361" w:name="_Toc21295"/>
      <w:bookmarkStart w:id="1362" w:name="_Toc29020"/>
      <w:r>
        <w:rPr>
          <w:rFonts w:hint="eastAsia" w:ascii="宋体" w:hAnsi="宋体" w:eastAsia="宋体" w:cs="Times New Roman"/>
          <w:b/>
          <w:bCs/>
          <w:color w:val="auto"/>
          <w:kern w:val="0"/>
          <w:sz w:val="24"/>
          <w:szCs w:val="24"/>
          <w:highlight w:val="none"/>
          <w:lang w:val="en-US" w:eastAsia="zh-CN" w:bidi="ar-SA"/>
        </w:rPr>
        <w:t>提前竣工</w:t>
      </w:r>
      <w:bookmarkEnd w:id="1352"/>
      <w:bookmarkEnd w:id="1353"/>
      <w:bookmarkEnd w:id="1354"/>
      <w:bookmarkEnd w:id="1355"/>
      <w:bookmarkEnd w:id="1356"/>
      <w:bookmarkEnd w:id="1357"/>
      <w:bookmarkEnd w:id="1358"/>
      <w:bookmarkEnd w:id="1359"/>
      <w:bookmarkEnd w:id="1360"/>
      <w:bookmarkEnd w:id="1361"/>
      <w:bookmarkEnd w:id="1362"/>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eastAsia="宋体" w:cs="Times New Roman"/>
          <w:color w:val="auto"/>
          <w:kern w:val="0"/>
          <w:szCs w:val="24"/>
          <w:highlight w:val="none"/>
        </w:rPr>
        <w:t>承包人认为提前竣工指示无法执行的，应向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和发包人提出书面异议，发包人和</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应在收到异议后7天内予以答复。任何情况下，发包人不得压缩合理工期。</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⑵承包人提出提前竣工的，应</w:t>
      </w:r>
      <w:r>
        <w:rPr>
          <w:rFonts w:ascii="宋体" w:hAnsi="宋体" w:eastAsia="宋体" w:cs="Times New Roman"/>
          <w:color w:val="auto"/>
          <w:kern w:val="0"/>
          <w:szCs w:val="24"/>
          <w:highlight w:val="none"/>
        </w:rPr>
        <w:t>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w:t>
      </w:r>
      <w:r>
        <w:rPr>
          <w:rFonts w:hint="eastAsia" w:ascii="宋体" w:hAnsi="宋体" w:eastAsia="宋体" w:cs="Times New Roman"/>
          <w:color w:val="auto"/>
          <w:kern w:val="0"/>
          <w:szCs w:val="24"/>
          <w:highlight w:val="none"/>
        </w:rPr>
        <w:t>和承包人协商</w:t>
      </w:r>
      <w:r>
        <w:rPr>
          <w:rFonts w:ascii="宋体" w:hAnsi="宋体" w:eastAsia="宋体" w:cs="Times New Roman"/>
          <w:color w:val="auto"/>
          <w:kern w:val="0"/>
          <w:szCs w:val="24"/>
          <w:highlight w:val="none"/>
        </w:rPr>
        <w:t>承担。</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发包人要求承包人提前竣工，或承包人提出提前竣工的建议能够给发包人带来效益的，承发包双方可以在</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中约定提前竣工的奖励。</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发包人要求承包人提前竣工的，若工期压缩超过按《深圳市建设工程施工工期定额》计算所得本工程定额工期20%的，应按现行《深圳市建设工程计价费率标准》规定的方法和推荐系数计算赶工措施费和夜间施工费，并扣除本工程招标控制价中已列明的赶工措施费和夜间施工费后向承包人支付补偿费用，补偿费用支付后，发包人不再按照13.4.（3）项的约定向承包人支付提前竣工奖励费。《深圳市建设工程施工工期定额》缺项的专业工程，或需采取特殊措施以缩短工期的，由发包人、承包人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中约定压缩工期补偿费用计算方法。</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363" w:name="_Toc24529"/>
      <w:bookmarkStart w:id="1364" w:name="_Toc13663"/>
      <w:bookmarkStart w:id="1365" w:name="_Toc269720080"/>
      <w:bookmarkStart w:id="1366" w:name="_Toc2801"/>
      <w:bookmarkStart w:id="1367" w:name="_Toc22783"/>
      <w:bookmarkStart w:id="1368" w:name="_Toc94"/>
      <w:bookmarkStart w:id="1369" w:name="_Toc24226"/>
      <w:bookmarkStart w:id="1370" w:name="_Toc302635783"/>
      <w:bookmarkStart w:id="1371" w:name="_Toc21274"/>
      <w:bookmarkStart w:id="1372" w:name="_Toc265849470"/>
      <w:bookmarkStart w:id="1373" w:name="_Toc2586"/>
      <w:bookmarkStart w:id="1374" w:name="_Toc305331304"/>
      <w:bookmarkStart w:id="1375" w:name="_Toc23181"/>
      <w:r>
        <w:rPr>
          <w:rFonts w:hint="eastAsia" w:ascii="宋体" w:hAnsi="宋体" w:eastAsia="宋体" w:cs="Times New Roman"/>
          <w:b/>
          <w:bCs/>
          <w:color w:val="auto"/>
          <w:kern w:val="0"/>
          <w:sz w:val="24"/>
          <w:szCs w:val="24"/>
          <w:highlight w:val="none"/>
          <w:lang w:val="en-US" w:eastAsia="zh-CN" w:bidi="ar-SA"/>
        </w:rPr>
        <w:t>工作时间的限制</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承包人在夜间或国家规定的节假日进行永久工程的施工应经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的认可，并应遵守当地政府的有关规定或取得有关部门的批准，但是为了抢救生命或保护财产，或为了工程的安全、质量而不可避免的或绝对必要的作业，则不必事先经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的许可，但应在事后立即向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报告。</w:t>
      </w:r>
    </w:p>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hint="eastAsia" w:ascii="华文细黑" w:hAnsi="宋体" w:eastAsia="宋体" w:cs="Times New Roman"/>
          <w:b/>
          <w:bCs/>
          <w:snapToGrid w:val="0"/>
          <w:color w:val="auto"/>
          <w:kern w:val="0"/>
          <w:sz w:val="28"/>
          <w:szCs w:val="44"/>
          <w:highlight w:val="none"/>
          <w:lang w:val="en-US" w:eastAsia="zh-CN" w:bidi="ar-SA"/>
        </w:rPr>
      </w:pPr>
      <w:bookmarkStart w:id="1376" w:name="_Toc20506"/>
      <w:bookmarkStart w:id="1377" w:name="_Toc14408"/>
      <w:bookmarkStart w:id="1378" w:name="_Toc14632"/>
      <w:bookmarkStart w:id="1379" w:name="_Toc13314"/>
      <w:bookmarkStart w:id="1380" w:name="_Toc32229"/>
      <w:bookmarkStart w:id="1381" w:name="_Toc302635785"/>
      <w:bookmarkStart w:id="1382" w:name="_Toc23759"/>
      <w:bookmarkStart w:id="1383" w:name="_Toc20388"/>
      <w:bookmarkStart w:id="1384" w:name="_Toc305331305"/>
      <w:bookmarkStart w:id="1385" w:name="_Toc30026"/>
      <w:bookmarkStart w:id="1386" w:name="_Toc9937"/>
      <w:bookmarkStart w:id="1387" w:name="_Toc35656984"/>
      <w:bookmarkStart w:id="1388" w:name="_Toc35656482"/>
      <w:bookmarkStart w:id="1389" w:name="_Toc34909044"/>
      <w:r>
        <w:rPr>
          <w:rFonts w:hint="eastAsia" w:ascii="华文细黑" w:hAnsi="宋体" w:eastAsia="宋体" w:cs="Times New Roman"/>
          <w:b/>
          <w:bCs/>
          <w:snapToGrid w:val="0"/>
          <w:color w:val="auto"/>
          <w:kern w:val="0"/>
          <w:sz w:val="28"/>
          <w:szCs w:val="44"/>
          <w:highlight w:val="none"/>
          <w:lang w:val="en-US" w:eastAsia="zh-CN" w:bidi="ar-SA"/>
        </w:rPr>
        <w:t>材料设备的供应和检验</w:t>
      </w:r>
      <w:bookmarkEnd w:id="1376"/>
      <w:bookmarkEnd w:id="1377"/>
      <w:bookmarkEnd w:id="1378"/>
      <w:bookmarkEnd w:id="1379"/>
      <w:bookmarkEnd w:id="1380"/>
      <w:bookmarkEnd w:id="1381"/>
      <w:bookmarkEnd w:id="1382"/>
      <w:bookmarkEnd w:id="1383"/>
      <w:bookmarkEnd w:id="1384"/>
      <w:bookmarkEnd w:id="1385"/>
      <w:bookmarkEnd w:id="1386"/>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390" w:name="_Toc18750"/>
      <w:bookmarkStart w:id="1391" w:name="_Toc25752"/>
      <w:bookmarkStart w:id="1392" w:name="_Toc305331306"/>
      <w:bookmarkStart w:id="1393" w:name="_Toc4053"/>
      <w:bookmarkStart w:id="1394" w:name="_Toc12525"/>
      <w:bookmarkStart w:id="1395" w:name="_Toc302635786"/>
      <w:bookmarkStart w:id="1396" w:name="_Toc27490"/>
      <w:bookmarkStart w:id="1397" w:name="_Toc4699"/>
      <w:bookmarkStart w:id="1398" w:name="_Toc11354"/>
      <w:bookmarkStart w:id="1399" w:name="_Toc24734"/>
      <w:bookmarkStart w:id="1400" w:name="_Toc9543"/>
      <w:r>
        <w:rPr>
          <w:rFonts w:hint="eastAsia" w:ascii="宋体" w:hAnsi="宋体" w:eastAsia="宋体" w:cs="Times New Roman"/>
          <w:b/>
          <w:bCs/>
          <w:color w:val="auto"/>
          <w:kern w:val="0"/>
          <w:sz w:val="24"/>
          <w:szCs w:val="24"/>
          <w:highlight w:val="none"/>
          <w:lang w:val="en-US" w:eastAsia="zh-CN" w:bidi="ar-SA"/>
        </w:rPr>
        <w:t>发包人供应材料设备</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1401" w:name="_Toc34909045"/>
      <w:r>
        <w:rPr>
          <w:rFonts w:hint="eastAsia" w:ascii="宋体" w:hAnsi="宋体" w:eastAsia="宋体" w:cs="Times New Roman"/>
          <w:color w:val="auto"/>
          <w:kern w:val="0"/>
          <w:szCs w:val="24"/>
          <w:highlight w:val="none"/>
        </w:rPr>
        <w:t>⑴发包人供应材料设备的，应在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列出相应材料设备清单。材料设备清单中应约定发包人供应材料设备的品种、规格、型号、数量、单价、质量等级、提供时间和地点。发包人应按材料设备清单中的约定向承包人提供材料设备，并提供产品质量合格证明，对材料设备质量负责。</w:t>
      </w:r>
      <w:r>
        <w:rPr>
          <w:rFonts w:ascii="宋体" w:hAnsi="宋体" w:eastAsia="宋体" w:cs="Times New Roman"/>
          <w:color w:val="auto"/>
          <w:kern w:val="0"/>
          <w:szCs w:val="24"/>
          <w:highlight w:val="none"/>
        </w:rPr>
        <w:t>承包人按照第</w:t>
      </w:r>
      <w:r>
        <w:rPr>
          <w:rFonts w:hint="eastAsia" w:ascii="宋体" w:hAnsi="宋体" w:eastAsia="宋体" w:cs="Times New Roman"/>
          <w:color w:val="auto"/>
          <w:kern w:val="0"/>
          <w:szCs w:val="24"/>
          <w:highlight w:val="none"/>
        </w:rPr>
        <w:t>9.3条〔工程</w:t>
      </w:r>
      <w:r>
        <w:rPr>
          <w:rFonts w:ascii="宋体" w:hAnsi="宋体" w:eastAsia="宋体" w:cs="Times New Roman"/>
          <w:color w:val="auto"/>
          <w:kern w:val="0"/>
          <w:szCs w:val="24"/>
          <w:highlight w:val="none"/>
        </w:rPr>
        <w:t>进度计划</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约定修订施工进度计划时，需同时提交经修订后的发包人供应材料与工程设备的进场计划。</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承包人应提前30天通过监理人以书面形式通知发包人供应材料与工程设备进场。</w:t>
      </w:r>
      <w:r>
        <w:rPr>
          <w:rFonts w:hint="eastAsia" w:ascii="宋体" w:hAnsi="宋体" w:eastAsia="宋体" w:cs="Times New Roman"/>
          <w:color w:val="auto"/>
          <w:kern w:val="0"/>
          <w:szCs w:val="24"/>
          <w:highlight w:val="none"/>
        </w:rPr>
        <w:t>发包人在所供材料设备到货前24小时通知承包人，</w:t>
      </w:r>
      <w:r>
        <w:rPr>
          <w:rFonts w:ascii="Times New Roman" w:hAnsi="宋体" w:eastAsia="宋体" w:cs="Times New Roman"/>
          <w:color w:val="auto"/>
          <w:szCs w:val="24"/>
          <w:highlight w:val="none"/>
        </w:rPr>
        <w:t>货物运到施工场地后，</w:t>
      </w:r>
      <w:r>
        <w:rPr>
          <w:rFonts w:hint="eastAsia" w:ascii="Times New Roman" w:hAnsi="宋体" w:eastAsia="宋体" w:cs="Times New Roman"/>
          <w:color w:val="auto"/>
          <w:szCs w:val="24"/>
          <w:highlight w:val="none"/>
        </w:rPr>
        <w:t>发包人和</w:t>
      </w:r>
      <w:r>
        <w:rPr>
          <w:rFonts w:ascii="Times New Roman" w:hAnsi="宋体" w:eastAsia="宋体" w:cs="Times New Roman"/>
          <w:color w:val="auto"/>
          <w:szCs w:val="24"/>
          <w:highlight w:val="none"/>
        </w:rPr>
        <w:t>承包人</w:t>
      </w:r>
      <w:r>
        <w:rPr>
          <w:rFonts w:hint="eastAsia" w:ascii="宋体" w:hAnsi="宋体" w:eastAsia="宋体" w:cs="Times New Roman"/>
          <w:color w:val="auto"/>
          <w:kern w:val="0"/>
          <w:szCs w:val="24"/>
          <w:highlight w:val="none"/>
        </w:rPr>
        <w:t>双方在</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的见证下进行验收交接，并按承包人指定的地点和方式堆放。</w:t>
      </w:r>
      <w:bookmarkEnd w:id="1401"/>
      <w:r>
        <w:rPr>
          <w:rFonts w:hint="eastAsia" w:ascii="宋体" w:hAnsi="宋体" w:eastAsia="宋体" w:cs="Times New Roman"/>
          <w:color w:val="auto"/>
          <w:kern w:val="0"/>
          <w:szCs w:val="24"/>
          <w:highlight w:val="none"/>
        </w:rPr>
        <w:t>承发包双方完成交验后，发包人仍应对由其提供的材料设备承担有关质量责任。</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⑶发包人对其供应的材料设备履行完毕14.1⑵款约定验交程序，且承包人接收后，由承包人负责保管，因承包人原因发生的丢失、盗失、毁损等由承包人负责赔偿。发包人按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向承包人支付发包人供应材料设备保管费。发包人供应材料设备保管费是指承包人对发包人自行采购的材料设备进行保管服务及现场管理所需的费用。发包人供应材料设备保管费的计算基数为发包人供应材料设备结算价款。</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⑷如发包人未履行14.1⑵款约定的验交程序，则承包人不负责保管，发生的丢失、盗失、毁损等由发包人负责，但承包人没有提出异议，且已收取发包人支付的相应保管费用的除外。承包人</w:t>
      </w:r>
      <w:r>
        <w:rPr>
          <w:rFonts w:ascii="Times New Roman" w:hAnsi="宋体" w:eastAsia="宋体" w:cs="Times New Roman"/>
          <w:color w:val="auto"/>
          <w:szCs w:val="24"/>
          <w:highlight w:val="none"/>
        </w:rPr>
        <w:t>未</w:t>
      </w:r>
      <w:r>
        <w:rPr>
          <w:rFonts w:hint="eastAsia" w:ascii="Times New Roman" w:hAnsi="宋体" w:eastAsia="宋体" w:cs="Times New Roman"/>
          <w:color w:val="auto"/>
          <w:szCs w:val="24"/>
          <w:highlight w:val="none"/>
        </w:rPr>
        <w:t>按发包人通知要求参加</w:t>
      </w:r>
      <w:r>
        <w:rPr>
          <w:rFonts w:ascii="Times New Roman" w:hAnsi="宋体" w:eastAsia="宋体" w:cs="Times New Roman"/>
          <w:color w:val="auto"/>
          <w:szCs w:val="24"/>
          <w:highlight w:val="none"/>
        </w:rPr>
        <w:t>验收的，视为承包人已验收合格，相应的保管责任由承包人承担。</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402" w:name="_Toc1447"/>
      <w:bookmarkStart w:id="1403" w:name="_Toc305331307"/>
      <w:bookmarkStart w:id="1404" w:name="_Toc25992"/>
      <w:bookmarkStart w:id="1405" w:name="_Toc302635787"/>
      <w:bookmarkStart w:id="1406" w:name="_Toc1080"/>
      <w:bookmarkStart w:id="1407" w:name="_Toc22096"/>
      <w:bookmarkStart w:id="1408" w:name="_Toc9639"/>
      <w:bookmarkStart w:id="1409" w:name="_Toc26882"/>
      <w:bookmarkStart w:id="1410" w:name="_Toc28102"/>
      <w:bookmarkStart w:id="1411" w:name="_Toc26106"/>
      <w:bookmarkStart w:id="1412" w:name="_Toc22446"/>
      <w:bookmarkStart w:id="1413" w:name="_Toc34909049"/>
      <w:r>
        <w:rPr>
          <w:rFonts w:hint="eastAsia" w:ascii="宋体" w:hAnsi="宋体" w:eastAsia="宋体" w:cs="Times New Roman"/>
          <w:b/>
          <w:bCs/>
          <w:color w:val="auto"/>
          <w:kern w:val="0"/>
          <w:sz w:val="24"/>
          <w:szCs w:val="24"/>
          <w:highlight w:val="none"/>
          <w:lang w:val="en-US" w:eastAsia="zh-CN" w:bidi="ar-SA"/>
        </w:rPr>
        <w:t>发包人供应材料设备的结算</w:t>
      </w:r>
      <w:bookmarkEnd w:id="1402"/>
      <w:bookmarkEnd w:id="1403"/>
      <w:bookmarkEnd w:id="1404"/>
      <w:bookmarkEnd w:id="1405"/>
      <w:bookmarkEnd w:id="1406"/>
      <w:bookmarkEnd w:id="1407"/>
      <w:bookmarkEnd w:id="1408"/>
      <w:bookmarkEnd w:id="1409"/>
      <w:bookmarkEnd w:id="1410"/>
      <w:bookmarkEnd w:id="1411"/>
      <w:bookmarkEnd w:id="1412"/>
    </w:p>
    <w:bookmarkEnd w:id="1413"/>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除非</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中另有约定，</w:t>
      </w:r>
      <w:r>
        <w:rPr>
          <w:rFonts w:ascii="宋体" w:hAnsi="宋体" w:eastAsia="宋体" w:cs="Times New Roman"/>
          <w:color w:val="auto"/>
          <w:kern w:val="0"/>
          <w:szCs w:val="24"/>
          <w:highlight w:val="none"/>
        </w:rPr>
        <w:t>本工程发包</w:t>
      </w:r>
      <w:r>
        <w:rPr>
          <w:rFonts w:hint="eastAsia" w:ascii="宋体" w:hAnsi="宋体" w:eastAsia="宋体" w:cs="Times New Roman"/>
          <w:color w:val="auto"/>
          <w:kern w:val="0"/>
          <w:szCs w:val="24"/>
          <w:highlight w:val="none"/>
        </w:rPr>
        <w:t>人供应材料设备</w:t>
      </w:r>
      <w:r>
        <w:rPr>
          <w:rFonts w:ascii="宋体" w:hAnsi="宋体" w:eastAsia="宋体" w:cs="Times New Roman"/>
          <w:color w:val="auto"/>
          <w:kern w:val="0"/>
          <w:szCs w:val="24"/>
          <w:highlight w:val="none"/>
        </w:rPr>
        <w:t>按如下方式结算：</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w:t>
      </w:r>
      <w:r>
        <w:rPr>
          <w:rFonts w:ascii="宋体" w:hAnsi="宋体" w:eastAsia="宋体" w:cs="Times New Roman"/>
          <w:color w:val="auto"/>
          <w:kern w:val="0"/>
          <w:szCs w:val="24"/>
          <w:highlight w:val="none"/>
        </w:rPr>
        <w:t>按发包人要求、竣工图纸和工程造价管理机构发布的相关</w:t>
      </w:r>
      <w:r>
        <w:rPr>
          <w:rFonts w:hint="eastAsia" w:ascii="宋体" w:hAnsi="宋体" w:eastAsia="宋体" w:cs="Times New Roman"/>
          <w:color w:val="auto"/>
          <w:kern w:val="0"/>
          <w:szCs w:val="24"/>
          <w:highlight w:val="none"/>
        </w:rPr>
        <w:t>消耗量</w:t>
      </w:r>
      <w:r>
        <w:rPr>
          <w:rFonts w:ascii="宋体" w:hAnsi="宋体" w:eastAsia="宋体" w:cs="Times New Roman"/>
          <w:color w:val="auto"/>
          <w:kern w:val="0"/>
          <w:szCs w:val="24"/>
          <w:highlight w:val="none"/>
        </w:rPr>
        <w:t>定额计算本工程需用的发包</w:t>
      </w:r>
      <w:r>
        <w:rPr>
          <w:rFonts w:hint="eastAsia" w:ascii="宋体" w:hAnsi="宋体" w:eastAsia="宋体" w:cs="Times New Roman"/>
          <w:color w:val="auto"/>
          <w:kern w:val="0"/>
          <w:szCs w:val="24"/>
          <w:highlight w:val="none"/>
        </w:rPr>
        <w:t>人供应材料设备的</w:t>
      </w:r>
      <w:r>
        <w:rPr>
          <w:rFonts w:ascii="宋体" w:hAnsi="宋体" w:eastAsia="宋体" w:cs="Times New Roman"/>
          <w:color w:val="auto"/>
          <w:kern w:val="0"/>
          <w:szCs w:val="24"/>
          <w:highlight w:val="none"/>
        </w:rPr>
        <w:t>合理数量</w:t>
      </w:r>
      <w:r>
        <w:rPr>
          <w:rFonts w:hint="eastAsia" w:ascii="宋体" w:hAnsi="宋体" w:eastAsia="宋体" w:cs="Times New Roman"/>
          <w:color w:val="auto"/>
          <w:kern w:val="0"/>
          <w:szCs w:val="24"/>
          <w:highlight w:val="none"/>
        </w:rPr>
        <w:t>，经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审核后报发包人确认</w:t>
      </w:r>
      <w:r>
        <w:rPr>
          <w:rFonts w:ascii="宋体" w:hAnsi="宋体" w:eastAsia="宋体" w:cs="Times New Roman"/>
          <w:color w:val="auto"/>
          <w:kern w:val="0"/>
          <w:szCs w:val="24"/>
          <w:highlight w:val="none"/>
        </w:rPr>
        <w:t>；</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发包</w:t>
      </w:r>
      <w:r>
        <w:rPr>
          <w:rFonts w:hint="eastAsia" w:ascii="宋体" w:hAnsi="宋体" w:eastAsia="宋体" w:cs="Times New Roman"/>
          <w:color w:val="auto"/>
          <w:kern w:val="0"/>
          <w:szCs w:val="24"/>
          <w:highlight w:val="none"/>
        </w:rPr>
        <w:t>人供应材料设备</w:t>
      </w:r>
      <w:r>
        <w:rPr>
          <w:rFonts w:ascii="宋体" w:hAnsi="宋体" w:eastAsia="宋体" w:cs="Times New Roman"/>
          <w:color w:val="auto"/>
          <w:kern w:val="0"/>
          <w:szCs w:val="24"/>
          <w:highlight w:val="none"/>
        </w:rPr>
        <w:t>的结算单价按照发包人通过招标</w:t>
      </w:r>
      <w:r>
        <w:rPr>
          <w:rFonts w:hint="eastAsia" w:ascii="宋体" w:hAnsi="宋体" w:eastAsia="宋体" w:cs="Times New Roman"/>
          <w:color w:val="auto"/>
          <w:kern w:val="0"/>
          <w:szCs w:val="24"/>
          <w:highlight w:val="none"/>
        </w:rPr>
        <w:t>或询价采购等</w:t>
      </w:r>
      <w:r>
        <w:rPr>
          <w:rFonts w:ascii="宋体" w:hAnsi="宋体" w:eastAsia="宋体" w:cs="Times New Roman"/>
          <w:color w:val="auto"/>
          <w:kern w:val="0"/>
          <w:szCs w:val="24"/>
          <w:highlight w:val="none"/>
        </w:rPr>
        <w:t>方式确定的</w:t>
      </w:r>
      <w:r>
        <w:rPr>
          <w:rFonts w:hint="eastAsia" w:ascii="宋体" w:hAnsi="宋体" w:eastAsia="宋体" w:cs="Times New Roman"/>
          <w:color w:val="auto"/>
          <w:kern w:val="0"/>
          <w:szCs w:val="24"/>
          <w:highlight w:val="none"/>
        </w:rPr>
        <w:t>材料设备</w:t>
      </w:r>
      <w:r>
        <w:rPr>
          <w:rFonts w:ascii="宋体" w:hAnsi="宋体" w:eastAsia="宋体" w:cs="Times New Roman"/>
          <w:color w:val="auto"/>
          <w:kern w:val="0"/>
          <w:szCs w:val="24"/>
          <w:highlight w:val="none"/>
        </w:rPr>
        <w:t>单价计算</w:t>
      </w:r>
      <w:r>
        <w:rPr>
          <w:rFonts w:hint="eastAsia" w:ascii="宋体" w:hAnsi="宋体" w:eastAsia="宋体" w:cs="Times New Roman"/>
          <w:color w:val="auto"/>
          <w:kern w:val="0"/>
          <w:szCs w:val="24"/>
          <w:highlight w:val="none"/>
        </w:rPr>
        <w:t xml:space="preserve">； </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承包人实际</w:t>
      </w:r>
      <w:r>
        <w:rPr>
          <w:rFonts w:hint="eastAsia" w:ascii="宋体" w:hAnsi="宋体" w:eastAsia="宋体" w:cs="Times New Roman"/>
          <w:color w:val="auto"/>
          <w:kern w:val="0"/>
          <w:szCs w:val="24"/>
          <w:highlight w:val="none"/>
        </w:rPr>
        <w:t>使用</w:t>
      </w:r>
      <w:r>
        <w:rPr>
          <w:rFonts w:ascii="宋体" w:hAnsi="宋体" w:eastAsia="宋体" w:cs="Times New Roman"/>
          <w:color w:val="auto"/>
          <w:kern w:val="0"/>
          <w:szCs w:val="24"/>
          <w:highlight w:val="none"/>
        </w:rPr>
        <w:t>发包</w:t>
      </w:r>
      <w:r>
        <w:rPr>
          <w:rFonts w:hint="eastAsia" w:ascii="宋体" w:hAnsi="宋体" w:eastAsia="宋体" w:cs="Times New Roman"/>
          <w:color w:val="auto"/>
          <w:kern w:val="0"/>
          <w:szCs w:val="24"/>
          <w:highlight w:val="none"/>
        </w:rPr>
        <w:t>人供应材料设备的</w:t>
      </w:r>
      <w:r>
        <w:rPr>
          <w:rFonts w:ascii="宋体" w:hAnsi="宋体" w:eastAsia="宋体" w:cs="Times New Roman"/>
          <w:color w:val="auto"/>
          <w:kern w:val="0"/>
          <w:szCs w:val="24"/>
          <w:highlight w:val="none"/>
        </w:rPr>
        <w:t>数量</w:t>
      </w:r>
      <w:r>
        <w:rPr>
          <w:rFonts w:hint="eastAsia" w:ascii="宋体" w:hAnsi="宋体" w:eastAsia="宋体" w:cs="Times New Roman"/>
          <w:color w:val="auto"/>
          <w:kern w:val="0"/>
          <w:szCs w:val="24"/>
          <w:highlight w:val="none"/>
        </w:rPr>
        <w:t>超过14.2⑴款确认的</w:t>
      </w:r>
      <w:r>
        <w:rPr>
          <w:rFonts w:ascii="宋体" w:hAnsi="宋体" w:eastAsia="宋体" w:cs="Times New Roman"/>
          <w:color w:val="auto"/>
          <w:kern w:val="0"/>
          <w:szCs w:val="24"/>
          <w:highlight w:val="none"/>
        </w:rPr>
        <w:t>合理数量</w:t>
      </w:r>
      <w:r>
        <w:rPr>
          <w:rFonts w:hint="eastAsia" w:ascii="宋体" w:hAnsi="宋体" w:eastAsia="宋体" w:cs="Times New Roman"/>
          <w:color w:val="auto"/>
          <w:kern w:val="0"/>
          <w:szCs w:val="24"/>
          <w:highlight w:val="none"/>
        </w:rPr>
        <w:t>，超出部分的费用由承包人承担；承包人实际使用</w:t>
      </w:r>
      <w:r>
        <w:rPr>
          <w:rFonts w:ascii="宋体" w:hAnsi="宋体" w:eastAsia="宋体" w:cs="Times New Roman"/>
          <w:color w:val="auto"/>
          <w:kern w:val="0"/>
          <w:szCs w:val="24"/>
          <w:highlight w:val="none"/>
        </w:rPr>
        <w:t>发包</w:t>
      </w:r>
      <w:r>
        <w:rPr>
          <w:rFonts w:hint="eastAsia" w:ascii="宋体" w:hAnsi="宋体" w:eastAsia="宋体" w:cs="Times New Roman"/>
          <w:color w:val="auto"/>
          <w:kern w:val="0"/>
          <w:szCs w:val="24"/>
          <w:highlight w:val="none"/>
        </w:rPr>
        <w:t>人供应材料设备的数量小于14.2⑴款确认的</w:t>
      </w:r>
      <w:r>
        <w:rPr>
          <w:rFonts w:ascii="宋体" w:hAnsi="宋体" w:eastAsia="宋体" w:cs="Times New Roman"/>
          <w:color w:val="auto"/>
          <w:kern w:val="0"/>
          <w:szCs w:val="24"/>
          <w:highlight w:val="none"/>
        </w:rPr>
        <w:t>合理数量</w:t>
      </w:r>
      <w:r>
        <w:rPr>
          <w:rFonts w:hint="eastAsia" w:ascii="宋体" w:hAnsi="宋体" w:eastAsia="宋体" w:cs="Times New Roman"/>
          <w:color w:val="auto"/>
          <w:kern w:val="0"/>
          <w:szCs w:val="24"/>
          <w:highlight w:val="none"/>
        </w:rPr>
        <w:t>，节约的费用按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约定进行分配；</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t>承包人</w:t>
      </w:r>
      <w:r>
        <w:rPr>
          <w:rFonts w:hint="eastAsia" w:ascii="宋体" w:hAnsi="宋体" w:eastAsia="宋体" w:cs="Times New Roman"/>
          <w:color w:val="auto"/>
          <w:kern w:val="0"/>
          <w:szCs w:val="24"/>
          <w:highlight w:val="none"/>
        </w:rPr>
        <w:t>的投标报价中已包括</w:t>
      </w:r>
      <w:r>
        <w:rPr>
          <w:rFonts w:ascii="宋体" w:hAnsi="宋体" w:eastAsia="宋体" w:cs="Times New Roman"/>
          <w:color w:val="auto"/>
          <w:kern w:val="0"/>
          <w:szCs w:val="24"/>
          <w:highlight w:val="none"/>
        </w:rPr>
        <w:t>发包人供应材料设备</w:t>
      </w:r>
      <w:r>
        <w:rPr>
          <w:rFonts w:hint="eastAsia" w:ascii="宋体" w:hAnsi="宋体" w:eastAsia="宋体" w:cs="Times New Roman"/>
          <w:color w:val="auto"/>
          <w:kern w:val="0"/>
          <w:szCs w:val="24"/>
          <w:highlight w:val="none"/>
        </w:rPr>
        <w:t>的场内运输费、</w:t>
      </w:r>
      <w:r>
        <w:rPr>
          <w:rFonts w:ascii="宋体" w:hAnsi="宋体" w:eastAsia="宋体" w:cs="Times New Roman"/>
          <w:color w:val="auto"/>
          <w:kern w:val="0"/>
          <w:szCs w:val="24"/>
          <w:highlight w:val="none"/>
        </w:rPr>
        <w:t>安装</w:t>
      </w:r>
      <w:r>
        <w:rPr>
          <w:rFonts w:hint="eastAsia" w:ascii="宋体" w:hAnsi="宋体" w:eastAsia="宋体" w:cs="Times New Roman"/>
          <w:color w:val="auto"/>
          <w:kern w:val="0"/>
          <w:szCs w:val="24"/>
          <w:highlight w:val="none"/>
        </w:rPr>
        <w:t>费，</w:t>
      </w:r>
      <w:r>
        <w:rPr>
          <w:rFonts w:ascii="宋体" w:hAnsi="宋体" w:eastAsia="宋体" w:cs="Times New Roman"/>
          <w:color w:val="auto"/>
          <w:kern w:val="0"/>
          <w:szCs w:val="24"/>
          <w:highlight w:val="none"/>
        </w:rPr>
        <w:t>结算时不因发包人供应材料设备</w:t>
      </w:r>
      <w:r>
        <w:rPr>
          <w:rFonts w:hint="eastAsia" w:ascii="宋体" w:hAnsi="宋体" w:eastAsia="宋体" w:cs="Times New Roman"/>
          <w:color w:val="auto"/>
          <w:kern w:val="0"/>
          <w:szCs w:val="24"/>
          <w:highlight w:val="none"/>
        </w:rPr>
        <w:t>单价的</w:t>
      </w:r>
      <w:r>
        <w:rPr>
          <w:rFonts w:ascii="宋体" w:hAnsi="宋体" w:eastAsia="宋体" w:cs="Times New Roman"/>
          <w:color w:val="auto"/>
          <w:kern w:val="0"/>
          <w:szCs w:val="24"/>
          <w:highlight w:val="none"/>
        </w:rPr>
        <w:t>变化而调整。</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414" w:name="_Toc305331308"/>
      <w:bookmarkStart w:id="1415" w:name="_Toc7747"/>
      <w:bookmarkStart w:id="1416" w:name="_Toc302635788"/>
      <w:bookmarkStart w:id="1417" w:name="_Toc30875"/>
      <w:bookmarkStart w:id="1418" w:name="_Toc25617"/>
      <w:bookmarkStart w:id="1419" w:name="_Toc5609"/>
      <w:bookmarkStart w:id="1420" w:name="_Toc32197"/>
      <w:bookmarkStart w:id="1421" w:name="_Toc31539"/>
      <w:bookmarkStart w:id="1422" w:name="_Toc24583"/>
      <w:bookmarkStart w:id="1423" w:name="_Toc2967"/>
      <w:bookmarkStart w:id="1424" w:name="_Toc13434"/>
      <w:bookmarkStart w:id="1425" w:name="_Toc34909047"/>
      <w:r>
        <w:rPr>
          <w:rFonts w:hint="eastAsia" w:ascii="宋体" w:hAnsi="宋体" w:eastAsia="宋体" w:cs="Times New Roman"/>
          <w:b/>
          <w:bCs/>
          <w:color w:val="auto"/>
          <w:kern w:val="0"/>
          <w:sz w:val="24"/>
          <w:szCs w:val="24"/>
          <w:highlight w:val="none"/>
          <w:lang w:val="en-US" w:eastAsia="zh-CN" w:bidi="ar-SA"/>
        </w:rPr>
        <w:t>发包人供应材料设备承担的责任</w:t>
      </w:r>
      <w:bookmarkEnd w:id="1414"/>
      <w:bookmarkEnd w:id="1415"/>
      <w:bookmarkEnd w:id="1416"/>
      <w:bookmarkEnd w:id="1417"/>
      <w:bookmarkEnd w:id="1418"/>
      <w:bookmarkEnd w:id="1419"/>
      <w:bookmarkEnd w:id="1420"/>
      <w:bookmarkEnd w:id="1421"/>
      <w:bookmarkEnd w:id="1422"/>
      <w:bookmarkEnd w:id="1423"/>
      <w:bookmarkEnd w:id="1424"/>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发包人供应的材料设备与专用条款14.1（1）发包人供应材料设备清单中的约定不符时，发包人承担相关责任，具体如下：</w:t>
      </w:r>
      <w:bookmarkEnd w:id="1425"/>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⑴材料设备单价不符合约定，由发包人承担所有价差；</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⑵材料设备的品种、规格、型号、质量等级不符合约定，承包人可拒绝接收、保管，由发包人负责运出施工场地并重新采购；</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⑶材料设备的到货地点不符合约定，由发包人负责运至材料设备清单约定的地点；</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⑷材料设备供应数量不符合约定，多于清单中约定的数量时由发包人负责运出施工场地，少于清单中约定数量时由发包人负责补齐；</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⑸材料设备到货交接时间不符合约定，早于约定时间的由发包人承担因此产生的保管费用，迟于约定时间给承包人造成损失和(或)导致工期延误的，发包人应赔偿承包人损失，顺延延误的工期。</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426" w:name="_Toc10641"/>
      <w:bookmarkStart w:id="1427" w:name="_Toc20769"/>
      <w:bookmarkStart w:id="1428" w:name="_Toc25464"/>
      <w:bookmarkStart w:id="1429" w:name="_Toc22434"/>
      <w:bookmarkStart w:id="1430" w:name="_Toc297"/>
      <w:bookmarkStart w:id="1431" w:name="_Toc305331309"/>
      <w:bookmarkStart w:id="1432" w:name="_Toc302635789"/>
      <w:bookmarkStart w:id="1433" w:name="_Toc17119"/>
      <w:bookmarkStart w:id="1434" w:name="_Toc35656483"/>
      <w:bookmarkStart w:id="1435" w:name="_Toc15574"/>
      <w:bookmarkStart w:id="1436" w:name="_Toc29533"/>
      <w:bookmarkStart w:id="1437" w:name="_Toc307"/>
      <w:bookmarkStart w:id="1438" w:name="_Toc34909050"/>
      <w:bookmarkStart w:id="1439" w:name="_Toc35656985"/>
      <w:r>
        <w:rPr>
          <w:rFonts w:hint="eastAsia" w:ascii="宋体" w:hAnsi="宋体" w:eastAsia="宋体" w:cs="Times New Roman"/>
          <w:b/>
          <w:bCs/>
          <w:color w:val="auto"/>
          <w:kern w:val="0"/>
          <w:sz w:val="24"/>
          <w:szCs w:val="24"/>
          <w:highlight w:val="none"/>
          <w:lang w:val="en-US" w:eastAsia="zh-CN" w:bidi="ar-SA"/>
        </w:rPr>
        <w:t>承包人采购材料设备</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1440" w:name="_Toc34909051"/>
      <w:r>
        <w:rPr>
          <w:rFonts w:hint="eastAsia" w:ascii="宋体" w:hAnsi="宋体" w:eastAsia="宋体" w:cs="Times New Roman"/>
          <w:color w:val="auto"/>
          <w:kern w:val="0"/>
          <w:szCs w:val="24"/>
          <w:highlight w:val="none"/>
        </w:rPr>
        <w:t>承包人负责采购的材料设备，应符合设计、标准、规范、招标文件、</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约定的要求以及投标文件的承诺，并提供产品质量合格证明，承包人对材料设备质量负责。</w:t>
      </w:r>
      <w:r>
        <w:rPr>
          <w:rFonts w:ascii="宋体" w:hAnsi="宋体" w:eastAsia="宋体" w:cs="Times New Roman"/>
          <w:color w:val="auto"/>
          <w:kern w:val="0"/>
          <w:szCs w:val="24"/>
          <w:highlight w:val="none"/>
        </w:rPr>
        <w:t>合同约定由承包人采购的材料、工程设备，发包人不得指定生产厂家或供应商，发包人违反本款约定指定生产厂家或供应商的，承包人有权拒绝。</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承包人应负责其采购的所有材料设备的包装、运输、接收、装卸、存储和保护，并承担因货物运输引起的民事和(或)刑事责任。承包人应在材料设备到货前24小时通知发包人，双方在</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的见证下进行联合验收。</w:t>
      </w:r>
      <w:bookmarkEnd w:id="1440"/>
      <w:bookmarkStart w:id="1441" w:name="_Toc34909054"/>
    </w:p>
    <w:bookmarkEnd w:id="1441"/>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442" w:name="_Toc9215"/>
      <w:bookmarkStart w:id="1443" w:name="_Toc26978"/>
      <w:bookmarkStart w:id="1444" w:name="_Toc15273"/>
      <w:bookmarkStart w:id="1445" w:name="_Toc16216"/>
      <w:bookmarkStart w:id="1446" w:name="_Toc18338"/>
      <w:bookmarkStart w:id="1447" w:name="_Toc5094"/>
      <w:bookmarkStart w:id="1448" w:name="_Toc5239"/>
      <w:bookmarkStart w:id="1449" w:name="_Toc26985"/>
      <w:bookmarkStart w:id="1450" w:name="_Toc19402"/>
      <w:bookmarkStart w:id="1451" w:name="_Toc302635790"/>
      <w:bookmarkStart w:id="1452" w:name="_Toc305331310"/>
      <w:bookmarkStart w:id="1453" w:name="_Toc34909052"/>
      <w:r>
        <w:rPr>
          <w:rFonts w:hint="eastAsia" w:ascii="宋体" w:hAnsi="宋体" w:eastAsia="宋体" w:cs="Times New Roman"/>
          <w:b/>
          <w:bCs/>
          <w:color w:val="auto"/>
          <w:kern w:val="0"/>
          <w:sz w:val="24"/>
          <w:szCs w:val="24"/>
          <w:highlight w:val="none"/>
          <w:lang w:val="en-US" w:eastAsia="zh-CN" w:bidi="ar-SA"/>
        </w:rPr>
        <w:t>承包人采购材料设备承担的责任</w:t>
      </w:r>
      <w:bookmarkEnd w:id="1442"/>
      <w:bookmarkEnd w:id="1443"/>
      <w:bookmarkEnd w:id="1444"/>
      <w:bookmarkEnd w:id="1445"/>
      <w:bookmarkEnd w:id="1446"/>
      <w:bookmarkEnd w:id="1447"/>
      <w:bookmarkEnd w:id="1448"/>
      <w:bookmarkEnd w:id="1449"/>
      <w:bookmarkEnd w:id="1450"/>
      <w:bookmarkEnd w:id="1451"/>
      <w:bookmarkEnd w:id="1452"/>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⑴承包人采购的材料设备与14.4款约定的要求不符时，承包人应按</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要求的时间运出施工场地，重新采购符合要求的材料设备，承担因此产生的费用，由此延误的工期不予顺延。</w:t>
      </w:r>
    </w:p>
    <w:p>
      <w:pPr>
        <w:tabs>
          <w:tab w:val="left" w:pos="1620"/>
          <w:tab w:val="left" w:pos="2340"/>
        </w:tabs>
        <w:spacing w:after="156"/>
        <w:ind w:left="899"/>
        <w:jc w:val="left"/>
        <w:rPr>
          <w:rFonts w:hint="eastAsia" w:ascii="Times New Roman" w:hAnsi="Times New Roman" w:eastAsia="宋体" w:cs="Times New Roman"/>
          <w:color w:val="auto"/>
          <w:kern w:val="0"/>
          <w:szCs w:val="24"/>
          <w:highlight w:val="none"/>
        </w:rPr>
      </w:pPr>
      <w:r>
        <w:rPr>
          <w:rFonts w:hint="eastAsia" w:ascii="Times New Roman" w:hAnsi="Times New Roman" w:eastAsia="宋体" w:cs="Times New Roman"/>
          <w:color w:val="auto"/>
          <w:kern w:val="0"/>
          <w:szCs w:val="24"/>
          <w:highlight w:val="none"/>
        </w:rPr>
        <w:t>⑵承包人使用了不符合14.4款约定要求的材料设备，则应按</w:t>
      </w:r>
      <w:r>
        <w:rPr>
          <w:rFonts w:ascii="Times New Roman" w:hAnsi="Times New Roman" w:eastAsia="宋体" w:cs="Times New Roman"/>
          <w:color w:val="auto"/>
          <w:kern w:val="0"/>
          <w:szCs w:val="24"/>
          <w:highlight w:val="none"/>
        </w:rPr>
        <w:t>监理人</w:t>
      </w:r>
      <w:r>
        <w:rPr>
          <w:rFonts w:hint="eastAsia" w:ascii="Times New Roman" w:hAnsi="Times New Roman" w:eastAsia="宋体" w:cs="Times New Roman"/>
          <w:color w:val="auto"/>
          <w:kern w:val="0"/>
          <w:szCs w:val="24"/>
          <w:highlight w:val="none"/>
        </w:rPr>
        <w:t>的指令负责修复、拆除或重新采购，并承担因此产生的费用，由此延误的工期不予顺延。</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454" w:name="_Toc26104"/>
      <w:bookmarkStart w:id="1455" w:name="_Toc17135"/>
      <w:bookmarkStart w:id="1456" w:name="_Toc4020"/>
      <w:bookmarkStart w:id="1457" w:name="_Toc8514"/>
      <w:bookmarkStart w:id="1458" w:name="_Toc1175"/>
      <w:bookmarkStart w:id="1459" w:name="_Toc24251"/>
      <w:bookmarkStart w:id="1460" w:name="_Toc11228"/>
      <w:bookmarkStart w:id="1461" w:name="_Toc302635791"/>
      <w:bookmarkStart w:id="1462" w:name="_Toc4940"/>
      <w:bookmarkStart w:id="1463" w:name="_Toc18353"/>
      <w:r>
        <w:rPr>
          <w:rFonts w:hint="eastAsia" w:ascii="宋体" w:hAnsi="宋体" w:eastAsia="宋体" w:cs="Times New Roman"/>
          <w:b/>
          <w:bCs/>
          <w:color w:val="auto"/>
          <w:kern w:val="0"/>
          <w:sz w:val="24"/>
          <w:szCs w:val="24"/>
          <w:highlight w:val="none"/>
          <w:lang w:val="en-US" w:eastAsia="zh-CN" w:bidi="ar-SA"/>
        </w:rPr>
        <w:t>材料和工程设备的替代</w:t>
      </w:r>
      <w:bookmarkEnd w:id="1454"/>
      <w:bookmarkEnd w:id="1455"/>
      <w:bookmarkEnd w:id="1456"/>
      <w:bookmarkEnd w:id="1457"/>
      <w:bookmarkEnd w:id="1458"/>
      <w:bookmarkEnd w:id="1459"/>
      <w:bookmarkEnd w:id="1460"/>
      <w:bookmarkEnd w:id="1461"/>
      <w:bookmarkEnd w:id="1462"/>
      <w:bookmarkEnd w:id="1463"/>
    </w:p>
    <w:p>
      <w:pPr>
        <w:tabs>
          <w:tab w:val="left" w:pos="1620"/>
          <w:tab w:val="left" w:pos="2340"/>
        </w:tabs>
        <w:spacing w:after="156"/>
        <w:ind w:left="850" w:leftChars="405" w:firstLine="92" w:firstLineChars="44"/>
        <w:jc w:val="left"/>
        <w:rPr>
          <w:rFonts w:ascii="Times New Roman" w:hAnsi="Times New Roman"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Times New Roman" w:hAnsi="Times New Roman" w:eastAsia="宋体" w:cs="Times New Roman"/>
          <w:color w:val="auto"/>
          <w:kern w:val="0"/>
          <w:szCs w:val="24"/>
          <w:highlight w:val="none"/>
        </w:rPr>
        <w:t>出现下列情况需要使用替代材料和工程设备的，承包人应按照第</w:t>
      </w:r>
      <w:r>
        <w:rPr>
          <w:rFonts w:hint="eastAsia" w:ascii="Times New Roman" w:hAnsi="Times New Roman" w:eastAsia="宋体" w:cs="Times New Roman"/>
          <w:color w:val="auto"/>
          <w:kern w:val="0"/>
          <w:szCs w:val="24"/>
          <w:highlight w:val="none"/>
        </w:rPr>
        <w:t>14</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6</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（2）</w:t>
      </w:r>
      <w:r>
        <w:rPr>
          <w:rFonts w:ascii="Times New Roman" w:hAnsi="Times New Roman" w:eastAsia="宋体" w:cs="Times New Roman"/>
          <w:color w:val="auto"/>
          <w:kern w:val="0"/>
          <w:szCs w:val="24"/>
          <w:highlight w:val="none"/>
        </w:rPr>
        <w:t>项约定的程序执行：</w:t>
      </w:r>
    </w:p>
    <w:p>
      <w:pPr>
        <w:tabs>
          <w:tab w:val="left" w:pos="1620"/>
          <w:tab w:val="left" w:pos="2340"/>
        </w:tabs>
        <w:spacing w:after="156"/>
        <w:ind w:left="1109" w:leftChars="528"/>
        <w:jc w:val="left"/>
        <w:rPr>
          <w:rFonts w:ascii="Times New Roman" w:hAnsi="Times New Roman" w:eastAsia="宋体" w:cs="Times New Roman"/>
          <w:color w:val="auto"/>
          <w:kern w:val="0"/>
          <w:szCs w:val="24"/>
          <w:highlight w:val="none"/>
        </w:rPr>
      </w:pPr>
      <w:r>
        <w:rPr>
          <w:rFonts w:hint="eastAsia" w:ascii="宋体" w:hAnsi="宋体" w:eastAsia="宋体" w:cs="Times New Roman"/>
          <w:color w:val="auto"/>
          <w:kern w:val="0"/>
          <w:szCs w:val="24"/>
          <w:highlight w:val="none"/>
        </w:rPr>
        <w:t>①</w:t>
      </w:r>
      <w:r>
        <w:rPr>
          <w:rFonts w:ascii="Times New Roman" w:hAnsi="Times New Roman" w:eastAsia="宋体" w:cs="Times New Roman"/>
          <w:color w:val="auto"/>
          <w:kern w:val="0"/>
          <w:szCs w:val="24"/>
          <w:highlight w:val="none"/>
        </w:rPr>
        <w:t>基准日</w:t>
      </w:r>
      <w:r>
        <w:rPr>
          <w:rFonts w:hint="eastAsia" w:ascii="Times New Roman" w:hAnsi="Times New Roman" w:eastAsia="宋体" w:cs="Times New Roman"/>
          <w:color w:val="auto"/>
          <w:kern w:val="0"/>
          <w:szCs w:val="24"/>
          <w:highlight w:val="none"/>
        </w:rPr>
        <w:t>期</w:t>
      </w:r>
      <w:r>
        <w:rPr>
          <w:rFonts w:ascii="Times New Roman" w:hAnsi="Times New Roman" w:eastAsia="宋体" w:cs="Times New Roman"/>
          <w:color w:val="auto"/>
          <w:kern w:val="0"/>
          <w:szCs w:val="24"/>
          <w:highlight w:val="none"/>
        </w:rPr>
        <w:t>后生效的法律规定禁止使用的；</w:t>
      </w:r>
    </w:p>
    <w:p>
      <w:pPr>
        <w:tabs>
          <w:tab w:val="left" w:pos="1620"/>
          <w:tab w:val="left" w:pos="2340"/>
        </w:tabs>
        <w:spacing w:after="156"/>
        <w:ind w:left="1109" w:leftChars="528"/>
        <w:jc w:val="left"/>
        <w:rPr>
          <w:rFonts w:ascii="Times New Roman" w:hAnsi="Times New Roman" w:eastAsia="宋体" w:cs="Times New Roman"/>
          <w:color w:val="auto"/>
          <w:kern w:val="0"/>
          <w:szCs w:val="24"/>
          <w:highlight w:val="none"/>
        </w:rPr>
      </w:pPr>
      <w:r>
        <w:rPr>
          <w:rFonts w:hint="eastAsia" w:ascii="宋体" w:hAnsi="宋体" w:eastAsia="宋体" w:cs="Times New Roman"/>
          <w:color w:val="auto"/>
          <w:kern w:val="0"/>
          <w:szCs w:val="24"/>
          <w:highlight w:val="none"/>
        </w:rPr>
        <w:t>②</w:t>
      </w:r>
      <w:r>
        <w:rPr>
          <w:rFonts w:ascii="Times New Roman" w:hAnsi="Times New Roman" w:eastAsia="宋体" w:cs="Times New Roman"/>
          <w:color w:val="auto"/>
          <w:kern w:val="0"/>
          <w:szCs w:val="24"/>
          <w:highlight w:val="none"/>
        </w:rPr>
        <w:t>发包人要求使用替代品的；</w:t>
      </w:r>
    </w:p>
    <w:p>
      <w:pPr>
        <w:tabs>
          <w:tab w:val="left" w:pos="1620"/>
          <w:tab w:val="left" w:pos="2340"/>
        </w:tabs>
        <w:spacing w:after="156"/>
        <w:ind w:left="1109" w:leftChars="528"/>
        <w:jc w:val="left"/>
        <w:rPr>
          <w:rFonts w:hint="eastAsia" w:ascii="Times New Roman" w:hAnsi="Times New Roman" w:eastAsia="宋体" w:cs="Times New Roman"/>
          <w:color w:val="auto"/>
          <w:kern w:val="0"/>
          <w:szCs w:val="24"/>
          <w:highlight w:val="none"/>
        </w:rPr>
      </w:pPr>
      <w:r>
        <w:rPr>
          <w:rFonts w:hint="eastAsia" w:ascii="宋体" w:hAnsi="宋体" w:eastAsia="宋体" w:cs="Times New Roman"/>
          <w:color w:val="auto"/>
          <w:kern w:val="0"/>
          <w:szCs w:val="24"/>
          <w:highlight w:val="none"/>
        </w:rPr>
        <w:t>③</w:t>
      </w:r>
      <w:r>
        <w:rPr>
          <w:rFonts w:ascii="Times New Roman" w:hAnsi="Times New Roman" w:eastAsia="宋体" w:cs="Times New Roman"/>
          <w:color w:val="auto"/>
          <w:kern w:val="0"/>
          <w:szCs w:val="24"/>
          <w:highlight w:val="none"/>
        </w:rPr>
        <w:t>因其他原因必须使用替代品的。</w:t>
      </w:r>
    </w:p>
    <w:p>
      <w:pPr>
        <w:tabs>
          <w:tab w:val="left" w:pos="1620"/>
          <w:tab w:val="left" w:pos="2340"/>
        </w:tabs>
        <w:spacing w:after="156"/>
        <w:ind w:left="899"/>
        <w:jc w:val="left"/>
        <w:rPr>
          <w:rFonts w:ascii="Times New Roman" w:hAnsi="Times New Roman" w:eastAsia="宋体" w:cs="Times New Roman"/>
          <w:color w:val="auto"/>
          <w:kern w:val="0"/>
          <w:szCs w:val="24"/>
          <w:highlight w:val="none"/>
        </w:rPr>
      </w:pPr>
      <w:r>
        <w:rPr>
          <w:rFonts w:hint="eastAsia" w:ascii="Times New Roman" w:hAnsi="Times New Roman" w:eastAsia="宋体" w:cs="Times New Roman"/>
          <w:color w:val="auto"/>
          <w:kern w:val="0"/>
          <w:szCs w:val="24"/>
          <w:highlight w:val="none"/>
        </w:rPr>
        <w:t>⑵承包人需要使用替代材料设备应在</w:t>
      </w:r>
      <w:r>
        <w:rPr>
          <w:rFonts w:hint="eastAsia" w:ascii="Times New Roman" w:hAnsi="Times New Roman" w:eastAsia="宋体" w:cs="Times New Roman"/>
          <w:b/>
          <w:i/>
          <w:color w:val="auto"/>
          <w:kern w:val="0"/>
          <w:szCs w:val="24"/>
          <w:highlight w:val="none"/>
        </w:rPr>
        <w:t>专用条款</w:t>
      </w:r>
      <w:r>
        <w:rPr>
          <w:rFonts w:hint="eastAsia" w:ascii="Times New Roman" w:hAnsi="Times New Roman" w:eastAsia="宋体" w:cs="Times New Roman"/>
          <w:color w:val="auto"/>
          <w:kern w:val="0"/>
          <w:szCs w:val="24"/>
          <w:highlight w:val="none"/>
        </w:rPr>
        <w:t>约定的时限前向</w:t>
      </w:r>
      <w:r>
        <w:rPr>
          <w:rFonts w:ascii="Times New Roman" w:hAnsi="Times New Roman" w:eastAsia="宋体" w:cs="Times New Roman"/>
          <w:color w:val="auto"/>
          <w:kern w:val="0"/>
          <w:szCs w:val="24"/>
          <w:highlight w:val="none"/>
        </w:rPr>
        <w:t>监理人</w:t>
      </w:r>
      <w:r>
        <w:rPr>
          <w:rFonts w:hint="eastAsia" w:ascii="Times New Roman" w:hAnsi="Times New Roman" w:eastAsia="宋体" w:cs="Times New Roman"/>
          <w:color w:val="auto"/>
          <w:kern w:val="0"/>
          <w:szCs w:val="24"/>
          <w:highlight w:val="none"/>
        </w:rPr>
        <w:t>提出申请，</w:t>
      </w:r>
      <w:r>
        <w:rPr>
          <w:rFonts w:ascii="Times New Roman" w:hAnsi="Times New Roman" w:eastAsia="宋体" w:cs="Times New Roman"/>
          <w:color w:val="auto"/>
          <w:kern w:val="0"/>
          <w:szCs w:val="24"/>
          <w:highlight w:val="none"/>
        </w:rPr>
        <w:t>监理人</w:t>
      </w:r>
      <w:r>
        <w:rPr>
          <w:rFonts w:hint="eastAsia" w:ascii="Times New Roman" w:hAnsi="Times New Roman" w:eastAsia="宋体" w:cs="Times New Roman"/>
          <w:color w:val="auto"/>
          <w:kern w:val="0"/>
          <w:szCs w:val="24"/>
          <w:highlight w:val="none"/>
        </w:rPr>
        <w:t>应在</w:t>
      </w:r>
      <w:r>
        <w:rPr>
          <w:rFonts w:hint="eastAsia" w:ascii="Times New Roman" w:hAnsi="Times New Roman" w:eastAsia="宋体" w:cs="Times New Roman"/>
          <w:b/>
          <w:i/>
          <w:color w:val="auto"/>
          <w:kern w:val="0"/>
          <w:szCs w:val="24"/>
          <w:highlight w:val="none"/>
        </w:rPr>
        <w:t>专用条款</w:t>
      </w:r>
      <w:r>
        <w:rPr>
          <w:rFonts w:hint="eastAsia" w:ascii="Times New Roman" w:hAnsi="Times New Roman" w:eastAsia="宋体" w:cs="Times New Roman"/>
          <w:color w:val="auto"/>
          <w:kern w:val="0"/>
          <w:szCs w:val="24"/>
          <w:highlight w:val="none"/>
        </w:rPr>
        <w:t>约定的时限内发书面指示报发包人</w:t>
      </w:r>
      <w:bookmarkEnd w:id="1453"/>
      <w:r>
        <w:rPr>
          <w:rFonts w:hint="eastAsia" w:ascii="Times New Roman" w:hAnsi="Times New Roman" w:eastAsia="宋体" w:cs="Times New Roman"/>
          <w:color w:val="auto"/>
          <w:kern w:val="0"/>
          <w:szCs w:val="24"/>
          <w:highlight w:val="none"/>
        </w:rPr>
        <w:t>，</w:t>
      </w:r>
      <w:r>
        <w:rPr>
          <w:rFonts w:ascii="Times New Roman" w:hAnsi="Times New Roman" w:eastAsia="宋体" w:cs="Times New Roman"/>
          <w:color w:val="auto"/>
          <w:kern w:val="0"/>
          <w:szCs w:val="24"/>
          <w:highlight w:val="none"/>
        </w:rPr>
        <w:t>监理人逾期发出书面指示的，视为发包人和监理人同意使用替代品。</w:t>
      </w:r>
      <w:r>
        <w:rPr>
          <w:rFonts w:hint="eastAsia" w:ascii="Times New Roman" w:hAnsi="Times New Roman" w:eastAsia="宋体" w:cs="Times New Roman"/>
          <w:color w:val="auto"/>
          <w:kern w:val="0"/>
          <w:szCs w:val="24"/>
          <w:highlight w:val="none"/>
        </w:rPr>
        <w:t>替代</w:t>
      </w:r>
      <w:r>
        <w:rPr>
          <w:rFonts w:ascii="Times New Roman" w:hAnsi="Times New Roman" w:eastAsia="宋体" w:cs="Times New Roman"/>
          <w:color w:val="auto"/>
          <w:kern w:val="0"/>
          <w:szCs w:val="24"/>
          <w:highlight w:val="none"/>
        </w:rPr>
        <w:t>材料</w:t>
      </w:r>
      <w:r>
        <w:rPr>
          <w:rFonts w:hint="eastAsia" w:ascii="Times New Roman" w:hAnsi="Times New Roman" w:eastAsia="宋体" w:cs="Times New Roman"/>
          <w:color w:val="auto"/>
          <w:kern w:val="0"/>
          <w:szCs w:val="24"/>
          <w:highlight w:val="none"/>
        </w:rPr>
        <w:t>设备的</w:t>
      </w:r>
      <w:r>
        <w:rPr>
          <w:rFonts w:ascii="Times New Roman" w:hAnsi="Times New Roman" w:eastAsia="宋体" w:cs="Times New Roman"/>
          <w:color w:val="auto"/>
          <w:kern w:val="0"/>
          <w:szCs w:val="24"/>
          <w:highlight w:val="none"/>
        </w:rPr>
        <w:t>品质</w:t>
      </w:r>
      <w:r>
        <w:rPr>
          <w:rFonts w:hint="eastAsia" w:ascii="Times New Roman" w:hAnsi="Times New Roman" w:eastAsia="宋体" w:cs="Times New Roman"/>
          <w:color w:val="auto"/>
          <w:kern w:val="0"/>
          <w:szCs w:val="24"/>
          <w:highlight w:val="none"/>
        </w:rPr>
        <w:t>、</w:t>
      </w:r>
      <w:r>
        <w:rPr>
          <w:rFonts w:ascii="Times New Roman" w:hAnsi="Times New Roman" w:eastAsia="宋体" w:cs="Times New Roman"/>
          <w:color w:val="auto"/>
          <w:kern w:val="0"/>
          <w:szCs w:val="24"/>
          <w:highlight w:val="none"/>
        </w:rPr>
        <w:t>标准、性能不能低于被</w:t>
      </w:r>
      <w:r>
        <w:rPr>
          <w:rFonts w:hint="eastAsia" w:ascii="Times New Roman" w:hAnsi="Times New Roman" w:eastAsia="宋体" w:cs="Times New Roman"/>
          <w:color w:val="auto"/>
          <w:kern w:val="0"/>
          <w:szCs w:val="24"/>
          <w:highlight w:val="none"/>
        </w:rPr>
        <w:t>替代</w:t>
      </w:r>
      <w:r>
        <w:rPr>
          <w:rFonts w:ascii="Times New Roman" w:hAnsi="Times New Roman" w:eastAsia="宋体" w:cs="Times New Roman"/>
          <w:color w:val="auto"/>
          <w:kern w:val="0"/>
          <w:szCs w:val="24"/>
          <w:highlight w:val="none"/>
        </w:rPr>
        <w:t>材料，</w:t>
      </w:r>
      <w:r>
        <w:rPr>
          <w:rFonts w:hint="eastAsia" w:ascii="Times New Roman" w:hAnsi="Times New Roman" w:eastAsia="宋体" w:cs="Times New Roman"/>
          <w:color w:val="auto"/>
          <w:kern w:val="0"/>
          <w:szCs w:val="24"/>
          <w:highlight w:val="none"/>
        </w:rPr>
        <w:t>因此增减的合同价格和产生的费用的承担，承发包双方在</w:t>
      </w:r>
      <w:r>
        <w:rPr>
          <w:rFonts w:hint="eastAsia" w:ascii="Times New Roman" w:hAnsi="Times New Roman" w:eastAsia="宋体" w:cs="Times New Roman"/>
          <w:b/>
          <w:i/>
          <w:color w:val="auto"/>
          <w:kern w:val="0"/>
          <w:szCs w:val="24"/>
          <w:highlight w:val="none"/>
        </w:rPr>
        <w:t>专用条款</w:t>
      </w:r>
      <w:r>
        <w:rPr>
          <w:rFonts w:hint="eastAsia" w:ascii="Times New Roman" w:hAnsi="Times New Roman" w:eastAsia="宋体" w:cs="Times New Roman"/>
          <w:color w:val="auto"/>
          <w:kern w:val="0"/>
          <w:szCs w:val="24"/>
          <w:highlight w:val="none"/>
        </w:rPr>
        <w:t>中约定。</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464" w:name="_Toc34909031"/>
      <w:bookmarkStart w:id="1465" w:name="_Toc35656983"/>
      <w:bookmarkStart w:id="1466" w:name="_Toc35656481"/>
      <w:bookmarkStart w:id="1467" w:name="_Toc13610"/>
      <w:bookmarkStart w:id="1468" w:name="_Toc305331312"/>
      <w:bookmarkStart w:id="1469" w:name="_Toc32153"/>
      <w:bookmarkStart w:id="1470" w:name="_Toc23577"/>
      <w:bookmarkStart w:id="1471" w:name="_Toc302635792"/>
      <w:bookmarkStart w:id="1472" w:name="_Toc13275"/>
      <w:bookmarkStart w:id="1473" w:name="_Toc29377"/>
      <w:bookmarkStart w:id="1474" w:name="_Toc20442"/>
      <w:bookmarkStart w:id="1475" w:name="_Toc15686"/>
      <w:bookmarkStart w:id="1476" w:name="_Toc13022"/>
      <w:bookmarkStart w:id="1477" w:name="_Toc24940"/>
      <w:r>
        <w:rPr>
          <w:rFonts w:hint="eastAsia" w:ascii="宋体" w:hAnsi="宋体" w:eastAsia="宋体" w:cs="Times New Roman"/>
          <w:b/>
          <w:bCs/>
          <w:color w:val="auto"/>
          <w:kern w:val="0"/>
          <w:sz w:val="24"/>
          <w:szCs w:val="24"/>
          <w:highlight w:val="none"/>
          <w:lang w:val="en-US" w:eastAsia="zh-CN" w:bidi="ar-SA"/>
        </w:rPr>
        <w:t>材料设备</w:t>
      </w:r>
      <w:bookmarkEnd w:id="1464"/>
      <w:bookmarkEnd w:id="1465"/>
      <w:bookmarkEnd w:id="1466"/>
      <w:r>
        <w:rPr>
          <w:rFonts w:hint="eastAsia" w:ascii="宋体" w:hAnsi="宋体" w:eastAsia="宋体" w:cs="Times New Roman"/>
          <w:b/>
          <w:bCs/>
          <w:color w:val="auto"/>
          <w:kern w:val="0"/>
          <w:sz w:val="24"/>
          <w:szCs w:val="24"/>
          <w:highlight w:val="none"/>
          <w:lang w:val="en-US" w:eastAsia="zh-CN" w:bidi="ar-SA"/>
        </w:rPr>
        <w:t>的检验</w:t>
      </w:r>
      <w:bookmarkEnd w:id="1467"/>
      <w:bookmarkEnd w:id="1468"/>
      <w:bookmarkEnd w:id="1469"/>
      <w:bookmarkEnd w:id="1470"/>
      <w:bookmarkEnd w:id="1471"/>
      <w:bookmarkEnd w:id="1472"/>
      <w:bookmarkEnd w:id="1473"/>
      <w:bookmarkEnd w:id="1474"/>
      <w:bookmarkEnd w:id="1475"/>
      <w:bookmarkEnd w:id="1476"/>
      <w:bookmarkEnd w:id="1477"/>
    </w:p>
    <w:p>
      <w:pPr>
        <w:tabs>
          <w:tab w:val="left" w:pos="1620"/>
          <w:tab w:val="left" w:pos="2340"/>
        </w:tabs>
        <w:spacing w:after="156"/>
        <w:ind w:left="899"/>
        <w:jc w:val="left"/>
        <w:rPr>
          <w:rFonts w:ascii="Times New Roman" w:hAnsi="Times New Roman" w:eastAsia="宋体" w:cs="Times New Roman"/>
          <w:color w:val="auto"/>
          <w:kern w:val="0"/>
          <w:szCs w:val="24"/>
          <w:highlight w:val="none"/>
        </w:rPr>
      </w:pPr>
      <w:bookmarkStart w:id="1478" w:name="_Toc34909032"/>
      <w:r>
        <w:rPr>
          <w:rFonts w:hint="eastAsia" w:ascii="宋体" w:hAnsi="宋体" w:eastAsia="宋体" w:cs="Times New Roman"/>
          <w:color w:val="auto"/>
          <w:kern w:val="0"/>
          <w:szCs w:val="24"/>
          <w:highlight w:val="none"/>
        </w:rPr>
        <w:t>⑴</w:t>
      </w:r>
      <w:r>
        <w:rPr>
          <w:rFonts w:hint="eastAsia" w:ascii="Times New Roman" w:hAnsi="Times New Roman" w:eastAsia="宋体" w:cs="Times New Roman"/>
          <w:color w:val="auto"/>
          <w:kern w:val="0"/>
          <w:szCs w:val="24"/>
          <w:highlight w:val="none"/>
        </w:rPr>
        <w:t>本工程一切材料设备在</w:t>
      </w:r>
      <w:bookmarkEnd w:id="1478"/>
      <w:bookmarkStart w:id="1479" w:name="_Toc34909033"/>
      <w:r>
        <w:rPr>
          <w:rFonts w:hint="eastAsia" w:ascii="Times New Roman" w:hAnsi="Times New Roman" w:eastAsia="宋体" w:cs="Times New Roman"/>
          <w:color w:val="auto"/>
          <w:kern w:val="0"/>
          <w:szCs w:val="24"/>
          <w:highlight w:val="none"/>
        </w:rPr>
        <w:t>用于本工程之前，均应按照法律、法规、规章和有关标准、规范的规定以及</w:t>
      </w:r>
      <w:r>
        <w:rPr>
          <w:rFonts w:hint="eastAsia" w:ascii="Times New Roman" w:hAnsi="Times New Roman" w:eastAsia="宋体" w:cs="Times New Roman"/>
          <w:b/>
          <w:i/>
          <w:color w:val="auto"/>
          <w:kern w:val="0"/>
          <w:szCs w:val="24"/>
          <w:highlight w:val="none"/>
        </w:rPr>
        <w:t>专用条款</w:t>
      </w:r>
      <w:r>
        <w:rPr>
          <w:rFonts w:hint="eastAsia" w:ascii="Times New Roman" w:hAnsi="Times New Roman" w:eastAsia="宋体" w:cs="Times New Roman"/>
          <w:color w:val="auto"/>
          <w:kern w:val="0"/>
          <w:szCs w:val="24"/>
          <w:highlight w:val="none"/>
        </w:rPr>
        <w:t>约定的检验时间和地点、取样办法、检验频次和内容等要求，在</w:t>
      </w:r>
      <w:r>
        <w:rPr>
          <w:rFonts w:ascii="Times New Roman" w:hAnsi="Times New Roman" w:eastAsia="宋体" w:cs="Times New Roman"/>
          <w:color w:val="auto"/>
          <w:kern w:val="0"/>
          <w:szCs w:val="24"/>
          <w:highlight w:val="none"/>
        </w:rPr>
        <w:t>监理人</w:t>
      </w:r>
      <w:r>
        <w:rPr>
          <w:rFonts w:hint="eastAsia" w:ascii="Times New Roman" w:hAnsi="Times New Roman" w:eastAsia="宋体" w:cs="Times New Roman"/>
          <w:color w:val="auto"/>
          <w:kern w:val="0"/>
          <w:szCs w:val="24"/>
          <w:highlight w:val="none"/>
        </w:rPr>
        <w:t>的监督、见证下，由承包人负责取样并送</w:t>
      </w:r>
      <w:r>
        <w:rPr>
          <w:rFonts w:hint="eastAsia" w:ascii="Times New Roman" w:hAnsi="Times New Roman" w:eastAsia="宋体" w:cs="Times New Roman"/>
          <w:b/>
          <w:i/>
          <w:color w:val="auto"/>
          <w:kern w:val="0"/>
          <w:szCs w:val="24"/>
          <w:highlight w:val="none"/>
        </w:rPr>
        <w:t>专用条款</w:t>
      </w:r>
      <w:r>
        <w:rPr>
          <w:rFonts w:hint="eastAsia" w:ascii="Times New Roman" w:hAnsi="Times New Roman" w:eastAsia="宋体" w:cs="Times New Roman"/>
          <w:color w:val="auto"/>
          <w:kern w:val="0"/>
          <w:szCs w:val="24"/>
          <w:highlight w:val="none"/>
        </w:rPr>
        <w:t>指定的检验机构进行检验，不合格的不得使用。</w:t>
      </w:r>
      <w:bookmarkEnd w:id="1479"/>
    </w:p>
    <w:p>
      <w:pPr>
        <w:tabs>
          <w:tab w:val="left" w:pos="1620"/>
          <w:tab w:val="left" w:pos="2340"/>
        </w:tabs>
        <w:spacing w:after="156"/>
        <w:ind w:left="899"/>
        <w:jc w:val="left"/>
        <w:rPr>
          <w:rFonts w:hint="eastAsia" w:ascii="Times New Roman" w:hAnsi="Times New Roman" w:eastAsia="宋体" w:cs="Times New Roman"/>
          <w:color w:val="auto"/>
          <w:kern w:val="0"/>
          <w:szCs w:val="24"/>
          <w:highlight w:val="none"/>
        </w:rPr>
      </w:pPr>
      <w:r>
        <w:rPr>
          <w:rFonts w:hint="eastAsia" w:ascii="宋体" w:hAnsi="宋体" w:eastAsia="宋体" w:cs="Times New Roman"/>
          <w:color w:val="auto"/>
          <w:kern w:val="0"/>
          <w:szCs w:val="24"/>
          <w:highlight w:val="none"/>
        </w:rPr>
        <w:t>⑵</w:t>
      </w:r>
      <w:bookmarkStart w:id="1480" w:name="_Toc34909035"/>
      <w:r>
        <w:rPr>
          <w:rFonts w:hint="eastAsia" w:ascii="Times New Roman" w:hAnsi="Times New Roman" w:eastAsia="宋体" w:cs="Times New Roman"/>
          <w:color w:val="auto"/>
          <w:kern w:val="0"/>
          <w:szCs w:val="24"/>
          <w:highlight w:val="none"/>
        </w:rPr>
        <w:t>拟用于本工程的材料设备应当经检验合格后使用。发包人供应的材料设备的检验费用由发包人承担；承包人采购的材料设备检验费用由承包人承担。</w:t>
      </w:r>
    </w:p>
    <w:p>
      <w:pPr>
        <w:tabs>
          <w:tab w:val="left" w:pos="1620"/>
          <w:tab w:val="left" w:pos="2340"/>
        </w:tabs>
        <w:spacing w:after="156"/>
        <w:ind w:left="899"/>
        <w:jc w:val="left"/>
        <w:rPr>
          <w:rFonts w:ascii="Times New Roman" w:hAnsi="Times New Roman"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hint="eastAsia" w:ascii="Times New Roman" w:hAnsi="Times New Roman" w:eastAsia="宋体" w:cs="Times New Roman"/>
          <w:color w:val="auto"/>
          <w:kern w:val="0"/>
          <w:szCs w:val="24"/>
          <w:highlight w:val="none"/>
        </w:rPr>
        <w:t>发包人对具有出厂合格证明材料设备的检验，构件的破坏性检验、其他特殊要求的检验及发包人委托检测机构进行的检测，如经检验合格的，检验费用由发包人承担</w:t>
      </w:r>
      <w:bookmarkEnd w:id="1480"/>
      <w:r>
        <w:rPr>
          <w:rFonts w:hint="eastAsia" w:ascii="Times New Roman" w:hAnsi="Times New Roman" w:eastAsia="宋体" w:cs="Times New Roman"/>
          <w:color w:val="auto"/>
          <w:kern w:val="0"/>
          <w:szCs w:val="24"/>
          <w:highlight w:val="none"/>
        </w:rPr>
        <w:t>；</w:t>
      </w:r>
      <w:bookmarkStart w:id="1481" w:name="_Toc34909036"/>
      <w:r>
        <w:rPr>
          <w:rFonts w:hint="eastAsia" w:ascii="Times New Roman" w:hAnsi="Times New Roman" w:eastAsia="宋体" w:cs="Times New Roman"/>
          <w:color w:val="auto"/>
          <w:kern w:val="0"/>
          <w:szCs w:val="24"/>
          <w:highlight w:val="none"/>
        </w:rPr>
        <w:t>若检验不合格且为承包人采购的材料设备，检验费用由承包人承担。</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482" w:name="_Toc7131"/>
      <w:bookmarkStart w:id="1483" w:name="_Toc24816"/>
      <w:bookmarkStart w:id="1484" w:name="_Toc10597"/>
      <w:bookmarkStart w:id="1485" w:name="_Toc30839"/>
      <w:bookmarkStart w:id="1486" w:name="_Toc20575"/>
      <w:bookmarkStart w:id="1487" w:name="_Toc3324"/>
      <w:bookmarkStart w:id="1488" w:name="_Toc6695"/>
      <w:bookmarkStart w:id="1489" w:name="_Toc302635793"/>
      <w:bookmarkStart w:id="1490" w:name="_Toc5265"/>
      <w:bookmarkStart w:id="1491" w:name="_Toc305331313"/>
      <w:bookmarkStart w:id="1492" w:name="_Toc257"/>
      <w:r>
        <w:rPr>
          <w:rFonts w:hint="eastAsia" w:ascii="宋体" w:hAnsi="宋体" w:eastAsia="宋体" w:cs="Times New Roman"/>
          <w:b/>
          <w:bCs/>
          <w:color w:val="auto"/>
          <w:kern w:val="0"/>
          <w:sz w:val="24"/>
          <w:szCs w:val="24"/>
          <w:highlight w:val="none"/>
          <w:lang w:val="en-US" w:eastAsia="zh-CN" w:bidi="ar-SA"/>
        </w:rPr>
        <w:t>材料设备的再次检验和随时检查</w:t>
      </w:r>
      <w:bookmarkEnd w:id="1482"/>
      <w:bookmarkEnd w:id="1483"/>
      <w:bookmarkEnd w:id="1484"/>
      <w:bookmarkEnd w:id="1485"/>
      <w:bookmarkEnd w:id="1486"/>
      <w:bookmarkEnd w:id="1487"/>
      <w:bookmarkEnd w:id="1488"/>
      <w:bookmarkEnd w:id="1489"/>
      <w:bookmarkEnd w:id="1490"/>
      <w:bookmarkEnd w:id="1491"/>
      <w:bookmarkEnd w:id="1492"/>
    </w:p>
    <w:p>
      <w:pPr>
        <w:tabs>
          <w:tab w:val="left" w:pos="1620"/>
          <w:tab w:val="left" w:pos="2340"/>
        </w:tabs>
        <w:spacing w:after="156"/>
        <w:ind w:left="899"/>
        <w:jc w:val="left"/>
        <w:rPr>
          <w:rFonts w:ascii="Times New Roman" w:hAnsi="Times New Roman"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hint="eastAsia" w:ascii="Times New Roman" w:hAnsi="Times New Roman" w:eastAsia="宋体" w:cs="Times New Roman"/>
          <w:color w:val="auto"/>
          <w:kern w:val="0"/>
          <w:szCs w:val="24"/>
          <w:highlight w:val="none"/>
        </w:rPr>
        <w:t>如</w:t>
      </w:r>
      <w:r>
        <w:rPr>
          <w:rFonts w:ascii="Times New Roman" w:hAnsi="Times New Roman" w:eastAsia="宋体" w:cs="Times New Roman"/>
          <w:color w:val="auto"/>
          <w:kern w:val="0"/>
          <w:szCs w:val="24"/>
          <w:highlight w:val="none"/>
        </w:rPr>
        <w:t>监理人</w:t>
      </w:r>
      <w:r>
        <w:rPr>
          <w:rFonts w:hint="eastAsia" w:ascii="Times New Roman" w:hAnsi="Times New Roman" w:eastAsia="宋体" w:cs="Times New Roman"/>
          <w:color w:val="auto"/>
          <w:kern w:val="0"/>
          <w:szCs w:val="24"/>
          <w:highlight w:val="none"/>
        </w:rPr>
        <w:t>认为需要，可要求对材料设备进行再次检验。发包人供应的材料设备，再次检验费用由发包人承担。承包人采购的材料设备，如再次检验结果表明该材料设备不符合有关标准、规范的规定或本合同的约定，检验费用由承包人承担，否则由发包人承担。</w:t>
      </w:r>
      <w:bookmarkEnd w:id="1481"/>
    </w:p>
    <w:p>
      <w:pPr>
        <w:tabs>
          <w:tab w:val="left" w:pos="1620"/>
          <w:tab w:val="left" w:pos="2340"/>
        </w:tabs>
        <w:spacing w:after="156"/>
        <w:ind w:left="899"/>
        <w:jc w:val="left"/>
        <w:rPr>
          <w:rFonts w:ascii="Times New Roman" w:hAnsi="Times New Roman" w:eastAsia="宋体" w:cs="Times New Roman"/>
          <w:color w:val="auto"/>
          <w:kern w:val="0"/>
          <w:szCs w:val="24"/>
          <w:highlight w:val="none"/>
        </w:rPr>
      </w:pPr>
      <w:bookmarkStart w:id="1493" w:name="_Toc34909037"/>
      <w:r>
        <w:rPr>
          <w:rFonts w:hint="eastAsia" w:ascii="宋体" w:hAnsi="宋体" w:eastAsia="宋体" w:cs="Times New Roman"/>
          <w:color w:val="auto"/>
          <w:kern w:val="0"/>
          <w:szCs w:val="24"/>
          <w:highlight w:val="none"/>
        </w:rPr>
        <w:t>⑵</w:t>
      </w:r>
      <w:r>
        <w:rPr>
          <w:rFonts w:ascii="Times New Roman" w:hAnsi="Times New Roman" w:eastAsia="宋体" w:cs="Times New Roman"/>
          <w:color w:val="auto"/>
          <w:kern w:val="0"/>
          <w:szCs w:val="24"/>
          <w:highlight w:val="none"/>
        </w:rPr>
        <w:t>监理人</w:t>
      </w:r>
      <w:r>
        <w:rPr>
          <w:rFonts w:hint="eastAsia" w:ascii="Times New Roman" w:hAnsi="Times New Roman" w:eastAsia="宋体" w:cs="Times New Roman"/>
          <w:color w:val="auto"/>
          <w:kern w:val="0"/>
          <w:szCs w:val="24"/>
          <w:highlight w:val="none"/>
        </w:rPr>
        <w:t>在一切合理的时间内均应能进入施工现场以及半成品的制造、加工或制配的所有车间和场所，承包人应为其进入上述场所提供一切便利和协助。</w:t>
      </w:r>
      <w:bookmarkEnd w:id="1493"/>
    </w:p>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1494" w:name="_Toc2436"/>
      <w:bookmarkStart w:id="1495" w:name="_Toc21803"/>
      <w:bookmarkStart w:id="1496" w:name="_Toc35656485"/>
      <w:bookmarkStart w:id="1497" w:name="_Toc35656987"/>
      <w:bookmarkStart w:id="1498" w:name="_Toc8485"/>
      <w:bookmarkStart w:id="1499" w:name="_Toc25243"/>
      <w:bookmarkStart w:id="1500" w:name="_Toc34909056"/>
      <w:bookmarkStart w:id="1501" w:name="_Toc28438"/>
      <w:bookmarkStart w:id="1502" w:name="_Toc302635794"/>
      <w:bookmarkStart w:id="1503" w:name="_Toc28745"/>
      <w:bookmarkStart w:id="1504" w:name="_Toc10865"/>
      <w:bookmarkStart w:id="1505" w:name="_Toc7663"/>
      <w:bookmarkStart w:id="1506" w:name="_Toc305331314"/>
      <w:bookmarkStart w:id="1507" w:name="_Toc12232"/>
      <w:r>
        <w:rPr>
          <w:rFonts w:hint="eastAsia" w:ascii="华文细黑" w:hAnsi="宋体" w:eastAsia="宋体" w:cs="Times New Roman"/>
          <w:b/>
          <w:bCs/>
          <w:snapToGrid w:val="0"/>
          <w:color w:val="auto"/>
          <w:kern w:val="0"/>
          <w:sz w:val="28"/>
          <w:szCs w:val="44"/>
          <w:highlight w:val="none"/>
          <w:lang w:val="en-US" w:eastAsia="zh-CN" w:bidi="ar-SA"/>
        </w:rPr>
        <w:t>工程质量和检测</w:t>
      </w:r>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508" w:name="_Toc1243"/>
      <w:bookmarkStart w:id="1509" w:name="_Toc8367"/>
      <w:bookmarkStart w:id="1510" w:name="_Toc13014"/>
      <w:bookmarkStart w:id="1511" w:name="_Toc15182"/>
      <w:bookmarkStart w:id="1512" w:name="_Toc305331315"/>
      <w:bookmarkStart w:id="1513" w:name="_Toc1434"/>
      <w:bookmarkStart w:id="1514" w:name="_Toc29863"/>
      <w:bookmarkStart w:id="1515" w:name="_Toc22515"/>
      <w:bookmarkStart w:id="1516" w:name="_Toc302635795"/>
      <w:bookmarkStart w:id="1517" w:name="_Toc30990"/>
      <w:bookmarkStart w:id="1518" w:name="_Toc26964"/>
      <w:bookmarkStart w:id="1519" w:name="_Toc34909057"/>
      <w:r>
        <w:rPr>
          <w:rFonts w:hint="eastAsia" w:ascii="宋体" w:hAnsi="宋体" w:eastAsia="宋体" w:cs="Times New Roman"/>
          <w:b/>
          <w:bCs/>
          <w:color w:val="auto"/>
          <w:kern w:val="0"/>
          <w:sz w:val="24"/>
          <w:szCs w:val="24"/>
          <w:highlight w:val="none"/>
          <w:lang w:val="en-US" w:eastAsia="zh-CN" w:bidi="ar-SA"/>
        </w:rPr>
        <w:t>工程质量</w:t>
      </w:r>
      <w:bookmarkEnd w:id="1508"/>
      <w:bookmarkEnd w:id="1509"/>
      <w:bookmarkEnd w:id="1510"/>
      <w:bookmarkEnd w:id="1511"/>
      <w:bookmarkEnd w:id="1512"/>
      <w:bookmarkEnd w:id="1513"/>
      <w:bookmarkEnd w:id="1514"/>
      <w:bookmarkEnd w:id="1515"/>
      <w:bookmarkEnd w:id="1516"/>
      <w:bookmarkEnd w:id="1517"/>
      <w:bookmarkEnd w:id="1518"/>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⑴工程质量应达到本合同协议书中约定的质量标准，工程质量标准的评定应以本合同约定的标准、规范为依据</w:t>
      </w:r>
      <w:bookmarkEnd w:id="1519"/>
      <w:r>
        <w:rPr>
          <w:rFonts w:hint="eastAsia" w:ascii="宋体" w:hAnsi="宋体" w:eastAsia="宋体" w:cs="Times New Roman"/>
          <w:color w:val="auto"/>
          <w:kern w:val="0"/>
          <w:szCs w:val="24"/>
          <w:highlight w:val="none"/>
        </w:rPr>
        <w:t>，</w:t>
      </w:r>
      <w:r>
        <w:rPr>
          <w:rFonts w:hint="eastAsia" w:ascii="宋体" w:hAnsi="宋体" w:eastAsia="宋体" w:cs="Times New Roman"/>
          <w:caps/>
          <w:color w:val="auto"/>
          <w:szCs w:val="21"/>
          <w:highlight w:val="none"/>
        </w:rPr>
        <w:t>合同没有约定的，以国家或行业的质量检验评定标准为依据。</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1520" w:name="_Toc34909058"/>
      <w:r>
        <w:rPr>
          <w:rFonts w:hint="eastAsia" w:ascii="宋体" w:hAnsi="宋体" w:eastAsia="宋体" w:cs="Times New Roman"/>
          <w:color w:val="auto"/>
          <w:kern w:val="0"/>
          <w:szCs w:val="24"/>
          <w:highlight w:val="none"/>
        </w:rPr>
        <w:t>⑵承包人应建立质量保证体系，</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有权对体系的任何方面进行审查。遵守质量保证体系不应解除合同约定的承包人的任何义务和职责。</w:t>
      </w:r>
      <w:bookmarkEnd w:id="1520"/>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因发包人原因造成工程质量未达到合同约定标准的，由发包人承担由此增加的费用和（或）延误的工期。</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t>因承包人原因造成工程质量未达到合同约定标准的，发包人有权要求承包人返工直至工程质量达到合同约定的标准为止，并由承包人承担由此增加的费用和（或）延误的工期。</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521" w:name="_Toc31373"/>
      <w:bookmarkStart w:id="1522" w:name="_Toc17892"/>
      <w:bookmarkStart w:id="1523" w:name="_Toc2987"/>
      <w:bookmarkStart w:id="1524" w:name="_Toc24072"/>
      <w:bookmarkStart w:id="1525" w:name="_Toc20379"/>
      <w:bookmarkStart w:id="1526" w:name="_Toc1829"/>
      <w:bookmarkStart w:id="1527" w:name="_Toc24021"/>
      <w:bookmarkStart w:id="1528" w:name="_Toc9216"/>
      <w:bookmarkStart w:id="1529" w:name="_Toc302635796"/>
      <w:bookmarkStart w:id="1530" w:name="_Toc15050"/>
      <w:bookmarkStart w:id="1531" w:name="_Toc305331316"/>
      <w:bookmarkStart w:id="1532" w:name="_Toc34909059"/>
      <w:r>
        <w:rPr>
          <w:rFonts w:hint="eastAsia" w:ascii="宋体" w:hAnsi="宋体" w:eastAsia="宋体" w:cs="Times New Roman"/>
          <w:b/>
          <w:bCs/>
          <w:color w:val="auto"/>
          <w:kern w:val="0"/>
          <w:sz w:val="24"/>
          <w:szCs w:val="24"/>
          <w:highlight w:val="none"/>
          <w:lang w:val="en-US" w:eastAsia="zh-CN" w:bidi="ar-SA"/>
        </w:rPr>
        <w:t>发包人质量控制责任</w:t>
      </w:r>
      <w:bookmarkEnd w:id="1521"/>
      <w:bookmarkEnd w:id="1522"/>
      <w:bookmarkEnd w:id="1523"/>
      <w:bookmarkEnd w:id="1524"/>
      <w:bookmarkEnd w:id="1525"/>
      <w:bookmarkEnd w:id="1526"/>
      <w:bookmarkEnd w:id="1527"/>
      <w:bookmarkEnd w:id="1528"/>
      <w:bookmarkEnd w:id="1529"/>
      <w:bookmarkEnd w:id="1530"/>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发包人应按照法律规定及合同约定完成与工程质量有关的各项工作</w:t>
      </w:r>
      <w:r>
        <w:rPr>
          <w:rFonts w:hint="eastAsia" w:ascii="宋体" w:hAnsi="宋体" w:eastAsia="宋体" w:cs="Times New Roman"/>
          <w:color w:val="auto"/>
          <w:kern w:val="0"/>
          <w:szCs w:val="24"/>
          <w:highlight w:val="none"/>
        </w:rPr>
        <w:t>，其职责包括但不限于下列内容：</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⑴向有关的勘察、设计、施工、工程监理等单位提供与建设工程有关的原始资料。原始资料必须真实、准确、齐全。</w:t>
      </w:r>
    </w:p>
    <w:p>
      <w:pPr>
        <w:tabs>
          <w:tab w:val="left" w:pos="1620"/>
          <w:tab w:val="left" w:pos="2340"/>
        </w:tabs>
        <w:ind w:left="899"/>
        <w:jc w:val="left"/>
        <w:rPr>
          <w:rFonts w:hint="eastAsia" w:ascii="Times New Roman" w:hAnsi="Times New Roman" w:eastAsia="宋体" w:cs="Times New Roman"/>
          <w:color w:val="auto"/>
          <w:szCs w:val="24"/>
          <w:highlight w:val="none"/>
        </w:rPr>
      </w:pPr>
      <w:r>
        <w:rPr>
          <w:rFonts w:hint="eastAsia" w:ascii="宋体" w:hAnsi="宋体" w:eastAsia="宋体" w:cs="Times New Roman"/>
          <w:color w:val="auto"/>
          <w:kern w:val="0"/>
          <w:szCs w:val="24"/>
          <w:highlight w:val="none"/>
        </w:rPr>
        <w:t>⑵不得迫使承包方以低于成本的价格竞标，不得任意压缩合理工期。</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⑶将施工图设计文件报建设行政主管部门或者其他有关部门审查。施工图设计文件未经审查批准的，不得使用。</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⑷按照合同约定，由发包人采购材料、设备的，应保证其符合设计文件和合同要求。</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⑸收到建设工程竣工报告后，组织设计、施工、工程监理等有关单位进行竣工验收。经验收合格的，方可交付使用。</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⑹应严格按照国家有关档案管理的规定，及时收集、整理建设项目各环节的文件资料，建立、健全建设项目档案，并在建设工程竣工验收后，及时向建设行政主管部门或者其他有关部门移交建设项目档案。</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533" w:name="_Toc18814"/>
      <w:bookmarkStart w:id="1534" w:name="_Toc11883"/>
      <w:bookmarkStart w:id="1535" w:name="_Toc2333"/>
      <w:bookmarkStart w:id="1536" w:name="_Toc30287"/>
      <w:bookmarkStart w:id="1537" w:name="_Toc21135"/>
      <w:bookmarkStart w:id="1538" w:name="_Toc302635797"/>
      <w:bookmarkStart w:id="1539" w:name="_Toc25593"/>
      <w:bookmarkStart w:id="1540" w:name="_Toc22223"/>
      <w:bookmarkStart w:id="1541" w:name="_Toc32210"/>
      <w:bookmarkStart w:id="1542" w:name="_Toc16621"/>
      <w:r>
        <w:rPr>
          <w:rFonts w:hint="eastAsia" w:ascii="宋体" w:hAnsi="宋体" w:eastAsia="宋体" w:cs="Times New Roman"/>
          <w:b/>
          <w:bCs/>
          <w:color w:val="auto"/>
          <w:kern w:val="0"/>
          <w:sz w:val="24"/>
          <w:szCs w:val="24"/>
          <w:highlight w:val="none"/>
          <w:lang w:val="en-US" w:eastAsia="zh-CN" w:bidi="ar-SA"/>
        </w:rPr>
        <w:t>承包人质量控制责任</w:t>
      </w:r>
      <w:bookmarkEnd w:id="1531"/>
      <w:bookmarkEnd w:id="1533"/>
      <w:bookmarkEnd w:id="1534"/>
      <w:bookmarkEnd w:id="1535"/>
      <w:bookmarkEnd w:id="1536"/>
      <w:bookmarkEnd w:id="1537"/>
      <w:bookmarkEnd w:id="1538"/>
      <w:bookmarkEnd w:id="1539"/>
      <w:bookmarkEnd w:id="1540"/>
      <w:bookmarkEnd w:id="1541"/>
      <w:bookmarkEnd w:id="1542"/>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承包人就本工程的工程质量向发包人负责，其职责包括但不限于下列内容：</w:t>
      </w:r>
      <w:bookmarkEnd w:id="1532"/>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⑴编制和审查施工技术方案，确定特殊工程的施工技术措施，制定工程质量保证体系；</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⑵提供和组织足够的工程质量控制和检测人员，检查和控制工程施工质量；</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⑶控制施工所用的材料、设备，包括承包人、分包人采购的材料、设备，使其不低于标准、规范、设计文件和合同约定的标准；</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⑷参加所有工程的验收工作，包括隐蔽验收、中间验收和竣工验收，并组织分包人参加工程竣工验收；</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⑸按照有关信息化管理的要求，在深圳市质量安全监管职能平台及时上传、报送有关质量检查、监测和整改情况；</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⑹负责组织分包人共同承担缺陷责任期的工程保修责任。</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543" w:name="_Toc13766"/>
      <w:bookmarkStart w:id="1544" w:name="_Toc7833"/>
      <w:bookmarkStart w:id="1545" w:name="_Toc26267"/>
      <w:bookmarkStart w:id="1546" w:name="_Toc3787"/>
      <w:bookmarkStart w:id="1547" w:name="_Toc26704"/>
      <w:bookmarkStart w:id="1548" w:name="_Toc26714"/>
      <w:bookmarkStart w:id="1549" w:name="_Toc30543"/>
      <w:bookmarkStart w:id="1550" w:name="_Toc24896"/>
      <w:bookmarkStart w:id="1551" w:name="_Toc10997"/>
      <w:bookmarkStart w:id="1552" w:name="_Toc302635798"/>
      <w:r>
        <w:rPr>
          <w:rFonts w:ascii="宋体" w:hAnsi="宋体" w:eastAsia="宋体" w:cs="Times New Roman"/>
          <w:b/>
          <w:bCs/>
          <w:color w:val="auto"/>
          <w:kern w:val="0"/>
          <w:sz w:val="24"/>
          <w:szCs w:val="24"/>
          <w:highlight w:val="none"/>
          <w:lang w:val="en-US" w:eastAsia="zh-CN" w:bidi="ar-SA"/>
        </w:rPr>
        <w:t>监理人</w:t>
      </w:r>
      <w:r>
        <w:rPr>
          <w:rFonts w:hint="eastAsia" w:ascii="宋体" w:hAnsi="宋体" w:eastAsia="宋体" w:cs="Times New Roman"/>
          <w:b/>
          <w:bCs/>
          <w:color w:val="auto"/>
          <w:kern w:val="0"/>
          <w:sz w:val="24"/>
          <w:szCs w:val="24"/>
          <w:highlight w:val="none"/>
          <w:lang w:val="en-US" w:eastAsia="zh-CN" w:bidi="ar-SA"/>
        </w:rPr>
        <w:t>质量控制责任</w:t>
      </w:r>
      <w:bookmarkEnd w:id="1543"/>
      <w:bookmarkEnd w:id="1544"/>
      <w:bookmarkEnd w:id="1545"/>
      <w:bookmarkEnd w:id="1546"/>
      <w:bookmarkEnd w:id="1547"/>
      <w:bookmarkEnd w:id="1548"/>
      <w:bookmarkEnd w:id="1549"/>
      <w:bookmarkEnd w:id="1550"/>
      <w:bookmarkEnd w:id="1551"/>
      <w:bookmarkEnd w:id="1552"/>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监理</w:t>
      </w:r>
      <w:r>
        <w:rPr>
          <w:rFonts w:ascii="宋体" w:hAnsi="宋体" w:eastAsia="宋体" w:cs="Times New Roman"/>
          <w:color w:val="auto"/>
          <w:kern w:val="0"/>
          <w:szCs w:val="24"/>
          <w:highlight w:val="none"/>
        </w:rPr>
        <w:t>人应按照法律规定及合同约定完成与工程质量有关的各项工作</w:t>
      </w:r>
      <w:r>
        <w:rPr>
          <w:rFonts w:hint="eastAsia" w:ascii="宋体" w:hAnsi="宋体" w:eastAsia="宋体" w:cs="Times New Roman"/>
          <w:color w:val="auto"/>
          <w:kern w:val="0"/>
          <w:szCs w:val="24"/>
          <w:highlight w:val="none"/>
        </w:rPr>
        <w:t>，其职责包括但不限于下列内容：</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监理人为此进行的检查和检验，不免除或减轻承包人按照合同约定应当承担的责任。</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监理人的检查和检验影响施工正常进行的，且经检查检验不合格的，影响正常施工的费用由承包人承担，工期不予顺延；经检查检验合格的，由此增加的费用和（或）延误的工期由发包人承担。</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553" w:name="_Toc24543"/>
      <w:bookmarkStart w:id="1554" w:name="_Toc18132"/>
      <w:bookmarkStart w:id="1555" w:name="_Toc13834"/>
      <w:bookmarkStart w:id="1556" w:name="_Toc21884"/>
      <w:bookmarkStart w:id="1557" w:name="_Toc29290"/>
      <w:bookmarkStart w:id="1558" w:name="_Toc5936"/>
      <w:bookmarkStart w:id="1559" w:name="_Toc305331318"/>
      <w:bookmarkStart w:id="1560" w:name="_Toc13847"/>
      <w:bookmarkStart w:id="1561" w:name="_Toc8136"/>
      <w:bookmarkStart w:id="1562" w:name="_Toc8282"/>
      <w:bookmarkStart w:id="1563" w:name="_Toc302635800"/>
      <w:bookmarkStart w:id="1564" w:name="_Toc34909061"/>
      <w:r>
        <w:rPr>
          <w:rFonts w:hint="eastAsia" w:ascii="宋体" w:hAnsi="宋体" w:eastAsia="宋体" w:cs="Times New Roman"/>
          <w:b/>
          <w:bCs/>
          <w:color w:val="auto"/>
          <w:kern w:val="0"/>
          <w:sz w:val="24"/>
          <w:szCs w:val="24"/>
          <w:highlight w:val="none"/>
          <w:lang w:val="en-US" w:eastAsia="zh-CN" w:bidi="ar-SA"/>
        </w:rPr>
        <w:t>工程隐蔽前的检测</w:t>
      </w:r>
      <w:bookmarkEnd w:id="1553"/>
      <w:bookmarkEnd w:id="1554"/>
      <w:bookmarkEnd w:id="1555"/>
      <w:bookmarkEnd w:id="1556"/>
      <w:bookmarkEnd w:id="1557"/>
      <w:bookmarkEnd w:id="1558"/>
      <w:bookmarkEnd w:id="1559"/>
      <w:bookmarkEnd w:id="1560"/>
      <w:bookmarkEnd w:id="1561"/>
      <w:bookmarkEnd w:id="1562"/>
      <w:bookmarkEnd w:id="1563"/>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承包人应当对工程隐蔽部位进行自检，并经自检确认是否具备覆盖条件。</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⑵没有</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的批准，任何工程均不得隐蔽。当本工程任何部分具备隐蔽条件时，承包人应提前24小时通知</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，告知检测的时间、内容和地点，保证</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有充分的时间对隐蔽工程进行检测，并为</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提供一切必要的资料和协助。</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应按时参加隐蔽工程的检测，不得无故拖延，除非认为没有必要检测，并就此通知承包人。</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在组织隐蔽工程验收时，应通知发包人及政府有关部门派人参加。</w:t>
      </w:r>
      <w:bookmarkEnd w:id="1564"/>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1565" w:name="_Toc34909062"/>
      <w:r>
        <w:rPr>
          <w:rFonts w:ascii="宋体" w:hAnsi="宋体" w:eastAsia="宋体" w:cs="Times New Roman"/>
          <w:color w:val="auto"/>
          <w:kern w:val="0"/>
          <w:szCs w:val="24"/>
          <w:highlight w:val="none"/>
        </w:rPr>
        <w:t>⑶</w:t>
      </w:r>
      <w:r>
        <w:rPr>
          <w:rFonts w:hint="eastAsia" w:ascii="宋体" w:hAnsi="宋体" w:eastAsia="宋体" w:cs="Times New Roman"/>
          <w:color w:val="auto"/>
          <w:kern w:val="0"/>
          <w:szCs w:val="24"/>
          <w:highlight w:val="none"/>
        </w:rPr>
        <w:t>无论</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是否进行验收，当其要求对已经隐蔽的工程重新检测时，承包人应按要求进行剥离或开孔，并在检测后重新隐蔽。如检测合格，则发包人承担因此发生的全部增加费用，赔偿承包人损失和(或)相应顺延工期；如检测不合格，则承包人应按</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的指令重新施工，直到检测合格，并承担由此发生的全部费用，工期不予顺延。</w:t>
      </w:r>
      <w:bookmarkEnd w:id="1565"/>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⑷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566" w:name="_Toc20669"/>
      <w:bookmarkStart w:id="1567" w:name="_Toc7645"/>
      <w:bookmarkStart w:id="1568" w:name="_Toc28744"/>
      <w:bookmarkStart w:id="1569" w:name="_Toc13399"/>
      <w:bookmarkStart w:id="1570" w:name="_Toc4083"/>
      <w:bookmarkStart w:id="1571" w:name="_Toc6204"/>
      <w:bookmarkStart w:id="1572" w:name="_Toc4389"/>
      <w:bookmarkStart w:id="1573" w:name="_Toc25121"/>
      <w:bookmarkStart w:id="1574" w:name="_Toc29568"/>
      <w:bookmarkStart w:id="1575" w:name="_Toc302635801"/>
      <w:bookmarkStart w:id="1576" w:name="_Toc305331319"/>
      <w:r>
        <w:rPr>
          <w:rFonts w:hint="eastAsia" w:ascii="宋体" w:hAnsi="宋体" w:eastAsia="宋体" w:cs="Times New Roman"/>
          <w:b/>
          <w:bCs/>
          <w:color w:val="auto"/>
          <w:kern w:val="0"/>
          <w:sz w:val="24"/>
          <w:szCs w:val="24"/>
          <w:highlight w:val="none"/>
          <w:lang w:val="en-US" w:eastAsia="zh-CN" w:bidi="ar-SA"/>
        </w:rPr>
        <w:t>防水检测</w:t>
      </w:r>
      <w:bookmarkEnd w:id="1566"/>
      <w:bookmarkEnd w:id="1567"/>
      <w:bookmarkEnd w:id="1568"/>
      <w:bookmarkEnd w:id="1569"/>
      <w:bookmarkEnd w:id="1570"/>
      <w:bookmarkEnd w:id="1571"/>
      <w:bookmarkEnd w:id="1572"/>
      <w:bookmarkEnd w:id="1573"/>
      <w:bookmarkEnd w:id="1574"/>
      <w:bookmarkEnd w:id="1575"/>
      <w:bookmarkEnd w:id="1576"/>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本工程有防水要求的部位，在下道工序施工进行前，需按要求进行闭水试验，费用已含在相应分部分项工程的综合单价中，由承包人承担。未发现渗漏水的才可进行下道工序施工，如发现渗漏水，承包人应限期自费进行整改直到符合防水要求，由此延误的工期不予顺延。</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577" w:name="_Toc32207"/>
      <w:bookmarkStart w:id="1578" w:name="_Toc302635804"/>
      <w:bookmarkStart w:id="1579" w:name="_Toc15166"/>
      <w:bookmarkStart w:id="1580" w:name="_Toc30146"/>
      <w:bookmarkStart w:id="1581" w:name="_Toc6130"/>
      <w:bookmarkStart w:id="1582" w:name="_Toc22643"/>
      <w:bookmarkStart w:id="1583" w:name="_Toc29716"/>
      <w:bookmarkStart w:id="1584" w:name="_Toc25647"/>
      <w:bookmarkStart w:id="1585" w:name="_Toc16950"/>
      <w:bookmarkStart w:id="1586" w:name="_Toc305331321"/>
      <w:bookmarkStart w:id="1587" w:name="_Toc12619"/>
      <w:r>
        <w:rPr>
          <w:rFonts w:hint="eastAsia" w:ascii="宋体" w:hAnsi="宋体" w:eastAsia="宋体" w:cs="Times New Roman"/>
          <w:b/>
          <w:bCs/>
          <w:color w:val="auto"/>
          <w:kern w:val="0"/>
          <w:sz w:val="24"/>
          <w:szCs w:val="24"/>
          <w:highlight w:val="none"/>
          <w:lang w:val="en-US" w:eastAsia="zh-CN" w:bidi="ar-SA"/>
        </w:rPr>
        <w:t>工程质量检测费用</w:t>
      </w:r>
      <w:bookmarkEnd w:id="1577"/>
      <w:bookmarkEnd w:id="1578"/>
      <w:bookmarkEnd w:id="1579"/>
      <w:bookmarkEnd w:id="1580"/>
      <w:bookmarkEnd w:id="1581"/>
      <w:bookmarkEnd w:id="1582"/>
      <w:bookmarkEnd w:id="1583"/>
      <w:bookmarkEnd w:id="1584"/>
      <w:bookmarkEnd w:id="1585"/>
      <w:bookmarkEnd w:id="1586"/>
      <w:bookmarkEnd w:id="1587"/>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工程质量检验检测项目在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中约定，检测费用由发包人承担。因承包人原因导致检测结果不合格的，承包人承担本次检测的所有检测费用，并无偿返工、负责修复。</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588" w:name="_Toc3645"/>
      <w:bookmarkStart w:id="1589" w:name="_Toc29598"/>
      <w:bookmarkStart w:id="1590" w:name="_Toc3845"/>
      <w:bookmarkStart w:id="1591" w:name="_Toc18081"/>
      <w:bookmarkStart w:id="1592" w:name="_Toc32736"/>
      <w:bookmarkStart w:id="1593" w:name="_Toc302635805"/>
      <w:bookmarkStart w:id="1594" w:name="_Toc24575"/>
      <w:bookmarkStart w:id="1595" w:name="_Toc12310"/>
      <w:bookmarkStart w:id="1596" w:name="_Toc21316"/>
      <w:bookmarkStart w:id="1597" w:name="_Toc14937"/>
      <w:r>
        <w:rPr>
          <w:rFonts w:hint="eastAsia" w:ascii="宋体" w:hAnsi="宋体" w:eastAsia="宋体" w:cs="Times New Roman"/>
          <w:b/>
          <w:bCs/>
          <w:color w:val="auto"/>
          <w:kern w:val="0"/>
          <w:sz w:val="24"/>
          <w:szCs w:val="24"/>
          <w:highlight w:val="none"/>
          <w:lang w:val="en-US" w:eastAsia="zh-CN" w:bidi="ar-SA"/>
        </w:rPr>
        <w:t>质量争议检测</w:t>
      </w:r>
      <w:bookmarkEnd w:id="1588"/>
      <w:bookmarkEnd w:id="1589"/>
      <w:bookmarkEnd w:id="1590"/>
      <w:bookmarkEnd w:id="1591"/>
      <w:bookmarkEnd w:id="1592"/>
      <w:bookmarkEnd w:id="1593"/>
      <w:bookmarkEnd w:id="1594"/>
      <w:bookmarkEnd w:id="1595"/>
      <w:bookmarkEnd w:id="1596"/>
      <w:bookmarkEnd w:id="1597"/>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承发包双方对工程质量有争议的，由双方协商确定的工程质量检测机构鉴定，由此产生的费用及因此造成的损失，由责任方承担。承发包双方均有责任的，由双方根据其责任分别承担。</w:t>
      </w:r>
    </w:p>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1598" w:name="_Toc10194"/>
      <w:bookmarkStart w:id="1599" w:name="_Toc20576"/>
      <w:bookmarkStart w:id="1600" w:name="_Toc9673"/>
      <w:bookmarkStart w:id="1601" w:name="_Toc302635806"/>
      <w:bookmarkStart w:id="1602" w:name="_Toc305331322"/>
      <w:bookmarkStart w:id="1603" w:name="_Toc4420"/>
      <w:bookmarkStart w:id="1604" w:name="_Toc21635"/>
      <w:bookmarkStart w:id="1605" w:name="_Toc16461"/>
      <w:bookmarkStart w:id="1606" w:name="_Toc31707"/>
      <w:bookmarkStart w:id="1607" w:name="_Toc1224"/>
      <w:bookmarkStart w:id="1608" w:name="_Toc31702"/>
      <w:r>
        <w:rPr>
          <w:rFonts w:hint="eastAsia" w:ascii="华文细黑" w:hAnsi="宋体" w:eastAsia="宋体" w:cs="Times New Roman"/>
          <w:b/>
          <w:bCs/>
          <w:snapToGrid w:val="0"/>
          <w:color w:val="auto"/>
          <w:kern w:val="0"/>
          <w:sz w:val="28"/>
          <w:szCs w:val="44"/>
          <w:highlight w:val="none"/>
          <w:lang w:val="en-US" w:eastAsia="zh-CN" w:bidi="ar-SA"/>
        </w:rPr>
        <w:t>工程试运行</w:t>
      </w:r>
      <w:bookmarkEnd w:id="1598"/>
      <w:bookmarkEnd w:id="1599"/>
      <w:bookmarkEnd w:id="1600"/>
      <w:bookmarkEnd w:id="1601"/>
      <w:bookmarkEnd w:id="1602"/>
      <w:bookmarkEnd w:id="1603"/>
      <w:bookmarkEnd w:id="1604"/>
      <w:bookmarkEnd w:id="1605"/>
      <w:bookmarkEnd w:id="1606"/>
      <w:bookmarkEnd w:id="1607"/>
      <w:bookmarkEnd w:id="1608"/>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609" w:name="_Toc25505"/>
      <w:bookmarkStart w:id="1610" w:name="_Toc1091"/>
      <w:bookmarkStart w:id="1611" w:name="_Toc3596"/>
      <w:bookmarkStart w:id="1612" w:name="_Toc302635807"/>
      <w:bookmarkStart w:id="1613" w:name="_Toc29776"/>
      <w:bookmarkStart w:id="1614" w:name="_Toc23677"/>
      <w:bookmarkStart w:id="1615" w:name="_Toc12890"/>
      <w:bookmarkStart w:id="1616" w:name="_Toc305331323"/>
      <w:bookmarkStart w:id="1617" w:name="_Toc17351"/>
      <w:bookmarkStart w:id="1618" w:name="_Toc30927"/>
      <w:bookmarkStart w:id="1619" w:name="_Toc9727"/>
      <w:r>
        <w:rPr>
          <w:rFonts w:hint="eastAsia" w:ascii="宋体" w:hAnsi="宋体" w:eastAsia="宋体" w:cs="Times New Roman"/>
          <w:b/>
          <w:bCs/>
          <w:color w:val="auto"/>
          <w:kern w:val="0"/>
          <w:sz w:val="24"/>
          <w:szCs w:val="24"/>
          <w:highlight w:val="none"/>
          <w:lang w:val="en-US" w:eastAsia="zh-CN" w:bidi="ar-SA"/>
        </w:rPr>
        <w:t>工程试运行内容和程序</w:t>
      </w:r>
      <w:bookmarkEnd w:id="1609"/>
      <w:bookmarkEnd w:id="1610"/>
      <w:bookmarkEnd w:id="1611"/>
      <w:bookmarkEnd w:id="1612"/>
      <w:bookmarkEnd w:id="1613"/>
      <w:bookmarkEnd w:id="1614"/>
      <w:bookmarkEnd w:id="1615"/>
      <w:bookmarkEnd w:id="1616"/>
      <w:bookmarkEnd w:id="1617"/>
      <w:bookmarkEnd w:id="1618"/>
      <w:bookmarkEnd w:id="1619"/>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如发包人和承包人约定本工程需要试运行的，双方在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中约定试运行的内容和费用承担。本工程试运行应按如下程序进行：</w:t>
      </w:r>
    </w:p>
    <w:p>
      <w:pPr>
        <w:tabs>
          <w:tab w:val="left" w:pos="1620"/>
          <w:tab w:val="left" w:pos="2340"/>
        </w:tabs>
        <w:ind w:left="107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⑴</w:t>
      </w:r>
      <w:r>
        <w:rPr>
          <w:rFonts w:hint="eastAsia" w:ascii="宋体" w:hAnsi="宋体" w:eastAsia="宋体" w:cs="Times New Roman"/>
          <w:color w:val="auto"/>
          <w:kern w:val="0"/>
          <w:szCs w:val="24"/>
          <w:highlight w:val="none"/>
        </w:rPr>
        <w:t>设备安装工程具备单机无负荷试运行条件，承包人组织试运行，并在试运行前48小时通知</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，告知试运行的时间、内容和地点。承包人准备试运行记录，发包人应为试运行提供必要条件。</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应按时参加试运行，试运行合格，</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在试运行记录上签字。如在上述约定时间后12小时内，</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未能到场参加试运行，承包人可自行试运行，事后</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应认可承包人所作的试运行记录。</w:t>
      </w:r>
    </w:p>
    <w:p>
      <w:pPr>
        <w:tabs>
          <w:tab w:val="left" w:pos="1620"/>
          <w:tab w:val="left" w:pos="2340"/>
        </w:tabs>
        <w:ind w:left="107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⑵</w:t>
      </w:r>
      <w:r>
        <w:rPr>
          <w:rFonts w:hint="eastAsia" w:ascii="宋体" w:hAnsi="宋体" w:eastAsia="宋体" w:cs="Times New Roman"/>
          <w:color w:val="auto"/>
          <w:kern w:val="0"/>
          <w:szCs w:val="24"/>
          <w:highlight w:val="none"/>
        </w:rPr>
        <w:t>设备安装工程具备无负荷联动试运行条件，发包人组织试运行，并在试运行前48小时通知承包人，告知试运行的时间、内容、地点和对承包人的要求，承包人按要求做好准备工作。试运行合格，双方在试运行记录上签字。</w:t>
      </w:r>
    </w:p>
    <w:p>
      <w:pPr>
        <w:tabs>
          <w:tab w:val="left" w:pos="1620"/>
          <w:tab w:val="left" w:pos="2340"/>
        </w:tabs>
        <w:ind w:left="107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⑶</w:t>
      </w:r>
      <w:r>
        <w:rPr>
          <w:rFonts w:hint="eastAsia" w:ascii="宋体" w:hAnsi="宋体" w:eastAsia="宋体" w:cs="Times New Roman"/>
          <w:color w:val="auto"/>
          <w:kern w:val="0"/>
          <w:szCs w:val="24"/>
          <w:highlight w:val="none"/>
        </w:rPr>
        <w:t>投料试运行应在工程竣工验收后由发包人负责，如发包人要求在工程竣工验收前进行或需要承包人配合时，应征得承包人同意，并另行签订补充协议。</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620" w:name="_Toc305331324"/>
      <w:bookmarkStart w:id="1621" w:name="_Toc23819"/>
      <w:bookmarkStart w:id="1622" w:name="_Toc11450"/>
      <w:bookmarkStart w:id="1623" w:name="_Toc30993"/>
      <w:bookmarkStart w:id="1624" w:name="_Toc30471"/>
      <w:bookmarkStart w:id="1625" w:name="_Toc16168"/>
      <w:bookmarkStart w:id="1626" w:name="_Toc1527"/>
      <w:bookmarkStart w:id="1627" w:name="_Toc26274"/>
      <w:bookmarkStart w:id="1628" w:name="_Toc29016"/>
      <w:bookmarkStart w:id="1629" w:name="_Toc32168"/>
      <w:bookmarkStart w:id="1630" w:name="_Toc302635808"/>
      <w:r>
        <w:rPr>
          <w:rFonts w:hint="eastAsia" w:ascii="宋体" w:hAnsi="宋体" w:eastAsia="宋体" w:cs="Times New Roman"/>
          <w:b/>
          <w:bCs/>
          <w:color w:val="auto"/>
          <w:kern w:val="0"/>
          <w:sz w:val="24"/>
          <w:szCs w:val="24"/>
          <w:highlight w:val="none"/>
          <w:lang w:val="en-US" w:eastAsia="zh-CN" w:bidi="ar-SA"/>
        </w:rPr>
        <w:t>工程试运行中双方的责任</w:t>
      </w:r>
      <w:bookmarkEnd w:id="1620"/>
      <w:bookmarkEnd w:id="1621"/>
      <w:bookmarkEnd w:id="1622"/>
      <w:bookmarkEnd w:id="1623"/>
      <w:bookmarkEnd w:id="1624"/>
      <w:bookmarkEnd w:id="1625"/>
      <w:bookmarkEnd w:id="1626"/>
      <w:bookmarkEnd w:id="1627"/>
      <w:bookmarkEnd w:id="1628"/>
      <w:bookmarkEnd w:id="1629"/>
      <w:bookmarkEnd w:id="1630"/>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⑴</w:t>
      </w:r>
      <w:r>
        <w:rPr>
          <w:rFonts w:hint="eastAsia" w:ascii="宋体" w:hAnsi="宋体" w:eastAsia="宋体" w:cs="Times New Roman"/>
          <w:color w:val="auto"/>
          <w:kern w:val="0"/>
          <w:szCs w:val="24"/>
          <w:highlight w:val="none"/>
        </w:rPr>
        <w:t>由于设计原因试运行达不到验收要求，发包人应要求</w:t>
      </w:r>
      <w:r>
        <w:rPr>
          <w:rFonts w:ascii="宋体" w:hAnsi="宋体" w:eastAsia="宋体" w:cs="Times New Roman"/>
          <w:color w:val="auto"/>
          <w:kern w:val="0"/>
          <w:szCs w:val="24"/>
          <w:highlight w:val="none"/>
        </w:rPr>
        <w:t>设计人</w:t>
      </w:r>
      <w:r>
        <w:rPr>
          <w:rFonts w:hint="eastAsia" w:ascii="宋体" w:hAnsi="宋体" w:eastAsia="宋体" w:cs="Times New Roman"/>
          <w:color w:val="auto"/>
          <w:kern w:val="0"/>
          <w:szCs w:val="24"/>
          <w:highlight w:val="none"/>
        </w:rPr>
        <w:t>修改设计，承包人按修改后的设计重新安装。发包人承担修改、拆除及重新安装的费用，工期相应顺延。</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⑵</w:t>
      </w:r>
      <w:r>
        <w:rPr>
          <w:rFonts w:hint="eastAsia" w:ascii="宋体" w:hAnsi="宋体" w:eastAsia="宋体" w:cs="Times New Roman"/>
          <w:color w:val="auto"/>
          <w:kern w:val="0"/>
          <w:szCs w:val="24"/>
          <w:highlight w:val="none"/>
        </w:rPr>
        <w:t>由于设备制造原因试运行达不到验收要求，如该设备由承包人采购的，则承包人负责修理或重新购置、拆除和重新安装并承担有关费用，工期不予顺延；如该设备由发包人采购的，则发包人负责修理或重新购置，并由承包人进行拆除和重新安装，发包人承担有关费用，工期相应顺延。</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⑶</w:t>
      </w:r>
      <w:r>
        <w:rPr>
          <w:rFonts w:hint="eastAsia" w:ascii="宋体" w:hAnsi="宋体" w:eastAsia="宋体" w:cs="Times New Roman"/>
          <w:color w:val="auto"/>
          <w:kern w:val="0"/>
          <w:szCs w:val="24"/>
          <w:highlight w:val="none"/>
        </w:rPr>
        <w:t>由于承包人施工原因试运行达不到验收要求，承包人应按</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要求重新安装和试运行，并承担有关费用，工期不予顺延。</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⑷监理人</w:t>
      </w:r>
      <w:r>
        <w:rPr>
          <w:rFonts w:hint="eastAsia" w:ascii="宋体" w:hAnsi="宋体" w:eastAsia="宋体" w:cs="Times New Roman"/>
          <w:color w:val="auto"/>
          <w:kern w:val="0"/>
          <w:szCs w:val="24"/>
          <w:highlight w:val="none"/>
        </w:rPr>
        <w:t>在试运行合格后不在试运行记录上签字，试运行结束24小时后，视为</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已认可试运行记录，承包人可继续施工或办理竣工手续。</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⑸</w:t>
      </w:r>
      <w:r>
        <w:rPr>
          <w:rFonts w:hint="eastAsia" w:ascii="宋体" w:hAnsi="宋体" w:eastAsia="宋体" w:cs="Times New Roman"/>
          <w:color w:val="auto"/>
          <w:kern w:val="0"/>
          <w:szCs w:val="24"/>
          <w:highlight w:val="none"/>
        </w:rPr>
        <w:t>试运行费用除已包括在签约合同价之内的或专用条款另有约定的，均由发包人承担。</w:t>
      </w:r>
    </w:p>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1631" w:name="_Toc34909063"/>
      <w:bookmarkStart w:id="1632" w:name="_Toc305331325"/>
      <w:bookmarkStart w:id="1633" w:name="_Toc35656486"/>
      <w:bookmarkStart w:id="1634" w:name="_Toc35656988"/>
      <w:bookmarkStart w:id="1635" w:name="_Toc10519"/>
      <w:bookmarkStart w:id="1636" w:name="_Toc10122"/>
      <w:bookmarkStart w:id="1637" w:name="_Toc9668"/>
      <w:bookmarkStart w:id="1638" w:name="_Toc20030"/>
      <w:bookmarkStart w:id="1639" w:name="_Toc22219"/>
      <w:bookmarkStart w:id="1640" w:name="_Toc17485"/>
      <w:bookmarkStart w:id="1641" w:name="_Toc8104"/>
      <w:bookmarkStart w:id="1642" w:name="_Toc302635809"/>
      <w:bookmarkStart w:id="1643" w:name="_Toc21926"/>
      <w:bookmarkStart w:id="1644" w:name="_Toc30138"/>
      <w:r>
        <w:rPr>
          <w:rFonts w:hint="eastAsia" w:ascii="华文细黑" w:hAnsi="宋体" w:eastAsia="宋体" w:cs="Times New Roman"/>
          <w:b/>
          <w:bCs/>
          <w:snapToGrid w:val="0"/>
          <w:color w:val="auto"/>
          <w:kern w:val="0"/>
          <w:sz w:val="28"/>
          <w:szCs w:val="44"/>
          <w:highlight w:val="none"/>
          <w:lang w:val="en-US" w:eastAsia="zh-CN" w:bidi="ar-SA"/>
        </w:rPr>
        <w:t>安全文明施工</w:t>
      </w:r>
      <w:bookmarkEnd w:id="1631"/>
      <w:bookmarkEnd w:id="1632"/>
      <w:bookmarkEnd w:id="1633"/>
      <w:bookmarkEnd w:id="1634"/>
      <w:r>
        <w:rPr>
          <w:rFonts w:hint="eastAsia" w:ascii="华文细黑" w:hAnsi="宋体" w:eastAsia="宋体" w:cs="Times New Roman"/>
          <w:b/>
          <w:bCs/>
          <w:snapToGrid w:val="0"/>
          <w:color w:val="auto"/>
          <w:kern w:val="0"/>
          <w:sz w:val="28"/>
          <w:szCs w:val="44"/>
          <w:highlight w:val="none"/>
          <w:lang w:val="en-US" w:eastAsia="zh-CN" w:bidi="ar-SA"/>
        </w:rPr>
        <w:t>与环境保护</w:t>
      </w:r>
      <w:bookmarkEnd w:id="1635"/>
      <w:bookmarkEnd w:id="1636"/>
      <w:bookmarkEnd w:id="1637"/>
      <w:bookmarkEnd w:id="1638"/>
      <w:bookmarkEnd w:id="1639"/>
      <w:bookmarkEnd w:id="1640"/>
      <w:bookmarkEnd w:id="1641"/>
      <w:bookmarkEnd w:id="1642"/>
      <w:bookmarkEnd w:id="1643"/>
      <w:bookmarkEnd w:id="1644"/>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645" w:name="_Toc18180"/>
      <w:bookmarkStart w:id="1646" w:name="_Toc29275"/>
      <w:bookmarkStart w:id="1647" w:name="_Toc12400"/>
      <w:bookmarkStart w:id="1648" w:name="_Toc29991"/>
      <w:bookmarkStart w:id="1649" w:name="_Toc13858"/>
      <w:bookmarkStart w:id="1650" w:name="_Toc16036"/>
      <w:bookmarkStart w:id="1651" w:name="_Toc305331326"/>
      <w:bookmarkStart w:id="1652" w:name="_Toc550"/>
      <w:bookmarkStart w:id="1653" w:name="_Toc302635810"/>
      <w:bookmarkStart w:id="1654" w:name="_Toc27126"/>
      <w:bookmarkStart w:id="1655" w:name="_Toc10475"/>
      <w:bookmarkStart w:id="1656" w:name="_Toc34909065"/>
      <w:bookmarkStart w:id="1657" w:name="_Toc34909064"/>
      <w:r>
        <w:rPr>
          <w:rFonts w:hint="eastAsia" w:ascii="宋体" w:hAnsi="宋体" w:eastAsia="宋体" w:cs="Times New Roman"/>
          <w:b/>
          <w:bCs/>
          <w:color w:val="auto"/>
          <w:kern w:val="0"/>
          <w:sz w:val="24"/>
          <w:szCs w:val="24"/>
          <w:highlight w:val="none"/>
          <w:lang w:val="en-US" w:eastAsia="zh-CN" w:bidi="ar-SA"/>
        </w:rPr>
        <w:t>发包人的安全文明施工责任</w:t>
      </w:r>
      <w:bookmarkEnd w:id="1645"/>
      <w:bookmarkEnd w:id="1646"/>
      <w:bookmarkEnd w:id="1647"/>
      <w:bookmarkEnd w:id="1648"/>
      <w:bookmarkEnd w:id="1649"/>
      <w:bookmarkEnd w:id="1650"/>
      <w:bookmarkEnd w:id="1651"/>
      <w:bookmarkEnd w:id="1652"/>
      <w:bookmarkEnd w:id="1653"/>
      <w:bookmarkEnd w:id="1654"/>
      <w:bookmarkEnd w:id="1655"/>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⑴</w:t>
      </w:r>
      <w:r>
        <w:rPr>
          <w:rFonts w:hint="eastAsia" w:ascii="宋体" w:hAnsi="宋体" w:eastAsia="宋体" w:cs="Times New Roman"/>
          <w:color w:val="auto"/>
          <w:kern w:val="0"/>
          <w:szCs w:val="24"/>
          <w:highlight w:val="none"/>
        </w:rPr>
        <w:t>发包人应按照深圳市建设行政主管部门发布的施工安全文明施工措施费清单管理与支付办法，编制安全文明施工措施费清单并向承包人按时足额支付安全文明措施费。</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⑵</w:t>
      </w:r>
      <w:r>
        <w:rPr>
          <w:rFonts w:hint="eastAsia" w:ascii="宋体" w:hAnsi="宋体" w:eastAsia="宋体" w:cs="Times New Roman"/>
          <w:color w:val="auto"/>
          <w:kern w:val="0"/>
          <w:szCs w:val="24"/>
          <w:highlight w:val="none"/>
        </w:rPr>
        <w:t>发包人应督促承包人落实安全文明施工标准化管理的相关措施和要求，对安全文明施工措施费的专款专用进行核查。</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⑶</w:t>
      </w:r>
      <w:r>
        <w:rPr>
          <w:rFonts w:hint="eastAsia" w:ascii="宋体" w:hAnsi="宋体" w:eastAsia="宋体" w:cs="Times New Roman"/>
          <w:color w:val="auto"/>
          <w:kern w:val="0"/>
          <w:szCs w:val="24"/>
          <w:highlight w:val="none"/>
        </w:rPr>
        <w:t>发包人应对其在施工现场的工作人员进行安全教育，并对他们的安全负责。</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⑷</w:t>
      </w:r>
      <w:r>
        <w:rPr>
          <w:rFonts w:hint="eastAsia" w:ascii="宋体" w:hAnsi="宋体" w:eastAsia="宋体" w:cs="Times New Roman"/>
          <w:color w:val="auto"/>
          <w:kern w:val="0"/>
          <w:szCs w:val="24"/>
          <w:highlight w:val="none"/>
        </w:rPr>
        <w:t>发包人不得要求承包人违反安全文明施工的规定进行施工。</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⑸由于发包人原因造成的安全事故，由发包人承担相应责任及发生的费用</w:t>
      </w:r>
      <w:bookmarkEnd w:id="1656"/>
      <w:r>
        <w:rPr>
          <w:rFonts w:hint="eastAsia" w:ascii="宋体" w:hAnsi="宋体" w:eastAsia="宋体" w:cs="Times New Roman"/>
          <w:color w:val="auto"/>
          <w:kern w:val="0"/>
          <w:szCs w:val="24"/>
          <w:highlight w:val="none"/>
        </w:rPr>
        <w:t>，并顺延延误的工期。</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⑹</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约定的安全文明施工责任。</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658" w:name="_Toc302635811"/>
      <w:bookmarkStart w:id="1659" w:name="_Toc32587"/>
      <w:bookmarkStart w:id="1660" w:name="_Toc8148"/>
      <w:bookmarkStart w:id="1661" w:name="_Toc7718"/>
      <w:bookmarkStart w:id="1662" w:name="_Toc28574"/>
      <w:bookmarkStart w:id="1663" w:name="_Toc14124"/>
      <w:bookmarkStart w:id="1664" w:name="_Toc21203"/>
      <w:bookmarkStart w:id="1665" w:name="_Toc21177"/>
      <w:bookmarkStart w:id="1666" w:name="_Toc305331327"/>
      <w:bookmarkStart w:id="1667" w:name="_Toc13283"/>
      <w:bookmarkStart w:id="1668" w:name="_Toc27773"/>
      <w:r>
        <w:rPr>
          <w:rFonts w:hint="eastAsia" w:ascii="宋体" w:hAnsi="宋体" w:eastAsia="宋体" w:cs="Times New Roman"/>
          <w:b/>
          <w:bCs/>
          <w:color w:val="auto"/>
          <w:kern w:val="0"/>
          <w:sz w:val="24"/>
          <w:szCs w:val="24"/>
          <w:highlight w:val="none"/>
          <w:lang w:val="en-US" w:eastAsia="zh-CN" w:bidi="ar-SA"/>
        </w:rPr>
        <w:t>承包人的安全文明施工责任</w:t>
      </w:r>
      <w:bookmarkEnd w:id="1658"/>
      <w:bookmarkEnd w:id="1659"/>
      <w:bookmarkEnd w:id="1660"/>
      <w:bookmarkEnd w:id="1661"/>
      <w:bookmarkEnd w:id="1662"/>
      <w:bookmarkEnd w:id="1663"/>
      <w:bookmarkEnd w:id="1664"/>
      <w:bookmarkEnd w:id="1665"/>
      <w:bookmarkEnd w:id="1666"/>
      <w:bookmarkEnd w:id="1667"/>
      <w:bookmarkEnd w:id="1668"/>
    </w:p>
    <w:p>
      <w:pPr>
        <w:tabs>
          <w:tab w:val="left" w:pos="1620"/>
          <w:tab w:val="left" w:pos="2340"/>
        </w:tabs>
        <w:spacing w:after="156"/>
        <w:ind w:left="899"/>
        <w:jc w:val="left"/>
        <w:rPr>
          <w:rFonts w:ascii="宋体" w:hAnsi="宋体"/>
          <w:kern w:val="0"/>
          <w:highlight w:val="none"/>
        </w:rPr>
      </w:pPr>
      <w:r>
        <w:rPr>
          <w:rFonts w:ascii="宋体" w:hAnsi="宋体"/>
          <w:kern w:val="0"/>
          <w:highlight w:val="none"/>
        </w:rPr>
        <w:t>⑴</w:t>
      </w:r>
      <w:r>
        <w:rPr>
          <w:rFonts w:hint="eastAsia" w:ascii="宋体" w:hAnsi="宋体"/>
          <w:kern w:val="0"/>
          <w:highlight w:val="none"/>
        </w:rPr>
        <w:t>承包人应按照《深圳市建设工程安全文明施工标准》等行业现行的规范、标准，以及发包人提供的安全文明施工措施费清单，编制安全施工专项方案及文明施工专项方案，落实安全防护用品和设施配备、施工风险源管控、安全教育培训、应急管理等方面的安全生产标准化以及文明形象、环境保护、现场卫生、职业健康、信息化管理等方面的文明施工标准化。安全施工专项方案及文明施工专项方案应以书面形式提交给监理人。对监理人要求需采取特殊安全防护措施的分项工程施工前，应编制专项安全施工组织设计，并采取安全技术措施；报请监理人和发包人批准后，方可施工。</w:t>
      </w:r>
    </w:p>
    <w:p>
      <w:pPr>
        <w:tabs>
          <w:tab w:val="left" w:pos="1620"/>
          <w:tab w:val="left" w:pos="2340"/>
        </w:tabs>
        <w:spacing w:after="156"/>
        <w:ind w:left="899"/>
        <w:jc w:val="left"/>
        <w:rPr>
          <w:rFonts w:hint="eastAsia" w:ascii="宋体" w:hAnsi="宋体"/>
          <w:kern w:val="0"/>
          <w:highlight w:val="none"/>
        </w:rPr>
      </w:pPr>
      <w:r>
        <w:rPr>
          <w:rFonts w:ascii="宋体" w:hAnsi="宋体"/>
          <w:kern w:val="0"/>
          <w:highlight w:val="none"/>
        </w:rPr>
        <w:t>⑵</w:t>
      </w:r>
      <w:r>
        <w:rPr>
          <w:rFonts w:hint="eastAsia" w:ascii="宋体" w:hAnsi="宋体"/>
          <w:kern w:val="0"/>
          <w:highlight w:val="none"/>
        </w:rPr>
        <w:t>承包人应按照安全施工专项方案及文明施工专项方案组织施工，采取必要的安全防护措施，消除事故隐患，并随时接受行业安全检查人员依法实施的监督检查。承包人安全生产管理机构和专职安全生产管理人员负责对施工企业现场安全文明措施的组织实施进行现场监督检查，并及时向</w:t>
      </w:r>
      <w:r>
        <w:rPr>
          <w:rFonts w:ascii="宋体" w:hAnsi="宋体"/>
          <w:kern w:val="0"/>
          <w:highlight w:val="none"/>
        </w:rPr>
        <w:t>监理人</w:t>
      </w:r>
      <w:r>
        <w:rPr>
          <w:rFonts w:hint="eastAsia" w:ascii="宋体" w:hAnsi="宋体"/>
          <w:kern w:val="0"/>
          <w:highlight w:val="none"/>
        </w:rPr>
        <w:t>、发包人和建设行政主管部门反映情况。</w:t>
      </w:r>
    </w:p>
    <w:p>
      <w:pPr>
        <w:tabs>
          <w:tab w:val="left" w:pos="1620"/>
          <w:tab w:val="left" w:pos="2340"/>
        </w:tabs>
        <w:spacing w:after="156"/>
        <w:ind w:left="899"/>
        <w:jc w:val="left"/>
        <w:rPr>
          <w:rFonts w:ascii="宋体" w:hAnsi="宋体"/>
          <w:kern w:val="0"/>
          <w:highlight w:val="none"/>
        </w:rPr>
      </w:pPr>
      <w:r>
        <w:rPr>
          <w:rFonts w:ascii="宋体" w:hAnsi="宋体"/>
          <w:kern w:val="0"/>
          <w:highlight w:val="none"/>
        </w:rPr>
        <w:t>⑶</w:t>
      </w:r>
      <w:r>
        <w:rPr>
          <w:rFonts w:ascii="宋体" w:hAnsi="宋体"/>
          <w:highlight w:val="none"/>
        </w:rPr>
        <w:t>承包人</w:t>
      </w:r>
      <w:r>
        <w:rPr>
          <w:rFonts w:hint="eastAsia" w:ascii="宋体" w:hAnsi="宋体"/>
          <w:highlight w:val="none"/>
        </w:rPr>
        <w:t>施工现场应</w:t>
      </w:r>
      <w:r>
        <w:rPr>
          <w:rFonts w:ascii="宋体" w:hAnsi="宋体"/>
          <w:highlight w:val="none"/>
        </w:rPr>
        <w:t>配置必要的安全、文明施工设施与保护器材，设立安全警告标志牌，并为</w:t>
      </w:r>
      <w:r>
        <w:rPr>
          <w:rFonts w:hint="eastAsia" w:ascii="宋体" w:hAnsi="宋体"/>
          <w:highlight w:val="none"/>
        </w:rPr>
        <w:t>施工</w:t>
      </w:r>
      <w:r>
        <w:rPr>
          <w:rFonts w:ascii="宋体" w:hAnsi="宋体"/>
          <w:highlight w:val="none"/>
        </w:rPr>
        <w:t>现场</w:t>
      </w:r>
      <w:r>
        <w:rPr>
          <w:rFonts w:hint="eastAsia" w:ascii="宋体" w:hAnsi="宋体"/>
          <w:highlight w:val="none"/>
        </w:rPr>
        <w:t>人员</w:t>
      </w:r>
      <w:r>
        <w:rPr>
          <w:rFonts w:ascii="宋体" w:hAnsi="宋体"/>
          <w:highlight w:val="none"/>
        </w:rPr>
        <w:t>(包括发包人代表、监理人人员)提供必要的安全防护和劳动保护用品</w:t>
      </w:r>
      <w:r>
        <w:rPr>
          <w:rFonts w:hint="eastAsia" w:ascii="宋体" w:hAnsi="宋体"/>
          <w:b/>
          <w:bCs/>
          <w:highlight w:val="none"/>
        </w:rPr>
        <w:t>。</w:t>
      </w:r>
      <w:r>
        <w:rPr>
          <w:rFonts w:ascii="宋体" w:hAnsi="宋体"/>
          <w:highlight w:val="none"/>
        </w:rPr>
        <w:t>施工作业人员未经安全生产教育培训，不得上岗作业。承包人有责任管制无关人员进入施工现场。</w:t>
      </w:r>
    </w:p>
    <w:p>
      <w:pPr>
        <w:tabs>
          <w:tab w:val="left" w:pos="1620"/>
          <w:tab w:val="left" w:pos="2340"/>
        </w:tabs>
        <w:spacing w:after="156"/>
        <w:ind w:left="899"/>
        <w:jc w:val="left"/>
        <w:rPr>
          <w:rFonts w:ascii="宋体" w:hAnsi="宋体"/>
          <w:kern w:val="0"/>
          <w:highlight w:val="none"/>
        </w:rPr>
      </w:pPr>
      <w:r>
        <w:rPr>
          <w:rFonts w:ascii="宋体" w:hAnsi="宋体"/>
          <w:kern w:val="0"/>
          <w:highlight w:val="none"/>
        </w:rPr>
        <w:t>⑷</w:t>
      </w:r>
      <w:r>
        <w:rPr>
          <w:rFonts w:hint="eastAsia" w:ascii="宋体" w:hAnsi="宋体"/>
          <w:kern w:val="0"/>
          <w:highlight w:val="none"/>
          <w:lang w:eastAsia="zh-CN"/>
        </w:rPr>
        <w:t>政府投资和国有企事业单位投资项目，承包人应建立本工程</w:t>
      </w:r>
      <w:r>
        <w:rPr>
          <w:rFonts w:hint="eastAsia" w:ascii="宋体" w:hAnsi="宋体"/>
          <w:kern w:val="0"/>
          <w:highlight w:val="none"/>
        </w:rPr>
        <w:t>安全生产情况与项目经理、</w:t>
      </w:r>
      <w:r>
        <w:rPr>
          <w:rFonts w:hint="eastAsia" w:ascii="宋体" w:hAnsi="宋体"/>
          <w:kern w:val="0"/>
          <w:highlight w:val="none"/>
          <w:lang w:eastAsia="zh-CN"/>
        </w:rPr>
        <w:t>安全负责人、</w:t>
      </w:r>
      <w:r>
        <w:rPr>
          <w:rFonts w:hint="eastAsia" w:ascii="宋体" w:hAnsi="宋体"/>
          <w:kern w:val="0"/>
          <w:highlight w:val="none"/>
        </w:rPr>
        <w:t>安全员薪酬</w:t>
      </w:r>
      <w:r>
        <w:rPr>
          <w:rFonts w:hint="eastAsia" w:ascii="宋体" w:hAnsi="宋体"/>
          <w:kern w:val="0"/>
          <w:highlight w:val="none"/>
          <w:lang w:eastAsia="zh-CN"/>
        </w:rPr>
        <w:t>相关联的制度，并将该制度报发包人确认。承包人未建立相关制度或未按制度履行的，应承担</w:t>
      </w:r>
      <w:r>
        <w:rPr>
          <w:rFonts w:hint="eastAsia" w:ascii="宋体" w:hAnsi="宋体"/>
          <w:b/>
          <w:bCs/>
          <w:i/>
          <w:iCs/>
          <w:kern w:val="0"/>
          <w:highlight w:val="none"/>
          <w:lang w:eastAsia="zh-CN"/>
        </w:rPr>
        <w:t>专用条款</w:t>
      </w:r>
      <w:r>
        <w:rPr>
          <w:rFonts w:hint="eastAsia" w:ascii="宋体" w:hAnsi="宋体"/>
          <w:kern w:val="0"/>
          <w:highlight w:val="none"/>
          <w:lang w:eastAsia="zh-CN"/>
        </w:rPr>
        <w:t>约定的违约责任。发包人应将承包人履行该制度情况纳入第</w:t>
      </w:r>
      <w:r>
        <w:rPr>
          <w:rFonts w:hint="eastAsia" w:ascii="宋体" w:hAnsi="宋体"/>
          <w:kern w:val="0"/>
          <w:highlight w:val="none"/>
          <w:lang w:val="en-US" w:eastAsia="zh-CN"/>
        </w:rPr>
        <w:t>27.7款约定的履约评价内容中。</w:t>
      </w:r>
    </w:p>
    <w:p>
      <w:pPr>
        <w:tabs>
          <w:tab w:val="left" w:pos="1620"/>
          <w:tab w:val="left" w:pos="2340"/>
        </w:tabs>
        <w:spacing w:after="156"/>
        <w:ind w:left="899"/>
        <w:jc w:val="left"/>
        <w:rPr>
          <w:rFonts w:ascii="宋体" w:hAnsi="宋体"/>
          <w:kern w:val="0"/>
          <w:highlight w:val="none"/>
        </w:rPr>
      </w:pPr>
      <w:r>
        <w:rPr>
          <w:rFonts w:hint="eastAsia" w:ascii="宋体" w:hAnsi="宋体"/>
          <w:kern w:val="0"/>
          <w:highlight w:val="none"/>
        </w:rPr>
        <w:t>⑸承包人与分包人应当在分包合同中明确施工现场安全文明措施费由承包人统一管理，并对其使用负责。施工现场安全文明措施由分包人实施的，由分包人提出专项安全文明措施和方案，经承包人批准后及时支付所需费用。</w:t>
      </w:r>
    </w:p>
    <w:p>
      <w:pPr>
        <w:tabs>
          <w:tab w:val="left" w:pos="1620"/>
          <w:tab w:val="left" w:pos="2340"/>
        </w:tabs>
        <w:spacing w:after="156"/>
        <w:ind w:left="899"/>
        <w:jc w:val="left"/>
        <w:rPr>
          <w:rFonts w:hint="eastAsia" w:ascii="宋体" w:hAnsi="宋体"/>
          <w:kern w:val="0"/>
          <w:highlight w:val="none"/>
        </w:rPr>
      </w:pPr>
      <w:r>
        <w:rPr>
          <w:rFonts w:hint="eastAsia" w:ascii="宋体" w:hAnsi="宋体"/>
          <w:kern w:val="0"/>
          <w:highlight w:val="none"/>
        </w:rPr>
        <w:t>⑹发生重大伤亡及其他安全事故，承包人应通知</w:t>
      </w:r>
      <w:r>
        <w:rPr>
          <w:rFonts w:ascii="宋体" w:hAnsi="宋体"/>
          <w:kern w:val="0"/>
          <w:highlight w:val="none"/>
        </w:rPr>
        <w:t>监理人</w:t>
      </w:r>
      <w:r>
        <w:rPr>
          <w:rFonts w:hint="eastAsia" w:ascii="宋体" w:hAnsi="宋体"/>
          <w:kern w:val="0"/>
          <w:highlight w:val="none"/>
        </w:rPr>
        <w:t>并按相关规定立即上报政府有关部门，同时按政府有关部门要求处理。发包人和承包人对事故责任有争议时，由政府有关部门认定。由于承包人原因造成的安全事故，由承包人承担相应责任及发生的费用，工期不予顺延。</w:t>
      </w:r>
    </w:p>
    <w:p>
      <w:pPr>
        <w:tabs>
          <w:tab w:val="left" w:pos="1620"/>
          <w:tab w:val="left" w:pos="2340"/>
        </w:tabs>
        <w:spacing w:after="156"/>
        <w:ind w:left="899"/>
        <w:jc w:val="left"/>
        <w:rPr>
          <w:rFonts w:hint="eastAsia" w:ascii="宋体" w:hAnsi="宋体"/>
          <w:kern w:val="0"/>
          <w:highlight w:val="none"/>
        </w:rPr>
      </w:pPr>
      <w:r>
        <w:rPr>
          <w:rFonts w:hint="eastAsia" w:ascii="宋体" w:hAnsi="宋体"/>
          <w:kern w:val="0"/>
          <w:highlight w:val="none"/>
        </w:rPr>
        <w:t>⑺</w:t>
      </w:r>
      <w:r>
        <w:rPr>
          <w:rFonts w:ascii="宋体" w:hAnsi="宋体"/>
          <w:kern w:val="0"/>
          <w:highlight w:val="none"/>
        </w:rPr>
        <w:t>承包人有责任维护发包人</w:t>
      </w:r>
      <w:r>
        <w:rPr>
          <w:rFonts w:hint="eastAsia" w:ascii="宋体" w:hAnsi="宋体"/>
          <w:kern w:val="0"/>
          <w:highlight w:val="none"/>
        </w:rPr>
        <w:t>的社会</w:t>
      </w:r>
      <w:r>
        <w:rPr>
          <w:rFonts w:ascii="宋体" w:hAnsi="宋体"/>
          <w:kern w:val="0"/>
          <w:highlight w:val="none"/>
        </w:rPr>
        <w:t>形象，避免由于施工引起安全、文明施工和环境保护</w:t>
      </w:r>
      <w:r>
        <w:rPr>
          <w:rFonts w:hint="eastAsia" w:ascii="宋体" w:hAnsi="宋体"/>
          <w:kern w:val="0"/>
          <w:highlight w:val="none"/>
        </w:rPr>
        <w:t>(</w:t>
      </w:r>
      <w:r>
        <w:rPr>
          <w:rFonts w:ascii="宋体" w:hAnsi="宋体"/>
          <w:kern w:val="0"/>
          <w:highlight w:val="none"/>
        </w:rPr>
        <w:t>如噪音、粉尘、排污等</w:t>
      </w:r>
      <w:r>
        <w:rPr>
          <w:rFonts w:hint="eastAsia" w:ascii="宋体" w:hAnsi="宋体"/>
          <w:kern w:val="0"/>
          <w:highlight w:val="none"/>
        </w:rPr>
        <w:t>)</w:t>
      </w:r>
      <w:r>
        <w:rPr>
          <w:rFonts w:ascii="宋体" w:hAnsi="宋体"/>
          <w:kern w:val="0"/>
          <w:highlight w:val="none"/>
        </w:rPr>
        <w:t>问题而造成对发包人的索赔。由于上述问题造成的索赔由承包人承担全部责任</w:t>
      </w:r>
      <w:r>
        <w:rPr>
          <w:rFonts w:hint="eastAsia" w:ascii="宋体" w:hAnsi="宋体"/>
          <w:kern w:val="0"/>
          <w:highlight w:val="none"/>
        </w:rPr>
        <w:t>。</w:t>
      </w:r>
    </w:p>
    <w:p>
      <w:pPr>
        <w:tabs>
          <w:tab w:val="left" w:pos="1620"/>
          <w:tab w:val="left" w:pos="2340"/>
        </w:tabs>
        <w:spacing w:after="156"/>
        <w:ind w:left="899"/>
        <w:jc w:val="left"/>
        <w:rPr>
          <w:rFonts w:hint="eastAsia" w:ascii="宋体" w:hAnsi="宋体"/>
          <w:kern w:val="0"/>
          <w:highlight w:val="none"/>
        </w:rPr>
      </w:pPr>
      <w:r>
        <w:rPr>
          <w:rFonts w:hint="eastAsia" w:ascii="宋体" w:hAnsi="宋体"/>
          <w:kern w:val="0"/>
          <w:highlight w:val="none"/>
        </w:rPr>
        <w:t>⑻</w:t>
      </w:r>
      <w:r>
        <w:rPr>
          <w:rFonts w:ascii="宋体" w:hAnsi="宋体"/>
          <w:kern w:val="0"/>
          <w:highlight w:val="none"/>
        </w:rPr>
        <w:t>在施工过程中，如遇到突发的地质变动、事先未知的地下施工障碍等影响施工安全的紧急情况，</w:t>
      </w:r>
      <w:r>
        <w:rPr>
          <w:rFonts w:hint="eastAsia" w:ascii="宋体" w:hAnsi="宋体"/>
          <w:kern w:val="0"/>
          <w:highlight w:val="none"/>
        </w:rPr>
        <w:t>承包人应及时报告</w:t>
      </w:r>
      <w:r>
        <w:rPr>
          <w:rFonts w:ascii="宋体" w:hAnsi="宋体"/>
          <w:kern w:val="0"/>
          <w:highlight w:val="none"/>
        </w:rPr>
        <w:t>监理人</w:t>
      </w:r>
      <w:r>
        <w:rPr>
          <w:rFonts w:hint="eastAsia" w:ascii="宋体" w:hAnsi="宋体"/>
          <w:kern w:val="0"/>
          <w:highlight w:val="none"/>
        </w:rPr>
        <w:t>和发包人，按相关</w:t>
      </w:r>
      <w:r>
        <w:rPr>
          <w:rFonts w:ascii="宋体" w:hAnsi="宋体"/>
          <w:kern w:val="0"/>
          <w:highlight w:val="none"/>
        </w:rPr>
        <w:t>部门</w:t>
      </w:r>
      <w:r>
        <w:rPr>
          <w:rFonts w:hint="eastAsia" w:ascii="宋体" w:hAnsi="宋体"/>
          <w:kern w:val="0"/>
          <w:highlight w:val="none"/>
        </w:rPr>
        <w:t>要求</w:t>
      </w:r>
      <w:r>
        <w:rPr>
          <w:rFonts w:ascii="宋体" w:hAnsi="宋体"/>
          <w:kern w:val="0"/>
          <w:highlight w:val="none"/>
        </w:rPr>
        <w:t>采取应急措施。</w:t>
      </w:r>
    </w:p>
    <w:p>
      <w:pPr>
        <w:tabs>
          <w:tab w:val="left" w:pos="1620"/>
          <w:tab w:val="left" w:pos="2340"/>
        </w:tabs>
        <w:spacing w:after="156"/>
        <w:ind w:left="899"/>
        <w:jc w:val="left"/>
        <w:rPr>
          <w:rFonts w:hint="eastAsia" w:ascii="宋体" w:hAnsi="宋体"/>
          <w:kern w:val="0"/>
          <w:highlight w:val="none"/>
        </w:rPr>
      </w:pPr>
      <w:r>
        <w:rPr>
          <w:rFonts w:hint="eastAsia" w:ascii="宋体" w:hAnsi="宋体"/>
          <w:kern w:val="0"/>
          <w:highlight w:val="none"/>
        </w:rPr>
        <w:t>⑼承包人应按照有关信息化管理的要求，在深圳市质量安全监管职能平台及时上传、报送有关安全隐患检查和安全隐患整改情况。</w:t>
      </w:r>
    </w:p>
    <w:p>
      <w:pPr>
        <w:tabs>
          <w:tab w:val="left" w:pos="1620"/>
          <w:tab w:val="left" w:pos="2340"/>
        </w:tabs>
        <w:spacing w:after="156"/>
        <w:ind w:left="899"/>
        <w:jc w:val="left"/>
        <w:rPr>
          <w:rFonts w:hint="eastAsia" w:ascii="宋体" w:hAnsi="宋体"/>
          <w:kern w:val="0"/>
          <w:highlight w:val="none"/>
        </w:rPr>
      </w:pPr>
      <w:r>
        <w:rPr>
          <w:rFonts w:hint="eastAsia" w:ascii="宋体" w:hAnsi="宋体"/>
          <w:kern w:val="0"/>
          <w:highlight w:val="none"/>
        </w:rPr>
        <w:t>⑽</w:t>
      </w:r>
      <w:r>
        <w:rPr>
          <w:rFonts w:hint="eastAsia" w:ascii="宋体" w:hAnsi="宋体"/>
          <w:b/>
          <w:i/>
          <w:kern w:val="0"/>
          <w:highlight w:val="none"/>
        </w:rPr>
        <w:t>专用条款</w:t>
      </w:r>
      <w:r>
        <w:rPr>
          <w:rFonts w:hint="eastAsia" w:ascii="宋体" w:hAnsi="宋体"/>
          <w:kern w:val="0"/>
          <w:highlight w:val="none"/>
        </w:rPr>
        <w:t>约定的安全文明施工责任。</w:t>
      </w:r>
    </w:p>
    <w:bookmarkEnd w:id="1657"/>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669" w:name="_Toc20212"/>
      <w:bookmarkStart w:id="1670" w:name="_Toc14081"/>
      <w:bookmarkStart w:id="1671" w:name="_Toc15309"/>
      <w:bookmarkStart w:id="1672" w:name="_Toc30635"/>
      <w:bookmarkStart w:id="1673" w:name="_Toc5358"/>
      <w:bookmarkStart w:id="1674" w:name="_Toc13069"/>
      <w:bookmarkStart w:id="1675" w:name="_Toc302635812"/>
      <w:bookmarkStart w:id="1676" w:name="_Toc21924"/>
      <w:bookmarkStart w:id="1677" w:name="_Toc22176"/>
      <w:bookmarkStart w:id="1678" w:name="_Toc8310"/>
      <w:bookmarkStart w:id="1679" w:name="_Toc305331328"/>
      <w:bookmarkStart w:id="1680" w:name="_Toc34909067"/>
      <w:r>
        <w:rPr>
          <w:rFonts w:ascii="宋体" w:hAnsi="宋体" w:eastAsia="宋体" w:cs="Times New Roman"/>
          <w:b/>
          <w:bCs/>
          <w:color w:val="auto"/>
          <w:kern w:val="0"/>
          <w:sz w:val="24"/>
          <w:szCs w:val="24"/>
          <w:highlight w:val="none"/>
          <w:lang w:val="en-US" w:eastAsia="zh-CN" w:bidi="ar-SA"/>
        </w:rPr>
        <w:t>监理人</w:t>
      </w:r>
      <w:r>
        <w:rPr>
          <w:rFonts w:hint="eastAsia" w:ascii="宋体" w:hAnsi="宋体" w:eastAsia="宋体" w:cs="Times New Roman"/>
          <w:b/>
          <w:bCs/>
          <w:color w:val="auto"/>
          <w:kern w:val="0"/>
          <w:sz w:val="24"/>
          <w:szCs w:val="24"/>
          <w:highlight w:val="none"/>
          <w:lang w:val="en-US" w:eastAsia="zh-CN" w:bidi="ar-SA"/>
        </w:rPr>
        <w:t>对安全文明的监督</w:t>
      </w:r>
      <w:bookmarkEnd w:id="1669"/>
      <w:bookmarkEnd w:id="1670"/>
      <w:bookmarkEnd w:id="1671"/>
      <w:bookmarkEnd w:id="1672"/>
      <w:bookmarkEnd w:id="1673"/>
      <w:bookmarkEnd w:id="1674"/>
      <w:bookmarkEnd w:id="1675"/>
      <w:bookmarkEnd w:id="1676"/>
      <w:bookmarkEnd w:id="1677"/>
      <w:bookmarkEnd w:id="1678"/>
      <w:bookmarkEnd w:id="1679"/>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应当对承包人落实施工现场安全文明措施情况进行现场监督。对承包人已经落实的安全文明措施，</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应当及时审查确认。</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发现承包人未落实施工组织设计及专项施工方案中安全防护和文明施工措施的，有权责令其立即整改，承包人拒不整改或未按期限要求完成整改的，</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应当及时向发包人和建设行政主管部门报告，必要时责令其暂停施工。</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681" w:name="_Toc1825"/>
      <w:bookmarkStart w:id="1682" w:name="_Toc13897"/>
      <w:bookmarkStart w:id="1683" w:name="_Toc3484"/>
      <w:bookmarkStart w:id="1684" w:name="_Toc1620"/>
      <w:bookmarkStart w:id="1685" w:name="_Toc305331329"/>
      <w:bookmarkStart w:id="1686" w:name="_Toc26325"/>
      <w:bookmarkStart w:id="1687" w:name="_Toc302635813"/>
      <w:bookmarkStart w:id="1688" w:name="_Toc24030"/>
      <w:bookmarkStart w:id="1689" w:name="_Toc9230"/>
      <w:bookmarkStart w:id="1690" w:name="_Toc21805"/>
      <w:bookmarkStart w:id="1691" w:name="_Toc25223"/>
      <w:r>
        <w:rPr>
          <w:rFonts w:hint="eastAsia" w:ascii="宋体" w:hAnsi="宋体" w:eastAsia="宋体" w:cs="Times New Roman"/>
          <w:b/>
          <w:bCs/>
          <w:color w:val="auto"/>
          <w:kern w:val="0"/>
          <w:sz w:val="24"/>
          <w:szCs w:val="24"/>
          <w:highlight w:val="none"/>
          <w:lang w:val="en-US" w:eastAsia="zh-CN" w:bidi="ar-SA"/>
        </w:rPr>
        <w:t>安全文明措施费的专款专用</w:t>
      </w:r>
      <w:bookmarkEnd w:id="1681"/>
      <w:bookmarkEnd w:id="1682"/>
      <w:bookmarkEnd w:id="1683"/>
      <w:bookmarkEnd w:id="1684"/>
      <w:bookmarkEnd w:id="1685"/>
      <w:bookmarkEnd w:id="1686"/>
      <w:bookmarkEnd w:id="1687"/>
      <w:bookmarkEnd w:id="1688"/>
      <w:bookmarkEnd w:id="1689"/>
      <w:bookmarkEnd w:id="1690"/>
      <w:bookmarkEnd w:id="1691"/>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⑴承包人应确保施工现场安全文明措施费专款专用，在财务管理中单独列出安全文明措施项目费用清单及金额备查，并设立单独的安全文明措施费银行账户，接受发包人的监管。</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⑵承包人应当按照分包合同约定及时向分包人支付施工现场安全文明措施费。承包人不按约定支付费用，造成分包人不能及时落实安全防护措施导致发生事故的，由承包人负主要责任。</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692" w:name="_Toc3597"/>
      <w:bookmarkStart w:id="1693" w:name="_Toc28240"/>
      <w:bookmarkStart w:id="1694" w:name="_Toc13233"/>
      <w:bookmarkStart w:id="1695" w:name="_Toc3251"/>
      <w:bookmarkStart w:id="1696" w:name="_Toc10204"/>
      <w:bookmarkStart w:id="1697" w:name="_Toc1069"/>
      <w:bookmarkStart w:id="1698" w:name="_Toc305331330"/>
      <w:bookmarkStart w:id="1699" w:name="_Toc29315"/>
      <w:bookmarkStart w:id="1700" w:name="_Toc26887"/>
      <w:bookmarkStart w:id="1701" w:name="_Toc302635814"/>
      <w:bookmarkStart w:id="1702" w:name="_Toc13058"/>
      <w:r>
        <w:rPr>
          <w:rFonts w:hint="eastAsia" w:ascii="宋体" w:hAnsi="宋体" w:eastAsia="宋体" w:cs="Times New Roman"/>
          <w:b/>
          <w:bCs/>
          <w:color w:val="auto"/>
          <w:kern w:val="0"/>
          <w:sz w:val="24"/>
          <w:szCs w:val="24"/>
          <w:highlight w:val="none"/>
          <w:lang w:val="en-US" w:eastAsia="zh-CN" w:bidi="ar-SA"/>
        </w:rPr>
        <w:t>承包人的安全防护和现场作业</w:t>
      </w:r>
      <w:bookmarkEnd w:id="1692"/>
      <w:bookmarkEnd w:id="1693"/>
      <w:bookmarkEnd w:id="1694"/>
      <w:bookmarkEnd w:id="1695"/>
      <w:bookmarkEnd w:id="1696"/>
      <w:bookmarkEnd w:id="1697"/>
      <w:bookmarkEnd w:id="1698"/>
      <w:bookmarkEnd w:id="1699"/>
      <w:bookmarkEnd w:id="1700"/>
      <w:bookmarkEnd w:id="1701"/>
      <w:bookmarkEnd w:id="1702"/>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⑵承包人在动力设备、输电线路、地下管道、密封防震车间、易燃易爆地段、临街交通要道附近、放射毒害性环境中施工以及实施爆破作业、使用毒害性腐蚀性物品施工时，施工前应向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提出安全防护措施，经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认可后实施，由发包人承担相应安全防护措施费用。</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⑶承包人应将其作业限制在现场内。在施工期间，承包人应保持现场没有障碍物，妥善存放和处理材料设备和承包人装备，及时从现场清除并运走任何残物、垃圾和不再需要的临时工程。</w:t>
      </w:r>
      <w:bookmarkEnd w:id="1680"/>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承包人应按照本市相关要求和根据工程性质规模，建立现场视频采集系统，开展实时监控。承包人应当按照建筑从业人员实名制管理的相关要求，利用人脸、虹膜等生物活体信息技术，在工地出入口设立实名闸机通道，实行联网运行。</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703" w:name="_Toc7072"/>
      <w:bookmarkStart w:id="1704" w:name="_Toc11094"/>
      <w:bookmarkStart w:id="1705" w:name="_Toc4214"/>
      <w:bookmarkStart w:id="1706" w:name="_Toc302635815"/>
      <w:bookmarkStart w:id="1707" w:name="_Toc23115"/>
      <w:bookmarkStart w:id="1708" w:name="_Toc8631"/>
      <w:bookmarkStart w:id="1709" w:name="_Toc1743"/>
      <w:bookmarkStart w:id="1710" w:name="_Toc17341"/>
      <w:bookmarkStart w:id="1711" w:name="_Toc4461"/>
      <w:bookmarkStart w:id="1712" w:name="_Toc213"/>
      <w:r>
        <w:rPr>
          <w:rFonts w:ascii="宋体" w:hAnsi="宋体" w:eastAsia="宋体" w:cs="Times New Roman"/>
          <w:b/>
          <w:bCs/>
          <w:color w:val="auto"/>
          <w:kern w:val="0"/>
          <w:sz w:val="24"/>
          <w:szCs w:val="24"/>
          <w:highlight w:val="none"/>
          <w:lang w:val="en-US" w:eastAsia="zh-CN" w:bidi="ar-SA"/>
        </w:rPr>
        <w:t>紧急情况</w:t>
      </w:r>
      <w:r>
        <w:rPr>
          <w:rFonts w:hint="eastAsia" w:ascii="宋体" w:hAnsi="宋体" w:eastAsia="宋体" w:cs="Times New Roman"/>
          <w:b/>
          <w:bCs/>
          <w:color w:val="auto"/>
          <w:kern w:val="0"/>
          <w:sz w:val="24"/>
          <w:szCs w:val="24"/>
          <w:highlight w:val="none"/>
          <w:lang w:val="en-US" w:eastAsia="zh-CN" w:bidi="ar-SA"/>
        </w:rPr>
        <w:t>处理</w:t>
      </w:r>
      <w:bookmarkEnd w:id="1703"/>
      <w:bookmarkEnd w:id="1704"/>
      <w:bookmarkEnd w:id="1705"/>
      <w:bookmarkEnd w:id="1706"/>
      <w:bookmarkEnd w:id="1707"/>
      <w:bookmarkEnd w:id="1708"/>
      <w:bookmarkEnd w:id="1709"/>
      <w:bookmarkEnd w:id="1710"/>
      <w:bookmarkEnd w:id="1711"/>
      <w:bookmarkEnd w:id="1712"/>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713" w:name="_Toc10967"/>
      <w:bookmarkStart w:id="1714" w:name="_Toc9681"/>
      <w:bookmarkStart w:id="1715" w:name="_Toc12677"/>
      <w:bookmarkStart w:id="1716" w:name="_Toc302635816"/>
      <w:bookmarkStart w:id="1717" w:name="_Toc17749"/>
      <w:bookmarkStart w:id="1718" w:name="_Toc28800"/>
      <w:bookmarkStart w:id="1719" w:name="_Toc18755"/>
      <w:bookmarkStart w:id="1720" w:name="_Toc3244"/>
      <w:bookmarkStart w:id="1721" w:name="_Toc24093"/>
      <w:bookmarkStart w:id="1722" w:name="_Toc27544"/>
      <w:r>
        <w:rPr>
          <w:rFonts w:hint="eastAsia" w:ascii="宋体" w:hAnsi="宋体" w:eastAsia="宋体" w:cs="Times New Roman"/>
          <w:b/>
          <w:bCs/>
          <w:color w:val="auto"/>
          <w:kern w:val="0"/>
          <w:sz w:val="24"/>
          <w:szCs w:val="24"/>
          <w:highlight w:val="none"/>
          <w:lang w:val="en-US" w:eastAsia="zh-CN" w:bidi="ar-SA"/>
        </w:rPr>
        <w:t>事故处理</w:t>
      </w:r>
      <w:bookmarkEnd w:id="1713"/>
      <w:bookmarkEnd w:id="1714"/>
      <w:bookmarkEnd w:id="1715"/>
      <w:bookmarkEnd w:id="1716"/>
      <w:bookmarkEnd w:id="1717"/>
      <w:bookmarkEnd w:id="1718"/>
      <w:bookmarkEnd w:id="1719"/>
      <w:bookmarkEnd w:id="1720"/>
      <w:bookmarkEnd w:id="1721"/>
      <w:bookmarkEnd w:id="1722"/>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723" w:name="_Toc31644"/>
      <w:bookmarkStart w:id="1724" w:name="_Toc18719"/>
      <w:bookmarkStart w:id="1725" w:name="_Toc6070"/>
      <w:bookmarkStart w:id="1726" w:name="_Toc9201"/>
      <w:bookmarkStart w:id="1727" w:name="_Toc305331331"/>
      <w:bookmarkStart w:id="1728" w:name="_Toc302635817"/>
      <w:bookmarkStart w:id="1729" w:name="_Toc4266"/>
      <w:bookmarkStart w:id="1730" w:name="_Toc22938"/>
      <w:bookmarkStart w:id="1731" w:name="_Toc24211"/>
      <w:bookmarkStart w:id="1732" w:name="_Toc15396"/>
      <w:bookmarkStart w:id="1733" w:name="_Toc13325"/>
      <w:r>
        <w:rPr>
          <w:rFonts w:hint="eastAsia" w:ascii="宋体" w:hAnsi="宋体" w:eastAsia="宋体" w:cs="Times New Roman"/>
          <w:b/>
          <w:bCs/>
          <w:color w:val="auto"/>
          <w:kern w:val="0"/>
          <w:sz w:val="24"/>
          <w:szCs w:val="24"/>
          <w:highlight w:val="none"/>
          <w:lang w:val="en-US" w:eastAsia="zh-CN" w:bidi="ar-SA"/>
        </w:rPr>
        <w:t>承包人的环境保护责任</w:t>
      </w:r>
      <w:bookmarkEnd w:id="1723"/>
      <w:bookmarkEnd w:id="1724"/>
      <w:bookmarkEnd w:id="1725"/>
      <w:bookmarkEnd w:id="1726"/>
      <w:bookmarkEnd w:id="1727"/>
      <w:bookmarkEnd w:id="1728"/>
      <w:bookmarkEnd w:id="1729"/>
      <w:bookmarkEnd w:id="1730"/>
      <w:bookmarkEnd w:id="1731"/>
      <w:bookmarkEnd w:id="1732"/>
      <w:bookmarkEnd w:id="1733"/>
    </w:p>
    <w:p>
      <w:pPr>
        <w:tabs>
          <w:tab w:val="left" w:pos="1620"/>
          <w:tab w:val="left" w:pos="2340"/>
        </w:tabs>
        <w:spacing w:after="156"/>
        <w:ind w:left="899"/>
        <w:jc w:val="left"/>
        <w:rPr>
          <w:rFonts w:hint="eastAsia" w:ascii="宋体" w:hAnsi="宋体" w:eastAsia="宋体" w:cs="Times New Roman"/>
          <w:color w:val="auto"/>
          <w:kern w:val="0"/>
          <w:szCs w:val="24"/>
          <w:highlight w:val="none"/>
          <w:lang w:eastAsia="zh-CN"/>
        </w:rPr>
      </w:pPr>
      <w:r>
        <w:rPr>
          <w:rFonts w:hint="eastAsia" w:ascii="宋体" w:hAnsi="宋体" w:eastAsia="宋体" w:cs="Times New Roman"/>
          <w:color w:val="auto"/>
          <w:kern w:val="0"/>
          <w:szCs w:val="24"/>
          <w:highlight w:val="none"/>
        </w:rPr>
        <w:t>⑴发包人和承包人应按照《广东省建筑垃圾管理条例》《深圳市建筑废弃物管理办法》</w:t>
      </w:r>
      <w:r>
        <w:rPr>
          <w:rFonts w:hint="eastAsia" w:ascii="宋体" w:hAnsi="宋体" w:eastAsia="宋体" w:cs="Times New Roman"/>
          <w:color w:val="auto"/>
          <w:kern w:val="0"/>
          <w:szCs w:val="24"/>
          <w:highlight w:val="none"/>
          <w:lang w:eastAsia="zh-CN"/>
        </w:rPr>
        <w:t>等有关</w:t>
      </w:r>
      <w:r>
        <w:rPr>
          <w:rFonts w:hint="eastAsia" w:ascii="宋体" w:hAnsi="宋体" w:eastAsia="宋体" w:cs="Times New Roman"/>
          <w:color w:val="auto"/>
          <w:kern w:val="0"/>
          <w:szCs w:val="24"/>
          <w:highlight w:val="none"/>
        </w:rPr>
        <w:t>规定，在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施工现场建筑废弃物减量化目标、要求和措施，明确承包人在施工现场建筑废弃物规范排放、分类处理、禁止混合排放等方面的要求和措施，以及建筑废弃物综合利用产品的相关使用要求，并约定相应违约责任。承包人向施工场地外排放建筑废弃物的，应按规定在排放前向建设、交通运输或水务部门申请建筑废弃物排放核准</w:t>
      </w:r>
      <w:r>
        <w:rPr>
          <w:rFonts w:hint="eastAsia" w:ascii="宋体" w:hAnsi="宋体" w:eastAsia="宋体" w:cs="Times New Roman"/>
          <w:color w:val="auto"/>
          <w:kern w:val="0"/>
          <w:szCs w:val="24"/>
          <w:highlight w:val="none"/>
          <w:lang w:eastAsia="zh-CN"/>
        </w:rPr>
        <w:t>，并执行电子联单管理制度。</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应采取一切适当措施，保护施工现场内外环境，防治扬尘、噪音、废气、废水、废渣等污染，限制由其施工作业引起的污染对公众和财产造成的损害和妨害。承包人应确保因其活动产生的扬尘、气体排放、地面排水及排污等，不超过政府部门规范要求。</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承包人在施工期间，应</w:t>
      </w:r>
      <w:r>
        <w:rPr>
          <w:rFonts w:hint="eastAsia" w:ascii="宋体" w:hAnsi="宋体" w:eastAsia="宋体" w:cs="Times New Roman"/>
          <w:color w:val="auto"/>
          <w:kern w:val="0"/>
          <w:szCs w:val="24"/>
          <w:highlight w:val="none"/>
        </w:rPr>
        <w:t>严格</w:t>
      </w:r>
      <w:r>
        <w:rPr>
          <w:rFonts w:ascii="宋体" w:hAnsi="宋体" w:eastAsia="宋体" w:cs="Times New Roman"/>
          <w:color w:val="auto"/>
          <w:kern w:val="0"/>
          <w:szCs w:val="24"/>
          <w:highlight w:val="none"/>
        </w:rPr>
        <w:t>执行《</w:t>
      </w:r>
      <w:bookmarkStart w:id="5060" w:name="_GoBack"/>
      <w:bookmarkEnd w:id="5060"/>
      <w:r>
        <w:rPr>
          <w:rFonts w:ascii="宋体" w:hAnsi="宋体" w:eastAsia="宋体" w:cs="Times New Roman"/>
          <w:color w:val="auto"/>
          <w:kern w:val="0"/>
          <w:szCs w:val="24"/>
          <w:highlight w:val="none"/>
          <w:lang w:val="en"/>
        </w:rPr>
        <w:t>广东省建设项目环境保护管理条例</w:t>
      </w:r>
      <w:r>
        <w:rPr>
          <w:rFonts w:ascii="宋体" w:hAnsi="宋体" w:eastAsia="宋体" w:cs="Times New Roman"/>
          <w:color w:val="auto"/>
          <w:kern w:val="0"/>
          <w:szCs w:val="24"/>
          <w:highlight w:val="none"/>
        </w:rPr>
        <w:t>》《深圳经济特区环境保护条例》和《深圳经济特区环境噪声污染防治条例》等有关法规的规定，依法文明施工，尽可能减少施工对居民生活的影响。</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t>承包人在开工前应向</w:t>
      </w:r>
      <w:r>
        <w:rPr>
          <w:rFonts w:hint="eastAsia" w:ascii="宋体" w:hAnsi="宋体" w:eastAsia="宋体" w:cs="Times New Roman"/>
          <w:color w:val="auto"/>
          <w:kern w:val="0"/>
          <w:szCs w:val="24"/>
          <w:highlight w:val="none"/>
        </w:rPr>
        <w:t>政府</w:t>
      </w:r>
      <w:r>
        <w:rPr>
          <w:rFonts w:ascii="宋体" w:hAnsi="宋体" w:eastAsia="宋体" w:cs="Times New Roman"/>
          <w:color w:val="auto"/>
          <w:kern w:val="0"/>
          <w:szCs w:val="24"/>
          <w:highlight w:val="none"/>
        </w:rPr>
        <w:t>环保部门申报施工期的环保方案。如需夜间连续施工，必须提前到</w:t>
      </w:r>
      <w:r>
        <w:rPr>
          <w:rFonts w:hint="eastAsia" w:ascii="宋体" w:hAnsi="宋体" w:eastAsia="宋体" w:cs="Times New Roman"/>
          <w:color w:val="auto"/>
          <w:kern w:val="0"/>
          <w:szCs w:val="24"/>
          <w:highlight w:val="none"/>
        </w:rPr>
        <w:t>政府</w:t>
      </w:r>
      <w:r>
        <w:rPr>
          <w:rFonts w:ascii="宋体" w:hAnsi="宋体" w:eastAsia="宋体" w:cs="Times New Roman"/>
          <w:color w:val="auto"/>
          <w:kern w:val="0"/>
          <w:szCs w:val="24"/>
          <w:highlight w:val="none"/>
        </w:rPr>
        <w:t>环保部门申请核准手续。</w:t>
      </w:r>
    </w:p>
    <w:p>
      <w:pPr>
        <w:tabs>
          <w:tab w:val="left" w:pos="1620"/>
          <w:tab w:val="left" w:pos="2340"/>
        </w:tabs>
        <w:spacing w:after="156"/>
        <w:ind w:left="899"/>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⑸承包人应使用符合《在用非道路移动机械用柴油机排气烟度排放限值及测量方法》（SZJG49-2015）特区技术规范要求的非道路移动机械。</w:t>
      </w:r>
    </w:p>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1734" w:name="_Toc9693"/>
      <w:bookmarkStart w:id="1735" w:name="_Toc8842"/>
      <w:bookmarkStart w:id="1736" w:name="_Toc5891"/>
      <w:bookmarkStart w:id="1737" w:name="_Toc6990"/>
      <w:bookmarkStart w:id="1738" w:name="_Toc26872"/>
      <w:bookmarkStart w:id="1739" w:name="_Toc4800"/>
      <w:bookmarkStart w:id="1740" w:name="_Toc3407"/>
      <w:bookmarkStart w:id="1741" w:name="_Toc305331333"/>
      <w:bookmarkStart w:id="1742" w:name="_Toc17339"/>
      <w:bookmarkStart w:id="1743" w:name="_Toc19585"/>
      <w:bookmarkStart w:id="1744" w:name="_Toc302635820"/>
      <w:bookmarkStart w:id="1745" w:name="_Toc34909070"/>
      <w:bookmarkStart w:id="1746" w:name="_Toc35656487"/>
      <w:bookmarkStart w:id="1747" w:name="_Toc305331341"/>
      <w:bookmarkStart w:id="1748" w:name="_Toc35656989"/>
      <w:r>
        <w:rPr>
          <w:rFonts w:hint="eastAsia" w:ascii="华文细黑" w:hAnsi="宋体" w:eastAsia="宋体" w:cs="Times New Roman"/>
          <w:b/>
          <w:bCs/>
          <w:snapToGrid w:val="0"/>
          <w:color w:val="auto"/>
          <w:kern w:val="0"/>
          <w:sz w:val="28"/>
          <w:szCs w:val="44"/>
          <w:highlight w:val="none"/>
          <w:lang w:val="en-US" w:eastAsia="zh-CN" w:bidi="ar-SA"/>
        </w:rPr>
        <w:t>余泥渣土运输车辆要求</w:t>
      </w:r>
      <w:bookmarkEnd w:id="1734"/>
      <w:bookmarkEnd w:id="1735"/>
      <w:bookmarkEnd w:id="1736"/>
      <w:bookmarkEnd w:id="1737"/>
      <w:bookmarkEnd w:id="1738"/>
      <w:bookmarkEnd w:id="1739"/>
      <w:bookmarkEnd w:id="1740"/>
      <w:bookmarkEnd w:id="1741"/>
      <w:bookmarkEnd w:id="1742"/>
      <w:bookmarkEnd w:id="1743"/>
      <w:bookmarkEnd w:id="1744"/>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749" w:name="_Toc31004"/>
      <w:bookmarkStart w:id="1750" w:name="_Toc12162"/>
      <w:bookmarkStart w:id="1751" w:name="_Toc22864"/>
      <w:bookmarkStart w:id="1752" w:name="_Toc25863"/>
      <w:bookmarkStart w:id="1753" w:name="_Toc302635821"/>
      <w:bookmarkStart w:id="1754" w:name="_Toc305331334"/>
      <w:bookmarkStart w:id="1755" w:name="_Toc31943"/>
      <w:bookmarkStart w:id="1756" w:name="_Toc7657"/>
      <w:bookmarkStart w:id="1757" w:name="_Toc30802"/>
      <w:bookmarkStart w:id="1758" w:name="_Toc4663"/>
      <w:bookmarkStart w:id="1759" w:name="_Toc5448"/>
      <w:r>
        <w:rPr>
          <w:rFonts w:ascii="宋体" w:hAnsi="宋体" w:eastAsia="宋体" w:cs="Times New Roman"/>
          <w:b/>
          <w:bCs/>
          <w:color w:val="auto"/>
          <w:kern w:val="0"/>
          <w:sz w:val="24"/>
          <w:szCs w:val="24"/>
          <w:highlight w:val="none"/>
          <w:lang w:val="en-US" w:eastAsia="zh-CN" w:bidi="ar-SA"/>
        </w:rPr>
        <w:t>余泥渣土运输车辆</w:t>
      </w:r>
      <w:r>
        <w:rPr>
          <w:rFonts w:hint="eastAsia" w:ascii="宋体" w:hAnsi="宋体" w:eastAsia="宋体" w:cs="Times New Roman"/>
          <w:b/>
          <w:bCs/>
          <w:color w:val="auto"/>
          <w:kern w:val="0"/>
          <w:sz w:val="24"/>
          <w:szCs w:val="24"/>
          <w:highlight w:val="none"/>
          <w:lang w:val="en-US" w:eastAsia="zh-CN" w:bidi="ar-SA"/>
        </w:rPr>
        <w:t>证件要求</w:t>
      </w:r>
      <w:bookmarkEnd w:id="1749"/>
      <w:bookmarkEnd w:id="1750"/>
      <w:bookmarkEnd w:id="1751"/>
      <w:bookmarkEnd w:id="1752"/>
      <w:bookmarkEnd w:id="1753"/>
      <w:bookmarkEnd w:id="1754"/>
      <w:bookmarkEnd w:id="1755"/>
      <w:bookmarkEnd w:id="1756"/>
      <w:bookmarkEnd w:id="1757"/>
      <w:bookmarkEnd w:id="1758"/>
      <w:bookmarkEnd w:id="1759"/>
    </w:p>
    <w:p>
      <w:pPr>
        <w:tabs>
          <w:tab w:val="left" w:pos="1620"/>
          <w:tab w:val="left" w:pos="2340"/>
        </w:tabs>
        <w:spacing w:after="156"/>
        <w:ind w:left="899"/>
        <w:jc w:val="left"/>
        <w:rPr>
          <w:rFonts w:hint="default" w:ascii="宋体" w:hAnsi="宋体" w:eastAsia="宋体" w:cs="Times New Roman"/>
          <w:color w:val="auto"/>
          <w:kern w:val="0"/>
          <w:szCs w:val="24"/>
          <w:highlight w:val="none"/>
        </w:rPr>
      </w:pPr>
      <w:r>
        <w:rPr>
          <w:rFonts w:hint="default" w:ascii="宋体" w:hAnsi="宋体" w:eastAsia="宋体" w:cs="Times New Roman"/>
          <w:color w:val="auto"/>
          <w:kern w:val="0"/>
          <w:szCs w:val="24"/>
          <w:highlight w:val="none"/>
        </w:rPr>
        <w:t>承担本工程余泥渣土运输任务的运输单位及车辆应当持有相关职能部门核发的有效证件，符合《深圳市建筑废弃物管理办法》</w:t>
      </w:r>
      <w:r>
        <w:rPr>
          <w:rFonts w:hint="eastAsia" w:ascii="宋体" w:hAnsi="宋体" w:eastAsia="宋体" w:cs="Times New Roman"/>
          <w:color w:val="auto"/>
          <w:kern w:val="0"/>
          <w:szCs w:val="24"/>
          <w:highlight w:val="none"/>
          <w:lang w:eastAsia="zh-CN"/>
        </w:rPr>
        <w:t>等有关</w:t>
      </w:r>
      <w:r>
        <w:rPr>
          <w:rFonts w:hint="eastAsia" w:ascii="宋体" w:hAnsi="宋体" w:eastAsia="宋体" w:cs="Times New Roman"/>
          <w:color w:val="auto"/>
          <w:kern w:val="0"/>
          <w:szCs w:val="24"/>
          <w:highlight w:val="none"/>
        </w:rPr>
        <w:t>规定</w:t>
      </w:r>
      <w:r>
        <w:rPr>
          <w:rFonts w:hint="default" w:ascii="宋体" w:hAnsi="宋体" w:eastAsia="宋体" w:cs="Times New Roman"/>
          <w:color w:val="auto"/>
          <w:kern w:val="0"/>
          <w:szCs w:val="24"/>
          <w:highlight w:val="none"/>
        </w:rPr>
        <w:t>。</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760" w:name="_Toc15941"/>
      <w:bookmarkStart w:id="1761" w:name="_Toc20717"/>
      <w:bookmarkStart w:id="1762" w:name="_Toc6430"/>
      <w:bookmarkStart w:id="1763" w:name="_Toc302635822"/>
      <w:bookmarkStart w:id="1764" w:name="_Toc2940"/>
      <w:bookmarkStart w:id="1765" w:name="_Toc21861"/>
      <w:bookmarkStart w:id="1766" w:name="_Toc11495"/>
      <w:bookmarkStart w:id="1767" w:name="_Toc17842"/>
      <w:bookmarkStart w:id="1768" w:name="_Toc8522"/>
      <w:bookmarkStart w:id="1769" w:name="_Toc20858"/>
      <w:bookmarkStart w:id="1770" w:name="_Toc305331335"/>
      <w:r>
        <w:rPr>
          <w:rFonts w:hint="eastAsia" w:ascii="宋体" w:hAnsi="宋体" w:eastAsia="宋体" w:cs="Times New Roman"/>
          <w:b/>
          <w:bCs/>
          <w:color w:val="auto"/>
          <w:kern w:val="0"/>
          <w:sz w:val="24"/>
          <w:szCs w:val="24"/>
          <w:highlight w:val="none"/>
          <w:lang w:val="en-US" w:eastAsia="zh-CN" w:bidi="ar-SA"/>
        </w:rPr>
        <w:t>承包人自行运输</w:t>
      </w:r>
      <w:bookmarkEnd w:id="1760"/>
      <w:bookmarkEnd w:id="1761"/>
      <w:bookmarkEnd w:id="1762"/>
      <w:bookmarkEnd w:id="1763"/>
      <w:bookmarkEnd w:id="1764"/>
      <w:bookmarkEnd w:id="1765"/>
      <w:bookmarkEnd w:id="1766"/>
      <w:bookmarkEnd w:id="1767"/>
      <w:bookmarkEnd w:id="1768"/>
      <w:bookmarkEnd w:id="1769"/>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承包人</w:t>
      </w:r>
      <w:r>
        <w:rPr>
          <w:rFonts w:hint="eastAsia" w:ascii="宋体" w:hAnsi="宋体" w:eastAsia="宋体" w:cs="Times New Roman"/>
          <w:color w:val="auto"/>
          <w:kern w:val="0"/>
          <w:szCs w:val="24"/>
          <w:highlight w:val="none"/>
        </w:rPr>
        <w:t>持有</w:t>
      </w:r>
      <w:r>
        <w:rPr>
          <w:rFonts w:ascii="宋体" w:hAnsi="宋体" w:eastAsia="宋体" w:cs="Times New Roman"/>
          <w:color w:val="auto"/>
          <w:kern w:val="0"/>
          <w:szCs w:val="24"/>
          <w:highlight w:val="none"/>
        </w:rPr>
        <w:t>第</w:t>
      </w:r>
      <w:r>
        <w:rPr>
          <w:rFonts w:hint="eastAsia" w:ascii="宋体" w:hAnsi="宋体" w:eastAsia="宋体" w:cs="Times New Roman"/>
          <w:color w:val="auto"/>
          <w:kern w:val="0"/>
          <w:szCs w:val="24"/>
          <w:highlight w:val="none"/>
        </w:rPr>
        <w:t>18</w:t>
      </w:r>
      <w:r>
        <w:rPr>
          <w:rFonts w:ascii="宋体" w:hAnsi="宋体" w:eastAsia="宋体" w:cs="Times New Roman"/>
          <w:color w:val="auto"/>
          <w:kern w:val="0"/>
          <w:szCs w:val="24"/>
          <w:highlight w:val="none"/>
        </w:rPr>
        <w:t>.1款</w:t>
      </w:r>
      <w:r>
        <w:rPr>
          <w:rFonts w:hint="eastAsia" w:ascii="宋体" w:hAnsi="宋体" w:eastAsia="宋体" w:cs="Times New Roman"/>
          <w:color w:val="auto"/>
          <w:kern w:val="0"/>
          <w:szCs w:val="24"/>
          <w:highlight w:val="none"/>
        </w:rPr>
        <w:t>相关</w:t>
      </w:r>
      <w:r>
        <w:rPr>
          <w:rFonts w:ascii="宋体" w:hAnsi="宋体" w:eastAsia="宋体" w:cs="Times New Roman"/>
          <w:color w:val="auto"/>
          <w:kern w:val="0"/>
          <w:szCs w:val="24"/>
          <w:highlight w:val="none"/>
        </w:rPr>
        <w:t>证件，</w:t>
      </w:r>
      <w:r>
        <w:rPr>
          <w:rFonts w:hint="eastAsia" w:ascii="宋体" w:hAnsi="宋体" w:eastAsia="宋体" w:cs="Times New Roman"/>
          <w:color w:val="auto"/>
          <w:kern w:val="0"/>
          <w:szCs w:val="24"/>
          <w:highlight w:val="none"/>
        </w:rPr>
        <w:t>具备</w:t>
      </w:r>
      <w:r>
        <w:rPr>
          <w:rFonts w:ascii="宋体" w:hAnsi="宋体" w:eastAsia="宋体" w:cs="Times New Roman"/>
          <w:color w:val="auto"/>
          <w:kern w:val="0"/>
          <w:szCs w:val="24"/>
          <w:highlight w:val="none"/>
        </w:rPr>
        <w:t>余泥渣土运输任务</w:t>
      </w:r>
      <w:r>
        <w:rPr>
          <w:rFonts w:hint="eastAsia" w:ascii="宋体" w:hAnsi="宋体" w:eastAsia="宋体" w:cs="Times New Roman"/>
          <w:color w:val="auto"/>
          <w:kern w:val="0"/>
          <w:szCs w:val="24"/>
          <w:highlight w:val="none"/>
        </w:rPr>
        <w:t>能力的，</w:t>
      </w:r>
      <w:r>
        <w:rPr>
          <w:rFonts w:ascii="宋体" w:hAnsi="宋体" w:eastAsia="宋体" w:cs="Times New Roman"/>
          <w:color w:val="auto"/>
          <w:kern w:val="0"/>
          <w:szCs w:val="24"/>
          <w:highlight w:val="none"/>
        </w:rPr>
        <w:t>可自行组织完成本合同约定的余泥渣土运输任务。</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承包人不</w:t>
      </w:r>
      <w:r>
        <w:rPr>
          <w:rFonts w:hint="eastAsia" w:ascii="宋体" w:hAnsi="宋体" w:eastAsia="宋体" w:cs="Times New Roman"/>
          <w:color w:val="auto"/>
          <w:kern w:val="0"/>
          <w:szCs w:val="24"/>
          <w:highlight w:val="none"/>
        </w:rPr>
        <w:t>持有</w:t>
      </w:r>
      <w:r>
        <w:rPr>
          <w:rFonts w:ascii="宋体" w:hAnsi="宋体" w:eastAsia="宋体" w:cs="Times New Roman"/>
          <w:color w:val="auto"/>
          <w:kern w:val="0"/>
          <w:szCs w:val="24"/>
          <w:highlight w:val="none"/>
        </w:rPr>
        <w:t>第</w:t>
      </w:r>
      <w:r>
        <w:rPr>
          <w:rFonts w:hint="eastAsia" w:ascii="宋体" w:hAnsi="宋体" w:eastAsia="宋体" w:cs="Times New Roman"/>
          <w:color w:val="auto"/>
          <w:kern w:val="0"/>
          <w:szCs w:val="24"/>
          <w:highlight w:val="none"/>
        </w:rPr>
        <w:t>18</w:t>
      </w:r>
      <w:r>
        <w:rPr>
          <w:rFonts w:ascii="宋体" w:hAnsi="宋体" w:eastAsia="宋体" w:cs="Times New Roman"/>
          <w:color w:val="auto"/>
          <w:kern w:val="0"/>
          <w:szCs w:val="24"/>
          <w:highlight w:val="none"/>
        </w:rPr>
        <w:t>.1款</w:t>
      </w:r>
      <w:r>
        <w:rPr>
          <w:rFonts w:hint="eastAsia" w:ascii="宋体" w:hAnsi="宋体" w:eastAsia="宋体" w:cs="Times New Roman"/>
          <w:color w:val="auto"/>
          <w:kern w:val="0"/>
          <w:szCs w:val="24"/>
          <w:highlight w:val="none"/>
        </w:rPr>
        <w:t>相关</w:t>
      </w:r>
      <w:r>
        <w:rPr>
          <w:rFonts w:ascii="宋体" w:hAnsi="宋体" w:eastAsia="宋体" w:cs="Times New Roman"/>
          <w:color w:val="auto"/>
          <w:kern w:val="0"/>
          <w:szCs w:val="24"/>
          <w:highlight w:val="none"/>
        </w:rPr>
        <w:t>证件</w:t>
      </w:r>
      <w:r>
        <w:rPr>
          <w:rFonts w:hint="eastAsia" w:ascii="宋体" w:hAnsi="宋体" w:eastAsia="宋体" w:cs="Times New Roman"/>
          <w:color w:val="auto"/>
          <w:kern w:val="0"/>
          <w:szCs w:val="24"/>
          <w:highlight w:val="none"/>
        </w:rPr>
        <w:t>，不具备</w:t>
      </w:r>
      <w:r>
        <w:rPr>
          <w:rFonts w:ascii="宋体" w:hAnsi="宋体" w:eastAsia="宋体" w:cs="Times New Roman"/>
          <w:color w:val="auto"/>
          <w:kern w:val="0"/>
          <w:szCs w:val="24"/>
          <w:highlight w:val="none"/>
        </w:rPr>
        <w:t>余泥渣土运输任务</w:t>
      </w:r>
      <w:r>
        <w:rPr>
          <w:rFonts w:hint="eastAsia" w:ascii="宋体" w:hAnsi="宋体" w:eastAsia="宋体" w:cs="Times New Roman"/>
          <w:color w:val="auto"/>
          <w:kern w:val="0"/>
          <w:szCs w:val="24"/>
          <w:highlight w:val="none"/>
        </w:rPr>
        <w:t>能力</w:t>
      </w:r>
      <w:r>
        <w:rPr>
          <w:rFonts w:ascii="宋体" w:hAnsi="宋体" w:eastAsia="宋体" w:cs="Times New Roman"/>
          <w:color w:val="auto"/>
          <w:kern w:val="0"/>
          <w:szCs w:val="24"/>
          <w:highlight w:val="none"/>
        </w:rPr>
        <w:t>而自行承担余泥渣土运输任务，应按照</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的约定承担违约责任。同时，</w:t>
      </w:r>
      <w:r>
        <w:rPr>
          <w:rFonts w:hint="eastAsia" w:ascii="宋体" w:hAnsi="宋体" w:eastAsia="宋体" w:cs="Times New Roman"/>
          <w:color w:val="auto"/>
          <w:kern w:val="0"/>
          <w:szCs w:val="24"/>
          <w:highlight w:val="none"/>
        </w:rPr>
        <w:t>上述</w:t>
      </w:r>
      <w:r>
        <w:rPr>
          <w:rFonts w:ascii="宋体" w:hAnsi="宋体" w:eastAsia="宋体" w:cs="Times New Roman"/>
          <w:color w:val="auto"/>
          <w:kern w:val="0"/>
          <w:szCs w:val="24"/>
          <w:highlight w:val="none"/>
        </w:rPr>
        <w:t>违约行为导致的工期延误和</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或</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费用增加，</w:t>
      </w:r>
      <w:r>
        <w:rPr>
          <w:rFonts w:hint="eastAsia" w:ascii="宋体" w:hAnsi="宋体" w:eastAsia="宋体" w:cs="Times New Roman"/>
          <w:color w:val="auto"/>
          <w:kern w:val="0"/>
          <w:szCs w:val="24"/>
          <w:highlight w:val="none"/>
        </w:rPr>
        <w:t>由</w:t>
      </w:r>
      <w:r>
        <w:rPr>
          <w:rFonts w:ascii="宋体" w:hAnsi="宋体" w:eastAsia="宋体" w:cs="Times New Roman"/>
          <w:color w:val="auto"/>
          <w:kern w:val="0"/>
          <w:szCs w:val="24"/>
          <w:highlight w:val="none"/>
        </w:rPr>
        <w:t>承包人</w:t>
      </w:r>
      <w:r>
        <w:rPr>
          <w:rFonts w:hint="eastAsia" w:ascii="宋体" w:hAnsi="宋体" w:eastAsia="宋体" w:cs="Times New Roman"/>
          <w:color w:val="auto"/>
          <w:kern w:val="0"/>
          <w:szCs w:val="24"/>
          <w:highlight w:val="none"/>
        </w:rPr>
        <w:t>承担</w:t>
      </w:r>
      <w:r>
        <w:rPr>
          <w:rFonts w:ascii="宋体" w:hAnsi="宋体" w:eastAsia="宋体" w:cs="Times New Roman"/>
          <w:color w:val="auto"/>
          <w:kern w:val="0"/>
          <w:szCs w:val="24"/>
          <w:highlight w:val="none"/>
        </w:rPr>
        <w:t>责任。</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771" w:name="_Toc1845"/>
      <w:bookmarkStart w:id="1772" w:name="_Toc7948"/>
      <w:bookmarkStart w:id="1773" w:name="_Toc26765"/>
      <w:bookmarkStart w:id="1774" w:name="_Toc1018"/>
      <w:bookmarkStart w:id="1775" w:name="_Toc25402"/>
      <w:bookmarkStart w:id="1776" w:name="_Toc21437"/>
      <w:bookmarkStart w:id="1777" w:name="_Toc10722"/>
      <w:bookmarkStart w:id="1778" w:name="_Toc302635823"/>
      <w:bookmarkStart w:id="1779" w:name="_Toc27036"/>
      <w:bookmarkStart w:id="1780" w:name="_Toc3044"/>
      <w:r>
        <w:rPr>
          <w:rFonts w:ascii="宋体" w:hAnsi="宋体" w:eastAsia="宋体" w:cs="Times New Roman"/>
          <w:b/>
          <w:bCs/>
          <w:color w:val="auto"/>
          <w:kern w:val="0"/>
          <w:sz w:val="24"/>
          <w:szCs w:val="24"/>
          <w:highlight w:val="none"/>
          <w:lang w:val="en-US" w:eastAsia="zh-CN" w:bidi="ar-SA"/>
        </w:rPr>
        <w:t>余泥渣土运输</w:t>
      </w:r>
      <w:r>
        <w:rPr>
          <w:rFonts w:hint="eastAsia" w:ascii="宋体" w:hAnsi="宋体" w:eastAsia="宋体" w:cs="Times New Roman"/>
          <w:b/>
          <w:bCs/>
          <w:color w:val="auto"/>
          <w:kern w:val="0"/>
          <w:sz w:val="24"/>
          <w:szCs w:val="24"/>
          <w:highlight w:val="none"/>
          <w:lang w:val="en-US" w:eastAsia="zh-CN" w:bidi="ar-SA"/>
        </w:rPr>
        <w:t>分包</w:t>
      </w:r>
      <w:bookmarkEnd w:id="1770"/>
      <w:bookmarkEnd w:id="1771"/>
      <w:bookmarkEnd w:id="1772"/>
      <w:bookmarkEnd w:id="1773"/>
      <w:bookmarkEnd w:id="1774"/>
      <w:bookmarkEnd w:id="1775"/>
      <w:bookmarkEnd w:id="1776"/>
      <w:bookmarkEnd w:id="1777"/>
      <w:bookmarkEnd w:id="1778"/>
      <w:bookmarkEnd w:id="1779"/>
      <w:bookmarkEnd w:id="1780"/>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承包人不</w:t>
      </w:r>
      <w:r>
        <w:rPr>
          <w:rFonts w:hint="eastAsia" w:ascii="宋体" w:hAnsi="宋体" w:eastAsia="宋体" w:cs="Times New Roman"/>
          <w:color w:val="auto"/>
          <w:kern w:val="0"/>
          <w:szCs w:val="24"/>
          <w:highlight w:val="none"/>
        </w:rPr>
        <w:t>持有</w:t>
      </w:r>
      <w:r>
        <w:rPr>
          <w:rFonts w:ascii="宋体" w:hAnsi="宋体" w:eastAsia="宋体" w:cs="Times New Roman"/>
          <w:color w:val="auto"/>
          <w:kern w:val="0"/>
          <w:szCs w:val="24"/>
          <w:highlight w:val="none"/>
        </w:rPr>
        <w:t>第</w:t>
      </w:r>
      <w:r>
        <w:rPr>
          <w:rFonts w:hint="eastAsia" w:ascii="宋体" w:hAnsi="宋体" w:eastAsia="宋体" w:cs="Times New Roman"/>
          <w:color w:val="auto"/>
          <w:kern w:val="0"/>
          <w:szCs w:val="24"/>
          <w:highlight w:val="none"/>
        </w:rPr>
        <w:t>18</w:t>
      </w:r>
      <w:r>
        <w:rPr>
          <w:rFonts w:ascii="宋体" w:hAnsi="宋体" w:eastAsia="宋体" w:cs="Times New Roman"/>
          <w:color w:val="auto"/>
          <w:kern w:val="0"/>
          <w:szCs w:val="24"/>
          <w:highlight w:val="none"/>
        </w:rPr>
        <w:t>.1款</w:t>
      </w:r>
      <w:r>
        <w:rPr>
          <w:rFonts w:hint="eastAsia" w:ascii="宋体" w:hAnsi="宋体" w:eastAsia="宋体" w:cs="Times New Roman"/>
          <w:color w:val="auto"/>
          <w:kern w:val="0"/>
          <w:szCs w:val="24"/>
          <w:highlight w:val="none"/>
        </w:rPr>
        <w:t>相关</w:t>
      </w:r>
      <w:r>
        <w:rPr>
          <w:rFonts w:ascii="宋体" w:hAnsi="宋体" w:eastAsia="宋体" w:cs="Times New Roman"/>
          <w:color w:val="auto"/>
          <w:kern w:val="0"/>
          <w:szCs w:val="24"/>
          <w:highlight w:val="none"/>
        </w:rPr>
        <w:t>证件，</w:t>
      </w:r>
      <w:r>
        <w:rPr>
          <w:rFonts w:hint="eastAsia" w:ascii="宋体" w:hAnsi="宋体" w:eastAsia="宋体" w:cs="Times New Roman"/>
          <w:color w:val="auto"/>
          <w:kern w:val="0"/>
          <w:szCs w:val="24"/>
          <w:highlight w:val="none"/>
        </w:rPr>
        <w:t>不具备</w:t>
      </w:r>
      <w:r>
        <w:rPr>
          <w:rFonts w:ascii="宋体" w:hAnsi="宋体" w:eastAsia="宋体" w:cs="Times New Roman"/>
          <w:color w:val="auto"/>
          <w:kern w:val="0"/>
          <w:szCs w:val="24"/>
          <w:highlight w:val="none"/>
        </w:rPr>
        <w:t>余泥渣土运输任务</w:t>
      </w:r>
      <w:r>
        <w:rPr>
          <w:rFonts w:hint="eastAsia" w:ascii="宋体" w:hAnsi="宋体" w:eastAsia="宋体" w:cs="Times New Roman"/>
          <w:color w:val="auto"/>
          <w:kern w:val="0"/>
          <w:szCs w:val="24"/>
          <w:highlight w:val="none"/>
        </w:rPr>
        <w:t>能力的，</w:t>
      </w:r>
      <w:r>
        <w:rPr>
          <w:rFonts w:ascii="宋体" w:hAnsi="宋体" w:eastAsia="宋体" w:cs="Times New Roman"/>
          <w:color w:val="auto"/>
          <w:kern w:val="0"/>
          <w:szCs w:val="24"/>
          <w:highlight w:val="none"/>
        </w:rPr>
        <w:t>经发包人同意，承包人应将余泥渣土运输任务分包给符合第</w:t>
      </w:r>
      <w:r>
        <w:rPr>
          <w:rFonts w:hint="eastAsia" w:ascii="宋体" w:hAnsi="宋体" w:eastAsia="宋体" w:cs="Times New Roman"/>
          <w:color w:val="auto"/>
          <w:kern w:val="0"/>
          <w:szCs w:val="24"/>
          <w:highlight w:val="none"/>
        </w:rPr>
        <w:t>18</w:t>
      </w:r>
      <w:r>
        <w:rPr>
          <w:rFonts w:ascii="宋体" w:hAnsi="宋体" w:eastAsia="宋体" w:cs="Times New Roman"/>
          <w:color w:val="auto"/>
          <w:kern w:val="0"/>
          <w:szCs w:val="24"/>
          <w:highlight w:val="none"/>
        </w:rPr>
        <w:t>.1款</w:t>
      </w:r>
      <w:r>
        <w:rPr>
          <w:rFonts w:hint="eastAsia" w:ascii="宋体" w:hAnsi="宋体" w:eastAsia="宋体" w:cs="Times New Roman"/>
          <w:color w:val="auto"/>
          <w:kern w:val="0"/>
          <w:szCs w:val="24"/>
          <w:highlight w:val="none"/>
        </w:rPr>
        <w:t>相关</w:t>
      </w:r>
      <w:r>
        <w:rPr>
          <w:rFonts w:ascii="宋体" w:hAnsi="宋体" w:eastAsia="宋体" w:cs="Times New Roman"/>
          <w:color w:val="auto"/>
          <w:kern w:val="0"/>
          <w:szCs w:val="24"/>
          <w:highlight w:val="none"/>
        </w:rPr>
        <w:t>证件要求的专业运输单位</w:t>
      </w:r>
      <w:r>
        <w:rPr>
          <w:rFonts w:hint="eastAsia" w:ascii="宋体" w:hAnsi="宋体" w:eastAsia="宋体" w:cs="Times New Roman"/>
          <w:color w:val="auto"/>
          <w:kern w:val="0"/>
          <w:szCs w:val="24"/>
          <w:highlight w:val="none"/>
        </w:rPr>
        <w:t>，并报</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审核和</w:t>
      </w:r>
      <w:r>
        <w:rPr>
          <w:rFonts w:ascii="宋体" w:hAnsi="宋体" w:eastAsia="宋体" w:cs="Times New Roman"/>
          <w:color w:val="auto"/>
          <w:kern w:val="0"/>
          <w:szCs w:val="24"/>
          <w:highlight w:val="none"/>
        </w:rPr>
        <w:t>发包人</w:t>
      </w:r>
      <w:r>
        <w:rPr>
          <w:rFonts w:hint="eastAsia" w:ascii="宋体" w:hAnsi="宋体" w:eastAsia="宋体" w:cs="Times New Roman"/>
          <w:color w:val="auto"/>
          <w:kern w:val="0"/>
          <w:szCs w:val="24"/>
          <w:highlight w:val="none"/>
        </w:rPr>
        <w:t>批准</w:t>
      </w:r>
      <w:r>
        <w:rPr>
          <w:rFonts w:ascii="宋体" w:hAnsi="宋体" w:eastAsia="宋体" w:cs="Times New Roman"/>
          <w:color w:val="auto"/>
          <w:kern w:val="0"/>
          <w:szCs w:val="24"/>
          <w:highlight w:val="none"/>
        </w:rPr>
        <w:t>。</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承包人应将余泥渣土运输分包合同</w:t>
      </w:r>
      <w:r>
        <w:rPr>
          <w:rFonts w:hint="eastAsia" w:ascii="宋体" w:hAnsi="宋体" w:eastAsia="宋体" w:cs="Times New Roman"/>
          <w:color w:val="auto"/>
          <w:kern w:val="0"/>
          <w:szCs w:val="24"/>
          <w:highlight w:val="none"/>
        </w:rPr>
        <w:t>、专业运输单位和</w:t>
      </w:r>
      <w:r>
        <w:rPr>
          <w:rFonts w:ascii="宋体" w:hAnsi="宋体" w:eastAsia="宋体" w:cs="Times New Roman"/>
          <w:color w:val="auto"/>
          <w:kern w:val="0"/>
          <w:szCs w:val="24"/>
          <w:highlight w:val="none"/>
        </w:rPr>
        <w:t>余泥渣土运输</w:t>
      </w:r>
      <w:r>
        <w:rPr>
          <w:rFonts w:hint="eastAsia" w:ascii="宋体" w:hAnsi="宋体" w:eastAsia="宋体" w:cs="Times New Roman"/>
          <w:color w:val="auto"/>
          <w:kern w:val="0"/>
          <w:szCs w:val="24"/>
          <w:highlight w:val="none"/>
        </w:rPr>
        <w:t>车辆的</w:t>
      </w:r>
      <w:r>
        <w:rPr>
          <w:rFonts w:ascii="宋体" w:hAnsi="宋体" w:eastAsia="宋体" w:cs="Times New Roman"/>
          <w:color w:val="auto"/>
          <w:kern w:val="0"/>
          <w:szCs w:val="24"/>
          <w:highlight w:val="none"/>
        </w:rPr>
        <w:t>相关资料送发包人和监理人</w:t>
      </w:r>
      <w:r>
        <w:rPr>
          <w:rFonts w:hint="eastAsia" w:ascii="宋体" w:hAnsi="宋体" w:eastAsia="宋体" w:cs="Times New Roman"/>
          <w:color w:val="auto"/>
          <w:kern w:val="0"/>
          <w:szCs w:val="24"/>
          <w:highlight w:val="none"/>
        </w:rPr>
        <w:t>备案</w:t>
      </w:r>
      <w:r>
        <w:rPr>
          <w:rFonts w:ascii="宋体" w:hAnsi="宋体" w:eastAsia="宋体" w:cs="Times New Roman"/>
          <w:color w:val="auto"/>
          <w:kern w:val="0"/>
          <w:szCs w:val="24"/>
          <w:highlight w:val="none"/>
        </w:rPr>
        <w:t>。此审核并不免除承包人应承担的本合同</w:t>
      </w:r>
      <w:r>
        <w:rPr>
          <w:rFonts w:hint="eastAsia" w:ascii="宋体" w:hAnsi="宋体" w:eastAsia="宋体" w:cs="Times New Roman"/>
          <w:color w:val="auto"/>
          <w:kern w:val="0"/>
          <w:szCs w:val="24"/>
          <w:highlight w:val="none"/>
        </w:rPr>
        <w:t>约定</w:t>
      </w:r>
      <w:r>
        <w:rPr>
          <w:rFonts w:ascii="宋体" w:hAnsi="宋体" w:eastAsia="宋体" w:cs="Times New Roman"/>
          <w:color w:val="auto"/>
          <w:kern w:val="0"/>
          <w:szCs w:val="24"/>
          <w:highlight w:val="none"/>
        </w:rPr>
        <w:t>义务。</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承包人将余泥渣土运输任务分包给不符合第</w:t>
      </w:r>
      <w:r>
        <w:rPr>
          <w:rFonts w:hint="eastAsia" w:ascii="宋体" w:hAnsi="宋体" w:eastAsia="宋体" w:cs="Times New Roman"/>
          <w:color w:val="auto"/>
          <w:kern w:val="0"/>
          <w:szCs w:val="24"/>
          <w:highlight w:val="none"/>
        </w:rPr>
        <w:t>18</w:t>
      </w:r>
      <w:r>
        <w:rPr>
          <w:rFonts w:ascii="宋体" w:hAnsi="宋体" w:eastAsia="宋体" w:cs="Times New Roman"/>
          <w:color w:val="auto"/>
          <w:kern w:val="0"/>
          <w:szCs w:val="24"/>
          <w:highlight w:val="none"/>
        </w:rPr>
        <w:t>.1款</w:t>
      </w:r>
      <w:r>
        <w:rPr>
          <w:rFonts w:hint="eastAsia" w:ascii="宋体" w:hAnsi="宋体" w:eastAsia="宋体" w:cs="Times New Roman"/>
          <w:color w:val="auto"/>
          <w:kern w:val="0"/>
          <w:szCs w:val="24"/>
          <w:highlight w:val="none"/>
        </w:rPr>
        <w:t>相关</w:t>
      </w:r>
      <w:r>
        <w:rPr>
          <w:rFonts w:ascii="宋体" w:hAnsi="宋体" w:eastAsia="宋体" w:cs="Times New Roman"/>
          <w:color w:val="auto"/>
          <w:kern w:val="0"/>
          <w:szCs w:val="24"/>
          <w:highlight w:val="none"/>
        </w:rPr>
        <w:t>证件要求的专业运输单位，应按照</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的约定承担违约责任。同时，上述违约行为导致的工期延误和</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或</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费用增加，</w:t>
      </w:r>
      <w:r>
        <w:rPr>
          <w:rFonts w:hint="eastAsia" w:ascii="宋体" w:hAnsi="宋体" w:eastAsia="宋体" w:cs="Times New Roman"/>
          <w:color w:val="auto"/>
          <w:kern w:val="0"/>
          <w:szCs w:val="24"/>
          <w:highlight w:val="none"/>
        </w:rPr>
        <w:t>由</w:t>
      </w:r>
      <w:r>
        <w:rPr>
          <w:rFonts w:ascii="宋体" w:hAnsi="宋体" w:eastAsia="宋体" w:cs="Times New Roman"/>
          <w:color w:val="auto"/>
          <w:kern w:val="0"/>
          <w:szCs w:val="24"/>
          <w:highlight w:val="none"/>
        </w:rPr>
        <w:t>承包人</w:t>
      </w:r>
      <w:r>
        <w:rPr>
          <w:rFonts w:hint="eastAsia" w:ascii="宋体" w:hAnsi="宋体" w:eastAsia="宋体" w:cs="Times New Roman"/>
          <w:color w:val="auto"/>
          <w:kern w:val="0"/>
          <w:szCs w:val="24"/>
          <w:highlight w:val="none"/>
        </w:rPr>
        <w:t>承担</w:t>
      </w:r>
      <w:r>
        <w:rPr>
          <w:rFonts w:ascii="宋体" w:hAnsi="宋体" w:eastAsia="宋体" w:cs="Times New Roman"/>
          <w:color w:val="auto"/>
          <w:kern w:val="0"/>
          <w:szCs w:val="24"/>
          <w:highlight w:val="none"/>
        </w:rPr>
        <w:t>责任。</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781" w:name="_Toc23458"/>
      <w:bookmarkStart w:id="1782" w:name="_Toc21467"/>
      <w:bookmarkStart w:id="1783" w:name="_Toc11250"/>
      <w:bookmarkStart w:id="1784" w:name="_Toc31807"/>
      <w:bookmarkStart w:id="1785" w:name="_Toc302635824"/>
      <w:bookmarkStart w:id="1786" w:name="_Toc6475"/>
      <w:bookmarkStart w:id="1787" w:name="_Toc29781"/>
      <w:bookmarkStart w:id="1788" w:name="_Toc305331336"/>
      <w:bookmarkStart w:id="1789" w:name="_Toc6718"/>
      <w:bookmarkStart w:id="1790" w:name="_Toc14033"/>
      <w:bookmarkStart w:id="1791" w:name="_Toc23878"/>
      <w:r>
        <w:rPr>
          <w:rFonts w:ascii="宋体" w:hAnsi="宋体" w:eastAsia="宋体" w:cs="Times New Roman"/>
          <w:b/>
          <w:bCs/>
          <w:color w:val="auto"/>
          <w:kern w:val="0"/>
          <w:sz w:val="24"/>
          <w:szCs w:val="24"/>
          <w:highlight w:val="none"/>
          <w:lang w:val="en-US" w:eastAsia="zh-CN" w:bidi="ar-SA"/>
        </w:rPr>
        <w:t>余泥渣土运输</w:t>
      </w:r>
      <w:r>
        <w:rPr>
          <w:rFonts w:hint="eastAsia" w:ascii="宋体" w:hAnsi="宋体" w:eastAsia="宋体" w:cs="Times New Roman"/>
          <w:b/>
          <w:bCs/>
          <w:color w:val="auto"/>
          <w:kern w:val="0"/>
          <w:sz w:val="24"/>
          <w:szCs w:val="24"/>
          <w:highlight w:val="none"/>
          <w:lang w:val="en-US" w:eastAsia="zh-CN" w:bidi="ar-SA"/>
        </w:rPr>
        <w:t>车辆保险</w:t>
      </w:r>
      <w:bookmarkEnd w:id="1781"/>
      <w:bookmarkEnd w:id="1782"/>
      <w:bookmarkEnd w:id="1783"/>
      <w:bookmarkEnd w:id="1784"/>
      <w:bookmarkEnd w:id="1785"/>
      <w:bookmarkEnd w:id="1786"/>
      <w:bookmarkEnd w:id="1787"/>
      <w:bookmarkEnd w:id="1788"/>
      <w:bookmarkEnd w:id="1789"/>
      <w:bookmarkEnd w:id="1790"/>
      <w:bookmarkEnd w:id="1791"/>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⑴承担本工程</w:t>
      </w:r>
      <w:r>
        <w:rPr>
          <w:rFonts w:ascii="宋体" w:hAnsi="宋体" w:eastAsia="宋体" w:cs="Times New Roman"/>
          <w:color w:val="auto"/>
          <w:kern w:val="0"/>
          <w:szCs w:val="24"/>
          <w:highlight w:val="none"/>
        </w:rPr>
        <w:t>余泥渣土运输</w:t>
      </w:r>
      <w:r>
        <w:rPr>
          <w:rFonts w:hint="eastAsia" w:ascii="宋体" w:hAnsi="宋体" w:eastAsia="宋体" w:cs="Times New Roman"/>
          <w:color w:val="auto"/>
          <w:kern w:val="0"/>
          <w:szCs w:val="24"/>
          <w:highlight w:val="none"/>
        </w:rPr>
        <w:t>任务的</w:t>
      </w:r>
      <w:r>
        <w:rPr>
          <w:rFonts w:ascii="宋体" w:hAnsi="宋体" w:eastAsia="宋体" w:cs="Times New Roman"/>
          <w:color w:val="auto"/>
          <w:kern w:val="0"/>
          <w:szCs w:val="24"/>
          <w:highlight w:val="none"/>
        </w:rPr>
        <w:t>车辆</w:t>
      </w:r>
      <w:r>
        <w:rPr>
          <w:rFonts w:hint="eastAsia" w:ascii="宋体" w:hAnsi="宋体" w:eastAsia="宋体" w:cs="Times New Roman"/>
          <w:color w:val="auto"/>
          <w:kern w:val="0"/>
          <w:szCs w:val="24"/>
          <w:highlight w:val="none"/>
        </w:rPr>
        <w:t>应当向有关保险公司投保，并取得车辆保险单。如因未投保的</w:t>
      </w:r>
      <w:r>
        <w:rPr>
          <w:rFonts w:ascii="宋体" w:hAnsi="宋体" w:eastAsia="宋体" w:cs="Times New Roman"/>
          <w:color w:val="auto"/>
          <w:kern w:val="0"/>
          <w:szCs w:val="24"/>
          <w:highlight w:val="none"/>
        </w:rPr>
        <w:t>余泥渣土运输车辆</w:t>
      </w:r>
      <w:r>
        <w:rPr>
          <w:rFonts w:hint="eastAsia" w:ascii="宋体" w:hAnsi="宋体" w:eastAsia="宋体" w:cs="Times New Roman"/>
          <w:color w:val="auto"/>
          <w:kern w:val="0"/>
          <w:szCs w:val="24"/>
          <w:highlight w:val="none"/>
        </w:rPr>
        <w:t>造成第三人财产损失和(或)人身伤亡，</w:t>
      </w:r>
      <w:r>
        <w:rPr>
          <w:rFonts w:ascii="宋体" w:hAnsi="宋体" w:eastAsia="宋体" w:cs="Times New Roman"/>
          <w:color w:val="auto"/>
          <w:kern w:val="0"/>
          <w:szCs w:val="24"/>
          <w:highlight w:val="none"/>
        </w:rPr>
        <w:t>余泥渣土运输车辆</w:t>
      </w:r>
      <w:r>
        <w:rPr>
          <w:rFonts w:hint="eastAsia" w:ascii="宋体" w:hAnsi="宋体" w:eastAsia="宋体" w:cs="Times New Roman"/>
          <w:color w:val="auto"/>
          <w:kern w:val="0"/>
          <w:szCs w:val="24"/>
          <w:highlight w:val="none"/>
        </w:rPr>
        <w:t>所属专业运输单位应承担连带责任。</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w:t>
      </w:r>
      <w:r>
        <w:rPr>
          <w:rFonts w:ascii="宋体" w:hAnsi="宋体" w:eastAsia="宋体" w:cs="Times New Roman"/>
          <w:color w:val="auto"/>
          <w:kern w:val="0"/>
          <w:szCs w:val="24"/>
          <w:highlight w:val="none"/>
        </w:rPr>
        <w:t>将余泥渣土运输任务分包</w:t>
      </w:r>
      <w:r>
        <w:rPr>
          <w:rFonts w:hint="eastAsia" w:ascii="宋体" w:hAnsi="宋体" w:eastAsia="宋体" w:cs="Times New Roman"/>
          <w:color w:val="auto"/>
          <w:kern w:val="0"/>
          <w:szCs w:val="24"/>
          <w:highlight w:val="none"/>
        </w:rPr>
        <w:t>时</w:t>
      </w:r>
      <w:r>
        <w:rPr>
          <w:rFonts w:ascii="宋体" w:hAnsi="宋体" w:eastAsia="宋体" w:cs="Times New Roman"/>
          <w:color w:val="auto"/>
          <w:kern w:val="0"/>
          <w:szCs w:val="24"/>
          <w:highlight w:val="none"/>
        </w:rPr>
        <w:t>，承包人和车辆运输分包人应在余泥渣土运输分包合同中明确</w:t>
      </w:r>
      <w:r>
        <w:rPr>
          <w:rFonts w:hint="eastAsia" w:ascii="宋体" w:hAnsi="宋体" w:eastAsia="宋体" w:cs="Times New Roman"/>
          <w:color w:val="auto"/>
          <w:kern w:val="0"/>
          <w:szCs w:val="24"/>
          <w:highlight w:val="none"/>
        </w:rPr>
        <w:t>本款所述的连带责任</w:t>
      </w:r>
      <w:r>
        <w:rPr>
          <w:rFonts w:ascii="宋体" w:hAnsi="宋体" w:eastAsia="宋体" w:cs="Times New Roman"/>
          <w:color w:val="auto"/>
          <w:kern w:val="0"/>
          <w:szCs w:val="24"/>
          <w:highlight w:val="none"/>
        </w:rPr>
        <w:t>。</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792" w:name="_Toc305331337"/>
      <w:bookmarkStart w:id="1793" w:name="_Toc17464"/>
      <w:bookmarkStart w:id="1794" w:name="_Toc5283"/>
      <w:bookmarkStart w:id="1795" w:name="_Toc21208"/>
      <w:bookmarkStart w:id="1796" w:name="_Toc2772"/>
      <w:bookmarkStart w:id="1797" w:name="_Toc28976"/>
      <w:bookmarkStart w:id="1798" w:name="_Toc302635825"/>
      <w:bookmarkStart w:id="1799" w:name="_Toc16628"/>
      <w:bookmarkStart w:id="1800" w:name="_Toc21910"/>
      <w:bookmarkStart w:id="1801" w:name="_Toc15660"/>
      <w:bookmarkStart w:id="1802" w:name="_Toc11558"/>
      <w:r>
        <w:rPr>
          <w:rFonts w:ascii="宋体" w:hAnsi="宋体" w:eastAsia="宋体" w:cs="Times New Roman"/>
          <w:b/>
          <w:bCs/>
          <w:color w:val="auto"/>
          <w:kern w:val="0"/>
          <w:sz w:val="24"/>
          <w:szCs w:val="24"/>
          <w:highlight w:val="none"/>
          <w:lang w:val="en-US" w:eastAsia="zh-CN" w:bidi="ar-SA"/>
        </w:rPr>
        <w:t>余泥渣土运输车辆和</w:t>
      </w:r>
      <w:bookmarkEnd w:id="1792"/>
      <w:r>
        <w:rPr>
          <w:rFonts w:hint="eastAsia" w:ascii="宋体" w:hAnsi="宋体" w:eastAsia="宋体" w:cs="Times New Roman"/>
          <w:b/>
          <w:bCs/>
          <w:color w:val="auto"/>
          <w:kern w:val="0"/>
          <w:sz w:val="24"/>
          <w:szCs w:val="24"/>
          <w:highlight w:val="none"/>
          <w:lang w:val="en-US" w:eastAsia="zh-CN" w:bidi="ar-SA"/>
        </w:rPr>
        <w:t>驾驶员</w:t>
      </w:r>
      <w:bookmarkEnd w:id="1793"/>
      <w:bookmarkEnd w:id="1794"/>
      <w:bookmarkEnd w:id="1795"/>
      <w:bookmarkEnd w:id="1796"/>
      <w:bookmarkEnd w:id="1797"/>
      <w:bookmarkEnd w:id="1798"/>
      <w:bookmarkEnd w:id="1799"/>
      <w:bookmarkEnd w:id="1800"/>
      <w:bookmarkEnd w:id="1801"/>
      <w:bookmarkEnd w:id="1802"/>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承担本工程余泥渣土运输任务的车辆</w:t>
      </w:r>
      <w:r>
        <w:rPr>
          <w:rFonts w:hint="eastAsia" w:ascii="宋体" w:hAnsi="宋体" w:eastAsia="宋体" w:cs="Times New Roman"/>
          <w:color w:val="auto"/>
          <w:kern w:val="0"/>
          <w:szCs w:val="24"/>
          <w:highlight w:val="none"/>
        </w:rPr>
        <w:t>和驾驶员</w:t>
      </w:r>
      <w:r>
        <w:rPr>
          <w:rFonts w:ascii="宋体" w:hAnsi="宋体" w:eastAsia="宋体" w:cs="Times New Roman"/>
          <w:color w:val="auto"/>
          <w:kern w:val="0"/>
          <w:szCs w:val="24"/>
          <w:highlight w:val="none"/>
        </w:rPr>
        <w:t>应当符合第</w:t>
      </w:r>
      <w:r>
        <w:rPr>
          <w:rFonts w:hint="eastAsia" w:ascii="宋体" w:hAnsi="宋体" w:eastAsia="宋体" w:cs="Times New Roman"/>
          <w:color w:val="auto"/>
          <w:kern w:val="0"/>
          <w:szCs w:val="24"/>
          <w:highlight w:val="none"/>
        </w:rPr>
        <w:t>18</w:t>
      </w:r>
      <w:r>
        <w:rPr>
          <w:rFonts w:ascii="宋体" w:hAnsi="宋体" w:eastAsia="宋体" w:cs="Times New Roman"/>
          <w:color w:val="auto"/>
          <w:kern w:val="0"/>
          <w:szCs w:val="24"/>
          <w:highlight w:val="none"/>
        </w:rPr>
        <w:t>.1款</w:t>
      </w:r>
      <w:r>
        <w:rPr>
          <w:rFonts w:hint="eastAsia" w:ascii="宋体" w:hAnsi="宋体" w:eastAsia="宋体" w:cs="Times New Roman"/>
          <w:color w:val="auto"/>
          <w:kern w:val="0"/>
          <w:szCs w:val="24"/>
          <w:highlight w:val="none"/>
        </w:rPr>
        <w:t>相关</w:t>
      </w:r>
      <w:r>
        <w:rPr>
          <w:rFonts w:ascii="宋体" w:hAnsi="宋体" w:eastAsia="宋体" w:cs="Times New Roman"/>
          <w:color w:val="auto"/>
          <w:kern w:val="0"/>
          <w:szCs w:val="24"/>
          <w:highlight w:val="none"/>
        </w:rPr>
        <w:t>证件要求</w:t>
      </w:r>
      <w:r>
        <w:rPr>
          <w:rFonts w:hint="eastAsia" w:ascii="宋体" w:hAnsi="宋体" w:eastAsia="宋体" w:cs="Times New Roman"/>
          <w:color w:val="auto"/>
          <w:kern w:val="0"/>
          <w:szCs w:val="24"/>
          <w:highlight w:val="none"/>
        </w:rPr>
        <w:t>，同时车辆还应具有第18.4⑴款所要求的车辆保险单。</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⑵承包人按18.2款自行完成</w:t>
      </w:r>
      <w:r>
        <w:rPr>
          <w:rFonts w:ascii="宋体" w:hAnsi="宋体" w:eastAsia="宋体" w:cs="Times New Roman"/>
          <w:color w:val="auto"/>
          <w:kern w:val="0"/>
          <w:szCs w:val="24"/>
          <w:highlight w:val="none"/>
        </w:rPr>
        <w:t>余泥渣土运输任务</w:t>
      </w:r>
      <w:r>
        <w:rPr>
          <w:rFonts w:hint="eastAsia" w:ascii="宋体" w:hAnsi="宋体" w:eastAsia="宋体" w:cs="Times New Roman"/>
          <w:color w:val="auto"/>
          <w:kern w:val="0"/>
          <w:szCs w:val="24"/>
          <w:highlight w:val="none"/>
        </w:rPr>
        <w:t>时</w:t>
      </w:r>
      <w:r>
        <w:rPr>
          <w:rFonts w:ascii="宋体" w:hAnsi="宋体" w:eastAsia="宋体" w:cs="Times New Roman"/>
          <w:color w:val="auto"/>
          <w:kern w:val="0"/>
          <w:szCs w:val="24"/>
          <w:highlight w:val="none"/>
        </w:rPr>
        <w:t>，发包人和承包人应在</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中</w:t>
      </w:r>
      <w:r>
        <w:rPr>
          <w:rFonts w:hint="eastAsia" w:ascii="宋体" w:hAnsi="宋体" w:eastAsia="宋体" w:cs="Times New Roman"/>
          <w:color w:val="auto"/>
          <w:kern w:val="0"/>
          <w:szCs w:val="24"/>
          <w:highlight w:val="none"/>
        </w:rPr>
        <w:t>载明所有参加本工程</w:t>
      </w:r>
      <w:r>
        <w:rPr>
          <w:rFonts w:ascii="宋体" w:hAnsi="宋体" w:eastAsia="宋体" w:cs="Times New Roman"/>
          <w:color w:val="auto"/>
          <w:kern w:val="0"/>
          <w:szCs w:val="24"/>
          <w:highlight w:val="none"/>
        </w:rPr>
        <w:t>余泥渣土运输车辆</w:t>
      </w:r>
      <w:r>
        <w:rPr>
          <w:rFonts w:hint="eastAsia" w:ascii="宋体" w:hAnsi="宋体" w:eastAsia="宋体" w:cs="Times New Roman"/>
          <w:color w:val="auto"/>
          <w:kern w:val="0"/>
          <w:szCs w:val="24"/>
          <w:highlight w:val="none"/>
        </w:rPr>
        <w:t>的数量、证件、车牌号码、驾驶员姓名、驾驶证件等信息</w:t>
      </w:r>
      <w:r>
        <w:rPr>
          <w:rFonts w:ascii="宋体" w:hAnsi="宋体" w:eastAsia="宋体" w:cs="Times New Roman"/>
          <w:color w:val="auto"/>
          <w:kern w:val="0"/>
          <w:szCs w:val="24"/>
          <w:highlight w:val="none"/>
        </w:rPr>
        <w:t>。</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⑶承包人按18.3款</w:t>
      </w:r>
      <w:r>
        <w:rPr>
          <w:rFonts w:ascii="宋体" w:hAnsi="宋体" w:eastAsia="宋体" w:cs="Times New Roman"/>
          <w:color w:val="auto"/>
          <w:kern w:val="0"/>
          <w:szCs w:val="24"/>
          <w:highlight w:val="none"/>
        </w:rPr>
        <w:t>将余泥渣土运输任务分包</w:t>
      </w:r>
      <w:r>
        <w:rPr>
          <w:rFonts w:hint="eastAsia" w:ascii="宋体" w:hAnsi="宋体" w:eastAsia="宋体" w:cs="Times New Roman"/>
          <w:color w:val="auto"/>
          <w:kern w:val="0"/>
          <w:szCs w:val="24"/>
          <w:highlight w:val="none"/>
        </w:rPr>
        <w:t>时</w:t>
      </w:r>
      <w:r>
        <w:rPr>
          <w:rFonts w:ascii="宋体" w:hAnsi="宋体" w:eastAsia="宋体" w:cs="Times New Roman"/>
          <w:color w:val="auto"/>
          <w:kern w:val="0"/>
          <w:szCs w:val="24"/>
          <w:highlight w:val="none"/>
        </w:rPr>
        <w:t>，承包人和运输分包人应在余泥渣土运输分包合同中</w:t>
      </w:r>
      <w:r>
        <w:rPr>
          <w:rFonts w:hint="eastAsia" w:ascii="宋体" w:hAnsi="宋体" w:eastAsia="宋体" w:cs="Times New Roman"/>
          <w:color w:val="auto"/>
          <w:kern w:val="0"/>
          <w:szCs w:val="24"/>
          <w:highlight w:val="none"/>
        </w:rPr>
        <w:t>载明所有参加本工程</w:t>
      </w:r>
      <w:r>
        <w:rPr>
          <w:rFonts w:ascii="宋体" w:hAnsi="宋体" w:eastAsia="宋体" w:cs="Times New Roman"/>
          <w:color w:val="auto"/>
          <w:kern w:val="0"/>
          <w:szCs w:val="24"/>
          <w:highlight w:val="none"/>
        </w:rPr>
        <w:t>余泥渣土运输车辆</w:t>
      </w:r>
      <w:r>
        <w:rPr>
          <w:rFonts w:hint="eastAsia" w:ascii="宋体" w:hAnsi="宋体" w:eastAsia="宋体" w:cs="Times New Roman"/>
          <w:color w:val="auto"/>
          <w:kern w:val="0"/>
          <w:szCs w:val="24"/>
          <w:highlight w:val="none"/>
        </w:rPr>
        <w:t>的数量、证件、车牌号码、驾驶员姓名、驾驶证件等信息，并将名单报</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备案。</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t>对上述情形，如需改变已提交的车辆和驾驶员名单，承包人或运输分包人应在确定改变前7</w:t>
      </w:r>
      <w:r>
        <w:rPr>
          <w:rFonts w:hint="eastAsia" w:ascii="宋体" w:hAnsi="宋体" w:eastAsia="宋体" w:cs="Times New Roman"/>
          <w:color w:val="auto"/>
          <w:kern w:val="0"/>
          <w:szCs w:val="24"/>
          <w:highlight w:val="none"/>
        </w:rPr>
        <w:t>天</w:t>
      </w:r>
      <w:r>
        <w:rPr>
          <w:rFonts w:ascii="宋体" w:hAnsi="宋体" w:eastAsia="宋体" w:cs="Times New Roman"/>
          <w:color w:val="auto"/>
          <w:kern w:val="0"/>
          <w:szCs w:val="24"/>
          <w:highlight w:val="none"/>
        </w:rPr>
        <w:t>将拟改变的名单提交监理人审核确认。</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w:t>
      </w:r>
      <w:r>
        <w:rPr>
          <w:rFonts w:ascii="宋体" w:hAnsi="宋体" w:eastAsia="宋体" w:cs="Times New Roman"/>
          <w:color w:val="auto"/>
          <w:kern w:val="0"/>
          <w:szCs w:val="24"/>
          <w:highlight w:val="none"/>
        </w:rPr>
        <w:t>若承包人违反</w:t>
      </w:r>
      <w:r>
        <w:rPr>
          <w:rFonts w:hint="eastAsia" w:ascii="宋体" w:hAnsi="宋体" w:eastAsia="宋体" w:cs="Times New Roman"/>
          <w:color w:val="auto"/>
          <w:kern w:val="0"/>
          <w:szCs w:val="24"/>
          <w:highlight w:val="none"/>
        </w:rPr>
        <w:t>本款</w:t>
      </w:r>
      <w:r>
        <w:rPr>
          <w:rFonts w:ascii="宋体" w:hAnsi="宋体" w:eastAsia="宋体" w:cs="Times New Roman"/>
          <w:color w:val="auto"/>
          <w:kern w:val="0"/>
          <w:szCs w:val="24"/>
          <w:highlight w:val="none"/>
        </w:rPr>
        <w:t>规定，应承担</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中约定的违约责任；对于车辆运输分包人违反上述规定，承包人亦应在运输分包合同中约定此违约责任</w:t>
      </w:r>
      <w:r>
        <w:rPr>
          <w:rFonts w:hint="eastAsia" w:ascii="宋体" w:hAnsi="宋体" w:eastAsia="宋体" w:cs="Times New Roman"/>
          <w:color w:val="auto"/>
          <w:kern w:val="0"/>
          <w:szCs w:val="24"/>
          <w:highlight w:val="none"/>
        </w:rPr>
        <w:t>，并承担连带责任</w:t>
      </w:r>
      <w:r>
        <w:rPr>
          <w:rFonts w:ascii="宋体" w:hAnsi="宋体" w:eastAsia="宋体" w:cs="Times New Roman"/>
          <w:color w:val="auto"/>
          <w:kern w:val="0"/>
          <w:szCs w:val="24"/>
          <w:highlight w:val="none"/>
        </w:rPr>
        <w:t>。</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803" w:name="_Toc4496"/>
      <w:bookmarkStart w:id="1804" w:name="_Toc12928"/>
      <w:bookmarkStart w:id="1805" w:name="_Toc302635826"/>
      <w:bookmarkStart w:id="1806" w:name="_Toc17045"/>
      <w:bookmarkStart w:id="1807" w:name="_Toc21730"/>
      <w:bookmarkStart w:id="1808" w:name="_Toc8299"/>
      <w:bookmarkStart w:id="1809" w:name="_Toc19888"/>
      <w:bookmarkStart w:id="1810" w:name="_Toc10780"/>
      <w:bookmarkStart w:id="1811" w:name="_Toc13391"/>
      <w:bookmarkStart w:id="1812" w:name="_Toc6864"/>
      <w:bookmarkStart w:id="1813" w:name="_Toc305331338"/>
      <w:r>
        <w:rPr>
          <w:rFonts w:hint="eastAsia" w:ascii="宋体" w:hAnsi="宋体" w:eastAsia="宋体" w:cs="Times New Roman"/>
          <w:b/>
          <w:bCs/>
          <w:color w:val="auto"/>
          <w:kern w:val="0"/>
          <w:sz w:val="24"/>
          <w:szCs w:val="24"/>
          <w:highlight w:val="none"/>
          <w:lang w:val="en-US" w:eastAsia="zh-CN" w:bidi="ar-SA"/>
        </w:rPr>
        <w:t>专职检查人员</w:t>
      </w:r>
      <w:bookmarkEnd w:id="1803"/>
      <w:bookmarkEnd w:id="1804"/>
      <w:bookmarkEnd w:id="1805"/>
      <w:bookmarkEnd w:id="1806"/>
      <w:bookmarkEnd w:id="1807"/>
      <w:bookmarkEnd w:id="1808"/>
      <w:bookmarkEnd w:id="1809"/>
      <w:bookmarkEnd w:id="1810"/>
      <w:bookmarkEnd w:id="1811"/>
      <w:bookmarkEnd w:id="1812"/>
      <w:bookmarkEnd w:id="1813"/>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承包人应安排专职检查人员对余泥渣土运输车辆和专职驾驶员依</w:t>
      </w:r>
      <w:r>
        <w:rPr>
          <w:rFonts w:hint="eastAsia" w:ascii="宋体" w:hAnsi="宋体" w:eastAsia="宋体" w:cs="Times New Roman"/>
          <w:color w:val="auto"/>
          <w:kern w:val="0"/>
          <w:szCs w:val="24"/>
          <w:highlight w:val="none"/>
        </w:rPr>
        <w:t>本</w:t>
      </w:r>
      <w:r>
        <w:rPr>
          <w:rFonts w:ascii="宋体" w:hAnsi="宋体" w:eastAsia="宋体" w:cs="Times New Roman"/>
          <w:color w:val="auto"/>
          <w:kern w:val="0"/>
          <w:szCs w:val="24"/>
          <w:highlight w:val="none"/>
        </w:rPr>
        <w:t>合同约定的内容进行检查。对违反合同约定的检查结果，承包人应责令相关方限期整改。整改期间，整改所涉余泥渣土运输车辆不得承担本工程约定的运输任务。承包人安排的专职检查人员和检查内容在</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中明确。</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814" w:name="_Toc28786"/>
      <w:bookmarkStart w:id="1815" w:name="_Toc28380"/>
      <w:bookmarkStart w:id="1816" w:name="_Toc302635827"/>
      <w:bookmarkStart w:id="1817" w:name="_Toc27952"/>
      <w:bookmarkStart w:id="1818" w:name="_Toc28616"/>
      <w:bookmarkStart w:id="1819" w:name="_Toc27034"/>
      <w:bookmarkStart w:id="1820" w:name="_Toc22352"/>
      <w:bookmarkStart w:id="1821" w:name="_Toc10610"/>
      <w:bookmarkStart w:id="1822" w:name="_Toc8525"/>
      <w:bookmarkStart w:id="1823" w:name="_Toc305331339"/>
      <w:bookmarkStart w:id="1824" w:name="_Toc3459"/>
      <w:r>
        <w:rPr>
          <w:rFonts w:ascii="宋体" w:hAnsi="宋体" w:eastAsia="宋体" w:cs="Times New Roman"/>
          <w:b/>
          <w:bCs/>
          <w:color w:val="auto"/>
          <w:kern w:val="0"/>
          <w:sz w:val="24"/>
          <w:szCs w:val="24"/>
          <w:highlight w:val="none"/>
          <w:lang w:val="en-US" w:eastAsia="zh-CN" w:bidi="ar-SA"/>
        </w:rPr>
        <w:t>余泥渣土</w:t>
      </w:r>
      <w:r>
        <w:rPr>
          <w:rFonts w:hint="eastAsia" w:ascii="宋体" w:hAnsi="宋体" w:eastAsia="宋体" w:cs="Times New Roman"/>
          <w:b/>
          <w:bCs/>
          <w:color w:val="auto"/>
          <w:kern w:val="0"/>
          <w:sz w:val="24"/>
          <w:szCs w:val="24"/>
          <w:highlight w:val="none"/>
          <w:lang w:val="en-US" w:eastAsia="zh-CN" w:bidi="ar-SA"/>
        </w:rPr>
        <w:t>安全文明运输</w:t>
      </w:r>
      <w:bookmarkEnd w:id="1814"/>
      <w:bookmarkEnd w:id="1815"/>
      <w:bookmarkEnd w:id="1816"/>
      <w:bookmarkEnd w:id="1817"/>
      <w:bookmarkEnd w:id="1818"/>
      <w:bookmarkEnd w:id="1819"/>
      <w:bookmarkEnd w:id="1820"/>
      <w:bookmarkEnd w:id="1821"/>
      <w:bookmarkEnd w:id="1822"/>
      <w:bookmarkEnd w:id="1823"/>
      <w:bookmarkEnd w:id="1824"/>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承包人对余泥渣土运输车辆在离开施工现场前核查是否存在超载、车盖密封不严等违反城市道路管理、环境保护等相关规定及安全隐患的问题。如发现上述问题，承包人应指派专职检查人员责令相关方采取纠正措施至符合相关规定和(或)合同约定。对存在问题拒不纠正或纠正仍不符合相关规定和(或)合同约定的，该专职检查人员不得放行其离开施工现场，并立即通知项目经理和余泥渣土运输分包人(如有)。若承包人对本款发现的问题拒不履行合同义务，将承担</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约定的违约责任</w:t>
      </w:r>
      <w:r>
        <w:rPr>
          <w:rFonts w:hint="eastAsia" w:ascii="宋体" w:hAnsi="宋体" w:eastAsia="宋体" w:cs="Times New Roman"/>
          <w:color w:val="auto"/>
          <w:kern w:val="0"/>
          <w:szCs w:val="24"/>
          <w:highlight w:val="none"/>
        </w:rPr>
        <w:t>。</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825" w:name="_Toc302635828"/>
      <w:bookmarkStart w:id="1826" w:name="_Toc25831"/>
      <w:bookmarkStart w:id="1827" w:name="_Toc29240"/>
      <w:bookmarkStart w:id="1828" w:name="_Toc3206"/>
      <w:bookmarkStart w:id="1829" w:name="_Toc7293"/>
      <w:bookmarkStart w:id="1830" w:name="_Toc305331340"/>
      <w:bookmarkStart w:id="1831" w:name="_Toc11072"/>
      <w:bookmarkStart w:id="1832" w:name="_Toc26434"/>
      <w:bookmarkStart w:id="1833" w:name="_Toc20817"/>
      <w:bookmarkStart w:id="1834" w:name="_Toc3718"/>
      <w:bookmarkStart w:id="1835" w:name="_Toc9116"/>
      <w:r>
        <w:rPr>
          <w:rFonts w:hint="eastAsia" w:ascii="宋体" w:hAnsi="宋体" w:eastAsia="宋体" w:cs="Times New Roman"/>
          <w:b/>
          <w:bCs/>
          <w:color w:val="auto"/>
          <w:kern w:val="0"/>
          <w:sz w:val="24"/>
          <w:szCs w:val="24"/>
          <w:highlight w:val="none"/>
          <w:lang w:val="en-US" w:eastAsia="zh-CN" w:bidi="ar-SA"/>
        </w:rPr>
        <w:t>检查纠正责任</w:t>
      </w:r>
      <w:bookmarkEnd w:id="1825"/>
      <w:bookmarkEnd w:id="1826"/>
      <w:bookmarkEnd w:id="1827"/>
      <w:bookmarkEnd w:id="1828"/>
      <w:bookmarkEnd w:id="1829"/>
      <w:bookmarkEnd w:id="1830"/>
      <w:bookmarkEnd w:id="1831"/>
      <w:bookmarkEnd w:id="1832"/>
      <w:bookmarkEnd w:id="1833"/>
      <w:bookmarkEnd w:id="1834"/>
      <w:bookmarkEnd w:id="1835"/>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承包人应对</w:t>
      </w:r>
      <w:r>
        <w:rPr>
          <w:rFonts w:hint="eastAsia" w:ascii="宋体" w:hAnsi="宋体" w:eastAsia="宋体" w:cs="Times New Roman"/>
          <w:color w:val="auto"/>
          <w:kern w:val="0"/>
          <w:szCs w:val="24"/>
          <w:highlight w:val="none"/>
        </w:rPr>
        <w:t>18</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6</w:t>
      </w:r>
      <w:r>
        <w:rPr>
          <w:rFonts w:ascii="宋体" w:hAnsi="宋体" w:eastAsia="宋体" w:cs="Times New Roman"/>
          <w:color w:val="auto"/>
          <w:kern w:val="0"/>
          <w:szCs w:val="24"/>
          <w:highlight w:val="none"/>
        </w:rPr>
        <w:t>款和</w:t>
      </w:r>
      <w:r>
        <w:rPr>
          <w:rFonts w:hint="eastAsia" w:ascii="宋体" w:hAnsi="宋体" w:eastAsia="宋体" w:cs="Times New Roman"/>
          <w:color w:val="auto"/>
          <w:kern w:val="0"/>
          <w:szCs w:val="24"/>
          <w:highlight w:val="none"/>
        </w:rPr>
        <w:t>18</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7</w:t>
      </w:r>
      <w:r>
        <w:rPr>
          <w:rFonts w:ascii="宋体" w:hAnsi="宋体" w:eastAsia="宋体" w:cs="Times New Roman"/>
          <w:color w:val="auto"/>
          <w:kern w:val="0"/>
          <w:szCs w:val="24"/>
          <w:highlight w:val="none"/>
        </w:rPr>
        <w:t>款约定的检查纠正工作制定专项工作程序，并监督和督促专职检查人员认真履行合同约定的职责。此项监督和督促并不免除承包人应承担的本合同义务。若承包人指定的专职检查人员</w:t>
      </w:r>
      <w:r>
        <w:rPr>
          <w:rFonts w:hint="eastAsia" w:ascii="宋体" w:hAnsi="宋体" w:eastAsia="宋体" w:cs="Times New Roman"/>
          <w:color w:val="auto"/>
          <w:kern w:val="0"/>
          <w:szCs w:val="24"/>
          <w:highlight w:val="none"/>
        </w:rPr>
        <w:t>未履行</w:t>
      </w:r>
      <w:r>
        <w:rPr>
          <w:rFonts w:ascii="宋体" w:hAnsi="宋体" w:eastAsia="宋体" w:cs="Times New Roman"/>
          <w:color w:val="auto"/>
          <w:kern w:val="0"/>
          <w:szCs w:val="24"/>
          <w:highlight w:val="none"/>
        </w:rPr>
        <w:t>合同约定的检查纠正职责，承包人应承担</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约定的违约责任。</w:t>
      </w:r>
    </w:p>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1836" w:name="_Toc23567"/>
      <w:bookmarkStart w:id="1837" w:name="_Toc16093"/>
      <w:bookmarkStart w:id="1838" w:name="_Toc11290"/>
      <w:bookmarkStart w:id="1839" w:name="_Toc9400"/>
      <w:bookmarkStart w:id="1840" w:name="_Toc9650"/>
      <w:bookmarkStart w:id="1841" w:name="_Toc30144"/>
      <w:bookmarkStart w:id="1842" w:name="_Toc19341"/>
      <w:bookmarkStart w:id="1843" w:name="_Toc12881"/>
      <w:bookmarkStart w:id="1844" w:name="_Toc2189"/>
      <w:bookmarkStart w:id="1845" w:name="_Toc302635829"/>
      <w:r>
        <w:rPr>
          <w:rFonts w:hint="eastAsia" w:ascii="华文细黑" w:hAnsi="宋体" w:eastAsia="宋体" w:cs="Times New Roman"/>
          <w:b/>
          <w:bCs/>
          <w:snapToGrid w:val="0"/>
          <w:color w:val="auto"/>
          <w:kern w:val="0"/>
          <w:sz w:val="28"/>
          <w:szCs w:val="44"/>
          <w:highlight w:val="none"/>
          <w:lang w:val="en-US" w:eastAsia="zh-CN" w:bidi="ar-SA"/>
        </w:rPr>
        <w:t>工程的保护</w:t>
      </w:r>
      <w:bookmarkEnd w:id="1745"/>
      <w:bookmarkEnd w:id="1746"/>
      <w:bookmarkEnd w:id="1747"/>
      <w:bookmarkEnd w:id="1748"/>
      <w:bookmarkEnd w:id="1836"/>
      <w:bookmarkEnd w:id="1837"/>
      <w:bookmarkEnd w:id="1838"/>
      <w:bookmarkEnd w:id="1839"/>
      <w:bookmarkEnd w:id="1840"/>
      <w:bookmarkEnd w:id="1841"/>
      <w:bookmarkEnd w:id="1842"/>
      <w:bookmarkEnd w:id="1843"/>
      <w:bookmarkEnd w:id="1844"/>
      <w:bookmarkEnd w:id="1845"/>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846" w:name="_Toc12816"/>
      <w:bookmarkStart w:id="1847" w:name="_Toc21707"/>
      <w:bookmarkStart w:id="1848" w:name="_Toc12187"/>
      <w:bookmarkStart w:id="1849" w:name="_Toc29981"/>
      <w:bookmarkStart w:id="1850" w:name="_Toc9445"/>
      <w:bookmarkStart w:id="1851" w:name="_Toc6031"/>
      <w:bookmarkStart w:id="1852" w:name="_Toc24838"/>
      <w:bookmarkStart w:id="1853" w:name="_Toc8839"/>
      <w:bookmarkStart w:id="1854" w:name="_Toc305331342"/>
      <w:bookmarkStart w:id="1855" w:name="_Toc25288"/>
      <w:bookmarkStart w:id="1856" w:name="_Toc302635830"/>
      <w:bookmarkStart w:id="1857" w:name="_Toc34909071"/>
      <w:r>
        <w:rPr>
          <w:rFonts w:hint="eastAsia" w:ascii="宋体" w:hAnsi="宋体" w:eastAsia="宋体" w:cs="Times New Roman"/>
          <w:b/>
          <w:bCs/>
          <w:color w:val="auto"/>
          <w:kern w:val="0"/>
          <w:sz w:val="24"/>
          <w:szCs w:val="24"/>
          <w:highlight w:val="none"/>
          <w:lang w:val="en-US" w:eastAsia="zh-CN" w:bidi="ar-SA"/>
        </w:rPr>
        <w:t>工程的保护</w:t>
      </w:r>
      <w:bookmarkEnd w:id="1846"/>
      <w:bookmarkEnd w:id="1847"/>
      <w:bookmarkEnd w:id="1848"/>
      <w:bookmarkEnd w:id="1849"/>
      <w:bookmarkEnd w:id="1850"/>
      <w:bookmarkEnd w:id="1851"/>
      <w:bookmarkEnd w:id="1852"/>
      <w:bookmarkEnd w:id="1853"/>
      <w:bookmarkEnd w:id="1854"/>
      <w:bookmarkEnd w:id="1855"/>
      <w:bookmarkEnd w:id="1856"/>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从开工之日起，承包人应全面负责照管本工程及将用于和安装在本工程中的材料、设备，直到本工程交接证书签发之日止。此后，上述照管责任即交给发包人。如在整个工程交接证书颁发前，已就其中任何单项工程颁发了交接证书，则从交接证书签发之日起承包人无须对该单项工程负责保护，而转由发包人负责。但是，承包人对其在缺陷责任期内承担的尚未完成的工程和将用于和安装在工程中的材料、设备的照管负责，直到该工程完工为止。</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⑵本款所述照管责任是指照管责任人应对因丢失、盗失、毁损等行为引起的材料、设备使用状态和存在状态不符合合同约定承担修复、赔偿、损失自担等责任。</w:t>
      </w:r>
      <w:bookmarkEnd w:id="1857"/>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858" w:name="_Toc6904"/>
      <w:bookmarkStart w:id="1859" w:name="_Toc20052"/>
      <w:bookmarkStart w:id="1860" w:name="_Toc24740"/>
      <w:bookmarkStart w:id="1861" w:name="_Toc1759"/>
      <w:bookmarkStart w:id="1862" w:name="_Toc302635831"/>
      <w:bookmarkStart w:id="1863" w:name="_Toc17761"/>
      <w:bookmarkStart w:id="1864" w:name="_Toc720"/>
      <w:bookmarkStart w:id="1865" w:name="_Toc6943"/>
      <w:bookmarkStart w:id="1866" w:name="_Toc25523"/>
      <w:bookmarkStart w:id="1867" w:name="_Toc305331343"/>
      <w:bookmarkStart w:id="1868" w:name="_Toc2257"/>
      <w:bookmarkStart w:id="1869" w:name="_Toc34909073"/>
      <w:bookmarkStart w:id="1870" w:name="_Toc34909072"/>
      <w:r>
        <w:rPr>
          <w:rFonts w:hint="eastAsia" w:ascii="宋体" w:hAnsi="宋体" w:eastAsia="宋体" w:cs="Times New Roman"/>
          <w:b/>
          <w:bCs/>
          <w:color w:val="auto"/>
          <w:kern w:val="0"/>
          <w:sz w:val="24"/>
          <w:szCs w:val="24"/>
          <w:highlight w:val="none"/>
          <w:lang w:val="en-US" w:eastAsia="zh-CN" w:bidi="ar-SA"/>
        </w:rPr>
        <w:t>成品、半成品保护</w:t>
      </w:r>
      <w:bookmarkEnd w:id="1858"/>
      <w:bookmarkEnd w:id="1859"/>
      <w:bookmarkEnd w:id="1860"/>
      <w:bookmarkEnd w:id="1861"/>
      <w:bookmarkEnd w:id="1862"/>
      <w:bookmarkEnd w:id="1863"/>
      <w:bookmarkEnd w:id="1864"/>
      <w:bookmarkEnd w:id="1865"/>
      <w:bookmarkEnd w:id="1866"/>
      <w:bookmarkEnd w:id="1867"/>
      <w:bookmarkEnd w:id="1868"/>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对工程中分期完成的成品、半成品，在工程竣工移交前，承包人负保护责任，任何其他分包人对其使用或在其基础上施工，必须得到承包人的许可。对</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确认因承包人保护措施不当造成的损坏，由承包人负责修复；对分包人在施工过程中造成的损坏由责任人负责修复。</w:t>
      </w:r>
      <w:bookmarkEnd w:id="1869"/>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871" w:name="_Toc13174"/>
      <w:bookmarkStart w:id="1872" w:name="_Toc12370"/>
      <w:bookmarkStart w:id="1873" w:name="_Toc302635832"/>
      <w:bookmarkStart w:id="1874" w:name="_Toc29876"/>
      <w:bookmarkStart w:id="1875" w:name="_Toc19172"/>
      <w:bookmarkStart w:id="1876" w:name="_Toc10593"/>
      <w:bookmarkStart w:id="1877" w:name="_Toc24139"/>
      <w:bookmarkStart w:id="1878" w:name="_Toc1888"/>
      <w:bookmarkStart w:id="1879" w:name="_Toc305331344"/>
      <w:bookmarkStart w:id="1880" w:name="_Toc9242"/>
      <w:bookmarkStart w:id="1881" w:name="_Toc9590"/>
      <w:r>
        <w:rPr>
          <w:rFonts w:hint="eastAsia" w:ascii="宋体" w:hAnsi="宋体" w:eastAsia="宋体" w:cs="Times New Roman"/>
          <w:b/>
          <w:bCs/>
          <w:color w:val="auto"/>
          <w:kern w:val="0"/>
          <w:sz w:val="24"/>
          <w:szCs w:val="24"/>
          <w:highlight w:val="none"/>
          <w:lang w:val="en-US" w:eastAsia="zh-CN" w:bidi="ar-SA"/>
        </w:rPr>
        <w:t>工程的修复</w:t>
      </w:r>
      <w:bookmarkEnd w:id="1871"/>
      <w:bookmarkEnd w:id="1872"/>
      <w:bookmarkEnd w:id="1873"/>
      <w:bookmarkEnd w:id="1874"/>
      <w:bookmarkEnd w:id="1875"/>
      <w:bookmarkEnd w:id="1876"/>
      <w:bookmarkEnd w:id="1877"/>
      <w:bookmarkEnd w:id="1878"/>
      <w:bookmarkEnd w:id="1879"/>
      <w:bookmarkEnd w:id="1880"/>
      <w:bookmarkEnd w:id="1881"/>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承包人在负责照管期间，如因承包人自身或(和)第三方原因造成本工程或其任何部分，以及材料、设备、装备、临时工程的毁损，承包人均应自费弥补上述损坏、损失或损伤，以使工程在各方面都符合合同约定的标准。</w:t>
      </w:r>
      <w:bookmarkEnd w:id="1870"/>
    </w:p>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1882" w:name="_Toc35656991"/>
      <w:bookmarkStart w:id="1883" w:name="_Toc35656489"/>
      <w:bookmarkStart w:id="1884" w:name="_Toc34909075"/>
      <w:bookmarkStart w:id="1885" w:name="_Toc24092"/>
      <w:bookmarkStart w:id="1886" w:name="_Toc27625"/>
      <w:bookmarkStart w:id="1887" w:name="_Toc31970"/>
      <w:bookmarkStart w:id="1888" w:name="_Toc25874"/>
      <w:bookmarkStart w:id="1889" w:name="_Toc302635833"/>
      <w:bookmarkStart w:id="1890" w:name="_Toc16402"/>
      <w:bookmarkStart w:id="1891" w:name="_Toc20130"/>
      <w:bookmarkStart w:id="1892" w:name="_Toc305331345"/>
      <w:bookmarkStart w:id="1893" w:name="_Toc19678"/>
      <w:bookmarkStart w:id="1894" w:name="_Toc2638"/>
      <w:bookmarkStart w:id="1895" w:name="_Toc2455"/>
      <w:r>
        <w:rPr>
          <w:rFonts w:hint="eastAsia" w:ascii="华文细黑" w:hAnsi="宋体" w:eastAsia="宋体" w:cs="Times New Roman"/>
          <w:b/>
          <w:bCs/>
          <w:snapToGrid w:val="0"/>
          <w:color w:val="auto"/>
          <w:kern w:val="0"/>
          <w:sz w:val="28"/>
          <w:szCs w:val="44"/>
          <w:highlight w:val="none"/>
          <w:lang w:val="en-US" w:eastAsia="zh-CN" w:bidi="ar-SA"/>
        </w:rPr>
        <w:t>合同</w:t>
      </w:r>
      <w:bookmarkEnd w:id="1882"/>
      <w:bookmarkEnd w:id="1883"/>
      <w:bookmarkEnd w:id="1884"/>
      <w:r>
        <w:rPr>
          <w:rFonts w:hint="eastAsia" w:ascii="华文细黑" w:hAnsi="宋体" w:eastAsia="宋体" w:cs="Times New Roman"/>
          <w:b/>
          <w:bCs/>
          <w:snapToGrid w:val="0"/>
          <w:color w:val="auto"/>
          <w:kern w:val="0"/>
          <w:sz w:val="28"/>
          <w:szCs w:val="44"/>
          <w:highlight w:val="none"/>
          <w:lang w:val="en-US" w:eastAsia="zh-CN" w:bidi="ar-SA"/>
        </w:rPr>
        <w:t>价格的确定和调整</w:t>
      </w:r>
      <w:bookmarkEnd w:id="1885"/>
      <w:bookmarkEnd w:id="1886"/>
      <w:bookmarkEnd w:id="1887"/>
      <w:bookmarkEnd w:id="1888"/>
      <w:bookmarkEnd w:id="1889"/>
      <w:bookmarkEnd w:id="1890"/>
      <w:bookmarkEnd w:id="1891"/>
      <w:bookmarkEnd w:id="1892"/>
      <w:bookmarkEnd w:id="1893"/>
      <w:bookmarkEnd w:id="1894"/>
      <w:bookmarkEnd w:id="1895"/>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896" w:name="_Toc8693"/>
      <w:bookmarkStart w:id="1897" w:name="_Toc6350"/>
      <w:bookmarkStart w:id="1898" w:name="_Toc9807"/>
      <w:bookmarkStart w:id="1899" w:name="_Toc24313"/>
      <w:bookmarkStart w:id="1900" w:name="_Toc1979"/>
      <w:bookmarkStart w:id="1901" w:name="_Toc19337"/>
      <w:bookmarkStart w:id="1902" w:name="_Toc302635834"/>
      <w:bookmarkStart w:id="1903" w:name="_Toc14423"/>
      <w:bookmarkStart w:id="1904" w:name="_Toc30899"/>
      <w:bookmarkStart w:id="1905" w:name="_Toc305331346"/>
      <w:bookmarkStart w:id="1906" w:name="_Toc6310"/>
      <w:bookmarkStart w:id="1907" w:name="_Toc34909076"/>
      <w:r>
        <w:rPr>
          <w:rFonts w:hint="eastAsia" w:ascii="宋体" w:hAnsi="宋体" w:eastAsia="宋体" w:cs="Times New Roman"/>
          <w:b/>
          <w:bCs/>
          <w:color w:val="auto"/>
          <w:kern w:val="0"/>
          <w:sz w:val="24"/>
          <w:szCs w:val="24"/>
          <w:highlight w:val="none"/>
          <w:lang w:val="en-US" w:eastAsia="zh-CN" w:bidi="ar-SA"/>
        </w:rPr>
        <w:t>签约合同价的确定</w:t>
      </w:r>
      <w:bookmarkEnd w:id="1896"/>
      <w:bookmarkEnd w:id="1897"/>
      <w:bookmarkEnd w:id="1898"/>
      <w:bookmarkEnd w:id="1899"/>
      <w:bookmarkEnd w:id="1900"/>
      <w:bookmarkEnd w:id="1901"/>
      <w:bookmarkEnd w:id="1902"/>
      <w:bookmarkEnd w:id="1903"/>
      <w:bookmarkEnd w:id="1904"/>
      <w:bookmarkEnd w:id="1905"/>
      <w:bookmarkEnd w:id="1906"/>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⑴本工程签约合同价由发包人和承包人依据中标通知书中的中标价(即承包人的投标报价)在本合同协议书中约定。签约合同价在本合同协议书中约定后，任何一方不得擅自改变。</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⑵本合同采用</w:t>
      </w:r>
      <w:r>
        <w:rPr>
          <w:rFonts w:hint="eastAsia" w:ascii="宋体" w:hAnsi="宋体" w:eastAsia="宋体" w:cs="Times New Roman"/>
          <w:b/>
          <w:color w:val="auto"/>
          <w:kern w:val="0"/>
          <w:szCs w:val="24"/>
          <w:highlight w:val="none"/>
        </w:rPr>
        <w:t>固定单价</w:t>
      </w:r>
      <w:r>
        <w:rPr>
          <w:rFonts w:hint="eastAsia" w:ascii="宋体" w:hAnsi="宋体" w:eastAsia="宋体" w:cs="Times New Roman"/>
          <w:color w:val="auto"/>
          <w:kern w:val="0"/>
          <w:szCs w:val="24"/>
          <w:highlight w:val="none"/>
        </w:rPr>
        <w:t>的合同形式。承包人投标报价中的</w:t>
      </w:r>
      <w:r>
        <w:rPr>
          <w:rFonts w:hint="eastAsia" w:ascii="Times New Roman" w:hAnsi="Times New Roman" w:eastAsia="宋体" w:cs="Times New Roman"/>
          <w:color w:val="auto"/>
          <w:szCs w:val="21"/>
          <w:highlight w:val="none"/>
        </w:rPr>
        <w:t>工程量清单项目单价</w:t>
      </w:r>
      <w:r>
        <w:rPr>
          <w:rFonts w:hint="eastAsia" w:ascii="宋体" w:hAnsi="宋体" w:eastAsia="宋体" w:cs="Times New Roman"/>
          <w:color w:val="auto"/>
          <w:kern w:val="0"/>
          <w:szCs w:val="24"/>
          <w:highlight w:val="none"/>
        </w:rPr>
        <w:t>即为构成签约合同价的项目单价。除本合同另有约定，构成签约合同价的项目单价一经发包人和承包人签订合同确定后不作调整。</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承发包双方应在</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中约定综合单价包含的风险范围</w:t>
      </w:r>
      <w:r>
        <w:rPr>
          <w:rFonts w:hint="eastAsia" w:ascii="宋体" w:hAnsi="宋体" w:eastAsia="宋体" w:cs="Times New Roman"/>
          <w:color w:val="auto"/>
          <w:kern w:val="0"/>
          <w:szCs w:val="24"/>
          <w:highlight w:val="none"/>
        </w:rPr>
        <w:t>。</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⑷除合同另有约定以外，按照国家现行税法和有关部门现行规定，承包人或其分包人需缴纳的一切税金和费用，均应由承包人或其分包人承担并支付。</w:t>
      </w:r>
      <w:bookmarkEnd w:id="1907"/>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908" w:name="_Toc21013"/>
      <w:bookmarkStart w:id="1909" w:name="_Toc13714"/>
      <w:bookmarkStart w:id="1910" w:name="_Toc27262"/>
      <w:bookmarkStart w:id="1911" w:name="_Toc12392"/>
      <w:bookmarkStart w:id="1912" w:name="_Toc305331347"/>
      <w:bookmarkStart w:id="1913" w:name="_Toc30773"/>
      <w:bookmarkStart w:id="1914" w:name="_Toc18103"/>
      <w:bookmarkStart w:id="1915" w:name="_Toc16239"/>
      <w:bookmarkStart w:id="1916" w:name="_Toc302635835"/>
      <w:bookmarkStart w:id="1917" w:name="_Toc13570"/>
      <w:bookmarkStart w:id="1918" w:name="_Toc1373"/>
      <w:r>
        <w:rPr>
          <w:rFonts w:hint="eastAsia" w:ascii="宋体" w:hAnsi="宋体" w:eastAsia="宋体" w:cs="Times New Roman"/>
          <w:b/>
          <w:bCs/>
          <w:color w:val="auto"/>
          <w:kern w:val="0"/>
          <w:sz w:val="24"/>
          <w:szCs w:val="24"/>
          <w:highlight w:val="none"/>
          <w:lang w:val="en-US" w:eastAsia="zh-CN" w:bidi="ar-SA"/>
        </w:rPr>
        <w:t>合同价格的调整</w:t>
      </w:r>
      <w:bookmarkEnd w:id="1908"/>
      <w:bookmarkEnd w:id="1909"/>
      <w:bookmarkEnd w:id="1910"/>
      <w:bookmarkEnd w:id="1911"/>
      <w:bookmarkEnd w:id="1912"/>
      <w:bookmarkEnd w:id="1913"/>
      <w:bookmarkEnd w:id="1914"/>
      <w:bookmarkEnd w:id="1915"/>
      <w:bookmarkEnd w:id="1916"/>
      <w:bookmarkEnd w:id="1917"/>
      <w:bookmarkEnd w:id="1918"/>
    </w:p>
    <w:p>
      <w:pPr>
        <w:tabs>
          <w:tab w:val="left" w:pos="1620"/>
          <w:tab w:val="left" w:pos="2340"/>
        </w:tabs>
        <w:spacing w:before="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 xml:space="preserve">发生以下情形，合同价格可作调整： </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⑴按照第13条确定的提前竣工、延期竣工及赶工补偿；</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 xml:space="preserve">⑵按照第20.3款确定的法律、法规的变化； </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⑶按照第20.4款确定工料机调差；</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⑷按照第21条确定的暂估价、暂列金额；</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⑸按照第22条确定的工程量清单缺项、项目特征不符；</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⑹按照第24、25条确定的工程变更、签证、工程量偏差以及价值工程费用或收益；</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⑺按照第2</w:t>
      </w:r>
      <w:r>
        <w:rPr>
          <w:rFonts w:hint="eastAsia" w:ascii="宋体" w:hAnsi="宋体" w:eastAsia="宋体" w:cs="Times New Roman"/>
          <w:color w:val="auto"/>
          <w:kern w:val="0"/>
          <w:szCs w:val="24"/>
          <w:highlight w:val="none"/>
          <w:lang w:val="en-US" w:eastAsia="zh-CN"/>
        </w:rPr>
        <w:t>9</w:t>
      </w:r>
      <w:r>
        <w:rPr>
          <w:rFonts w:hint="eastAsia" w:ascii="宋体" w:hAnsi="宋体" w:eastAsia="宋体" w:cs="Times New Roman"/>
          <w:color w:val="auto"/>
          <w:kern w:val="0"/>
          <w:szCs w:val="24"/>
          <w:highlight w:val="none"/>
        </w:rPr>
        <w:t>条及本合同其它条款中确定的违约责任；</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⑻按照第</w:t>
      </w:r>
      <w:r>
        <w:rPr>
          <w:rFonts w:hint="eastAsia" w:ascii="宋体" w:hAnsi="宋体" w:eastAsia="宋体" w:cs="Times New Roman"/>
          <w:color w:val="auto"/>
          <w:kern w:val="0"/>
          <w:szCs w:val="24"/>
          <w:highlight w:val="none"/>
          <w:lang w:val="en-US" w:eastAsia="zh-CN"/>
        </w:rPr>
        <w:t>30</w:t>
      </w:r>
      <w:r>
        <w:rPr>
          <w:rFonts w:hint="eastAsia" w:ascii="宋体" w:hAnsi="宋体" w:eastAsia="宋体" w:cs="Times New Roman"/>
          <w:color w:val="auto"/>
          <w:kern w:val="0"/>
          <w:szCs w:val="24"/>
          <w:highlight w:val="none"/>
        </w:rPr>
        <w:t>条确定的费用索赔事件；</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⑼按照第3</w:t>
      </w:r>
      <w:r>
        <w:rPr>
          <w:rFonts w:hint="eastAsia" w:ascii="宋体" w:hAnsi="宋体" w:eastAsia="宋体" w:cs="Times New Roman"/>
          <w:color w:val="auto"/>
          <w:kern w:val="0"/>
          <w:szCs w:val="24"/>
          <w:highlight w:val="none"/>
          <w:lang w:val="en-US" w:eastAsia="zh-CN"/>
        </w:rPr>
        <w:t>3</w:t>
      </w:r>
      <w:r>
        <w:rPr>
          <w:rFonts w:hint="eastAsia" w:ascii="宋体" w:hAnsi="宋体" w:eastAsia="宋体" w:cs="Times New Roman"/>
          <w:color w:val="auto"/>
          <w:kern w:val="0"/>
          <w:szCs w:val="24"/>
          <w:highlight w:val="none"/>
        </w:rPr>
        <w:t>条确定的应由发包人承担的不可抗力损失费用；</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⑽市</w:t>
      </w:r>
      <w:r>
        <w:rPr>
          <w:rFonts w:ascii="宋体" w:hAnsi="宋体" w:eastAsia="宋体" w:cs="Times New Roman"/>
          <w:color w:val="auto"/>
          <w:kern w:val="0"/>
          <w:szCs w:val="24"/>
          <w:highlight w:val="none"/>
        </w:rPr>
        <w:t>工程造价管理机构</w:t>
      </w:r>
      <w:r>
        <w:rPr>
          <w:rFonts w:hint="eastAsia" w:ascii="宋体" w:hAnsi="宋体" w:eastAsia="宋体" w:cs="Times New Roman"/>
          <w:color w:val="auto"/>
          <w:kern w:val="0"/>
          <w:szCs w:val="24"/>
          <w:highlight w:val="none"/>
        </w:rPr>
        <w:t>发布</w:t>
      </w:r>
      <w:r>
        <w:rPr>
          <w:rFonts w:ascii="宋体" w:hAnsi="宋体" w:eastAsia="宋体" w:cs="Times New Roman"/>
          <w:color w:val="auto"/>
          <w:kern w:val="0"/>
          <w:szCs w:val="24"/>
          <w:highlight w:val="none"/>
        </w:rPr>
        <w:t>的</w:t>
      </w:r>
      <w:r>
        <w:rPr>
          <w:rFonts w:hint="eastAsia" w:ascii="宋体" w:hAnsi="宋体" w:eastAsia="宋体" w:cs="Times New Roman"/>
          <w:color w:val="auto"/>
          <w:kern w:val="0"/>
          <w:szCs w:val="24"/>
          <w:highlight w:val="none"/>
        </w:rPr>
        <w:t>工程造价</w:t>
      </w:r>
      <w:r>
        <w:rPr>
          <w:rFonts w:ascii="宋体" w:hAnsi="宋体" w:eastAsia="宋体" w:cs="Times New Roman"/>
          <w:color w:val="auto"/>
          <w:kern w:val="0"/>
          <w:szCs w:val="24"/>
          <w:highlight w:val="none"/>
        </w:rPr>
        <w:t>调整</w:t>
      </w:r>
      <w:r>
        <w:rPr>
          <w:rFonts w:hint="eastAsia" w:ascii="宋体" w:hAnsi="宋体" w:eastAsia="宋体" w:cs="Times New Roman"/>
          <w:color w:val="auto"/>
          <w:kern w:val="0"/>
          <w:szCs w:val="24"/>
          <w:highlight w:val="none"/>
        </w:rPr>
        <w:t>政策；</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⑾本合同条款以及</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约定的其他调整因素。</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919" w:name="_Toc26130"/>
      <w:bookmarkStart w:id="1920" w:name="_Toc27663"/>
      <w:bookmarkStart w:id="1921" w:name="_Toc12617"/>
      <w:bookmarkStart w:id="1922" w:name="_Toc26406"/>
      <w:bookmarkStart w:id="1923" w:name="_Toc302635836"/>
      <w:bookmarkStart w:id="1924" w:name="_Toc19997"/>
      <w:bookmarkStart w:id="1925" w:name="_Toc21879"/>
      <w:bookmarkStart w:id="1926" w:name="_Toc20309"/>
      <w:bookmarkStart w:id="1927" w:name="_Toc305331348"/>
      <w:bookmarkStart w:id="1928" w:name="_Toc3823"/>
      <w:bookmarkStart w:id="1929" w:name="_Toc794"/>
      <w:r>
        <w:rPr>
          <w:rFonts w:hint="eastAsia" w:ascii="宋体" w:hAnsi="宋体" w:eastAsia="宋体" w:cs="Times New Roman"/>
          <w:b/>
          <w:bCs/>
          <w:color w:val="auto"/>
          <w:kern w:val="0"/>
          <w:sz w:val="24"/>
          <w:szCs w:val="24"/>
          <w:highlight w:val="none"/>
          <w:lang w:val="en-US" w:eastAsia="zh-CN" w:bidi="ar-SA"/>
        </w:rPr>
        <w:t>法律法规的改变</w:t>
      </w:r>
      <w:bookmarkEnd w:id="1919"/>
      <w:bookmarkEnd w:id="1920"/>
      <w:bookmarkEnd w:id="1921"/>
      <w:bookmarkEnd w:id="1922"/>
      <w:bookmarkEnd w:id="1923"/>
      <w:bookmarkEnd w:id="1924"/>
      <w:bookmarkEnd w:id="1925"/>
      <w:bookmarkEnd w:id="1926"/>
      <w:bookmarkEnd w:id="1927"/>
      <w:bookmarkEnd w:id="1928"/>
      <w:bookmarkEnd w:id="1929"/>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⑴基准日期后,因国家法律、法规、规章和政策的改变对合同价格产生影响的,合同价格应作调整。发包人和承包人应根据法律法规改变造成的实际影响，按照市工程造价管理机构发布的相应办法进行调整。</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⑵按前款情形对合同价格进行调整时，因承包人原因导致工期延误的，在本合同约定竣工日期之后，合同价格调增的不予调整，合同价格调减的予以调整。</w:t>
      </w:r>
      <w:r>
        <w:rPr>
          <w:rFonts w:ascii="宋体" w:hAnsi="宋体" w:eastAsia="宋体" w:cs="Times New Roman"/>
          <w:color w:val="auto"/>
          <w:kern w:val="0"/>
          <w:szCs w:val="24"/>
          <w:highlight w:val="none"/>
        </w:rPr>
        <w:t xml:space="preserve"> </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因承包人原因造成工期延误，在工期延误期间出现法律变化的，由此增加的费用和（或）延误的工期由承包人承担。</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⑷因法律变化引起的合同价格和工期调整，承发包双方无法达成一致的，按第3</w:t>
      </w:r>
      <w:r>
        <w:rPr>
          <w:rFonts w:hint="eastAsia" w:ascii="宋体" w:hAnsi="宋体" w:eastAsia="宋体" w:cs="Times New Roman"/>
          <w:color w:val="auto"/>
          <w:kern w:val="0"/>
          <w:szCs w:val="24"/>
          <w:highlight w:val="none"/>
          <w:lang w:val="en-US" w:eastAsia="zh-CN"/>
        </w:rPr>
        <w:t>1</w:t>
      </w:r>
      <w:r>
        <w:rPr>
          <w:rFonts w:hint="eastAsia" w:ascii="宋体" w:hAnsi="宋体" w:eastAsia="宋体" w:cs="Times New Roman"/>
          <w:color w:val="auto"/>
          <w:kern w:val="0"/>
          <w:szCs w:val="24"/>
          <w:highlight w:val="none"/>
        </w:rPr>
        <w:t>条〔争议解决〕处理。</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930" w:name="_Toc2583"/>
      <w:bookmarkStart w:id="1931" w:name="_Toc302635837"/>
      <w:bookmarkStart w:id="1932" w:name="_Toc17482"/>
      <w:bookmarkStart w:id="1933" w:name="_Toc305331349"/>
      <w:bookmarkStart w:id="1934" w:name="_Toc19288"/>
      <w:bookmarkStart w:id="1935" w:name="_Toc18958"/>
      <w:bookmarkStart w:id="1936" w:name="_Toc32120"/>
      <w:bookmarkStart w:id="1937" w:name="_Toc12012"/>
      <w:bookmarkStart w:id="1938" w:name="_Toc2133"/>
      <w:bookmarkStart w:id="1939" w:name="_Toc3296"/>
      <w:bookmarkStart w:id="1940" w:name="_Toc32634"/>
      <w:r>
        <w:rPr>
          <w:rFonts w:hint="eastAsia" w:ascii="宋体" w:hAnsi="宋体" w:eastAsia="宋体" w:cs="Times New Roman"/>
          <w:b/>
          <w:bCs/>
          <w:color w:val="auto"/>
          <w:kern w:val="0"/>
          <w:sz w:val="24"/>
          <w:szCs w:val="24"/>
          <w:highlight w:val="none"/>
          <w:lang w:val="en-US" w:eastAsia="zh-CN" w:bidi="ar-SA"/>
        </w:rPr>
        <w:t>工料机调差</w:t>
      </w:r>
      <w:bookmarkEnd w:id="1930"/>
      <w:bookmarkEnd w:id="1931"/>
      <w:bookmarkEnd w:id="1932"/>
      <w:bookmarkEnd w:id="1933"/>
      <w:bookmarkEnd w:id="1934"/>
      <w:bookmarkEnd w:id="1935"/>
      <w:bookmarkEnd w:id="1936"/>
      <w:bookmarkEnd w:id="1937"/>
      <w:bookmarkEnd w:id="1938"/>
      <w:bookmarkEnd w:id="1939"/>
      <w:bookmarkEnd w:id="1940"/>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⑴承包人应充分考虑本工程施工期间因材料或劳务市场价格波动等任何有可能引起施工成本增加的风险(本合同约定可调差情形除外)，并不得据此提出索赔。</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另有约定外，由于非承包人原因引起的用于本工程的人工、主要材料及机械使用的价格波动超过</w:t>
      </w:r>
      <w:r>
        <w:rPr>
          <w:rFonts w:hint="eastAsia" w:ascii="宋体" w:hAnsi="宋体" w:eastAsia="宋体" w:cs="Times New Roman"/>
          <w:b/>
          <w:color w:val="auto"/>
          <w:kern w:val="0"/>
          <w:szCs w:val="24"/>
          <w:highlight w:val="none"/>
        </w:rPr>
        <w:t>±5%</w:t>
      </w:r>
      <w:r>
        <w:rPr>
          <w:rFonts w:hint="eastAsia" w:ascii="宋体" w:hAnsi="宋体" w:eastAsia="宋体" w:cs="Times New Roman"/>
          <w:color w:val="auto"/>
          <w:kern w:val="0"/>
          <w:szCs w:val="24"/>
          <w:highlight w:val="none"/>
        </w:rPr>
        <w:t>时，其超过部分的合同价格应按20.5款、20.6款方法在与其相关的工程完工后一次性进行调整。</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1941" w:name="_Toc34909079"/>
      <w:r>
        <w:rPr>
          <w:rFonts w:hint="eastAsia" w:ascii="宋体" w:hAnsi="宋体" w:eastAsia="宋体" w:cs="Times New Roman"/>
          <w:color w:val="auto"/>
          <w:kern w:val="0"/>
          <w:szCs w:val="24"/>
          <w:highlight w:val="none"/>
        </w:rPr>
        <w:t>⑶主要材料是指用于本工程的某种材料价格总额达到签约合同价</w:t>
      </w:r>
      <w:r>
        <w:rPr>
          <w:rFonts w:hint="eastAsia" w:ascii="宋体" w:hAnsi="宋体" w:eastAsia="宋体" w:cs="Times New Roman"/>
          <w:b/>
          <w:color w:val="auto"/>
          <w:kern w:val="0"/>
          <w:szCs w:val="24"/>
          <w:highlight w:val="none"/>
        </w:rPr>
        <w:t>5%</w:t>
      </w:r>
      <w:r>
        <w:rPr>
          <w:rFonts w:hint="eastAsia" w:ascii="宋体" w:hAnsi="宋体" w:eastAsia="宋体" w:cs="Times New Roman"/>
          <w:color w:val="auto"/>
          <w:kern w:val="0"/>
          <w:szCs w:val="24"/>
          <w:highlight w:val="none"/>
        </w:rPr>
        <w:t>或</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约定比例及以上的材料。</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⑷发包人和承包人可根据本工程的具体实际，在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w:t>
      </w:r>
      <w:r>
        <w:rPr>
          <w:rFonts w:hint="eastAsia" w:ascii="宋体" w:hAnsi="宋体" w:eastAsia="宋体" w:cs="Times New Roman"/>
          <w:color w:val="auto"/>
          <w:szCs w:val="24"/>
          <w:highlight w:val="none"/>
        </w:rPr>
        <w:t>用于本工程的未达到20.4</w:t>
      </w:r>
      <w:r>
        <w:rPr>
          <w:rFonts w:hint="eastAsia" w:ascii="宋体" w:hAnsi="宋体" w:eastAsia="宋体" w:cs="Times New Roman"/>
          <w:color w:val="auto"/>
          <w:kern w:val="0"/>
          <w:szCs w:val="24"/>
          <w:highlight w:val="none"/>
        </w:rPr>
        <w:t>⑶</w:t>
      </w:r>
      <w:r>
        <w:rPr>
          <w:rFonts w:hint="eastAsia" w:ascii="宋体" w:hAnsi="宋体" w:eastAsia="宋体" w:cs="Times New Roman"/>
          <w:color w:val="auto"/>
          <w:szCs w:val="24"/>
          <w:highlight w:val="none"/>
        </w:rPr>
        <w:t>款约定比例的其它材料中</w:t>
      </w:r>
      <w:r>
        <w:rPr>
          <w:rFonts w:hint="eastAsia" w:ascii="宋体" w:hAnsi="宋体" w:eastAsia="宋体" w:cs="Times New Roman"/>
          <w:color w:val="auto"/>
          <w:kern w:val="0"/>
          <w:szCs w:val="24"/>
          <w:highlight w:val="none"/>
        </w:rPr>
        <w:t>可调差的材料种类。</w:t>
      </w:r>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⑸工料机调差费用部分应按《深圳市建设工程计价规程》计取规费和税金，不计企业管理费和利润。工料机调差费用应按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的约定进行计算和支付。</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942" w:name="_Toc302635838"/>
      <w:bookmarkStart w:id="1943" w:name="_Toc12667"/>
      <w:bookmarkStart w:id="1944" w:name="_Toc7511"/>
      <w:bookmarkStart w:id="1945" w:name="_Toc27119"/>
      <w:bookmarkStart w:id="1946" w:name="_Toc5398"/>
      <w:bookmarkStart w:id="1947" w:name="_Toc7024"/>
      <w:bookmarkStart w:id="1948" w:name="_Toc30343"/>
      <w:bookmarkStart w:id="1949" w:name="_Toc11209"/>
      <w:bookmarkStart w:id="1950" w:name="_Toc30599"/>
      <w:bookmarkStart w:id="1951" w:name="_Toc22870"/>
      <w:r>
        <w:rPr>
          <w:rFonts w:hint="eastAsia" w:ascii="宋体" w:hAnsi="宋体" w:eastAsia="宋体" w:cs="Times New Roman"/>
          <w:b/>
          <w:bCs/>
          <w:color w:val="auto"/>
          <w:kern w:val="0"/>
          <w:sz w:val="24"/>
          <w:szCs w:val="24"/>
          <w:highlight w:val="none"/>
          <w:lang w:val="en-US" w:eastAsia="zh-CN" w:bidi="ar-SA"/>
        </w:rPr>
        <w:t>材料调差</w:t>
      </w:r>
      <w:bookmarkEnd w:id="1942"/>
      <w:r>
        <w:rPr>
          <w:rFonts w:hint="eastAsia" w:ascii="宋体" w:hAnsi="宋体" w:eastAsia="宋体" w:cs="Times New Roman"/>
          <w:b/>
          <w:bCs/>
          <w:color w:val="auto"/>
          <w:kern w:val="0"/>
          <w:sz w:val="24"/>
          <w:szCs w:val="24"/>
          <w:highlight w:val="none"/>
          <w:lang w:val="en-US" w:eastAsia="zh-CN" w:bidi="ar-SA"/>
        </w:rPr>
        <w:t>方法</w:t>
      </w:r>
      <w:bookmarkEnd w:id="1943"/>
      <w:bookmarkEnd w:id="1944"/>
      <w:bookmarkEnd w:id="1945"/>
      <w:bookmarkEnd w:id="1946"/>
      <w:bookmarkEnd w:id="1947"/>
      <w:bookmarkEnd w:id="1948"/>
      <w:bookmarkEnd w:id="1949"/>
      <w:bookmarkEnd w:id="1950"/>
      <w:bookmarkEnd w:id="1951"/>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按照20.4⑶、⑷款确定的可调差材料发生价格波动时，可在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中约定一种调差方式：</w:t>
      </w:r>
    </w:p>
    <w:p>
      <w:pPr>
        <w:tabs>
          <w:tab w:val="left" w:pos="1620"/>
          <w:tab w:val="left" w:pos="2340"/>
        </w:tabs>
        <w:snapToGrid w:val="0"/>
        <w:ind w:firstLine="1050" w:firstLineChars="5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当</w:t>
      </w:r>
      <w:r>
        <w:rPr>
          <w:rFonts w:ascii="Cambria" w:hAnsi="Cambria" w:eastAsia="宋体" w:cs="Times New Roman"/>
          <w:i/>
          <w:color w:val="auto"/>
          <w:sz w:val="24"/>
          <w:szCs w:val="24"/>
          <w:highlight w:val="none"/>
        </w:rPr>
        <w:sym w:font="Symbol" w:char="F060"/>
      </w:r>
      <w:r>
        <w:rPr>
          <w:rFonts w:ascii="Cambria" w:hAnsi="Cambria" w:eastAsia="宋体" w:cs="Times New Roman"/>
          <w:i/>
          <w:color w:val="auto"/>
          <w:sz w:val="24"/>
          <w:szCs w:val="24"/>
          <w:highlight w:val="none"/>
        </w:rPr>
        <w:t>P</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0</w:t>
      </w:r>
      <w:r>
        <w:rPr>
          <w:rFonts w:hint="eastAsia" w:ascii="宋体" w:hAnsi="宋体" w:eastAsia="宋体" w:cs="Times New Roman"/>
          <w:color w:val="auto"/>
          <w:szCs w:val="24"/>
          <w:highlight w:val="none"/>
        </w:rPr>
        <w:t>时：</w:t>
      </w:r>
    </w:p>
    <w:p>
      <w:pPr>
        <w:tabs>
          <w:tab w:val="left" w:pos="1620"/>
          <w:tab w:val="left" w:pos="2340"/>
        </w:tabs>
        <w:snapToGrid w:val="0"/>
        <w:ind w:firstLine="1200" w:firstLineChars="500"/>
        <w:rPr>
          <w:rFonts w:ascii="宋体" w:hAnsi="宋体" w:eastAsia="宋体" w:cs="Times New Roman"/>
          <w:color w:val="auto"/>
          <w:szCs w:val="24"/>
          <w:highlight w:val="none"/>
        </w:rPr>
      </w:pPr>
      <w:r>
        <w:rPr>
          <w:rFonts w:hint="eastAsia" w:ascii="Cambria" w:hAnsi="Cambria" w:eastAsia="宋体" w:cs="Times New Roman"/>
          <w:color w:val="auto"/>
          <w:sz w:val="24"/>
          <w:szCs w:val="24"/>
          <w:highlight w:val="none"/>
        </w:rPr>
        <w:t>①</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t</w:t>
      </w:r>
      <w:r>
        <w:rPr>
          <w:rFonts w:hint="eastAsia" w:ascii="Cambria" w:hAnsi="Cambria" w:eastAsia="宋体" w:cs="Times New Roman"/>
          <w:i/>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0</w:t>
      </w:r>
      <w:r>
        <w:rPr>
          <w:rFonts w:hint="eastAsia" w:ascii="Cambria" w:hAnsi="Cambria" w:eastAsia="宋体" w:cs="Times New Roman"/>
          <w:i/>
          <w:color w:val="auto"/>
          <w:sz w:val="24"/>
          <w:szCs w:val="24"/>
          <w:highlight w:val="none"/>
        </w:rPr>
        <w:t>，</w:t>
      </w:r>
      <w:r>
        <w:rPr>
          <w:rFonts w:hint="eastAsia" w:ascii="宋体" w:hAnsi="宋体" w:eastAsia="宋体" w:cs="Times New Roman"/>
          <w:color w:val="auto"/>
          <w:szCs w:val="24"/>
          <w:highlight w:val="none"/>
        </w:rPr>
        <w:t>且</w:t>
      </w:r>
      <w:r>
        <w:rPr>
          <w:rFonts w:ascii="Cambria" w:hAnsi="Cambria" w:eastAsia="宋体" w:cs="Times New Roman"/>
          <w:i/>
          <w:color w:val="auto"/>
          <w:sz w:val="24"/>
          <w:szCs w:val="24"/>
          <w:highlight w:val="none"/>
        </w:rPr>
        <w:sym w:font="Symbol" w:char="F060"/>
      </w:r>
      <w:r>
        <w:rPr>
          <w:rFonts w:ascii="Cambria" w:hAnsi="Cambria" w:eastAsia="宋体" w:cs="Times New Roman"/>
          <w:i/>
          <w:color w:val="auto"/>
          <w:sz w:val="24"/>
          <w:szCs w:val="24"/>
          <w:highlight w:val="none"/>
        </w:rPr>
        <w:t xml:space="preserve">P </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0</w:t>
      </w:r>
      <w:r>
        <w:rPr>
          <w:rFonts w:hint="eastAsia" w:ascii="宋体" w:hAnsi="宋体" w:eastAsia="宋体" w:cs="Times New Roman"/>
          <w:color w:val="auto"/>
          <w:sz w:val="24"/>
          <w:szCs w:val="24"/>
          <w:highlight w:val="none"/>
        </w:rPr>
        <w:t>＞1.05</w:t>
      </w:r>
      <w:r>
        <w:rPr>
          <w:rFonts w:hint="eastAsia" w:ascii="宋体" w:hAnsi="宋体" w:eastAsia="宋体" w:cs="Times New Roman"/>
          <w:color w:val="auto"/>
          <w:szCs w:val="24"/>
          <w:highlight w:val="none"/>
        </w:rPr>
        <w:t>，则：</w:t>
      </w:r>
    </w:p>
    <w:p>
      <w:pPr>
        <w:tabs>
          <w:tab w:val="left" w:pos="1620"/>
          <w:tab w:val="left" w:pos="2340"/>
        </w:tabs>
        <w:snapToGrid w:val="0"/>
        <w:ind w:firstLine="1200" w:firstLineChars="5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vertAlign w:val="subscript"/>
        </w:rPr>
        <w:t>增</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Q</w:t>
      </w:r>
      <w:r>
        <w:rPr>
          <w:rFonts w:hint="eastAsia" w:ascii="宋体" w:hAnsi="宋体" w:eastAsia="宋体" w:cs="Times New Roman"/>
          <w:color w:val="auto"/>
          <w:sz w:val="24"/>
          <w:szCs w:val="24"/>
          <w:highlight w:val="none"/>
          <w:vertAlign w:val="subscript"/>
        </w:rPr>
        <w:t>总</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t</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sym w:font="Symbol" w:char="F060"/>
      </w:r>
      <w:r>
        <w:rPr>
          <w:rFonts w:ascii="Cambria" w:hAnsi="Cambria" w:eastAsia="宋体" w:cs="Times New Roman"/>
          <w:i/>
          <w:color w:val="auto"/>
          <w:sz w:val="24"/>
          <w:szCs w:val="24"/>
          <w:highlight w:val="none"/>
        </w:rPr>
        <w:t xml:space="preserve">P </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0</w:t>
      </w:r>
      <w:r>
        <w:rPr>
          <w:rFonts w:hint="eastAsia" w:ascii="宋体" w:hAnsi="宋体" w:eastAsia="宋体" w:cs="Times New Roman"/>
          <w:color w:val="auto"/>
          <w:sz w:val="24"/>
          <w:szCs w:val="24"/>
          <w:highlight w:val="none"/>
        </w:rPr>
        <w:t>－1.05)</w:t>
      </w:r>
    </w:p>
    <w:p>
      <w:pPr>
        <w:tabs>
          <w:tab w:val="left" w:pos="1620"/>
          <w:tab w:val="left" w:pos="2340"/>
        </w:tabs>
        <w:snapToGrid w:val="0"/>
        <w:ind w:firstLine="1200" w:firstLineChars="500"/>
        <w:rPr>
          <w:rFonts w:ascii="宋体" w:hAnsi="宋体" w:eastAsia="宋体" w:cs="Times New Roman"/>
          <w:color w:val="auto"/>
          <w:szCs w:val="24"/>
          <w:highlight w:val="none"/>
        </w:rPr>
      </w:pPr>
      <w:r>
        <w:rPr>
          <w:rFonts w:hint="eastAsia" w:ascii="Cambria" w:hAnsi="Cambria" w:eastAsia="宋体" w:cs="Times New Roman"/>
          <w:color w:val="auto"/>
          <w:sz w:val="24"/>
          <w:szCs w:val="24"/>
          <w:highlight w:val="none"/>
        </w:rPr>
        <w:t>②</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t</w:t>
      </w:r>
      <w:r>
        <w:rPr>
          <w:rFonts w:hint="eastAsia" w:ascii="Cambria" w:hAnsi="Cambria" w:eastAsia="宋体" w:cs="Times New Roman"/>
          <w:i/>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0</w:t>
      </w:r>
      <w:r>
        <w:rPr>
          <w:rFonts w:hint="eastAsia" w:ascii="宋体" w:hAnsi="宋体" w:eastAsia="宋体" w:cs="Times New Roman"/>
          <w:color w:val="auto"/>
          <w:szCs w:val="24"/>
          <w:highlight w:val="none"/>
        </w:rPr>
        <w:t>，且</w:t>
      </w:r>
      <w:r>
        <w:rPr>
          <w:rFonts w:ascii="Cambria" w:hAnsi="Cambria" w:eastAsia="宋体" w:cs="Times New Roman"/>
          <w:i/>
          <w:color w:val="auto"/>
          <w:sz w:val="24"/>
          <w:szCs w:val="24"/>
          <w:highlight w:val="none"/>
        </w:rPr>
        <w:sym w:font="Symbol" w:char="F060"/>
      </w:r>
      <w:r>
        <w:rPr>
          <w:rFonts w:ascii="Cambria" w:hAnsi="Cambria" w:eastAsia="宋体" w:cs="Times New Roman"/>
          <w:i/>
          <w:color w:val="auto"/>
          <w:sz w:val="24"/>
          <w:szCs w:val="24"/>
          <w:highlight w:val="none"/>
        </w:rPr>
        <w:t xml:space="preserve">P </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t</w:t>
      </w:r>
      <w:r>
        <w:rPr>
          <w:rFonts w:hint="eastAsia" w:ascii="宋体" w:hAnsi="宋体" w:eastAsia="宋体" w:cs="Times New Roman"/>
          <w:color w:val="auto"/>
          <w:sz w:val="24"/>
          <w:szCs w:val="24"/>
          <w:highlight w:val="none"/>
        </w:rPr>
        <w:t>＞1.05</w:t>
      </w:r>
      <w:r>
        <w:rPr>
          <w:rFonts w:hint="eastAsia" w:ascii="宋体" w:hAnsi="宋体" w:eastAsia="宋体" w:cs="Times New Roman"/>
          <w:color w:val="auto"/>
          <w:szCs w:val="24"/>
          <w:highlight w:val="none"/>
        </w:rPr>
        <w:t>，则：</w:t>
      </w:r>
    </w:p>
    <w:p>
      <w:pPr>
        <w:tabs>
          <w:tab w:val="left" w:pos="1620"/>
          <w:tab w:val="left" w:pos="2340"/>
        </w:tabs>
        <w:snapToGrid w:val="0"/>
        <w:ind w:firstLine="1200" w:firstLineChars="5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vertAlign w:val="subscript"/>
        </w:rPr>
        <w:t>增</w:t>
      </w:r>
      <w:r>
        <w:rPr>
          <w:rFonts w:hint="eastAsia" w:ascii="宋体" w:hAnsi="宋体" w:eastAsia="宋体" w:cs="Times New Roman"/>
          <w:color w:val="auto"/>
          <w:sz w:val="24"/>
          <w:szCs w:val="24"/>
          <w:highlight w:val="none"/>
        </w:rPr>
        <w:t>=Q</w:t>
      </w:r>
      <w:r>
        <w:rPr>
          <w:rFonts w:hint="eastAsia" w:ascii="宋体" w:hAnsi="宋体" w:eastAsia="宋体" w:cs="Times New Roman"/>
          <w:color w:val="auto"/>
          <w:sz w:val="24"/>
          <w:szCs w:val="24"/>
          <w:highlight w:val="none"/>
          <w:vertAlign w:val="subscript"/>
        </w:rPr>
        <w:t>总</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t</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sym w:font="Symbol" w:char="F060"/>
      </w:r>
      <w:r>
        <w:rPr>
          <w:rFonts w:ascii="Cambria" w:hAnsi="Cambria" w:eastAsia="宋体" w:cs="Times New Roman"/>
          <w:i/>
          <w:color w:val="auto"/>
          <w:sz w:val="24"/>
          <w:szCs w:val="24"/>
          <w:highlight w:val="none"/>
        </w:rPr>
        <w:t xml:space="preserve">P </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t</w:t>
      </w:r>
      <w:r>
        <w:rPr>
          <w:rFonts w:hint="eastAsia" w:ascii="宋体" w:hAnsi="宋体" w:eastAsia="宋体" w:cs="Times New Roman"/>
          <w:color w:val="auto"/>
          <w:sz w:val="24"/>
          <w:szCs w:val="24"/>
          <w:highlight w:val="none"/>
        </w:rPr>
        <w:t>－1.05)</w:t>
      </w:r>
    </w:p>
    <w:p>
      <w:pPr>
        <w:tabs>
          <w:tab w:val="left" w:pos="1620"/>
          <w:tab w:val="left" w:pos="2340"/>
        </w:tabs>
        <w:snapToGrid w:val="0"/>
        <w:spacing w:before="156"/>
        <w:ind w:firstLine="1050" w:firstLineChars="500"/>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当</w:t>
      </w:r>
      <w:r>
        <w:rPr>
          <w:rFonts w:ascii="Cambria" w:hAnsi="Cambria" w:eastAsia="宋体" w:cs="Times New Roman"/>
          <w:i/>
          <w:color w:val="auto"/>
          <w:sz w:val="24"/>
          <w:szCs w:val="24"/>
          <w:highlight w:val="none"/>
        </w:rPr>
        <w:sym w:font="Symbol" w:char="F060"/>
      </w:r>
      <w:r>
        <w:rPr>
          <w:rFonts w:ascii="Cambria" w:hAnsi="Cambria" w:eastAsia="宋体" w:cs="Times New Roman"/>
          <w:i/>
          <w:color w:val="auto"/>
          <w:sz w:val="24"/>
          <w:szCs w:val="24"/>
          <w:highlight w:val="none"/>
        </w:rPr>
        <w:t>P</w:t>
      </w:r>
      <w:r>
        <w:rPr>
          <w:rFonts w:hint="eastAsia" w:ascii="Cambria" w:hAnsi="Cambria" w:eastAsia="宋体" w:cs="Times New Roman"/>
          <w:i/>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0</w:t>
      </w:r>
      <w:r>
        <w:rPr>
          <w:rFonts w:hint="eastAsia" w:ascii="宋体" w:hAnsi="宋体" w:eastAsia="宋体" w:cs="Times New Roman"/>
          <w:color w:val="auto"/>
          <w:szCs w:val="24"/>
          <w:highlight w:val="none"/>
        </w:rPr>
        <w:t>时：</w:t>
      </w:r>
    </w:p>
    <w:p>
      <w:pPr>
        <w:tabs>
          <w:tab w:val="left" w:pos="1620"/>
          <w:tab w:val="left" w:pos="2340"/>
        </w:tabs>
        <w:snapToGrid w:val="0"/>
        <w:ind w:firstLine="1200" w:firstLineChars="500"/>
        <w:rPr>
          <w:rFonts w:ascii="宋体" w:hAnsi="宋体" w:eastAsia="宋体" w:cs="Times New Roman"/>
          <w:color w:val="auto"/>
          <w:szCs w:val="24"/>
          <w:highlight w:val="none"/>
        </w:rPr>
      </w:pPr>
      <w:r>
        <w:rPr>
          <w:rFonts w:hint="eastAsia" w:ascii="Cambria" w:hAnsi="Cambria" w:eastAsia="宋体" w:cs="Times New Roman"/>
          <w:color w:val="auto"/>
          <w:sz w:val="24"/>
          <w:szCs w:val="24"/>
          <w:highlight w:val="none"/>
        </w:rPr>
        <w:t>①</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t</w:t>
      </w:r>
      <w:r>
        <w:rPr>
          <w:rFonts w:hint="eastAsia" w:ascii="Cambria" w:hAnsi="Cambria" w:eastAsia="宋体" w:cs="Times New Roman"/>
          <w:i/>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0</w:t>
      </w:r>
      <w:r>
        <w:rPr>
          <w:rFonts w:hint="eastAsia" w:ascii="宋体" w:hAnsi="宋体" w:eastAsia="宋体" w:cs="Times New Roman"/>
          <w:color w:val="auto"/>
          <w:szCs w:val="24"/>
          <w:highlight w:val="none"/>
        </w:rPr>
        <w:t>，且</w:t>
      </w:r>
      <w:r>
        <w:rPr>
          <w:rFonts w:ascii="Cambria" w:hAnsi="Cambria" w:eastAsia="宋体" w:cs="Times New Roman"/>
          <w:i/>
          <w:color w:val="auto"/>
          <w:sz w:val="24"/>
          <w:szCs w:val="24"/>
          <w:highlight w:val="none"/>
        </w:rPr>
        <w:sym w:font="Symbol" w:char="F060"/>
      </w:r>
      <w:r>
        <w:rPr>
          <w:rFonts w:ascii="Cambria" w:hAnsi="Cambria" w:eastAsia="宋体" w:cs="Times New Roman"/>
          <w:i/>
          <w:color w:val="auto"/>
          <w:sz w:val="24"/>
          <w:szCs w:val="24"/>
          <w:highlight w:val="none"/>
        </w:rPr>
        <w:t xml:space="preserve">P </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t</w:t>
      </w:r>
      <w:r>
        <w:rPr>
          <w:rFonts w:hint="eastAsia" w:ascii="Cambria" w:hAnsi="Cambria" w:eastAsia="宋体" w:cs="Times New Roman"/>
          <w:color w:val="auto"/>
          <w:sz w:val="24"/>
          <w:szCs w:val="24"/>
          <w:highlight w:val="none"/>
        </w:rPr>
        <w:t>＜</w:t>
      </w:r>
      <w:r>
        <w:rPr>
          <w:rFonts w:hint="eastAsia" w:ascii="宋体" w:hAnsi="宋体" w:eastAsia="宋体" w:cs="Times New Roman"/>
          <w:color w:val="auto"/>
          <w:sz w:val="24"/>
          <w:szCs w:val="24"/>
          <w:highlight w:val="none"/>
        </w:rPr>
        <w:t>0.95</w:t>
      </w:r>
      <w:r>
        <w:rPr>
          <w:rFonts w:hint="eastAsia" w:ascii="宋体" w:hAnsi="宋体" w:eastAsia="宋体" w:cs="Times New Roman"/>
          <w:color w:val="auto"/>
          <w:szCs w:val="24"/>
          <w:highlight w:val="none"/>
        </w:rPr>
        <w:t>，则：</w:t>
      </w:r>
    </w:p>
    <w:p>
      <w:pPr>
        <w:tabs>
          <w:tab w:val="left" w:pos="1620"/>
          <w:tab w:val="left" w:pos="2340"/>
        </w:tabs>
        <w:snapToGrid w:val="0"/>
        <w:ind w:firstLine="1200" w:firstLineChars="5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vertAlign w:val="subscript"/>
        </w:rPr>
        <w:t>减</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Q</w:t>
      </w:r>
      <w:r>
        <w:rPr>
          <w:rFonts w:hint="eastAsia" w:ascii="宋体" w:hAnsi="宋体" w:eastAsia="宋体" w:cs="Times New Roman"/>
          <w:color w:val="auto"/>
          <w:sz w:val="24"/>
          <w:szCs w:val="24"/>
          <w:highlight w:val="none"/>
          <w:vertAlign w:val="subscript"/>
        </w:rPr>
        <w:t>总</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t</w:t>
      </w:r>
      <w:r>
        <w:rPr>
          <w:rFonts w:hint="eastAsia" w:ascii="宋体" w:hAnsi="宋体" w:eastAsia="宋体" w:cs="Times New Roman"/>
          <w:color w:val="auto"/>
          <w:sz w:val="24"/>
          <w:szCs w:val="24"/>
          <w:highlight w:val="none"/>
        </w:rPr>
        <w:t>×(0.95－</w:t>
      </w:r>
      <w:r>
        <w:rPr>
          <w:rFonts w:ascii="Cambria" w:hAnsi="Cambria" w:eastAsia="宋体" w:cs="Times New Roman"/>
          <w:i/>
          <w:color w:val="auto"/>
          <w:sz w:val="24"/>
          <w:szCs w:val="24"/>
          <w:highlight w:val="none"/>
        </w:rPr>
        <w:sym w:font="Symbol" w:char="F060"/>
      </w:r>
      <w:r>
        <w:rPr>
          <w:rFonts w:ascii="Cambria" w:hAnsi="Cambria" w:eastAsia="宋体" w:cs="Times New Roman"/>
          <w:i/>
          <w:color w:val="auto"/>
          <w:sz w:val="24"/>
          <w:szCs w:val="24"/>
          <w:highlight w:val="none"/>
        </w:rPr>
        <w:t xml:space="preserve">P </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t</w:t>
      </w:r>
      <w:r>
        <w:rPr>
          <w:rFonts w:hint="eastAsia" w:ascii="宋体" w:hAnsi="宋体" w:eastAsia="宋体" w:cs="Times New Roman"/>
          <w:color w:val="auto"/>
          <w:sz w:val="24"/>
          <w:szCs w:val="24"/>
          <w:highlight w:val="none"/>
        </w:rPr>
        <w:t>)</w:t>
      </w:r>
    </w:p>
    <w:p>
      <w:pPr>
        <w:tabs>
          <w:tab w:val="left" w:pos="1620"/>
          <w:tab w:val="left" w:pos="2340"/>
        </w:tabs>
        <w:snapToGrid w:val="0"/>
        <w:ind w:firstLine="1200" w:firstLineChars="500"/>
        <w:rPr>
          <w:rFonts w:ascii="宋体" w:hAnsi="宋体" w:eastAsia="宋体" w:cs="Times New Roman"/>
          <w:color w:val="auto"/>
          <w:szCs w:val="24"/>
          <w:highlight w:val="none"/>
        </w:rPr>
      </w:pPr>
      <w:r>
        <w:rPr>
          <w:rFonts w:hint="eastAsia" w:ascii="Cambria" w:hAnsi="Cambria" w:eastAsia="宋体" w:cs="Times New Roman"/>
          <w:color w:val="auto"/>
          <w:sz w:val="24"/>
          <w:szCs w:val="24"/>
          <w:highlight w:val="none"/>
        </w:rPr>
        <w:t>②</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t</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0</w:t>
      </w:r>
      <w:r>
        <w:rPr>
          <w:rFonts w:hint="eastAsia" w:ascii="宋体" w:hAnsi="宋体" w:eastAsia="宋体" w:cs="Times New Roman"/>
          <w:color w:val="auto"/>
          <w:szCs w:val="24"/>
          <w:highlight w:val="none"/>
        </w:rPr>
        <w:t>，且</w:t>
      </w:r>
      <w:r>
        <w:rPr>
          <w:rFonts w:ascii="Cambria" w:hAnsi="Cambria" w:eastAsia="宋体" w:cs="Times New Roman"/>
          <w:i/>
          <w:color w:val="auto"/>
          <w:sz w:val="24"/>
          <w:szCs w:val="24"/>
          <w:highlight w:val="none"/>
        </w:rPr>
        <w:sym w:font="Symbol" w:char="F060"/>
      </w:r>
      <w:r>
        <w:rPr>
          <w:rFonts w:ascii="Cambria" w:hAnsi="Cambria" w:eastAsia="宋体" w:cs="Times New Roman"/>
          <w:i/>
          <w:color w:val="auto"/>
          <w:sz w:val="24"/>
          <w:szCs w:val="24"/>
          <w:highlight w:val="none"/>
        </w:rPr>
        <w:t>P</w:t>
      </w:r>
      <w:r>
        <w:rPr>
          <w:rFonts w:ascii="Times New Roman" w:hAnsi="Times New Roman" w:eastAsia="宋体" w:cs="Times New Roman"/>
          <w:color w:val="auto"/>
          <w:szCs w:val="24"/>
          <w:highlight w:val="none"/>
        </w:rPr>
        <w:t xml:space="preserve"> </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0</w:t>
      </w:r>
      <w:r>
        <w:rPr>
          <w:rFonts w:hint="eastAsia" w:ascii="Cambria" w:hAnsi="Cambria" w:eastAsia="宋体" w:cs="Times New Roman"/>
          <w:color w:val="auto"/>
          <w:sz w:val="24"/>
          <w:szCs w:val="24"/>
          <w:highlight w:val="none"/>
        </w:rPr>
        <w:t>＜</w:t>
      </w:r>
      <w:r>
        <w:rPr>
          <w:rFonts w:ascii="宋体" w:hAnsi="宋体" w:eastAsia="宋体" w:cs="Times New Roman"/>
          <w:color w:val="auto"/>
          <w:sz w:val="24"/>
          <w:szCs w:val="24"/>
          <w:highlight w:val="none"/>
        </w:rPr>
        <w:t>0.95</w:t>
      </w:r>
      <w:r>
        <w:rPr>
          <w:rFonts w:hint="eastAsia" w:ascii="宋体" w:hAnsi="宋体" w:eastAsia="宋体" w:cs="Times New Roman"/>
          <w:color w:val="auto"/>
          <w:szCs w:val="24"/>
          <w:highlight w:val="none"/>
        </w:rPr>
        <w:t>，则：</w:t>
      </w:r>
    </w:p>
    <w:p>
      <w:pPr>
        <w:tabs>
          <w:tab w:val="left" w:pos="1620"/>
          <w:tab w:val="left" w:pos="2340"/>
        </w:tabs>
        <w:snapToGrid w:val="0"/>
        <w:ind w:firstLine="1200" w:firstLineChars="5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vertAlign w:val="subscript"/>
        </w:rPr>
        <w:t>减</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Q</w:t>
      </w:r>
      <w:r>
        <w:rPr>
          <w:rFonts w:hint="eastAsia" w:ascii="宋体" w:hAnsi="宋体" w:eastAsia="宋体" w:cs="Times New Roman"/>
          <w:color w:val="auto"/>
          <w:sz w:val="24"/>
          <w:szCs w:val="24"/>
          <w:highlight w:val="none"/>
          <w:vertAlign w:val="subscript"/>
        </w:rPr>
        <w:t>总</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t</w:t>
      </w:r>
      <w:r>
        <w:rPr>
          <w:rFonts w:hint="eastAsia" w:ascii="宋体" w:hAnsi="宋体" w:eastAsia="宋体" w:cs="Times New Roman"/>
          <w:color w:val="auto"/>
          <w:sz w:val="24"/>
          <w:szCs w:val="24"/>
          <w:highlight w:val="none"/>
        </w:rPr>
        <w:t>×(0.95－</w:t>
      </w:r>
      <w:r>
        <w:rPr>
          <w:rFonts w:ascii="Cambria" w:hAnsi="Cambria" w:eastAsia="宋体" w:cs="Times New Roman"/>
          <w:i/>
          <w:color w:val="auto"/>
          <w:sz w:val="24"/>
          <w:szCs w:val="24"/>
          <w:highlight w:val="none"/>
        </w:rPr>
        <w:sym w:font="Symbol" w:char="F060"/>
      </w:r>
      <w:r>
        <w:rPr>
          <w:rFonts w:ascii="Cambria" w:hAnsi="Cambria" w:eastAsia="宋体" w:cs="Times New Roman"/>
          <w:i/>
          <w:color w:val="auto"/>
          <w:sz w:val="24"/>
          <w:szCs w:val="24"/>
          <w:highlight w:val="none"/>
        </w:rPr>
        <w:t xml:space="preserve">P </w:t>
      </w:r>
      <w:r>
        <w:rPr>
          <w:rFonts w:hint="eastAsia" w:ascii="宋体" w:hAnsi="宋体" w:eastAsia="宋体" w:cs="Times New Roman"/>
          <w:color w:val="auto"/>
          <w:sz w:val="24"/>
          <w:szCs w:val="24"/>
          <w:highlight w:val="none"/>
        </w:rPr>
        <w:t>/</w:t>
      </w:r>
      <w:r>
        <w:rPr>
          <w:rFonts w:ascii="Cambria" w:hAnsi="Cambria" w:eastAsia="宋体" w:cs="Times New Roman"/>
          <w:i/>
          <w:color w:val="auto"/>
          <w:sz w:val="24"/>
          <w:szCs w:val="24"/>
          <w:highlight w:val="none"/>
        </w:rPr>
        <w:t>P</w:t>
      </w:r>
      <w:r>
        <w:rPr>
          <w:rFonts w:ascii="Cambria" w:hAnsi="Cambria" w:eastAsia="宋体" w:cs="Times New Roman"/>
          <w:i/>
          <w:color w:val="auto"/>
          <w:sz w:val="24"/>
          <w:szCs w:val="24"/>
          <w:highlight w:val="none"/>
          <w:vertAlign w:val="subscript"/>
        </w:rPr>
        <w:t>0</w:t>
      </w:r>
      <w:r>
        <w:rPr>
          <w:rFonts w:hint="eastAsia" w:ascii="宋体" w:hAnsi="宋体" w:eastAsia="宋体" w:cs="Times New Roman"/>
          <w:color w:val="auto"/>
          <w:sz w:val="24"/>
          <w:szCs w:val="24"/>
          <w:highlight w:val="none"/>
        </w:rPr>
        <w:t>)</w:t>
      </w:r>
    </w:p>
    <w:p>
      <w:pPr>
        <w:tabs>
          <w:tab w:val="left" w:pos="1620"/>
          <w:tab w:val="left" w:pos="2340"/>
        </w:tabs>
        <w:spacing w:before="156"/>
        <w:ind w:left="126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式中：</w:t>
      </w:r>
    </w:p>
    <w:p>
      <w:pPr>
        <w:tabs>
          <w:tab w:val="left" w:pos="1620"/>
          <w:tab w:val="left" w:pos="2340"/>
        </w:tabs>
        <w:snapToGrid w:val="0"/>
        <w:ind w:left="1440"/>
        <w:rPr>
          <w:rFonts w:hint="eastAsia" w:ascii="宋体" w:hAnsi="宋体" w:eastAsia="宋体" w:cs="Times New Roman"/>
          <w:color w:val="auto"/>
          <w:szCs w:val="24"/>
          <w:highlight w:val="none"/>
        </w:rPr>
      </w:pPr>
      <w:r>
        <w:rPr>
          <w:rFonts w:hint="eastAsia" w:ascii="宋体" w:hAnsi="宋体" w:eastAsia="宋体" w:cs="Times New Roman"/>
          <w:color w:val="auto"/>
          <w:sz w:val="24"/>
          <w:szCs w:val="24"/>
          <w:highlight w:val="none"/>
        </w:rPr>
        <w:t>P</w:t>
      </w:r>
      <w:r>
        <w:rPr>
          <w:rFonts w:hint="eastAsia" w:ascii="宋体" w:hAnsi="宋体" w:eastAsia="宋体" w:cs="Times New Roman"/>
          <w:color w:val="auto"/>
          <w:sz w:val="24"/>
          <w:szCs w:val="24"/>
          <w:highlight w:val="none"/>
          <w:vertAlign w:val="subscript"/>
        </w:rPr>
        <w:t>0</w:t>
      </w:r>
      <w:r>
        <w:rPr>
          <w:rFonts w:hint="eastAsia" w:ascii="宋体" w:hAnsi="宋体" w:eastAsia="宋体" w:cs="Times New Roman"/>
          <w:color w:val="auto"/>
          <w:szCs w:val="24"/>
          <w:highlight w:val="none"/>
        </w:rPr>
        <w:t>－投标截止日期前35天的当月或</w:t>
      </w:r>
      <w:r>
        <w:rPr>
          <w:rFonts w:hint="eastAsia" w:ascii="宋体" w:hAnsi="宋体" w:eastAsia="宋体" w:cs="Times New Roman"/>
          <w:b/>
          <w:i/>
          <w:color w:val="auto"/>
          <w:szCs w:val="24"/>
          <w:highlight w:val="none"/>
        </w:rPr>
        <w:t>专用条款</w:t>
      </w:r>
      <w:r>
        <w:rPr>
          <w:rFonts w:hint="eastAsia" w:ascii="宋体" w:hAnsi="宋体" w:eastAsia="宋体" w:cs="Times New Roman"/>
          <w:color w:val="auto"/>
          <w:szCs w:val="24"/>
          <w:highlight w:val="none"/>
        </w:rPr>
        <w:t>约定月份《深圳建设工程价格信息》某材料价格。示例：投标截止日期如果是2018年5月5日，前35天为3月31日，则</w:t>
      </w:r>
      <w:r>
        <w:rPr>
          <w:rFonts w:hint="eastAsia" w:ascii="宋体" w:hAnsi="宋体" w:eastAsia="宋体" w:cs="Times New Roman"/>
          <w:color w:val="auto"/>
          <w:sz w:val="24"/>
          <w:szCs w:val="24"/>
          <w:highlight w:val="none"/>
        </w:rPr>
        <w:t>P</w:t>
      </w:r>
      <w:r>
        <w:rPr>
          <w:rFonts w:hint="eastAsia" w:ascii="宋体" w:hAnsi="宋体" w:eastAsia="宋体" w:cs="Times New Roman"/>
          <w:color w:val="auto"/>
          <w:sz w:val="24"/>
          <w:szCs w:val="24"/>
          <w:highlight w:val="none"/>
          <w:vertAlign w:val="subscript"/>
        </w:rPr>
        <w:t>0</w:t>
      </w:r>
      <w:r>
        <w:rPr>
          <w:rFonts w:hint="eastAsia" w:ascii="宋体" w:hAnsi="宋体" w:eastAsia="宋体" w:cs="Times New Roman"/>
          <w:color w:val="auto"/>
          <w:szCs w:val="24"/>
          <w:highlight w:val="none"/>
        </w:rPr>
        <w:t>对应的信息价是指2018年3月《深圳建设工程价格信息》。投标截止日期如果是2018年5月6日，前35天为4月1日，则</w:t>
      </w:r>
      <w:r>
        <w:rPr>
          <w:rFonts w:hint="eastAsia" w:ascii="宋体" w:hAnsi="宋体" w:eastAsia="宋体" w:cs="Times New Roman"/>
          <w:color w:val="auto"/>
          <w:sz w:val="24"/>
          <w:szCs w:val="24"/>
          <w:highlight w:val="none"/>
        </w:rPr>
        <w:t>P</w:t>
      </w:r>
      <w:r>
        <w:rPr>
          <w:rFonts w:hint="eastAsia" w:ascii="宋体" w:hAnsi="宋体" w:eastAsia="宋体" w:cs="Times New Roman"/>
          <w:color w:val="auto"/>
          <w:sz w:val="24"/>
          <w:szCs w:val="24"/>
          <w:highlight w:val="none"/>
          <w:vertAlign w:val="subscript"/>
        </w:rPr>
        <w:t>0</w:t>
      </w:r>
      <w:r>
        <w:rPr>
          <w:rFonts w:hint="eastAsia" w:ascii="宋体" w:hAnsi="宋体" w:eastAsia="宋体" w:cs="Times New Roman"/>
          <w:color w:val="auto"/>
          <w:szCs w:val="24"/>
          <w:highlight w:val="none"/>
        </w:rPr>
        <w:t>对应的信息价是指2018年4月《深圳建设工程价格信息》。</w:t>
      </w:r>
    </w:p>
    <w:p>
      <w:pPr>
        <w:tabs>
          <w:tab w:val="left" w:pos="1620"/>
          <w:tab w:val="left" w:pos="2340"/>
        </w:tabs>
        <w:snapToGrid w:val="0"/>
        <w:ind w:left="1440"/>
        <w:rPr>
          <w:rFonts w:ascii="宋体" w:hAnsi="宋体" w:eastAsia="宋体" w:cs="Times New Roman"/>
          <w:color w:val="auto"/>
          <w:szCs w:val="24"/>
          <w:highlight w:val="none"/>
        </w:rPr>
      </w:pPr>
      <w:r>
        <w:rPr>
          <w:rFonts w:hint="eastAsia" w:ascii="宋体" w:hAnsi="宋体" w:eastAsia="宋体" w:cs="Times New Roman"/>
          <w:color w:val="auto"/>
          <w:sz w:val="24"/>
          <w:szCs w:val="24"/>
          <w:highlight w:val="none"/>
        </w:rPr>
        <w:t>P</w:t>
      </w:r>
      <w:r>
        <w:rPr>
          <w:rFonts w:hint="eastAsia" w:ascii="宋体" w:hAnsi="宋体" w:eastAsia="宋体" w:cs="Times New Roman"/>
          <w:color w:val="auto"/>
          <w:sz w:val="24"/>
          <w:szCs w:val="24"/>
          <w:highlight w:val="none"/>
          <w:vertAlign w:val="subscript"/>
        </w:rPr>
        <w:t>t</w:t>
      </w:r>
      <w:r>
        <w:rPr>
          <w:rFonts w:hint="eastAsia" w:ascii="宋体" w:hAnsi="宋体" w:eastAsia="宋体" w:cs="Times New Roman"/>
          <w:color w:val="auto"/>
          <w:szCs w:val="24"/>
          <w:highlight w:val="none"/>
        </w:rPr>
        <w:t>－承包人投标文件商务标书中某材料的投标单价，如投标报价中无法确认某材料的单价时，则P</w:t>
      </w:r>
      <w:r>
        <w:rPr>
          <w:rFonts w:hint="eastAsia" w:ascii="宋体" w:hAnsi="宋体" w:eastAsia="宋体" w:cs="Times New Roman"/>
          <w:color w:val="auto"/>
          <w:szCs w:val="24"/>
          <w:highlight w:val="none"/>
          <w:vertAlign w:val="subscript"/>
        </w:rPr>
        <w:t>t</w:t>
      </w:r>
      <w:r>
        <w:rPr>
          <w:rFonts w:hint="eastAsia" w:ascii="宋体" w:hAnsi="宋体" w:eastAsia="宋体" w:cs="Times New Roman"/>
          <w:color w:val="auto"/>
          <w:szCs w:val="24"/>
          <w:highlight w:val="none"/>
        </w:rPr>
        <w:t>取值为P</w:t>
      </w:r>
      <w:r>
        <w:rPr>
          <w:rFonts w:hint="eastAsia" w:ascii="宋体" w:hAnsi="宋体" w:eastAsia="宋体" w:cs="Times New Roman"/>
          <w:color w:val="auto"/>
          <w:szCs w:val="24"/>
          <w:highlight w:val="none"/>
          <w:vertAlign w:val="subscript"/>
        </w:rPr>
        <w:t>0</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Cs w:val="24"/>
          <w:highlight w:val="none"/>
        </w:rPr>
        <w:t>（1-中标净下浮率）；</w:t>
      </w:r>
    </w:p>
    <w:p>
      <w:pPr>
        <w:tabs>
          <w:tab w:val="left" w:pos="1620"/>
          <w:tab w:val="left" w:pos="2340"/>
        </w:tabs>
        <w:snapToGrid w:val="0"/>
        <w:ind w:left="1440"/>
        <w:rPr>
          <w:rFonts w:ascii="宋体" w:hAnsi="宋体" w:eastAsia="宋体" w:cs="Times New Roman"/>
          <w:color w:val="auto"/>
          <w:szCs w:val="24"/>
          <w:highlight w:val="none"/>
        </w:rPr>
      </w:pPr>
      <w:r>
        <w:rPr>
          <w:rFonts w:hint="eastAsia"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vertAlign w:val="subscript"/>
        </w:rPr>
        <w:t>增</w:t>
      </w:r>
      <w:r>
        <w:rPr>
          <w:rFonts w:hint="eastAsia" w:ascii="宋体" w:hAnsi="宋体" w:eastAsia="宋体" w:cs="Times New Roman"/>
          <w:color w:val="auto"/>
          <w:szCs w:val="24"/>
          <w:highlight w:val="none"/>
        </w:rPr>
        <w:t>－调增合同价格；</w:t>
      </w:r>
    </w:p>
    <w:p>
      <w:pPr>
        <w:tabs>
          <w:tab w:val="left" w:pos="1620"/>
          <w:tab w:val="left" w:pos="2340"/>
        </w:tabs>
        <w:snapToGrid w:val="0"/>
        <w:ind w:left="1440"/>
        <w:rPr>
          <w:rFonts w:ascii="宋体" w:hAnsi="宋体" w:eastAsia="宋体" w:cs="Times New Roman"/>
          <w:color w:val="auto"/>
          <w:szCs w:val="24"/>
          <w:highlight w:val="none"/>
        </w:rPr>
      </w:pPr>
      <w:r>
        <w:rPr>
          <w:rFonts w:hint="eastAsia"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vertAlign w:val="subscript"/>
        </w:rPr>
        <w:t>减</w:t>
      </w:r>
      <w:r>
        <w:rPr>
          <w:rFonts w:hint="eastAsia" w:ascii="宋体" w:hAnsi="宋体" w:eastAsia="宋体" w:cs="Times New Roman"/>
          <w:color w:val="auto"/>
          <w:szCs w:val="24"/>
          <w:highlight w:val="none"/>
        </w:rPr>
        <w:t>－调减合同价格；</w:t>
      </w:r>
    </w:p>
    <w:p>
      <w:pPr>
        <w:tabs>
          <w:tab w:val="left" w:pos="1620"/>
          <w:tab w:val="left" w:pos="2340"/>
        </w:tabs>
        <w:snapToGrid w:val="0"/>
        <w:ind w:left="1440"/>
        <w:rPr>
          <w:rFonts w:hint="eastAsia" w:ascii="宋体" w:hAnsi="宋体" w:eastAsia="宋体" w:cs="Times New Roman"/>
          <w:color w:val="auto"/>
          <w:szCs w:val="24"/>
          <w:highlight w:val="none"/>
        </w:rPr>
      </w:pPr>
      <w:r>
        <w:rPr>
          <w:rFonts w:hint="eastAsia" w:ascii="宋体" w:hAnsi="宋体" w:eastAsia="宋体" w:cs="Times New Roman"/>
          <w:color w:val="auto"/>
          <w:sz w:val="24"/>
          <w:szCs w:val="24"/>
          <w:highlight w:val="none"/>
        </w:rPr>
        <w:t>Q</w:t>
      </w:r>
      <w:r>
        <w:rPr>
          <w:rFonts w:hint="eastAsia" w:ascii="宋体" w:hAnsi="宋体" w:eastAsia="宋体" w:cs="Times New Roman"/>
          <w:color w:val="auto"/>
          <w:sz w:val="24"/>
          <w:szCs w:val="24"/>
          <w:highlight w:val="none"/>
          <w:vertAlign w:val="subscript"/>
        </w:rPr>
        <w:t>总</w:t>
      </w:r>
      <w:r>
        <w:rPr>
          <w:rFonts w:hint="eastAsia" w:ascii="宋体" w:hAnsi="宋体" w:eastAsia="宋体" w:cs="Times New Roman"/>
          <w:color w:val="auto"/>
          <w:szCs w:val="24"/>
          <w:highlight w:val="none"/>
        </w:rPr>
        <w:t>－本项目已完工程合格产品的某材料总用量（其中消耗量因素在</w:t>
      </w:r>
      <w:r>
        <w:rPr>
          <w:rFonts w:hint="eastAsia" w:ascii="宋体" w:hAnsi="宋体" w:eastAsia="宋体" w:cs="Times New Roman"/>
          <w:b/>
          <w:i/>
          <w:color w:val="auto"/>
          <w:szCs w:val="24"/>
          <w:highlight w:val="none"/>
        </w:rPr>
        <w:t>专用条款</w:t>
      </w:r>
      <w:r>
        <w:rPr>
          <w:rFonts w:hint="eastAsia" w:ascii="宋体" w:hAnsi="宋体" w:eastAsia="宋体" w:cs="Times New Roman"/>
          <w:color w:val="auto"/>
          <w:szCs w:val="24"/>
          <w:highlight w:val="none"/>
        </w:rPr>
        <w:t>约定）。</w:t>
      </w:r>
    </w:p>
    <w:p>
      <w:pPr>
        <w:tabs>
          <w:tab w:val="left" w:pos="1620"/>
          <w:tab w:val="left" w:pos="2340"/>
        </w:tabs>
        <w:snapToGrid w:val="0"/>
        <w:spacing w:before="156" w:beforeLines="50"/>
        <w:ind w:firstLine="1440" w:firstLineChars="600"/>
        <w:rPr>
          <w:rFonts w:hint="eastAsia" w:ascii="宋体" w:hAnsi="宋体" w:eastAsia="宋体" w:cs="Times New Roman"/>
          <w:color w:val="auto"/>
          <w:kern w:val="0"/>
          <w:szCs w:val="24"/>
          <w:highlight w:val="none"/>
        </w:rPr>
      </w:pPr>
      <w:r>
        <w:rPr>
          <w:rFonts w:ascii="Cambria" w:hAnsi="Cambria" w:eastAsia="宋体" w:cs="Times New Roman"/>
          <w:i/>
          <w:color w:val="auto"/>
          <w:sz w:val="24"/>
          <w:szCs w:val="24"/>
          <w:highlight w:val="none"/>
        </w:rPr>
        <w:sym w:font="Symbol" w:char="F060"/>
      </w:r>
      <w:r>
        <w:rPr>
          <w:rFonts w:ascii="Cambria" w:hAnsi="Cambria" w:eastAsia="宋体" w:cs="Times New Roman"/>
          <w:i/>
          <w:color w:val="auto"/>
          <w:sz w:val="24"/>
          <w:szCs w:val="24"/>
          <w:highlight w:val="none"/>
        </w:rPr>
        <w:t>P</w:t>
      </w:r>
      <w:r>
        <w:rPr>
          <w:rFonts w:hint="eastAsia" w:ascii="宋体" w:hAnsi="宋体" w:eastAsia="宋体" w:cs="Times New Roman"/>
          <w:color w:val="auto"/>
          <w:szCs w:val="24"/>
          <w:highlight w:val="none"/>
        </w:rPr>
        <w:t>－</w:t>
      </w:r>
      <w:r>
        <w:rPr>
          <w:rFonts w:ascii="Times New Roman" w:hAnsi="Times New Roman" w:eastAsia="宋体" w:cs="Times New Roman"/>
          <w:color w:val="auto"/>
          <w:szCs w:val="24"/>
          <w:highlight w:val="none"/>
        </w:rPr>
        <w:t>计算</w:t>
      </w:r>
      <w:r>
        <w:rPr>
          <w:rFonts w:hint="eastAsia" w:ascii="Times New Roman" w:hAnsi="Times New Roman" w:eastAsia="宋体" w:cs="Times New Roman"/>
          <w:color w:val="auto"/>
          <w:szCs w:val="24"/>
          <w:highlight w:val="none"/>
        </w:rPr>
        <w:t>方式如下（或按</w:t>
      </w:r>
      <w:r>
        <w:rPr>
          <w:rFonts w:ascii="宋体" w:hAnsi="宋体" w:eastAsia="宋体" w:cs="Times New Roman"/>
          <w:b/>
          <w:i/>
          <w:color w:val="auto"/>
          <w:szCs w:val="24"/>
          <w:highlight w:val="none"/>
        </w:rPr>
        <w:t>专用条款</w:t>
      </w:r>
      <w:r>
        <w:rPr>
          <w:rFonts w:ascii="Times New Roman" w:hAnsi="Times New Roman" w:eastAsia="宋体" w:cs="Times New Roman"/>
          <w:color w:val="auto"/>
          <w:szCs w:val="24"/>
          <w:highlight w:val="none"/>
        </w:rPr>
        <w:t>中约定</w:t>
      </w:r>
      <w:r>
        <w:rPr>
          <w:rFonts w:hint="eastAsia" w:ascii="Times New Roman" w:hAnsi="Times New Roman" w:eastAsia="宋体" w:cs="Times New Roman"/>
          <w:color w:val="auto"/>
          <w:szCs w:val="24"/>
          <w:highlight w:val="none"/>
        </w:rPr>
        <w:t>的</w:t>
      </w:r>
      <w:r>
        <w:rPr>
          <w:rFonts w:ascii="Times New Roman" w:hAnsi="Times New Roman" w:eastAsia="宋体" w:cs="Times New Roman"/>
          <w:color w:val="auto"/>
          <w:szCs w:val="24"/>
          <w:highlight w:val="none"/>
        </w:rPr>
        <w:t>方法</w:t>
      </w: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w:t>
      </w:r>
    </w:p>
    <w:p>
      <w:pPr>
        <w:tabs>
          <w:tab w:val="left" w:pos="1620"/>
          <w:tab w:val="left" w:pos="2340"/>
        </w:tabs>
        <w:snapToGrid w:val="0"/>
        <w:spacing w:before="156" w:beforeLines="50"/>
        <w:ind w:firstLine="1200" w:firstLineChars="500"/>
        <w:rPr>
          <w:rFonts w:ascii="宋体" w:hAnsi="宋体" w:eastAsia="宋体" w:cs="Times New Roman"/>
          <w:color w:val="auto"/>
          <w:kern w:val="0"/>
          <w:szCs w:val="24"/>
          <w:highlight w:val="none"/>
        </w:rPr>
      </w:pPr>
      <w:r>
        <w:rPr>
          <w:rFonts w:hint="eastAsia" w:ascii="Cambria" w:hAnsi="Cambria" w:eastAsia="宋体" w:cs="Times New Roman"/>
          <w:color w:val="auto"/>
          <w:sz w:val="24"/>
          <w:szCs w:val="24"/>
          <w:highlight w:val="none"/>
        </w:rPr>
        <w:t>①</w:t>
      </w:r>
      <w:r>
        <w:rPr>
          <w:rFonts w:hint="eastAsia" w:ascii="宋体" w:hAnsi="宋体" w:eastAsia="宋体" w:cs="Times New Roman"/>
          <w:color w:val="auto"/>
          <w:kern w:val="0"/>
          <w:szCs w:val="24"/>
          <w:highlight w:val="none"/>
        </w:rPr>
        <w:t>加权平均法：</w:t>
      </w:r>
    </w:p>
    <w:p>
      <w:pPr>
        <w:snapToGrid w:val="0"/>
        <w:ind w:left="1440"/>
        <w:rPr>
          <w:rFonts w:ascii="宋体" w:hAnsi="宋体" w:eastAsia="宋体" w:cs="Times New Roman"/>
          <w:color w:val="auto"/>
          <w:kern w:val="0"/>
          <w:szCs w:val="24"/>
          <w:highlight w:val="none"/>
        </w:rPr>
      </w:pPr>
      <w:r>
        <w:rPr>
          <w:rFonts w:ascii="Cambria" w:hAnsi="Cambria" w:eastAsia="宋体" w:cs="Times New Roman"/>
          <w:i/>
          <w:color w:val="auto"/>
          <w:sz w:val="24"/>
          <w:szCs w:val="24"/>
          <w:highlight w:val="none"/>
        </w:rPr>
        <w:sym w:font="Symbol" w:char="F060"/>
      </w:r>
      <w:r>
        <w:rPr>
          <w:rFonts w:ascii="Cambria" w:hAnsi="Cambria" w:eastAsia="宋体" w:cs="Times New Roman"/>
          <w:i/>
          <w:color w:val="auto"/>
          <w:sz w:val="24"/>
          <w:szCs w:val="24"/>
          <w:highlight w:val="none"/>
        </w:rPr>
        <w:t>P</w:t>
      </w:r>
      <w:r>
        <w:rPr>
          <w:rFonts w:ascii="Times New Roman" w:hAnsi="Times New Roman" w:eastAsia="宋体" w:cs="Times New Roman"/>
          <w:color w:val="auto"/>
          <w:szCs w:val="24"/>
          <w:highlight w:val="none"/>
        </w:rPr>
        <w:t xml:space="preserve"> </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Cs w:val="24"/>
          <w:highlight w:val="none"/>
        </w:rPr>
        <w:t>施工期加权平均价格，即</w:t>
      </w:r>
      <w:r>
        <w:rPr>
          <w:rFonts w:hint="eastAsia" w:ascii="宋体" w:hAnsi="宋体" w:eastAsia="宋体" w:cs="Times New Roman"/>
          <w:color w:val="auto"/>
          <w:sz w:val="24"/>
          <w:szCs w:val="24"/>
          <w:highlight w:val="none"/>
        </w:rPr>
        <w:t>∑(Q</w:t>
      </w:r>
      <w:r>
        <w:rPr>
          <w:rFonts w:hint="eastAsia" w:ascii="宋体" w:hAnsi="宋体" w:eastAsia="宋体" w:cs="Times New Roman"/>
          <w:color w:val="auto"/>
          <w:sz w:val="24"/>
          <w:szCs w:val="24"/>
          <w:highlight w:val="none"/>
          <w:vertAlign w:val="subscript"/>
        </w:rPr>
        <w:t>i</w:t>
      </w:r>
      <w:r>
        <w:rPr>
          <w:rFonts w:hint="eastAsia" w:ascii="宋体" w:hAnsi="宋体" w:eastAsia="宋体" w:cs="Times New Roman"/>
          <w:color w:val="auto"/>
          <w:sz w:val="24"/>
          <w:szCs w:val="24"/>
          <w:highlight w:val="none"/>
        </w:rPr>
        <w:t>×P</w:t>
      </w:r>
      <w:r>
        <w:rPr>
          <w:rFonts w:hint="eastAsia" w:ascii="宋体" w:hAnsi="宋体" w:eastAsia="宋体" w:cs="Times New Roman"/>
          <w:color w:val="auto"/>
          <w:sz w:val="24"/>
          <w:szCs w:val="24"/>
          <w:highlight w:val="none"/>
          <w:vertAlign w:val="subscript"/>
        </w:rPr>
        <w:t>i</w:t>
      </w:r>
      <w:r>
        <w:rPr>
          <w:rFonts w:hint="eastAsia" w:ascii="宋体" w:hAnsi="宋体" w:eastAsia="宋体" w:cs="Times New Roman"/>
          <w:color w:val="auto"/>
          <w:sz w:val="24"/>
          <w:szCs w:val="24"/>
          <w:highlight w:val="none"/>
        </w:rPr>
        <w:t>)/Q</w:t>
      </w:r>
      <w:r>
        <w:rPr>
          <w:rFonts w:hint="eastAsia" w:ascii="宋体" w:hAnsi="宋体" w:eastAsia="宋体" w:cs="Times New Roman"/>
          <w:color w:val="auto"/>
          <w:sz w:val="24"/>
          <w:szCs w:val="24"/>
          <w:highlight w:val="none"/>
          <w:vertAlign w:val="subscript"/>
        </w:rPr>
        <w:t>总</w:t>
      </w:r>
      <w:r>
        <w:rPr>
          <w:rFonts w:hint="eastAsia" w:ascii="宋体" w:hAnsi="宋体" w:eastAsia="宋体" w:cs="Times New Roman"/>
          <w:color w:val="auto"/>
          <w:sz w:val="24"/>
          <w:szCs w:val="24"/>
          <w:highlight w:val="none"/>
        </w:rPr>
        <w:t>，其中Q</w:t>
      </w:r>
      <w:r>
        <w:rPr>
          <w:rFonts w:hint="eastAsia" w:ascii="宋体" w:hAnsi="宋体" w:eastAsia="宋体" w:cs="Times New Roman"/>
          <w:color w:val="auto"/>
          <w:sz w:val="24"/>
          <w:szCs w:val="24"/>
          <w:highlight w:val="none"/>
          <w:vertAlign w:val="subscript"/>
        </w:rPr>
        <w:t>i</w:t>
      </w:r>
      <w:r>
        <w:rPr>
          <w:rFonts w:hint="eastAsia" w:ascii="宋体" w:hAnsi="宋体" w:eastAsia="宋体" w:cs="Times New Roman"/>
          <w:color w:val="auto"/>
          <w:szCs w:val="24"/>
          <w:highlight w:val="none"/>
        </w:rPr>
        <w:t>为施工期第i个月某材料用量（消耗量因素在</w:t>
      </w:r>
      <w:r>
        <w:rPr>
          <w:rFonts w:hint="eastAsia" w:ascii="宋体" w:hAnsi="宋体" w:eastAsia="宋体" w:cs="Times New Roman"/>
          <w:b/>
          <w:i/>
          <w:color w:val="auto"/>
          <w:szCs w:val="24"/>
          <w:highlight w:val="none"/>
        </w:rPr>
        <w:t>专用条款</w:t>
      </w:r>
      <w:r>
        <w:rPr>
          <w:rFonts w:hint="eastAsia" w:ascii="宋体" w:hAnsi="宋体" w:eastAsia="宋体" w:cs="Times New Roman"/>
          <w:color w:val="auto"/>
          <w:szCs w:val="24"/>
          <w:highlight w:val="none"/>
        </w:rPr>
        <w:t>约定）；</w:t>
      </w:r>
      <w:r>
        <w:rPr>
          <w:rFonts w:hint="eastAsia" w:ascii="宋体" w:hAnsi="宋体" w:eastAsia="宋体" w:cs="Times New Roman"/>
          <w:color w:val="auto"/>
          <w:sz w:val="24"/>
          <w:szCs w:val="24"/>
          <w:highlight w:val="none"/>
        </w:rPr>
        <w:t>P</w:t>
      </w:r>
      <w:r>
        <w:rPr>
          <w:rFonts w:hint="eastAsia" w:ascii="宋体" w:hAnsi="宋体" w:eastAsia="宋体" w:cs="Times New Roman"/>
          <w:color w:val="auto"/>
          <w:sz w:val="24"/>
          <w:szCs w:val="24"/>
          <w:highlight w:val="none"/>
          <w:vertAlign w:val="subscript"/>
        </w:rPr>
        <w:t>i</w:t>
      </w:r>
      <w:r>
        <w:rPr>
          <w:rFonts w:hint="eastAsia" w:ascii="宋体" w:hAnsi="宋体" w:eastAsia="宋体" w:cs="Times New Roman"/>
          <w:color w:val="auto"/>
          <w:szCs w:val="24"/>
          <w:highlight w:val="none"/>
        </w:rPr>
        <w:t>为施工期第i个月当月《深圳建设工程价格信息》某材料价格。例如施工期第i个月是2018年6月，则对应2018年6月《深圳建设工程价格信息》。</w:t>
      </w:r>
    </w:p>
    <w:p>
      <w:pPr>
        <w:tabs>
          <w:tab w:val="left" w:pos="1620"/>
          <w:tab w:val="left" w:pos="2340"/>
        </w:tabs>
        <w:snapToGrid w:val="0"/>
        <w:spacing w:before="156" w:beforeLines="50"/>
        <w:ind w:firstLine="1200" w:firstLineChars="500"/>
        <w:rPr>
          <w:rFonts w:ascii="宋体" w:hAnsi="宋体" w:eastAsia="宋体" w:cs="Times New Roman"/>
          <w:color w:val="auto"/>
          <w:szCs w:val="24"/>
          <w:highlight w:val="none"/>
        </w:rPr>
      </w:pPr>
      <w:r>
        <w:rPr>
          <w:rFonts w:hint="eastAsia" w:ascii="Cambria" w:hAnsi="Cambria" w:eastAsia="宋体" w:cs="Times New Roman"/>
          <w:color w:val="auto"/>
          <w:sz w:val="24"/>
          <w:szCs w:val="24"/>
          <w:highlight w:val="none"/>
        </w:rPr>
        <w:t>或者②</w:t>
      </w:r>
      <w:r>
        <w:rPr>
          <w:rFonts w:hint="eastAsia" w:ascii="宋体" w:hAnsi="宋体" w:eastAsia="宋体" w:cs="Times New Roman"/>
          <w:color w:val="auto"/>
          <w:szCs w:val="24"/>
          <w:highlight w:val="none"/>
        </w:rPr>
        <w:t>算术平均法：</w:t>
      </w:r>
    </w:p>
    <w:p>
      <w:pPr>
        <w:snapToGrid w:val="0"/>
        <w:ind w:left="1440"/>
        <w:rPr>
          <w:rFonts w:hint="eastAsia" w:ascii="宋体" w:hAnsi="宋体" w:eastAsia="宋体" w:cs="Times New Roman"/>
          <w:color w:val="auto"/>
          <w:szCs w:val="24"/>
          <w:highlight w:val="none"/>
        </w:rPr>
      </w:pPr>
      <w:r>
        <w:rPr>
          <w:rFonts w:ascii="Cambria" w:hAnsi="Cambria" w:eastAsia="宋体" w:cs="Times New Roman"/>
          <w:i/>
          <w:color w:val="auto"/>
          <w:sz w:val="24"/>
          <w:szCs w:val="24"/>
          <w:highlight w:val="none"/>
        </w:rPr>
        <w:sym w:font="Symbol" w:char="F060"/>
      </w:r>
      <w:r>
        <w:rPr>
          <w:rFonts w:ascii="Cambria" w:hAnsi="Cambria" w:eastAsia="宋体" w:cs="Times New Roman"/>
          <w:i/>
          <w:color w:val="auto"/>
          <w:sz w:val="24"/>
          <w:szCs w:val="24"/>
          <w:highlight w:val="none"/>
        </w:rPr>
        <w:t>P</w:t>
      </w:r>
      <w:r>
        <w:rPr>
          <w:rFonts w:ascii="Times New Roman" w:hAnsi="Times New Roman" w:eastAsia="宋体" w:cs="Times New Roman"/>
          <w:color w:val="auto"/>
          <w:szCs w:val="24"/>
          <w:highlight w:val="none"/>
        </w:rPr>
        <w:t xml:space="preserve"> </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Cs w:val="24"/>
          <w:highlight w:val="none"/>
        </w:rPr>
        <w:t>本工程有某材料投入月份对应《深圳建设工程价格信息》某材料价格的算术平均值。例如有某材料投入月份是指2018年6月至8月，则对应2018年6月至8月《深圳建设工程价格信息》某材料价格之和除以3。</w:t>
      </w:r>
    </w:p>
    <w:p>
      <w:pPr>
        <w:snapToGrid w:val="0"/>
        <w:ind w:left="1440"/>
        <w:rPr>
          <w:rFonts w:hint="eastAsia" w:ascii="宋体" w:hAnsi="宋体" w:eastAsia="宋体" w:cs="Times New Roman"/>
          <w:color w:val="auto"/>
          <w:szCs w:val="24"/>
          <w:highlight w:val="none"/>
          <w:lang w:eastAsia="zh-CN"/>
        </w:rPr>
      </w:pPr>
    </w:p>
    <w:p>
      <w:pPr>
        <w:snapToGrid w:val="0"/>
        <w:ind w:left="144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如按照本合同20.4⑶、⑷款确定的可调差材料价格在《深圳建设工程价格信息》未发布的，发包人和承包人应在</w:t>
      </w:r>
      <w:r>
        <w:rPr>
          <w:rFonts w:hint="eastAsia" w:ascii="宋体" w:hAnsi="宋体" w:eastAsia="宋体" w:cs="Times New Roman"/>
          <w:b/>
          <w:bCs/>
          <w:i/>
          <w:iCs/>
          <w:color w:val="auto"/>
          <w:szCs w:val="24"/>
          <w:highlight w:val="none"/>
        </w:rPr>
        <w:t>专用条款</w:t>
      </w:r>
      <w:r>
        <w:rPr>
          <w:rFonts w:hint="eastAsia" w:ascii="宋体" w:hAnsi="宋体" w:eastAsia="宋体" w:cs="Times New Roman"/>
          <w:color w:val="auto"/>
          <w:szCs w:val="24"/>
          <w:highlight w:val="none"/>
        </w:rPr>
        <w:t>明确调差方式。</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1952" w:name="_Toc302635839"/>
      <w:bookmarkStart w:id="1953" w:name="_Toc9843"/>
      <w:bookmarkStart w:id="1954" w:name="_Toc21767"/>
      <w:bookmarkStart w:id="1955" w:name="_Toc26309"/>
      <w:bookmarkStart w:id="1956" w:name="_Toc2973"/>
      <w:bookmarkStart w:id="1957" w:name="_Toc24464"/>
      <w:bookmarkStart w:id="1958" w:name="_Toc25061"/>
      <w:bookmarkStart w:id="1959" w:name="_Toc15008"/>
      <w:bookmarkStart w:id="1960" w:name="_Toc13298"/>
      <w:bookmarkStart w:id="1961" w:name="_Toc3934"/>
      <w:r>
        <w:rPr>
          <w:rFonts w:hint="eastAsia" w:ascii="宋体" w:hAnsi="宋体" w:eastAsia="宋体" w:cs="Times New Roman"/>
          <w:b/>
          <w:bCs/>
          <w:color w:val="auto"/>
          <w:kern w:val="0"/>
          <w:sz w:val="24"/>
          <w:szCs w:val="24"/>
          <w:highlight w:val="none"/>
          <w:lang w:val="en-US" w:eastAsia="zh-CN" w:bidi="ar-SA"/>
        </w:rPr>
        <w:t>人工、机械使用调差</w:t>
      </w:r>
      <w:bookmarkEnd w:id="1952"/>
      <w:r>
        <w:rPr>
          <w:rFonts w:hint="eastAsia" w:ascii="宋体" w:hAnsi="宋体" w:eastAsia="宋体" w:cs="Times New Roman"/>
          <w:b/>
          <w:bCs/>
          <w:color w:val="auto"/>
          <w:kern w:val="0"/>
          <w:sz w:val="24"/>
          <w:szCs w:val="24"/>
          <w:highlight w:val="none"/>
          <w:lang w:val="en-US" w:eastAsia="zh-CN" w:bidi="ar-SA"/>
        </w:rPr>
        <w:t>方法</w:t>
      </w:r>
      <w:bookmarkEnd w:id="1953"/>
      <w:bookmarkEnd w:id="1954"/>
      <w:bookmarkEnd w:id="1955"/>
      <w:bookmarkEnd w:id="1956"/>
      <w:bookmarkEnd w:id="1957"/>
      <w:bookmarkEnd w:id="1958"/>
      <w:bookmarkEnd w:id="1959"/>
      <w:bookmarkEnd w:id="1960"/>
      <w:bookmarkEnd w:id="1961"/>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⑴用于本工程的机械使用发生价格波动时，按照20.5款调差公式，将公式中的材料价格替换为机械使用价格，调整合同价格。</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⑵用于本工程的人工发生价格波动时，可在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中约定一种调差方式：</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①按照20.5款调差公式，将公式中的材料价格替换为人工价格，调整合同价格。其中，</w:t>
      </w:r>
      <w:r>
        <w:rPr>
          <w:rFonts w:hint="eastAsia" w:ascii="宋体" w:hAnsi="宋体" w:eastAsia="宋体" w:cs="Times New Roman"/>
          <w:color w:val="auto"/>
          <w:sz w:val="24"/>
          <w:szCs w:val="24"/>
          <w:highlight w:val="none"/>
        </w:rPr>
        <w:t>P</w:t>
      </w:r>
      <w:r>
        <w:rPr>
          <w:rFonts w:hint="eastAsia" w:ascii="宋体" w:hAnsi="宋体" w:eastAsia="宋体" w:cs="Times New Roman"/>
          <w:color w:val="auto"/>
          <w:sz w:val="24"/>
          <w:szCs w:val="24"/>
          <w:highlight w:val="none"/>
          <w:vertAlign w:val="subscript"/>
        </w:rPr>
        <w:t>0</w:t>
      </w:r>
      <w:r>
        <w:rPr>
          <w:rFonts w:hint="eastAsia" w:ascii="宋体" w:hAnsi="宋体" w:eastAsia="宋体" w:cs="Times New Roman"/>
          <w:color w:val="auto"/>
          <w:kern w:val="0"/>
          <w:szCs w:val="24"/>
          <w:highlight w:val="none"/>
        </w:rPr>
        <w:t>为投标截止日期前35天的当月或专用条款约定月份《深圳建设工程价格信息》某人工定额工日价格；</w:t>
      </w:r>
      <w:r>
        <w:rPr>
          <w:rFonts w:hint="eastAsia" w:ascii="宋体" w:hAnsi="宋体" w:eastAsia="宋体" w:cs="Times New Roman"/>
          <w:color w:val="auto"/>
          <w:sz w:val="24"/>
          <w:szCs w:val="24"/>
          <w:highlight w:val="none"/>
        </w:rPr>
        <w:t>P</w:t>
      </w:r>
      <w:r>
        <w:rPr>
          <w:rFonts w:hint="eastAsia" w:ascii="宋体" w:hAnsi="宋体" w:eastAsia="宋体" w:cs="Times New Roman"/>
          <w:color w:val="auto"/>
          <w:sz w:val="24"/>
          <w:szCs w:val="24"/>
          <w:highlight w:val="none"/>
          <w:vertAlign w:val="subscript"/>
        </w:rPr>
        <w:t>i</w:t>
      </w:r>
      <w:r>
        <w:rPr>
          <w:rFonts w:hint="eastAsia" w:ascii="宋体" w:hAnsi="宋体" w:eastAsia="宋体" w:cs="Times New Roman"/>
          <w:color w:val="auto"/>
          <w:kern w:val="0"/>
          <w:szCs w:val="24"/>
          <w:highlight w:val="none"/>
        </w:rPr>
        <w:t>为施工期第i个月《深圳建设工程价格信息》某人工定额工日价格。或；</w:t>
      </w:r>
    </w:p>
    <w:p>
      <w:pPr>
        <w:snapToGrid w:val="0"/>
        <w:ind w:firstLine="945" w:firstLineChars="450"/>
        <w:rPr>
          <w:rFonts w:ascii="Calibri" w:hAnsi="Calibri" w:eastAsia="宋体" w:cs="Times New Roman"/>
          <w:color w:val="auto"/>
          <w:szCs w:val="22"/>
          <w:highlight w:val="none"/>
        </w:rPr>
      </w:pPr>
      <w:r>
        <w:rPr>
          <w:rFonts w:hint="eastAsia" w:ascii="宋体" w:hAnsi="宋体" w:eastAsia="宋体" w:cs="Times New Roman"/>
          <w:color w:val="auto"/>
          <w:szCs w:val="21"/>
          <w:highlight w:val="none"/>
        </w:rPr>
        <w:t>②按照人工费指数调差：</w:t>
      </w:r>
    </w:p>
    <w:p>
      <w:pPr>
        <w:snapToGrid w:val="0"/>
        <w:ind w:firstLine="945" w:firstLineChars="450"/>
        <w:rPr>
          <w:rFonts w:ascii="宋体" w:hAnsi="宋体" w:eastAsia="宋体" w:cs="Times New Roman"/>
          <w:color w:val="auto"/>
          <w:szCs w:val="21"/>
          <w:highlight w:val="none"/>
        </w:rPr>
      </w:pPr>
      <w:r>
        <w:rPr>
          <w:rFonts w:ascii="宋体" w:hAnsi="宋体" w:eastAsia="宋体" w:cs="Times New Roman"/>
          <w:color w:val="auto"/>
          <w:szCs w:val="21"/>
          <w:highlight w:val="none"/>
        </w:rPr>
        <w:t>当</w:t>
      </w:r>
      <w:r>
        <w:rPr>
          <w:rFonts w:ascii="宋体" w:hAnsi="宋体" w:eastAsia="宋体" w:cs="Times New Roman"/>
          <w:color w:val="auto"/>
          <w:szCs w:val="21"/>
          <w:highlight w:val="none"/>
        </w:rPr>
        <w:sym w:font="Symbol" w:char="F060"/>
      </w:r>
      <w:r>
        <w:rPr>
          <w:rFonts w:ascii="Cambria" w:hAnsi="Cambria" w:eastAsia="宋体" w:cs="Times New Roman"/>
          <w:i/>
          <w:color w:val="auto"/>
          <w:szCs w:val="21"/>
          <w:highlight w:val="none"/>
        </w:rPr>
        <w:t>I</w:t>
      </w:r>
      <w:r>
        <w:rPr>
          <w:rFonts w:hint="eastAsia" w:ascii="Cambria" w:hAnsi="Cambria" w:eastAsia="宋体" w:cs="Times New Roman"/>
          <w:i/>
          <w:color w:val="auto"/>
          <w:szCs w:val="21"/>
          <w:highlight w:val="none"/>
        </w:rPr>
        <w:t xml:space="preserve"> </w:t>
      </w:r>
      <w:r>
        <w:rPr>
          <w:rFonts w:ascii="宋体" w:hAnsi="宋体" w:eastAsia="宋体" w:cs="Times New Roman"/>
          <w:color w:val="auto"/>
          <w:szCs w:val="21"/>
          <w:highlight w:val="none"/>
        </w:rPr>
        <w:t>/I</w:t>
      </w:r>
      <w:r>
        <w:rPr>
          <w:rFonts w:ascii="宋体" w:hAnsi="宋体" w:eastAsia="宋体" w:cs="Times New Roman"/>
          <w:color w:val="auto"/>
          <w:szCs w:val="21"/>
          <w:highlight w:val="none"/>
          <w:vertAlign w:val="subscript"/>
        </w:rPr>
        <w:t>o</w:t>
      </w:r>
      <w:r>
        <w:rPr>
          <w:rFonts w:ascii="宋体" w:hAnsi="宋体" w:eastAsia="宋体" w:cs="Times New Roman"/>
          <w:color w:val="auto"/>
          <w:szCs w:val="21"/>
          <w:highlight w:val="none"/>
        </w:rPr>
        <w:t>﹥1.05时，则：C</w:t>
      </w:r>
      <w:r>
        <w:rPr>
          <w:rFonts w:ascii="宋体" w:hAnsi="宋体" w:eastAsia="宋体" w:cs="Times New Roman"/>
          <w:color w:val="auto"/>
          <w:szCs w:val="21"/>
          <w:highlight w:val="none"/>
          <w:vertAlign w:val="subscript"/>
        </w:rPr>
        <w:t>增</w:t>
      </w:r>
      <w:r>
        <w:rPr>
          <w:rFonts w:ascii="宋体" w:hAnsi="宋体" w:eastAsia="宋体" w:cs="Times New Roman"/>
          <w:color w:val="auto"/>
          <w:szCs w:val="21"/>
          <w:highlight w:val="none"/>
        </w:rPr>
        <w:t>=L</w:t>
      </w:r>
      <w:r>
        <w:rPr>
          <w:rFonts w:ascii="宋体" w:hAnsi="宋体" w:eastAsia="宋体" w:cs="Times New Roman"/>
          <w:color w:val="auto"/>
          <w:szCs w:val="21"/>
          <w:highlight w:val="none"/>
          <w:vertAlign w:val="subscript"/>
        </w:rPr>
        <w:t>总</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sym w:font="Symbol" w:char="F060"/>
      </w:r>
      <w:r>
        <w:rPr>
          <w:rFonts w:ascii="Cambria" w:hAnsi="Cambria" w:eastAsia="宋体" w:cs="Times New Roman"/>
          <w:i/>
          <w:color w:val="auto"/>
          <w:szCs w:val="21"/>
          <w:highlight w:val="none"/>
        </w:rPr>
        <w:t>I</w:t>
      </w:r>
      <w:r>
        <w:rPr>
          <w:rFonts w:hint="eastAsia" w:ascii="Cambria" w:hAnsi="Cambria" w:eastAsia="宋体" w:cs="Times New Roman"/>
          <w:i/>
          <w:color w:val="auto"/>
          <w:szCs w:val="21"/>
          <w:highlight w:val="none"/>
        </w:rPr>
        <w:t xml:space="preserve"> </w:t>
      </w:r>
      <w:r>
        <w:rPr>
          <w:rFonts w:ascii="宋体" w:hAnsi="宋体" w:eastAsia="宋体" w:cs="Times New Roman"/>
          <w:color w:val="auto"/>
          <w:szCs w:val="21"/>
          <w:highlight w:val="none"/>
        </w:rPr>
        <w:t>/I</w:t>
      </w:r>
      <w:r>
        <w:rPr>
          <w:rFonts w:ascii="宋体" w:hAnsi="宋体" w:eastAsia="宋体" w:cs="Times New Roman"/>
          <w:color w:val="auto"/>
          <w:szCs w:val="21"/>
          <w:highlight w:val="none"/>
          <w:vertAlign w:val="subscript"/>
        </w:rPr>
        <w:t>o</w:t>
      </w:r>
      <w:r>
        <w:rPr>
          <w:rFonts w:ascii="宋体" w:hAnsi="宋体" w:eastAsia="宋体" w:cs="Times New Roman"/>
          <w:color w:val="auto"/>
          <w:szCs w:val="21"/>
          <w:highlight w:val="none"/>
        </w:rPr>
        <w:t>-1.05</w:t>
      </w:r>
      <w:r>
        <w:rPr>
          <w:rFonts w:hint="eastAsia" w:ascii="宋体" w:hAnsi="宋体" w:eastAsia="宋体" w:cs="Times New Roman"/>
          <w:color w:val="auto"/>
          <w:szCs w:val="21"/>
          <w:highlight w:val="none"/>
        </w:rPr>
        <w:t>)；</w:t>
      </w:r>
    </w:p>
    <w:p>
      <w:pPr>
        <w:snapToGrid w:val="0"/>
        <w:ind w:firstLine="945" w:firstLineChars="450"/>
        <w:rPr>
          <w:rFonts w:ascii="宋体" w:hAnsi="宋体" w:eastAsia="宋体" w:cs="Times New Roman"/>
          <w:color w:val="auto"/>
          <w:szCs w:val="21"/>
          <w:highlight w:val="none"/>
        </w:rPr>
      </w:pPr>
      <w:r>
        <w:rPr>
          <w:rFonts w:ascii="宋体" w:hAnsi="宋体" w:eastAsia="宋体" w:cs="Times New Roman"/>
          <w:color w:val="auto"/>
          <w:szCs w:val="21"/>
          <w:highlight w:val="none"/>
        </w:rPr>
        <w:t>当</w:t>
      </w:r>
      <w:r>
        <w:rPr>
          <w:rFonts w:ascii="宋体" w:hAnsi="宋体" w:eastAsia="宋体" w:cs="Times New Roman"/>
          <w:color w:val="auto"/>
          <w:szCs w:val="21"/>
          <w:highlight w:val="none"/>
        </w:rPr>
        <w:sym w:font="Symbol" w:char="F060"/>
      </w:r>
      <w:r>
        <w:rPr>
          <w:rFonts w:ascii="Cambria" w:hAnsi="Cambria" w:eastAsia="宋体" w:cs="Times New Roman"/>
          <w:i/>
          <w:color w:val="auto"/>
          <w:szCs w:val="21"/>
          <w:highlight w:val="none"/>
        </w:rPr>
        <w:t>I</w:t>
      </w:r>
      <w:r>
        <w:rPr>
          <w:rFonts w:hint="eastAsia" w:ascii="Cambria" w:hAnsi="Cambria" w:eastAsia="宋体" w:cs="Times New Roman"/>
          <w:i/>
          <w:color w:val="auto"/>
          <w:szCs w:val="21"/>
          <w:highlight w:val="none"/>
        </w:rPr>
        <w:t xml:space="preserve"> </w:t>
      </w:r>
      <w:r>
        <w:rPr>
          <w:rFonts w:ascii="宋体" w:hAnsi="宋体" w:eastAsia="宋体" w:cs="Times New Roman"/>
          <w:color w:val="auto"/>
          <w:szCs w:val="21"/>
          <w:highlight w:val="none"/>
        </w:rPr>
        <w:t>/I</w:t>
      </w:r>
      <w:r>
        <w:rPr>
          <w:rFonts w:ascii="宋体" w:hAnsi="宋体" w:eastAsia="宋体" w:cs="Times New Roman"/>
          <w:color w:val="auto"/>
          <w:szCs w:val="21"/>
          <w:highlight w:val="none"/>
          <w:vertAlign w:val="subscript"/>
        </w:rPr>
        <w:t>o</w:t>
      </w:r>
      <w:r>
        <w:rPr>
          <w:rFonts w:ascii="宋体" w:hAnsi="宋体" w:eastAsia="宋体" w:cs="Times New Roman"/>
          <w:color w:val="auto"/>
          <w:szCs w:val="21"/>
          <w:highlight w:val="none"/>
        </w:rPr>
        <w:t>﹤0.95时，则：C</w:t>
      </w:r>
      <w:r>
        <w:rPr>
          <w:rFonts w:ascii="宋体" w:hAnsi="宋体" w:eastAsia="宋体" w:cs="Times New Roman"/>
          <w:color w:val="auto"/>
          <w:szCs w:val="21"/>
          <w:highlight w:val="none"/>
          <w:vertAlign w:val="subscript"/>
        </w:rPr>
        <w:t>减</w:t>
      </w:r>
      <w:r>
        <w:rPr>
          <w:rFonts w:ascii="宋体" w:hAnsi="宋体" w:eastAsia="宋体" w:cs="Times New Roman"/>
          <w:color w:val="auto"/>
          <w:szCs w:val="21"/>
          <w:highlight w:val="none"/>
        </w:rPr>
        <w:t>=L</w:t>
      </w:r>
      <w:r>
        <w:rPr>
          <w:rFonts w:ascii="宋体" w:hAnsi="宋体" w:eastAsia="宋体" w:cs="Times New Roman"/>
          <w:color w:val="auto"/>
          <w:szCs w:val="21"/>
          <w:highlight w:val="none"/>
          <w:vertAlign w:val="subscript"/>
        </w:rPr>
        <w:t>总</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0.95-</w:t>
      </w:r>
      <w:r>
        <w:rPr>
          <w:rFonts w:ascii="宋体" w:hAnsi="宋体" w:eastAsia="宋体" w:cs="Times New Roman"/>
          <w:color w:val="auto"/>
          <w:szCs w:val="21"/>
          <w:highlight w:val="none"/>
        </w:rPr>
        <w:sym w:font="Symbol" w:char="F060"/>
      </w:r>
      <w:r>
        <w:rPr>
          <w:rFonts w:ascii="Cambria" w:hAnsi="Cambria" w:eastAsia="宋体" w:cs="Times New Roman"/>
          <w:i/>
          <w:color w:val="auto"/>
          <w:szCs w:val="21"/>
          <w:highlight w:val="none"/>
        </w:rPr>
        <w:t>I</w:t>
      </w:r>
      <w:r>
        <w:rPr>
          <w:rFonts w:hint="eastAsia" w:ascii="Cambria" w:hAnsi="Cambria" w:eastAsia="宋体" w:cs="Times New Roman"/>
          <w:i/>
          <w:color w:val="auto"/>
          <w:szCs w:val="21"/>
          <w:highlight w:val="none"/>
        </w:rPr>
        <w:t xml:space="preserve"> </w:t>
      </w:r>
      <w:r>
        <w:rPr>
          <w:rFonts w:ascii="宋体" w:hAnsi="宋体" w:eastAsia="宋体" w:cs="Times New Roman"/>
          <w:color w:val="auto"/>
          <w:szCs w:val="21"/>
          <w:highlight w:val="none"/>
        </w:rPr>
        <w:t>/I</w:t>
      </w:r>
      <w:r>
        <w:rPr>
          <w:rFonts w:ascii="宋体" w:hAnsi="宋体" w:eastAsia="宋体" w:cs="Times New Roman"/>
          <w:color w:val="auto"/>
          <w:szCs w:val="21"/>
          <w:highlight w:val="none"/>
          <w:vertAlign w:val="subscript"/>
        </w:rPr>
        <w:t>o</w:t>
      </w:r>
      <w:r>
        <w:rPr>
          <w:rFonts w:hint="eastAsia" w:ascii="宋体" w:hAnsi="宋体" w:eastAsia="宋体" w:cs="Times New Roman"/>
          <w:color w:val="auto"/>
          <w:szCs w:val="21"/>
          <w:highlight w:val="none"/>
        </w:rPr>
        <w:t>)</w:t>
      </w:r>
    </w:p>
    <w:p>
      <w:pPr>
        <w:ind w:firstLine="945" w:firstLineChars="45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式中：</w:t>
      </w:r>
    </w:p>
    <w:p>
      <w:pPr>
        <w:snapToGrid w:val="0"/>
        <w:ind w:left="1050" w:leftChars="500"/>
        <w:rPr>
          <w:rFonts w:hint="eastAsia" w:ascii="宋体" w:hAnsi="宋体" w:eastAsia="宋体" w:cs="Times New Roman"/>
          <w:color w:val="auto"/>
          <w:szCs w:val="24"/>
          <w:highlight w:val="none"/>
        </w:rPr>
      </w:pPr>
      <w:r>
        <w:rPr>
          <w:rFonts w:ascii="宋体" w:hAnsi="宋体" w:eastAsia="宋体" w:cs="Times New Roman"/>
          <w:color w:val="auto"/>
          <w:szCs w:val="21"/>
          <w:highlight w:val="none"/>
        </w:rPr>
        <w:sym w:font="Symbol" w:char="F060"/>
      </w:r>
      <w:r>
        <w:rPr>
          <w:rFonts w:ascii="Cambria" w:hAnsi="Cambria" w:eastAsia="宋体" w:cs="Times New Roman"/>
          <w:i/>
          <w:color w:val="auto"/>
          <w:szCs w:val="21"/>
          <w:highlight w:val="none"/>
        </w:rPr>
        <w:t>I</w:t>
      </w:r>
      <w:r>
        <w:rPr>
          <w:rFonts w:hint="eastAsia" w:ascii="Cambria" w:hAnsi="Cambria" w:eastAsia="宋体" w:cs="Times New Roman"/>
          <w:i/>
          <w:color w:val="auto"/>
          <w:szCs w:val="21"/>
          <w:highlight w:val="none"/>
        </w:rPr>
        <w:t xml:space="preserve"> </w:t>
      </w:r>
      <w:r>
        <w:rPr>
          <w:rFonts w:ascii="宋体" w:hAnsi="宋体" w:eastAsia="宋体" w:cs="Times New Roman"/>
          <w:color w:val="auto"/>
          <w:sz w:val="24"/>
          <w:szCs w:val="24"/>
          <w:highlight w:val="none"/>
        </w:rPr>
        <w:fldChar w:fldCharType="begin"/>
      </w:r>
      <w:r>
        <w:rPr>
          <w:rFonts w:ascii="宋体" w:hAnsi="宋体" w:eastAsia="宋体" w:cs="Times New Roman"/>
          <w:color w:val="auto"/>
          <w:sz w:val="24"/>
          <w:szCs w:val="24"/>
          <w:highlight w:val="none"/>
        </w:rPr>
        <w:instrText xml:space="preserve"> QUOTE </w:instrText>
      </w:r>
      <w:r>
        <w:rPr>
          <w:rFonts w:ascii="Times New Roman" w:hAnsi="Times New Roman" w:eastAsia="宋体" w:cs="Times New Roman"/>
          <w:color w:val="auto"/>
          <w:position w:val="-5"/>
          <w:szCs w:val="24"/>
          <w:highlight w:val="none"/>
        </w:rPr>
        <w:pict>
          <v:shape id="_x0000_i1025" o:spt="75" type="#_x0000_t75" style="height:15.6pt;width:7.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593E13&quot;/&gt;&lt;wsp:rsid wsp:val=&quot;0000071D&quot;/&gt;&lt;wsp:rsid wsp:val=&quot;00000D02&quot;/&gt;&lt;wsp:rsid wsp:val=&quot;00004DE8&quot;/&gt;&lt;wsp:rsid wsp:val=&quot;000069D5&quot;/&gt;&lt;wsp:rsid wsp:val=&quot;00007D9C&quot;/&gt;&lt;wsp:rsid wsp:val=&quot;00012392&quot;/&gt;&lt;wsp:rsid wsp:val=&quot;00014F46&quot;/&gt;&lt;wsp:rsid wsp:val=&quot;000165EA&quot;/&gt;&lt;wsp:rsid wsp:val=&quot;00020489&quot;/&gt;&lt;wsp:rsid wsp:val=&quot;00021E33&quot;/&gt;&lt;wsp:rsid wsp:val=&quot;00023A8A&quot;/&gt;&lt;wsp:rsid wsp:val=&quot;00025806&quot;/&gt;&lt;wsp:rsid wsp:val=&quot;0002775D&quot;/&gt;&lt;wsp:rsid wsp:val=&quot;000308E2&quot;/&gt;&lt;wsp:rsid wsp:val=&quot;00030F80&quot;/&gt;&lt;wsp:rsid wsp:val=&quot;00033848&quot;/&gt;&lt;wsp:rsid wsp:val=&quot;00036E9F&quot;/&gt;&lt;wsp:rsid wsp:val=&quot;000411D7&quot;/&gt;&lt;wsp:rsid wsp:val=&quot;000414D2&quot;/&gt;&lt;wsp:rsid wsp:val=&quot;00043E77&quot;/&gt;&lt;wsp:rsid wsp:val=&quot;00045EF9&quot;/&gt;&lt;wsp:rsid wsp:val=&quot;000468A5&quot;/&gt;&lt;wsp:rsid wsp:val=&quot;00047C06&quot;/&gt;&lt;wsp:rsid wsp:val=&quot;00047EA6&quot;/&gt;&lt;wsp:rsid wsp:val=&quot;00052069&quot;/&gt;&lt;wsp:rsid wsp:val=&quot;00052BF2&quot;/&gt;&lt;wsp:rsid wsp:val=&quot;00052F30&quot;/&gt;&lt;wsp:rsid wsp:val=&quot;00053A03&quot;/&gt;&lt;wsp:rsid wsp:val=&quot;00054FA9&quot;/&gt;&lt;wsp:rsid wsp:val=&quot;0005580E&quot;/&gt;&lt;wsp:rsid wsp:val=&quot;00055AD7&quot;/&gt;&lt;wsp:rsid wsp:val=&quot;0005623B&quot;/&gt;&lt;wsp:rsid wsp:val=&quot;000572AD&quot;/&gt;&lt;wsp:rsid wsp:val=&quot;00057382&quot;/&gt;&lt;wsp:rsid wsp:val=&quot;00060488&quot;/&gt;&lt;wsp:rsid wsp:val=&quot;000648A9&quot;/&gt;&lt;wsp:rsid wsp:val=&quot;000719E7&quot;/&gt;&lt;wsp:rsid wsp:val=&quot;000729DF&quot;/&gt;&lt;wsp:rsid wsp:val=&quot;00077B8B&quot;/&gt;&lt;wsp:rsid wsp:val=&quot;00077EF2&quot;/&gt;&lt;wsp:rsid wsp:val=&quot;000810F0&quot;/&gt;&lt;wsp:rsid wsp:val=&quot;00082F84&quot;/&gt;&lt;wsp:rsid wsp:val=&quot;00083CBC&quot;/&gt;&lt;wsp:rsid wsp:val=&quot;00084451&quot;/&gt;&lt;wsp:rsid wsp:val=&quot;00084AE2&quot;/&gt;&lt;wsp:rsid wsp:val=&quot;0008657B&quot;/&gt;&lt;wsp:rsid wsp:val=&quot;00094468&quot;/&gt;&lt;wsp:rsid wsp:val=&quot;00095456&quot;/&gt;&lt;wsp:rsid wsp:val=&quot;00095A4E&quot;/&gt;&lt;wsp:rsid wsp:val=&quot;0009628F&quot;/&gt;&lt;wsp:rsid wsp:val=&quot;000A0065&quot;/&gt;&lt;wsp:rsid wsp:val=&quot;000A2F55&quot;/&gt;&lt;wsp:rsid wsp:val=&quot;000A3256&quot;/&gt;&lt;wsp:rsid wsp:val=&quot;000A3832&quot;/&gt;&lt;wsp:rsid wsp:val=&quot;000A4706&quot;/&gt;&lt;wsp:rsid wsp:val=&quot;000A6230&quot;/&gt;&lt;wsp:rsid wsp:val=&quot;000B434D&quot;/&gt;&lt;wsp:rsid wsp:val=&quot;000B57AC&quot;/&gt;&lt;wsp:rsid wsp:val=&quot;000B6047&quot;/&gt;&lt;wsp:rsid wsp:val=&quot;000B6DC8&quot;/&gt;&lt;wsp:rsid wsp:val=&quot;000C2234&quot;/&gt;&lt;wsp:rsid wsp:val=&quot;000C3125&quot;/&gt;&lt;wsp:rsid wsp:val=&quot;000C39FE&quot;/&gt;&lt;wsp:rsid wsp:val=&quot;000C3CE2&quot;/&gt;&lt;wsp:rsid wsp:val=&quot;000C72F2&quot;/&gt;&lt;wsp:rsid wsp:val=&quot;000D38E8&quot;/&gt;&lt;wsp:rsid wsp:val=&quot;000D4BF6&quot;/&gt;&lt;wsp:rsid wsp:val=&quot;000D5D1B&quot;/&gt;&lt;wsp:rsid wsp:val=&quot;000D6385&quot;/&gt;&lt;wsp:rsid wsp:val=&quot;000D7740&quot;/&gt;&lt;wsp:rsid wsp:val=&quot;000E203D&quot;/&gt;&lt;wsp:rsid wsp:val=&quot;000E2478&quot;/&gt;&lt;wsp:rsid wsp:val=&quot;000E6B7A&quot;/&gt;&lt;wsp:rsid wsp:val=&quot;000F0BDF&quot;/&gt;&lt;wsp:rsid wsp:val=&quot;000F1A51&quot;/&gt;&lt;wsp:rsid wsp:val=&quot;000F1DC5&quot;/&gt;&lt;wsp:rsid wsp:val=&quot;000F40EF&quot;/&gt;&lt;wsp:rsid wsp:val=&quot;000F4717&quot;/&gt;&lt;wsp:rsid wsp:val=&quot;000F50A3&quot;/&gt;&lt;wsp:rsid wsp:val=&quot;000F50D5&quot;/&gt;&lt;wsp:rsid wsp:val=&quot;000F61AA&quot;/&gt;&lt;wsp:rsid wsp:val=&quot;000F65AF&quot;/&gt;&lt;wsp:rsid wsp:val=&quot;000F6AB2&quot;/&gt;&lt;wsp:rsid wsp:val=&quot;000F6AF4&quot;/&gt;&lt;wsp:rsid wsp:val=&quot;000F70E6&quot;/&gt;&lt;wsp:rsid wsp:val=&quot;000F7C52&quot;/&gt;&lt;wsp:rsid wsp:val=&quot;0010049C&quot;/&gt;&lt;wsp:rsid wsp:val=&quot;00101569&quot;/&gt;&lt;wsp:rsid wsp:val=&quot;00101CBB&quot;/&gt;&lt;wsp:rsid wsp:val=&quot;0010421A&quot;/&gt;&lt;wsp:rsid wsp:val=&quot;00105A99&quot;/&gt;&lt;wsp:rsid wsp:val=&quot;00113015&quot;/&gt;&lt;wsp:rsid wsp:val=&quot;001138D5&quot;/&gt;&lt;wsp:rsid wsp:val=&quot;0011466B&quot;/&gt;&lt;wsp:rsid wsp:val=&quot;0011777B&quot;/&gt;&lt;wsp:rsid wsp:val=&quot;00123C84&quot;/&gt;&lt;wsp:rsid wsp:val=&quot;001303AA&quot;/&gt;&lt;wsp:rsid wsp:val=&quot;0013166E&quot;/&gt;&lt;wsp:rsid wsp:val=&quot;0013183C&quot;/&gt;&lt;wsp:rsid wsp:val=&quot;00131887&quot;/&gt;&lt;wsp:rsid wsp:val=&quot;001330BA&quot;/&gt;&lt;wsp:rsid wsp:val=&quot;00136D66&quot;/&gt;&lt;wsp:rsid wsp:val=&quot;00140432&quot;/&gt;&lt;wsp:rsid wsp:val=&quot;00140DF5&quot;/&gt;&lt;wsp:rsid wsp:val=&quot;001412E1&quot;/&gt;&lt;wsp:rsid wsp:val=&quot;00141897&quot;/&gt;&lt;wsp:rsid wsp:val=&quot;00141CD9&quot;/&gt;&lt;wsp:rsid wsp:val=&quot;00141EBE&quot;/&gt;&lt;wsp:rsid wsp:val=&quot;00142C0D&quot;/&gt;&lt;wsp:rsid wsp:val=&quot;0014595C&quot;/&gt;&lt;wsp:rsid wsp:val=&quot;00151120&quot;/&gt;&lt;wsp:rsid wsp:val=&quot;00151938&quot;/&gt;&lt;wsp:rsid wsp:val=&quot;001568E1&quot;/&gt;&lt;wsp:rsid wsp:val=&quot;00156CAC&quot;/&gt;&lt;wsp:rsid wsp:val=&quot;00156F83&quot;/&gt;&lt;wsp:rsid wsp:val=&quot;00157DF5&quot;/&gt;&lt;wsp:rsid wsp:val=&quot;00161306&quot;/&gt;&lt;wsp:rsid wsp:val=&quot;0016206C&quot;/&gt;&lt;wsp:rsid wsp:val=&quot;0016233B&quot;/&gt;&lt;wsp:rsid wsp:val=&quot;00162CA7&quot;/&gt;&lt;wsp:rsid wsp:val=&quot;00164E8A&quot;/&gt;&lt;wsp:rsid wsp:val=&quot;0016510C&quot;/&gt;&lt;wsp:rsid wsp:val=&quot;00166D5B&quot;/&gt;&lt;wsp:rsid wsp:val=&quot;00167392&quot;/&gt;&lt;wsp:rsid wsp:val=&quot;001723F6&quot;/&gt;&lt;wsp:rsid wsp:val=&quot;00174456&quot;/&gt;&lt;wsp:rsid wsp:val=&quot;00176D33&quot;/&gt;&lt;wsp:rsid wsp:val=&quot;00177C74&quot;/&gt;&lt;wsp:rsid wsp:val=&quot;00180156&quot;/&gt;&lt;wsp:rsid wsp:val=&quot;0018087C&quot;/&gt;&lt;wsp:rsid wsp:val=&quot;001814B1&quot;/&gt;&lt;wsp:rsid wsp:val=&quot;001823B5&quot;/&gt;&lt;wsp:rsid wsp:val=&quot;00187E16&quot;/&gt;&lt;wsp:rsid wsp:val=&quot;00190152&quot;/&gt;&lt;wsp:rsid wsp:val=&quot;00193A33&quot;/&gt;&lt;wsp:rsid wsp:val=&quot;00193EA0&quot;/&gt;&lt;wsp:rsid wsp:val=&quot;001A21CE&quot;/&gt;&lt;wsp:rsid wsp:val=&quot;001A26E2&quot;/&gt;&lt;wsp:rsid wsp:val=&quot;001A3C3E&quot;/&gt;&lt;wsp:rsid wsp:val=&quot;001A421C&quot;/&gt;&lt;wsp:rsid wsp:val=&quot;001A522C&quot;/&gt;&lt;wsp:rsid wsp:val=&quot;001A6EC2&quot;/&gt;&lt;wsp:rsid wsp:val=&quot;001A778A&quot;/&gt;&lt;wsp:rsid wsp:val=&quot;001B09C7&quot;/&gt;&lt;wsp:rsid wsp:val=&quot;001B0F1E&quot;/&gt;&lt;wsp:rsid wsp:val=&quot;001B1394&quot;/&gt;&lt;wsp:rsid wsp:val=&quot;001B1CAB&quot;/&gt;&lt;wsp:rsid wsp:val=&quot;001B4409&quot;/&gt;&lt;wsp:rsid wsp:val=&quot;001B4E0F&quot;/&gt;&lt;wsp:rsid wsp:val=&quot;001B5A60&quot;/&gt;&lt;wsp:rsid wsp:val=&quot;001C0559&quot;/&gt;&lt;wsp:rsid wsp:val=&quot;001C097A&quot;/&gt;&lt;wsp:rsid wsp:val=&quot;001C1523&quot;/&gt;&lt;wsp:rsid wsp:val=&quot;001C15BC&quot;/&gt;&lt;wsp:rsid wsp:val=&quot;001C1E0D&quot;/&gt;&lt;wsp:rsid wsp:val=&quot;001C3BC8&quot;/&gt;&lt;wsp:rsid wsp:val=&quot;001C42AC&quot;/&gt;&lt;wsp:rsid wsp:val=&quot;001C4611&quot;/&gt;&lt;wsp:rsid wsp:val=&quot;001C6B08&quot;/&gt;&lt;wsp:rsid wsp:val=&quot;001C6D30&quot;/&gt;&lt;wsp:rsid wsp:val=&quot;001C790E&quot;/&gt;&lt;wsp:rsid wsp:val=&quot;001D0638&quot;/&gt;&lt;wsp:rsid wsp:val=&quot;001D4BEA&quot;/&gt;&lt;wsp:rsid wsp:val=&quot;001D55D6&quot;/&gt;&lt;wsp:rsid wsp:val=&quot;001D5A11&quot;/&gt;&lt;wsp:rsid wsp:val=&quot;001D607E&quot;/&gt;&lt;wsp:rsid wsp:val=&quot;001D6748&quot;/&gt;&lt;wsp:rsid wsp:val=&quot;001D79A9&quot;/&gt;&lt;wsp:rsid wsp:val=&quot;001D7C3C&quot;/&gt;&lt;wsp:rsid wsp:val=&quot;001D7C67&quot;/&gt;&lt;wsp:rsid wsp:val=&quot;001E1222&quot;/&gt;&lt;wsp:rsid wsp:val=&quot;001E138E&quot;/&gt;&lt;wsp:rsid wsp:val=&quot;001E1BFD&quot;/&gt;&lt;wsp:rsid wsp:val=&quot;001E2077&quot;/&gt;&lt;wsp:rsid wsp:val=&quot;001E29E1&quot;/&gt;&lt;wsp:rsid wsp:val=&quot;001E448B&quot;/&gt;&lt;wsp:rsid wsp:val=&quot;001F08C3&quot;/&gt;&lt;wsp:rsid wsp:val=&quot;001F3571&quot;/&gt;&lt;wsp:rsid wsp:val=&quot;001F41F2&quot;/&gt;&lt;wsp:rsid wsp:val=&quot;001F4516&quot;/&gt;&lt;wsp:rsid wsp:val=&quot;001F4B0B&quot;/&gt;&lt;wsp:rsid wsp:val=&quot;001F59BC&quot;/&gt;&lt;wsp:rsid wsp:val=&quot;001F636A&quot;/&gt;&lt;wsp:rsid wsp:val=&quot;001F7017&quot;/&gt;&lt;wsp:rsid wsp:val=&quot;001F7537&quot;/&gt;&lt;wsp:rsid wsp:val=&quot;002011A7&quot;/&gt;&lt;wsp:rsid wsp:val=&quot;00202B1C&quot;/&gt;&lt;wsp:rsid wsp:val=&quot;00204063&quot;/&gt;&lt;wsp:rsid wsp:val=&quot;0020450D&quot;/&gt;&lt;wsp:rsid wsp:val=&quot;002046CA&quot;/&gt;&lt;wsp:rsid wsp:val=&quot;00206BCF&quot;/&gt;&lt;wsp:rsid wsp:val=&quot;0020720C&quot;/&gt;&lt;wsp:rsid wsp:val=&quot;00207244&quot;/&gt;&lt;wsp:rsid wsp:val=&quot;00210250&quot;/&gt;&lt;wsp:rsid wsp:val=&quot;00210589&quot;/&gt;&lt;wsp:rsid wsp:val=&quot;00211156&quot;/&gt;&lt;wsp:rsid wsp:val=&quot;002118E0&quot;/&gt;&lt;wsp:rsid wsp:val=&quot;00212B1F&quot;/&gt;&lt;wsp:rsid wsp:val=&quot;00213702&quot;/&gt;&lt;wsp:rsid wsp:val=&quot;002138E5&quot;/&gt;&lt;wsp:rsid wsp:val=&quot;0021456C&quot;/&gt;&lt;wsp:rsid wsp:val=&quot;00216B34&quot;/&gt;&lt;wsp:rsid wsp:val=&quot;00216DD0&quot;/&gt;&lt;wsp:rsid wsp:val=&quot;0022122A&quot;/&gt;&lt;wsp:rsid wsp:val=&quot;00224C95&quot;/&gt;&lt;wsp:rsid wsp:val=&quot;00227F9E&quot;/&gt;&lt;wsp:rsid wsp:val=&quot;00230E2F&quot;/&gt;&lt;wsp:rsid wsp:val=&quot;002310B8&quot;/&gt;&lt;wsp:rsid wsp:val=&quot;00231974&quot;/&gt;&lt;wsp:rsid wsp:val=&quot;00233A54&quot;/&gt;&lt;wsp:rsid wsp:val=&quot;00234896&quot;/&gt;&lt;wsp:rsid wsp:val=&quot;00234E9E&quot;/&gt;&lt;wsp:rsid wsp:val=&quot;0023756C&quot;/&gt;&lt;wsp:rsid wsp:val=&quot;0024278B&quot;/&gt;&lt;wsp:rsid wsp:val=&quot;0025035C&quot;/&gt;&lt;wsp:rsid wsp:val=&quot;0025092E&quot;/&gt;&lt;wsp:rsid wsp:val=&quot;00251259&quot;/&gt;&lt;wsp:rsid wsp:val=&quot;002518A3&quot;/&gt;&lt;wsp:rsid wsp:val=&quot;00253143&quot;/&gt;&lt;wsp:rsid wsp:val=&quot;0025559B&quot;/&gt;&lt;wsp:rsid wsp:val=&quot;002562E8&quot;/&gt;&lt;wsp:rsid wsp:val=&quot;00260257&quot;/&gt;&lt;wsp:rsid wsp:val=&quot;0026536B&quot;/&gt;&lt;wsp:rsid wsp:val=&quot;00265FA6&quot;/&gt;&lt;wsp:rsid wsp:val=&quot;00266441&quot;/&gt;&lt;wsp:rsid wsp:val=&quot;00267C86&quot;/&gt;&lt;wsp:rsid wsp:val=&quot;002704ED&quot;/&gt;&lt;wsp:rsid wsp:val=&quot;0027119E&quot;/&gt;&lt;wsp:rsid wsp:val=&quot;00272A6F&quot;/&gt;&lt;wsp:rsid wsp:val=&quot;00273251&quot;/&gt;&lt;wsp:rsid wsp:val=&quot;00273AF3&quot;/&gt;&lt;wsp:rsid wsp:val=&quot;002746DA&quot;/&gt;&lt;wsp:rsid wsp:val=&quot;00276024&quot;/&gt;&lt;wsp:rsid wsp:val=&quot;00284538&quot;/&gt;&lt;wsp:rsid wsp:val=&quot;00286388&quot;/&gt;&lt;wsp:rsid wsp:val=&quot;00291EFF&quot;/&gt;&lt;wsp:rsid wsp:val=&quot;002921D3&quot;/&gt;&lt;wsp:rsid wsp:val=&quot;0029393D&quot;/&gt;&lt;wsp:rsid wsp:val=&quot;002940E5&quot;/&gt;&lt;wsp:rsid wsp:val=&quot;00294650&quot;/&gt;&lt;wsp:rsid wsp:val=&quot;00295B5C&quot;/&gt;&lt;wsp:rsid wsp:val=&quot;002A0CDB&quot;/&gt;&lt;wsp:rsid wsp:val=&quot;002A239F&quot;/&gt;&lt;wsp:rsid wsp:val=&quot;002A261E&quot;/&gt;&lt;wsp:rsid wsp:val=&quot;002A4CD3&quot;/&gt;&lt;wsp:rsid wsp:val=&quot;002A55BA&quot;/&gt;&lt;wsp:rsid wsp:val=&quot;002A7455&quot;/&gt;&lt;wsp:rsid wsp:val=&quot;002B1443&quot;/&gt;&lt;wsp:rsid wsp:val=&quot;002B2C80&quot;/&gt;&lt;wsp:rsid wsp:val=&quot;002B39AC&quot;/&gt;&lt;wsp:rsid wsp:val=&quot;002B3FDA&quot;/&gt;&lt;wsp:rsid wsp:val=&quot;002B48E4&quot;/&gt;&lt;wsp:rsid wsp:val=&quot;002C2B0A&quot;/&gt;&lt;wsp:rsid wsp:val=&quot;002C2BC6&quot;/&gt;&lt;wsp:rsid wsp:val=&quot;002C3442&quot;/&gt;&lt;wsp:rsid wsp:val=&quot;002C4353&quot;/&gt;&lt;wsp:rsid wsp:val=&quot;002C43AD&quot;/&gt;&lt;wsp:rsid wsp:val=&quot;002C4DD7&quot;/&gt;&lt;wsp:rsid wsp:val=&quot;002C6C2D&quot;/&gt;&lt;wsp:rsid wsp:val=&quot;002D0251&quot;/&gt;&lt;wsp:rsid wsp:val=&quot;002D1CE2&quot;/&gt;&lt;wsp:rsid wsp:val=&quot;002D3C38&quot;/&gt;&lt;wsp:rsid wsp:val=&quot;002E1FF2&quot;/&gt;&lt;wsp:rsid wsp:val=&quot;002E2180&quot;/&gt;&lt;wsp:rsid wsp:val=&quot;002E46D4&quot;/&gt;&lt;wsp:rsid wsp:val=&quot;002E5487&quot;/&gt;&lt;wsp:rsid wsp:val=&quot;002E676C&quot;/&gt;&lt;wsp:rsid wsp:val=&quot;002E79EE&quot;/&gt;&lt;wsp:rsid wsp:val=&quot;002F111A&quot;/&gt;&lt;wsp:rsid wsp:val=&quot;002F142F&quot;/&gt;&lt;wsp:rsid wsp:val=&quot;002F39A9&quot;/&gt;&lt;wsp:rsid wsp:val=&quot;002F600E&quot;/&gt;&lt;wsp:rsid wsp:val=&quot;002F788F&quot;/&gt;&lt;wsp:rsid wsp:val=&quot;003008CB&quot;/&gt;&lt;wsp:rsid wsp:val=&quot;00303A15&quot;/&gt;&lt;wsp:rsid wsp:val=&quot;003057C6&quot;/&gt;&lt;wsp:rsid wsp:val=&quot;00313844&quot;/&gt;&lt;wsp:rsid wsp:val=&quot;00315625&quot;/&gt;&lt;wsp:rsid wsp:val=&quot;00315FA8&quot;/&gt;&lt;wsp:rsid wsp:val=&quot;00317FC0&quot;/&gt;&lt;wsp:rsid wsp:val=&quot;00320118&quot;/&gt;&lt;wsp:rsid wsp:val=&quot;003226EB&quot;/&gt;&lt;wsp:rsid wsp:val=&quot;00324F8B&quot;/&gt;&lt;wsp:rsid wsp:val=&quot;0032614A&quot;/&gt;&lt;wsp:rsid wsp:val=&quot;00327AC3&quot;/&gt;&lt;wsp:rsid wsp:val=&quot;00330607&quot;/&gt;&lt;wsp:rsid wsp:val=&quot;0033097D&quot;/&gt;&lt;wsp:rsid wsp:val=&quot;003340B9&quot;/&gt;&lt;wsp:rsid wsp:val=&quot;003350B6&quot;/&gt;&lt;wsp:rsid wsp:val=&quot;00336E28&quot;/&gt;&lt;wsp:rsid wsp:val=&quot;0033703B&quot;/&gt;&lt;wsp:rsid wsp:val=&quot;00337875&quot;/&gt;&lt;wsp:rsid wsp:val=&quot;00337F8F&quot;/&gt;&lt;wsp:rsid wsp:val=&quot;0034006B&quot;/&gt;&lt;wsp:rsid wsp:val=&quot;00340E02&quot;/&gt;&lt;wsp:rsid wsp:val=&quot;003411E3&quot;/&gt;&lt;wsp:rsid wsp:val=&quot;00341CC3&quot;/&gt;&lt;wsp:rsid wsp:val=&quot;003422B6&quot;/&gt;&lt;wsp:rsid wsp:val=&quot;00344952&quot;/&gt;&lt;wsp:rsid wsp:val=&quot;00346E8D&quot;/&gt;&lt;wsp:rsid wsp:val=&quot;0035047C&quot;/&gt;&lt;wsp:rsid wsp:val=&quot;003530C1&quot;/&gt;&lt;wsp:rsid wsp:val=&quot;00353347&quot;/&gt;&lt;wsp:rsid wsp:val=&quot;0035429A&quot;/&gt;&lt;wsp:rsid wsp:val=&quot;00354686&quot;/&gt;&lt;wsp:rsid wsp:val=&quot;0035608C&quot;/&gt;&lt;wsp:rsid wsp:val=&quot;003602A5&quot;/&gt;&lt;wsp:rsid wsp:val=&quot;00360899&quot;/&gt;&lt;wsp:rsid wsp:val=&quot;00361ACE&quot;/&gt;&lt;wsp:rsid wsp:val=&quot;00363541&quot;/&gt;&lt;wsp:rsid wsp:val=&quot;003638A7&quot;/&gt;&lt;wsp:rsid wsp:val=&quot;0037305C&quot;/&gt;&lt;wsp:rsid wsp:val=&quot;0037558E&quot;/&gt;&lt;wsp:rsid wsp:val=&quot;00376F6D&quot;/&gt;&lt;wsp:rsid wsp:val=&quot;00381472&quot;/&gt;&lt;wsp:rsid wsp:val=&quot;00383AE1&quot;/&gt;&lt;wsp:rsid wsp:val=&quot;00387083&quot;/&gt;&lt;wsp:rsid wsp:val=&quot;00391122&quot;/&gt;&lt;wsp:rsid wsp:val=&quot;00391A62&quot;/&gt;&lt;wsp:rsid wsp:val=&quot;00392356&quot;/&gt;&lt;wsp:rsid wsp:val=&quot;003929A1&quot;/&gt;&lt;wsp:rsid wsp:val=&quot;00393282&quot;/&gt;&lt;wsp:rsid wsp:val=&quot;003955BA&quot;/&gt;&lt;wsp:rsid wsp:val=&quot;0039561D&quot;/&gt;&lt;wsp:rsid wsp:val=&quot;0039756C&quot;/&gt;&lt;wsp:rsid wsp:val=&quot;00397986&quot;/&gt;&lt;wsp:rsid wsp:val=&quot;003A0E6A&quot;/&gt;&lt;wsp:rsid wsp:val=&quot;003A40EC&quot;/&gt;&lt;wsp:rsid wsp:val=&quot;003A579F&quot;/&gt;&lt;wsp:rsid wsp:val=&quot;003B056E&quot;/&gt;&lt;wsp:rsid wsp:val=&quot;003B0A2E&quot;/&gt;&lt;wsp:rsid wsp:val=&quot;003B1CA7&quot;/&gt;&lt;wsp:rsid wsp:val=&quot;003B3BD3&quot;/&gt;&lt;wsp:rsid wsp:val=&quot;003B4BD3&quot;/&gt;&lt;wsp:rsid wsp:val=&quot;003B5449&quot;/&gt;&lt;wsp:rsid wsp:val=&quot;003B63BC&quot;/&gt;&lt;wsp:rsid wsp:val=&quot;003C1591&quot;/&gt;&lt;wsp:rsid wsp:val=&quot;003C1D18&quot;/&gt;&lt;wsp:rsid wsp:val=&quot;003C22B0&quot;/&gt;&lt;wsp:rsid wsp:val=&quot;003C4E1D&quot;/&gt;&lt;wsp:rsid wsp:val=&quot;003C5758&quot;/&gt;&lt;wsp:rsid wsp:val=&quot;003C6226&quot;/&gt;&lt;wsp:rsid wsp:val=&quot;003C6E98&quot;/&gt;&lt;wsp:rsid wsp:val=&quot;003D03E7&quot;/&gt;&lt;wsp:rsid wsp:val=&quot;003D0965&quot;/&gt;&lt;wsp:rsid wsp:val=&quot;003D14C1&quot;/&gt;&lt;wsp:rsid wsp:val=&quot;003D2E1D&quot;/&gt;&lt;wsp:rsid wsp:val=&quot;003D5FA3&quot;/&gt;&lt;wsp:rsid wsp:val=&quot;003D6058&quot;/&gt;&lt;wsp:rsid wsp:val=&quot;003E20C5&quot;/&gt;&lt;wsp:rsid wsp:val=&quot;003E2432&quot;/&gt;&lt;wsp:rsid wsp:val=&quot;003E434F&quot;/&gt;&lt;wsp:rsid wsp:val=&quot;003E603A&quot;/&gt;&lt;wsp:rsid wsp:val=&quot;003F073B&quot;/&gt;&lt;wsp:rsid wsp:val=&quot;003F3F10&quot;/&gt;&lt;wsp:rsid wsp:val=&quot;003F5A41&quot;/&gt;&lt;wsp:rsid wsp:val=&quot;003F6211&quot;/&gt;&lt;wsp:rsid wsp:val=&quot;003F7B94&quot;/&gt;&lt;wsp:rsid wsp:val=&quot;00400050&quot;/&gt;&lt;wsp:rsid wsp:val=&quot;00403792&quot;/&gt;&lt;wsp:rsid wsp:val=&quot;00403F09&quot;/&gt;&lt;wsp:rsid wsp:val=&quot;00403F13&quot;/&gt;&lt;wsp:rsid wsp:val=&quot;00404FA1&quot;/&gt;&lt;wsp:rsid wsp:val=&quot;0040642E&quot;/&gt;&lt;wsp:rsid wsp:val=&quot;004076AE&quot;/&gt;&lt;wsp:rsid wsp:val=&quot;00411D7E&quot;/&gt;&lt;wsp:rsid wsp:val=&quot;00412338&quot;/&gt;&lt;wsp:rsid wsp:val=&quot;00413CB6&quot;/&gt;&lt;wsp:rsid wsp:val=&quot;00415D86&quot;/&gt;&lt;wsp:rsid wsp:val=&quot;004178E4&quot;/&gt;&lt;wsp:rsid wsp:val=&quot;00421235&quot;/&gt;&lt;wsp:rsid wsp:val=&quot;004219DD&quot;/&gt;&lt;wsp:rsid wsp:val=&quot;00424EC2&quot;/&gt;&lt;wsp:rsid wsp:val=&quot;004269C8&quot;/&gt;&lt;wsp:rsid wsp:val=&quot;00426A26&quot;/&gt;&lt;wsp:rsid wsp:val=&quot;00427BCD&quot;/&gt;&lt;wsp:rsid wsp:val=&quot;004364DD&quot;/&gt;&lt;wsp:rsid wsp:val=&quot;00440A33&quot;/&gt;&lt;wsp:rsid wsp:val=&quot;00442C0B&quot;/&gt;&lt;wsp:rsid wsp:val=&quot;00443680&quot;/&gt;&lt;wsp:rsid wsp:val=&quot;004445DC&quot;/&gt;&lt;wsp:rsid wsp:val=&quot;0044615D&quot;/&gt;&lt;wsp:rsid wsp:val=&quot;00447435&quot;/&gt;&lt;wsp:rsid wsp:val=&quot;00447B6C&quot;/&gt;&lt;wsp:rsid wsp:val=&quot;0045233C&quot;/&gt;&lt;wsp:rsid wsp:val=&quot;00452563&quot;/&gt;&lt;wsp:rsid wsp:val=&quot;0045469E&quot;/&gt;&lt;wsp:rsid wsp:val=&quot;00457124&quot;/&gt;&lt;wsp:rsid wsp:val=&quot;00457482&quot;/&gt;&lt;wsp:rsid wsp:val=&quot;00460DFC&quot;/&gt;&lt;wsp:rsid wsp:val=&quot;00462D80&quot;/&gt;&lt;wsp:rsid wsp:val=&quot;00467566&quot;/&gt;&lt;wsp:rsid wsp:val=&quot;004679BE&quot;/&gt;&lt;wsp:rsid wsp:val=&quot;00467EBA&quot;/&gt;&lt;wsp:rsid wsp:val=&quot;004706C7&quot;/&gt;&lt;wsp:rsid wsp:val=&quot;00470C44&quot;/&gt;&lt;wsp:rsid wsp:val=&quot;0047232D&quot;/&gt;&lt;wsp:rsid wsp:val=&quot;00472472&quot;/&gt;&lt;wsp:rsid wsp:val=&quot;00472E6E&quot;/&gt;&lt;wsp:rsid wsp:val=&quot;00472F98&quot;/&gt;&lt;wsp:rsid wsp:val=&quot;00473637&quot;/&gt;&lt;wsp:rsid wsp:val=&quot;0047401C&quot;/&gt;&lt;wsp:rsid wsp:val=&quot;00474CAB&quot;/&gt;&lt;wsp:rsid wsp:val=&quot;004758D5&quot;/&gt;&lt;wsp:rsid wsp:val=&quot;00475EB3&quot;/&gt;&lt;wsp:rsid wsp:val=&quot;00476223&quot;/&gt;&lt;wsp:rsid wsp:val=&quot;00477065&quot;/&gt;&lt;wsp:rsid wsp:val=&quot;00477790&quot;/&gt;&lt;wsp:rsid wsp:val=&quot;0048760D&quot;/&gt;&lt;wsp:rsid wsp:val=&quot;004904E6&quot;/&gt;&lt;wsp:rsid wsp:val=&quot;00490844&quot;/&gt;&lt;wsp:rsid wsp:val=&quot;00491F6F&quot;/&gt;&lt;wsp:rsid wsp:val=&quot;00493B09&quot;/&gt;&lt;wsp:rsid wsp:val=&quot;00493F5C&quot;/&gt;&lt;wsp:rsid wsp:val=&quot;00494506&quot;/&gt;&lt;wsp:rsid wsp:val=&quot;0049556E&quot;/&gt;&lt;wsp:rsid wsp:val=&quot;004969F4&quot;/&gt;&lt;wsp:rsid wsp:val=&quot;00497BA4&quot;/&gt;&lt;wsp:rsid wsp:val=&quot;004A1CF3&quot;/&gt;&lt;wsp:rsid wsp:val=&quot;004A2196&quot;/&gt;&lt;wsp:rsid wsp:val=&quot;004A22D2&quot;/&gt;&lt;wsp:rsid wsp:val=&quot;004A2E53&quot;/&gt;&lt;wsp:rsid wsp:val=&quot;004A4B46&quot;/&gt;&lt;wsp:rsid wsp:val=&quot;004A5C83&quot;/&gt;&lt;wsp:rsid wsp:val=&quot;004B0D13&quot;/&gt;&lt;wsp:rsid wsp:val=&quot;004B10C3&quot;/&gt;&lt;wsp:rsid wsp:val=&quot;004B2C17&quot;/&gt;&lt;wsp:rsid wsp:val=&quot;004B5A79&quot;/&gt;&lt;wsp:rsid wsp:val=&quot;004B6068&quot;/&gt;&lt;wsp:rsid wsp:val=&quot;004B7B40&quot;/&gt;&lt;wsp:rsid wsp:val=&quot;004C0347&quot;/&gt;&lt;wsp:rsid wsp:val=&quot;004C0352&quot;/&gt;&lt;wsp:rsid wsp:val=&quot;004C3350&quot;/&gt;&lt;wsp:rsid wsp:val=&quot;004C36F8&quot;/&gt;&lt;wsp:rsid wsp:val=&quot;004C4F3E&quot;/&gt;&lt;wsp:rsid wsp:val=&quot;004C5213&quot;/&gt;&lt;wsp:rsid wsp:val=&quot;004D509A&quot;/&gt;&lt;wsp:rsid wsp:val=&quot;004D7F2F&quot;/&gt;&lt;wsp:rsid wsp:val=&quot;004D7F48&quot;/&gt;&lt;wsp:rsid wsp:val=&quot;004E0F07&quot;/&gt;&lt;wsp:rsid wsp:val=&quot;004E4433&quot;/&gt;&lt;wsp:rsid wsp:val=&quot;004E5A0D&quot;/&gt;&lt;wsp:rsid wsp:val=&quot;004E610E&quot;/&gt;&lt;wsp:rsid wsp:val=&quot;004E6AA4&quot;/&gt;&lt;wsp:rsid wsp:val=&quot;004F012F&quot;/&gt;&lt;wsp:rsid wsp:val=&quot;004F1D55&quot;/&gt;&lt;wsp:rsid wsp:val=&quot;004F2925&quot;/&gt;&lt;wsp:rsid wsp:val=&quot;004F292D&quot;/&gt;&lt;wsp:rsid wsp:val=&quot;004F43F2&quot;/&gt;&lt;wsp:rsid wsp:val=&quot;004F51C9&quot;/&gt;&lt;wsp:rsid wsp:val=&quot;004F75C5&quot;/&gt;&lt;wsp:rsid wsp:val=&quot;004F7AA8&quot;/&gt;&lt;wsp:rsid wsp:val=&quot;004F7C92&quot;/&gt;&lt;wsp:rsid wsp:val=&quot;005016F5&quot;/&gt;&lt;wsp:rsid wsp:val=&quot;00501F31&quot;/&gt;&lt;wsp:rsid wsp:val=&quot;00502ED7&quot;/&gt;&lt;wsp:rsid wsp:val=&quot;00503949&quot;/&gt;&lt;wsp:rsid wsp:val=&quot;00503D98&quot;/&gt;&lt;wsp:rsid wsp:val=&quot;005049B3&quot;/&gt;&lt;wsp:rsid wsp:val=&quot;005061B1&quot;/&gt;&lt;wsp:rsid wsp:val=&quot;00506331&quot;/&gt;&lt;wsp:rsid wsp:val=&quot;005064FC&quot;/&gt;&lt;wsp:rsid wsp:val=&quot;005102A1&quot;/&gt;&lt;wsp:rsid wsp:val=&quot;00512F5E&quot;/&gt;&lt;wsp:rsid wsp:val=&quot;00514420&quot;/&gt;&lt;wsp:rsid wsp:val=&quot;005169C8&quot;/&gt;&lt;wsp:rsid wsp:val=&quot;00516F5A&quot;/&gt;&lt;wsp:rsid wsp:val=&quot;005227AB&quot;/&gt;&lt;wsp:rsid wsp:val=&quot;00525B25&quot;/&gt;&lt;wsp:rsid wsp:val=&quot;00525B88&quot;/&gt;&lt;wsp:rsid wsp:val=&quot;0052739B&quot;/&gt;&lt;wsp:rsid wsp:val=&quot;00527A0E&quot;/&gt;&lt;wsp:rsid wsp:val=&quot;00531D82&quot;/&gt;&lt;wsp:rsid wsp:val=&quot;005330A6&quot;/&gt;&lt;wsp:rsid wsp:val=&quot;005331EF&quot;/&gt;&lt;wsp:rsid wsp:val=&quot;005334D5&quot;/&gt;&lt;wsp:rsid wsp:val=&quot;00535F3E&quot;/&gt;&lt;wsp:rsid wsp:val=&quot;00536729&quot;/&gt;&lt;wsp:rsid wsp:val=&quot;00537808&quot;/&gt;&lt;wsp:rsid wsp:val=&quot;005407BE&quot;/&gt;&lt;wsp:rsid wsp:val=&quot;00540E0D&quot;/&gt;&lt;wsp:rsid wsp:val=&quot;0054184F&quot;/&gt;&lt;wsp:rsid wsp:val=&quot;00541DD8&quot;/&gt;&lt;wsp:rsid wsp:val=&quot;00551A6F&quot;/&gt;&lt;wsp:rsid wsp:val=&quot;0055203A&quot;/&gt;&lt;wsp:rsid wsp:val=&quot;005539F3&quot;/&gt;&lt;wsp:rsid wsp:val=&quot;00554A26&quot;/&gt;&lt;wsp:rsid wsp:val=&quot;00556B50&quot;/&gt;&lt;wsp:rsid wsp:val=&quot;005604AA&quot;/&gt;&lt;wsp:rsid wsp:val=&quot;00560E7A&quot;/&gt;&lt;wsp:rsid wsp:val=&quot;00561213&quot;/&gt;&lt;wsp:rsid wsp:val=&quot;005650E5&quot;/&gt;&lt;wsp:rsid wsp:val=&quot;00565BDE&quot;/&gt;&lt;wsp:rsid wsp:val=&quot;00565E2B&quot;/&gt;&lt;wsp:rsid wsp:val=&quot;0056666A&quot;/&gt;&lt;wsp:rsid wsp:val=&quot;00567BC7&quot;/&gt;&lt;wsp:rsid wsp:val=&quot;00571284&quot;/&gt;&lt;wsp:rsid wsp:val=&quot;005713E6&quot;/&gt;&lt;wsp:rsid wsp:val=&quot;00571E47&quot;/&gt;&lt;wsp:rsid wsp:val=&quot;00574060&quot;/&gt;&lt;wsp:rsid wsp:val=&quot;00574A68&quot;/&gt;&lt;wsp:rsid wsp:val=&quot;00581D08&quot;/&gt;&lt;wsp:rsid wsp:val=&quot;00585C31&quot;/&gt;&lt;wsp:rsid wsp:val=&quot;00586904&quot;/&gt;&lt;wsp:rsid wsp:val=&quot;00586B96&quot;/&gt;&lt;wsp:rsid wsp:val=&quot;00592F76&quot;/&gt;&lt;wsp:rsid wsp:val=&quot;00593829&quot;/&gt;&lt;wsp:rsid wsp:val=&quot;00593E13&quot;/&gt;&lt;wsp:rsid wsp:val=&quot;005944FC&quot;/&gt;&lt;wsp:rsid wsp:val=&quot;005A58E2&quot;/&gt;&lt;wsp:rsid wsp:val=&quot;005A69F2&quot;/&gt;&lt;wsp:rsid wsp:val=&quot;005B05D5&quot;/&gt;&lt;wsp:rsid wsp:val=&quot;005B0AEF&quot;/&gt;&lt;wsp:rsid wsp:val=&quot;005B0DEC&quot;/&gt;&lt;wsp:rsid wsp:val=&quot;005B0FFB&quot;/&gt;&lt;wsp:rsid wsp:val=&quot;005B4312&quot;/&gt;&lt;wsp:rsid wsp:val=&quot;005B5291&quot;/&gt;&lt;wsp:rsid wsp:val=&quot;005B6FB7&quot;/&gt;&lt;wsp:rsid wsp:val=&quot;005B7789&quot;/&gt;&lt;wsp:rsid wsp:val=&quot;005B7BD0&quot;/&gt;&lt;wsp:rsid wsp:val=&quot;005C0191&quot;/&gt;&lt;wsp:rsid wsp:val=&quot;005C040D&quot;/&gt;&lt;wsp:rsid wsp:val=&quot;005C1E2D&quot;/&gt;&lt;wsp:rsid wsp:val=&quot;005C4DAB&quot;/&gt;&lt;wsp:rsid wsp:val=&quot;005C5CE9&quot;/&gt;&lt;wsp:rsid wsp:val=&quot;005C7128&quot;/&gt;&lt;wsp:rsid wsp:val=&quot;005D3C6D&quot;/&gt;&lt;wsp:rsid wsp:val=&quot;005D6F98&quot;/&gt;&lt;wsp:rsid wsp:val=&quot;005D7418&quot;/&gt;&lt;wsp:rsid wsp:val=&quot;005D7918&quot;/&gt;&lt;wsp:rsid wsp:val=&quot;005E064F&quot;/&gt;&lt;wsp:rsid wsp:val=&quot;005E0C59&quot;/&gt;&lt;wsp:rsid wsp:val=&quot;005E2EBB&quot;/&gt;&lt;wsp:rsid wsp:val=&quot;005E360E&quot;/&gt;&lt;wsp:rsid wsp:val=&quot;005E4CB3&quot;/&gt;&lt;wsp:rsid wsp:val=&quot;005E5BB1&quot;/&gt;&lt;wsp:rsid wsp:val=&quot;005E7176&quot;/&gt;&lt;wsp:rsid wsp:val=&quot;005F089F&quot;/&gt;&lt;wsp:rsid wsp:val=&quot;005F0A70&quot;/&gt;&lt;wsp:rsid wsp:val=&quot;005F2367&quot;/&gt;&lt;wsp:rsid wsp:val=&quot;005F3CAF&quot;/&gt;&lt;wsp:rsid wsp:val=&quot;005F6683&quot;/&gt;&lt;wsp:rsid wsp:val=&quot;005F6CD7&quot;/&gt;&lt;wsp:rsid wsp:val=&quot;00600AD7&quot;/&gt;&lt;wsp:rsid wsp:val=&quot;006112EC&quot;/&gt;&lt;wsp:rsid wsp:val=&quot;00613C08&quot;/&gt;&lt;wsp:rsid wsp:val=&quot;006161A0&quot;/&gt;&lt;wsp:rsid wsp:val=&quot;006179BD&quot;/&gt;&lt;wsp:rsid wsp:val=&quot;00620803&quot;/&gt;&lt;wsp:rsid wsp:val=&quot;00620F09&quot;/&gt;&lt;wsp:rsid wsp:val=&quot;006223D0&quot;/&gt;&lt;wsp:rsid wsp:val=&quot;00633C61&quot;/&gt;&lt;wsp:rsid wsp:val=&quot;006345E1&quot;/&gt;&lt;wsp:rsid wsp:val=&quot;00634D3C&quot;/&gt;&lt;wsp:rsid wsp:val=&quot;00635DB1&quot;/&gt;&lt;wsp:rsid wsp:val=&quot;00636B08&quot;/&gt;&lt;wsp:rsid wsp:val=&quot;006379E5&quot;/&gt;&lt;wsp:rsid wsp:val=&quot;00640521&quot;/&gt;&lt;wsp:rsid wsp:val=&quot;00642432&quot;/&gt;&lt;wsp:rsid wsp:val=&quot;00642DF6&quot;/&gt;&lt;wsp:rsid wsp:val=&quot;00644C10&quot;/&gt;&lt;wsp:rsid wsp:val=&quot;0064755E&quot;/&gt;&lt;wsp:rsid wsp:val=&quot;00647C8E&quot;/&gt;&lt;wsp:rsid wsp:val=&quot;006504C2&quot;/&gt;&lt;wsp:rsid wsp:val=&quot;00652295&quot;/&gt;&lt;wsp:rsid wsp:val=&quot;00657C66&quot;/&gt;&lt;wsp:rsid wsp:val=&quot;0066065B&quot;/&gt;&lt;wsp:rsid wsp:val=&quot;006630CA&quot;/&gt;&lt;wsp:rsid wsp:val=&quot;006673D6&quot;/&gt;&lt;wsp:rsid wsp:val=&quot;0067150E&quot;/&gt;&lt;wsp:rsid wsp:val=&quot;006719C5&quot;/&gt;&lt;wsp:rsid wsp:val=&quot;00673AA1&quot;/&gt;&lt;wsp:rsid wsp:val=&quot;00673B3F&quot;/&gt;&lt;wsp:rsid wsp:val=&quot;00675283&quot;/&gt;&lt;wsp:rsid wsp:val=&quot;00676C18&quot;/&gt;&lt;wsp:rsid wsp:val=&quot;00677370&quot;/&gt;&lt;wsp:rsid wsp:val=&quot;00680C23&quot;/&gt;&lt;wsp:rsid wsp:val=&quot;00681AB4&quot;/&gt;&lt;wsp:rsid wsp:val=&quot;00681B65&quot;/&gt;&lt;wsp:rsid wsp:val=&quot;00683673&quot;/&gt;&lt;wsp:rsid wsp:val=&quot;00683963&quot;/&gt;&lt;wsp:rsid wsp:val=&quot;00683AEF&quot;/&gt;&lt;wsp:rsid wsp:val=&quot;00684B76&quot;/&gt;&lt;wsp:rsid wsp:val=&quot;006850B0&quot;/&gt;&lt;wsp:rsid wsp:val=&quot;006922AD&quot;/&gt;&lt;wsp:rsid wsp:val=&quot;0069363B&quot;/&gt;&lt;wsp:rsid wsp:val=&quot;00696469&quot;/&gt;&lt;wsp:rsid wsp:val=&quot;00697D92&quot;/&gt;&lt;wsp:rsid wsp:val=&quot;006A2B7A&quot;/&gt;&lt;wsp:rsid wsp:val=&quot;006A2E94&quot;/&gt;&lt;wsp:rsid wsp:val=&quot;006A737D&quot;/&gt;&lt;wsp:rsid wsp:val=&quot;006A7D08&quot;/&gt;&lt;wsp:rsid wsp:val=&quot;006B2642&quot;/&gt;&lt;wsp:rsid wsp:val=&quot;006B2696&quot;/&gt;&lt;wsp:rsid wsp:val=&quot;006B29AD&quot;/&gt;&lt;wsp:rsid wsp:val=&quot;006B5C33&quot;/&gt;&lt;wsp:rsid wsp:val=&quot;006C088D&quot;/&gt;&lt;wsp:rsid wsp:val=&quot;006C1A11&quot;/&gt;&lt;wsp:rsid wsp:val=&quot;006C1B77&quot;/&gt;&lt;wsp:rsid wsp:val=&quot;006C1C42&quot;/&gt;&lt;wsp:rsid wsp:val=&quot;006C1D5A&quot;/&gt;&lt;wsp:rsid wsp:val=&quot;006C560D&quot;/&gt;&lt;wsp:rsid wsp:val=&quot;006C6328&quot;/&gt;&lt;wsp:rsid wsp:val=&quot;006C6710&quot;/&gt;&lt;wsp:rsid wsp:val=&quot;006D059D&quot;/&gt;&lt;wsp:rsid wsp:val=&quot;006D0DC4&quot;/&gt;&lt;wsp:rsid wsp:val=&quot;006D13D1&quot;/&gt;&lt;wsp:rsid wsp:val=&quot;006D278F&quot;/&gt;&lt;wsp:rsid wsp:val=&quot;006D3151&quot;/&gt;&lt;wsp:rsid wsp:val=&quot;006D47F9&quot;/&gt;&lt;wsp:rsid wsp:val=&quot;006D5126&quot;/&gt;&lt;wsp:rsid wsp:val=&quot;006D674C&quot;/&gt;&lt;wsp:rsid wsp:val=&quot;006D6A89&quot;/&gt;&lt;wsp:rsid wsp:val=&quot;006E4240&quot;/&gt;&lt;wsp:rsid wsp:val=&quot;006E7AA5&quot;/&gt;&lt;wsp:rsid wsp:val=&quot;006F230B&quot;/&gt;&lt;wsp:rsid wsp:val=&quot;007025FC&quot;/&gt;&lt;wsp:rsid wsp:val=&quot;00703529&quot;/&gt;&lt;wsp:rsid wsp:val=&quot;00703F92&quot;/&gt;&lt;wsp:rsid wsp:val=&quot;007052CF&quot;/&gt;&lt;wsp:rsid wsp:val=&quot;00706B59&quot;/&gt;&lt;wsp:rsid wsp:val=&quot;0070757A&quot;/&gt;&lt;wsp:rsid wsp:val=&quot;00710293&quot;/&gt;&lt;wsp:rsid wsp:val=&quot;00710B1C&quot;/&gt;&lt;wsp:rsid wsp:val=&quot;00711D5E&quot;/&gt;&lt;wsp:rsid wsp:val=&quot;007153E2&quot;/&gt;&lt;wsp:rsid wsp:val=&quot;00715FB5&quot;/&gt;&lt;wsp:rsid wsp:val=&quot;00717C96&quot;/&gt;&lt;wsp:rsid wsp:val=&quot;00721D17&quot;/&gt;&lt;wsp:rsid wsp:val=&quot;0072583B&quot;/&gt;&lt;wsp:rsid wsp:val=&quot;0072642B&quot;/&gt;&lt;wsp:rsid wsp:val=&quot;00732560&quot;/&gt;&lt;wsp:rsid wsp:val=&quot;00732BC1&quot;/&gt;&lt;wsp:rsid wsp:val=&quot;00734EFA&quot;/&gt;&lt;wsp:rsid wsp:val=&quot;00737368&quot;/&gt;&lt;wsp:rsid wsp:val=&quot;00737BCF&quot;/&gt;&lt;wsp:rsid wsp:val=&quot;007425CB&quot;/&gt;&lt;wsp:rsid wsp:val=&quot;0074445A&quot;/&gt;&lt;wsp:rsid wsp:val=&quot;00745E6F&quot;/&gt;&lt;wsp:rsid wsp:val=&quot;0074788C&quot;/&gt;&lt;wsp:rsid wsp:val=&quot;0075102A&quot;/&gt;&lt;wsp:rsid wsp:val=&quot;0075138A&quot;/&gt;&lt;wsp:rsid wsp:val=&quot;00751AFF&quot;/&gt;&lt;wsp:rsid wsp:val=&quot;007527E7&quot;/&gt;&lt;wsp:rsid wsp:val=&quot;0075310A&quot;/&gt;&lt;wsp:rsid wsp:val=&quot;00756968&quot;/&gt;&lt;wsp:rsid wsp:val=&quot;007571A3&quot;/&gt;&lt;wsp:rsid wsp:val=&quot;007571B8&quot;/&gt;&lt;wsp:rsid wsp:val=&quot;00757C93&quot;/&gt;&lt;wsp:rsid wsp:val=&quot;00761E06&quot;/&gt;&lt;wsp:rsid wsp:val=&quot;00763D7E&quot;/&gt;&lt;wsp:rsid wsp:val=&quot;00764CEB&quot;/&gt;&lt;wsp:rsid wsp:val=&quot;00764F69&quot;/&gt;&lt;wsp:rsid wsp:val=&quot;00765016&quot;/&gt;&lt;wsp:rsid wsp:val=&quot;007661AB&quot;/&gt;&lt;wsp:rsid wsp:val=&quot;007710A7&quot;/&gt;&lt;wsp:rsid wsp:val=&quot;00771B13&quot;/&gt;&lt;wsp:rsid wsp:val=&quot;00771BB5&quot;/&gt;&lt;wsp:rsid wsp:val=&quot;00773485&quot;/&gt;&lt;wsp:rsid wsp:val=&quot;00775569&quot;/&gt;&lt;wsp:rsid wsp:val=&quot;00780D63&quot;/&gt;&lt;wsp:rsid wsp:val=&quot;00781914&quot;/&gt;&lt;wsp:rsid wsp:val=&quot;00782C7B&quot;/&gt;&lt;wsp:rsid wsp:val=&quot;00782FFA&quot;/&gt;&lt;wsp:rsid wsp:val=&quot;00783516&quot;/&gt;&lt;wsp:rsid wsp:val=&quot;00784524&quot;/&gt;&lt;wsp:rsid wsp:val=&quot;00784C0D&quot;/&gt;&lt;wsp:rsid wsp:val=&quot;0078669F&quot;/&gt;&lt;wsp:rsid wsp:val=&quot;00786810&quot;/&gt;&lt;wsp:rsid wsp:val=&quot;00786A33&quot;/&gt;&lt;wsp:rsid wsp:val=&quot;007874C6&quot;/&gt;&lt;wsp:rsid wsp:val=&quot;00787599&quot;/&gt;&lt;wsp:rsid wsp:val=&quot;00790BE5&quot;/&gt;&lt;wsp:rsid wsp:val=&quot;00794D8E&quot;/&gt;&lt;wsp:rsid wsp:val=&quot;007A075E&quot;/&gt;&lt;wsp:rsid wsp:val=&quot;007A37E5&quot;/&gt;&lt;wsp:rsid wsp:val=&quot;007A41C8&quot;/&gt;&lt;wsp:rsid wsp:val=&quot;007B04C2&quot;/&gt;&lt;wsp:rsid wsp:val=&quot;007B1EEC&quot;/&gt;&lt;wsp:rsid wsp:val=&quot;007B26C8&quot;/&gt;&lt;wsp:rsid wsp:val=&quot;007B3619&quot;/&gt;&lt;wsp:rsid wsp:val=&quot;007B571E&quot;/&gt;&lt;wsp:rsid wsp:val=&quot;007B66C8&quot;/&gt;&lt;wsp:rsid wsp:val=&quot;007C0646&quot;/&gt;&lt;wsp:rsid wsp:val=&quot;007C221A&quot;/&gt;&lt;wsp:rsid wsp:val=&quot;007C36EA&quot;/&gt;&lt;wsp:rsid wsp:val=&quot;007C4694&quot;/&gt;&lt;wsp:rsid wsp:val=&quot;007C5109&quot;/&gt;&lt;wsp:rsid wsp:val=&quot;007C5138&quot;/&gt;&lt;wsp:rsid wsp:val=&quot;007C6F99&quot;/&gt;&lt;wsp:rsid wsp:val=&quot;007C7FDA&quot;/&gt;&lt;wsp:rsid wsp:val=&quot;007D25B0&quot;/&gt;&lt;wsp:rsid wsp:val=&quot;007D32D7&quot;/&gt;&lt;wsp:rsid wsp:val=&quot;007D3637&quot;/&gt;&lt;wsp:rsid wsp:val=&quot;007D36B1&quot;/&gt;&lt;wsp:rsid wsp:val=&quot;007D5B2B&quot;/&gt;&lt;wsp:rsid wsp:val=&quot;007D63EC&quot;/&gt;&lt;wsp:rsid wsp:val=&quot;007D7AE5&quot;/&gt;&lt;wsp:rsid wsp:val=&quot;007D7B29&quot;/&gt;&lt;wsp:rsid wsp:val=&quot;007D7C52&quot;/&gt;&lt;wsp:rsid wsp:val=&quot;007E0982&quot;/&gt;&lt;wsp:rsid wsp:val=&quot;007E09B2&quot;/&gt;&lt;wsp:rsid wsp:val=&quot;007E0C88&quot;/&gt;&lt;wsp:rsid wsp:val=&quot;007E43E2&quot;/&gt;&lt;wsp:rsid wsp:val=&quot;007E6527&quot;/&gt;&lt;wsp:rsid wsp:val=&quot;007E7440&quot;/&gt;&lt;wsp:rsid wsp:val=&quot;007E7D52&quot;/&gt;&lt;wsp:rsid wsp:val=&quot;007E7D58&quot;/&gt;&lt;wsp:rsid wsp:val=&quot;007F0E87&quot;/&gt;&lt;wsp:rsid wsp:val=&quot;007F2B93&quot;/&gt;&lt;wsp:rsid wsp:val=&quot;007F6004&quot;/&gt;&lt;wsp:rsid wsp:val=&quot;00804EFD&quot;/&gt;&lt;wsp:rsid wsp:val=&quot;00805711&quot;/&gt;&lt;wsp:rsid wsp:val=&quot;00807B76&quot;/&gt;&lt;wsp:rsid wsp:val=&quot;00810255&quot;/&gt;&lt;wsp:rsid wsp:val=&quot;0081189E&quot;/&gt;&lt;wsp:rsid wsp:val=&quot;00812CA5&quot;/&gt;&lt;wsp:rsid wsp:val=&quot;0081447F&quot;/&gt;&lt;wsp:rsid wsp:val=&quot;00814B22&quot;/&gt;&lt;wsp:rsid wsp:val=&quot;008158DF&quot;/&gt;&lt;wsp:rsid wsp:val=&quot;00817C32&quot;/&gt;&lt;wsp:rsid wsp:val=&quot;0082096C&quot;/&gt;&lt;wsp:rsid wsp:val=&quot;00826344&quot;/&gt;&lt;wsp:rsid wsp:val=&quot;0082714B&quot;/&gt;&lt;wsp:rsid wsp:val=&quot;00827BA4&quot;/&gt;&lt;wsp:rsid wsp:val=&quot;00835C6A&quot;/&gt;&lt;wsp:rsid wsp:val=&quot;008363E5&quot;/&gt;&lt;wsp:rsid wsp:val=&quot;00840668&quot;/&gt;&lt;wsp:rsid wsp:val=&quot;00840C78&quot;/&gt;&lt;wsp:rsid wsp:val=&quot;0084278D&quot;/&gt;&lt;wsp:rsid wsp:val=&quot;00846EC4&quot;/&gt;&lt;wsp:rsid wsp:val=&quot;00847610&quot;/&gt;&lt;wsp:rsid wsp:val=&quot;0085056C&quot;/&gt;&lt;wsp:rsid wsp:val=&quot;00850855&quot;/&gt;&lt;wsp:rsid wsp:val=&quot;00850B4F&quot;/&gt;&lt;wsp:rsid wsp:val=&quot;00853B9C&quot;/&gt;&lt;wsp:rsid wsp:val=&quot;00853D69&quot;/&gt;&lt;wsp:rsid wsp:val=&quot;00855A8E&quot;/&gt;&lt;wsp:rsid wsp:val=&quot;008625F5&quot;/&gt;&lt;wsp:rsid wsp:val=&quot;008626FD&quot;/&gt;&lt;wsp:rsid wsp:val=&quot;00863DBA&quot;/&gt;&lt;wsp:rsid wsp:val=&quot;008645C2&quot;/&gt;&lt;wsp:rsid wsp:val=&quot;00865316&quot;/&gt;&lt;wsp:rsid wsp:val=&quot;00866E96&quot;/&gt;&lt;wsp:rsid wsp:val=&quot;00867916&quot;/&gt;&lt;wsp:rsid wsp:val=&quot;00871AFB&quot;/&gt;&lt;wsp:rsid wsp:val=&quot;00871F05&quot;/&gt;&lt;wsp:rsid wsp:val=&quot;008762B6&quot;/&gt;&lt;wsp:rsid wsp:val=&quot;00876845&quot;/&gt;&lt;wsp:rsid wsp:val=&quot;00876916&quot;/&gt;&lt;wsp:rsid wsp:val=&quot;00877D6D&quot;/&gt;&lt;wsp:rsid wsp:val=&quot;00880089&quot;/&gt;&lt;wsp:rsid wsp:val=&quot;008805D6&quot;/&gt;&lt;wsp:rsid wsp:val=&quot;0088328D&quot;/&gt;&lt;wsp:rsid wsp:val=&quot;00884216&quot;/&gt;&lt;wsp:rsid wsp:val=&quot;008857D7&quot;/&gt;&lt;wsp:rsid wsp:val=&quot;00885D11&quot;/&gt;&lt;wsp:rsid wsp:val=&quot;0088606B&quot;/&gt;&lt;wsp:rsid wsp:val=&quot;00890FFD&quot;/&gt;&lt;wsp:rsid wsp:val=&quot;00891D7E&quot;/&gt;&lt;wsp:rsid wsp:val=&quot;00892BC0&quot;/&gt;&lt;wsp:rsid wsp:val=&quot;0089344A&quot;/&gt;&lt;wsp:rsid wsp:val=&quot;00894F34&quot;/&gt;&lt;wsp:rsid wsp:val=&quot;008958A8&quot;/&gt;&lt;wsp:rsid wsp:val=&quot;0089607B&quot;/&gt;&lt;wsp:rsid wsp:val=&quot;00897308&quot;/&gt;&lt;wsp:rsid wsp:val=&quot;008A2DD3&quot;/&gt;&lt;wsp:rsid wsp:val=&quot;008A30FA&quot;/&gt;&lt;wsp:rsid wsp:val=&quot;008A4F76&quot;/&gt;&lt;wsp:rsid wsp:val=&quot;008A645B&quot;/&gt;&lt;wsp:rsid wsp:val=&quot;008A70F0&quot;/&gt;&lt;wsp:rsid wsp:val=&quot;008B0F84&quot;/&gt;&lt;wsp:rsid wsp:val=&quot;008B141C&quot;/&gt;&lt;wsp:rsid wsp:val=&quot;008B2B71&quot;/&gt;&lt;wsp:rsid wsp:val=&quot;008B4AAC&quot;/&gt;&lt;wsp:rsid wsp:val=&quot;008B514C&quot;/&gt;&lt;wsp:rsid wsp:val=&quot;008B7F68&quot;/&gt;&lt;wsp:rsid wsp:val=&quot;008C0AC2&quot;/&gt;&lt;wsp:rsid wsp:val=&quot;008C1E29&quot;/&gt;&lt;wsp:rsid wsp:val=&quot;008C1F59&quot;/&gt;&lt;wsp:rsid wsp:val=&quot;008C25C2&quot;/&gt;&lt;wsp:rsid wsp:val=&quot;008C4A83&quot;/&gt;&lt;wsp:rsid wsp:val=&quot;008D1A94&quot;/&gt;&lt;wsp:rsid wsp:val=&quot;008D3E93&quot;/&gt;&lt;wsp:rsid wsp:val=&quot;008D7BC6&quot;/&gt;&lt;wsp:rsid wsp:val=&quot;008E00A3&quot;/&gt;&lt;wsp:rsid wsp:val=&quot;008E3729&quot;/&gt;&lt;wsp:rsid wsp:val=&quot;008E3BBA&quot;/&gt;&lt;wsp:rsid wsp:val=&quot;008E5794&quot;/&gt;&lt;wsp:rsid wsp:val=&quot;008E5D14&quot;/&gt;&lt;wsp:rsid wsp:val=&quot;008F04EC&quot;/&gt;&lt;wsp:rsid wsp:val=&quot;008F1CD8&quot;/&gt;&lt;wsp:rsid wsp:val=&quot;008F4C92&quot;/&gt;&lt;wsp:rsid wsp:val=&quot;008F708A&quot;/&gt;&lt;wsp:rsid wsp:val=&quot;008F7B11&quot;/&gt;&lt;wsp:rsid wsp:val=&quot;009000D8&quot;/&gt;&lt;wsp:rsid wsp:val=&quot;00900760&quot;/&gt;&lt;wsp:rsid wsp:val=&quot;0090162C&quot;/&gt;&lt;wsp:rsid wsp:val=&quot;009044F1&quot;/&gt;&lt;wsp:rsid wsp:val=&quot;009055B2&quot;/&gt;&lt;wsp:rsid wsp:val=&quot;009073A7&quot;/&gt;&lt;wsp:rsid wsp:val=&quot;00910F85&quot;/&gt;&lt;wsp:rsid wsp:val=&quot;009117AE&quot;/&gt;&lt;wsp:rsid wsp:val=&quot;00912162&quot;/&gt;&lt;wsp:rsid wsp:val=&quot;00913573&quot;/&gt;&lt;wsp:rsid wsp:val=&quot;009160A1&quot;/&gt;&lt;wsp:rsid wsp:val=&quot;00916CA5&quot;/&gt;&lt;wsp:rsid wsp:val=&quot;0091799A&quot;/&gt;&lt;wsp:rsid wsp:val=&quot;00917CF3&quot;/&gt;&lt;wsp:rsid wsp:val=&quot;00921D51&quot;/&gt;&lt;wsp:rsid wsp:val=&quot;00923759&quot;/&gt;&lt;wsp:rsid wsp:val=&quot;009302A6&quot;/&gt;&lt;wsp:rsid wsp:val=&quot;009309EC&quot;/&gt;&lt;wsp:rsid wsp:val=&quot;00930F35&quot;/&gt;&lt;wsp:rsid wsp:val=&quot;00933149&quot;/&gt;&lt;wsp:rsid wsp:val=&quot;00933C17&quot;/&gt;&lt;wsp:rsid wsp:val=&quot;009341EC&quot;/&gt;&lt;wsp:rsid wsp:val=&quot;009351D5&quot;/&gt;&lt;wsp:rsid wsp:val=&quot;009400CC&quot;/&gt;&lt;wsp:rsid wsp:val=&quot;009401FB&quot;/&gt;&lt;wsp:rsid wsp:val=&quot;00941224&quot;/&gt;&lt;wsp:rsid wsp:val=&quot;009435D9&quot;/&gt;&lt;wsp:rsid wsp:val=&quot;0094397A&quot;/&gt;&lt;wsp:rsid wsp:val=&quot;009527AE&quot;/&gt;&lt;wsp:rsid wsp:val=&quot;00952FB9&quot;/&gt;&lt;wsp:rsid wsp:val=&quot;009537F1&quot;/&gt;&lt;wsp:rsid wsp:val=&quot;00955200&quot;/&gt;&lt;wsp:rsid wsp:val=&quot;00955582&quot;/&gt;&lt;wsp:rsid wsp:val=&quot;00955ABC&quot;/&gt;&lt;wsp:rsid wsp:val=&quot;00963CCD&quot;/&gt;&lt;wsp:rsid wsp:val=&quot;00964422&quot;/&gt;&lt;wsp:rsid wsp:val=&quot;00965F68&quot;/&gt;&lt;wsp:rsid wsp:val=&quot;009700BB&quot;/&gt;&lt;wsp:rsid wsp:val=&quot;00970162&quot;/&gt;&lt;wsp:rsid wsp:val=&quot;0097109E&quot;/&gt;&lt;wsp:rsid wsp:val=&quot;0097532A&quot;/&gt;&lt;wsp:rsid wsp:val=&quot;009801BB&quot;/&gt;&lt;wsp:rsid wsp:val=&quot;00980F4C&quot;/&gt;&lt;wsp:rsid wsp:val=&quot;00982662&quot;/&gt;&lt;wsp:rsid wsp:val=&quot;00983818&quot;/&gt;&lt;wsp:rsid wsp:val=&quot;009839C8&quot;/&gt;&lt;wsp:rsid wsp:val=&quot;00983ED0&quot;/&gt;&lt;wsp:rsid wsp:val=&quot;00985231&quot;/&gt;&lt;wsp:rsid wsp:val=&quot;009859D5&quot;/&gt;&lt;wsp:rsid wsp:val=&quot;00987B5E&quot;/&gt;&lt;wsp:rsid wsp:val=&quot;00991E9A&quot;/&gt;&lt;wsp:rsid wsp:val=&quot;00993AC5&quot;/&gt;&lt;wsp:rsid wsp:val=&quot;00993CBB&quot;/&gt;&lt;wsp:rsid wsp:val=&quot;0099563F&quot;/&gt;&lt;wsp:rsid wsp:val=&quot;00996DA1&quot;/&gt;&lt;wsp:rsid wsp:val=&quot;009974E3&quot;/&gt;&lt;wsp:rsid wsp:val=&quot;009A5CBD&quot;/&gt;&lt;wsp:rsid wsp:val=&quot;009A6744&quot;/&gt;&lt;wsp:rsid wsp:val=&quot;009B008F&quot;/&gt;&lt;wsp:rsid wsp:val=&quot;009B4EF9&quot;/&gt;&lt;wsp:rsid wsp:val=&quot;009B6159&quot;/&gt;&lt;wsp:rsid wsp:val=&quot;009B6971&quot;/&gt;&lt;wsp:rsid wsp:val=&quot;009C24DF&quot;/&gt;&lt;wsp:rsid wsp:val=&quot;009C3FD2&quot;/&gt;&lt;wsp:rsid wsp:val=&quot;009C633B&quot;/&gt;&lt;wsp:rsid wsp:val=&quot;009C6B12&quot;/&gt;&lt;wsp:rsid wsp:val=&quot;009D00CC&quot;/&gt;&lt;wsp:rsid wsp:val=&quot;009D1304&quot;/&gt;&lt;wsp:rsid wsp:val=&quot;009D1C15&quot;/&gt;&lt;wsp:rsid wsp:val=&quot;009D229A&quot;/&gt;&lt;wsp:rsid wsp:val=&quot;009D3942&quot;/&gt;&lt;wsp:rsid wsp:val=&quot;009D3C1E&quot;/&gt;&lt;wsp:rsid wsp:val=&quot;009D4DCF&quot;/&gt;&lt;wsp:rsid wsp:val=&quot;009D4FE2&quot;/&gt;&lt;wsp:rsid wsp:val=&quot;009D520A&quot;/&gt;&lt;wsp:rsid wsp:val=&quot;009D5510&quot;/&gt;&lt;wsp:rsid wsp:val=&quot;009D6449&quot;/&gt;&lt;wsp:rsid wsp:val=&quot;009D66E7&quot;/&gt;&lt;wsp:rsid wsp:val=&quot;009D7454&quot;/&gt;&lt;wsp:rsid wsp:val=&quot;009E2AF4&quot;/&gt;&lt;wsp:rsid wsp:val=&quot;009E3838&quot;/&gt;&lt;wsp:rsid wsp:val=&quot;009E5B23&quot;/&gt;&lt;wsp:rsid wsp:val=&quot;009E7BE6&quot;/&gt;&lt;wsp:rsid wsp:val=&quot;009F058A&quot;/&gt;&lt;wsp:rsid wsp:val=&quot;009F1EC6&quot;/&gt;&lt;wsp:rsid wsp:val=&quot;009F5F19&quot;/&gt;&lt;wsp:rsid wsp:val=&quot;009F68AF&quot;/&gt;&lt;wsp:rsid wsp:val=&quot;00A009A6&quot;/&gt;&lt;wsp:rsid wsp:val=&quot;00A01EF8&quot;/&gt;&lt;wsp:rsid wsp:val=&quot;00A03986&quot;/&gt;&lt;wsp:rsid wsp:val=&quot;00A03B3D&quot;/&gt;&lt;wsp:rsid wsp:val=&quot;00A05867&quot;/&gt;&lt;wsp:rsid wsp:val=&quot;00A07DB6&quot;/&gt;&lt;wsp:rsid wsp:val=&quot;00A10653&quot;/&gt;&lt;wsp:rsid wsp:val=&quot;00A12D83&quot;/&gt;&lt;wsp:rsid wsp:val=&quot;00A145CA&quot;/&gt;&lt;wsp:rsid wsp:val=&quot;00A161F5&quot;/&gt;&lt;wsp:rsid wsp:val=&quot;00A17621&quot;/&gt;&lt;wsp:rsid wsp:val=&quot;00A17DCB&quot;/&gt;&lt;wsp:rsid wsp:val=&quot;00A2015C&quot;/&gt;&lt;wsp:rsid wsp:val=&quot;00A20560&quot;/&gt;&lt;wsp:rsid wsp:val=&quot;00A21643&quot;/&gt;&lt;wsp:rsid wsp:val=&quot;00A22BDC&quot;/&gt;&lt;wsp:rsid wsp:val=&quot;00A32097&quot;/&gt;&lt;wsp:rsid wsp:val=&quot;00A3248D&quot;/&gt;&lt;wsp:rsid wsp:val=&quot;00A344CC&quot;/&gt;&lt;wsp:rsid wsp:val=&quot;00A34DFF&quot;/&gt;&lt;wsp:rsid wsp:val=&quot;00A35505&quot;/&gt;&lt;wsp:rsid wsp:val=&quot;00A363AC&quot;/&gt;&lt;wsp:rsid wsp:val=&quot;00A363F5&quot;/&gt;&lt;wsp:rsid wsp:val=&quot;00A365C1&quot;/&gt;&lt;wsp:rsid wsp:val=&quot;00A3761D&quot;/&gt;&lt;wsp:rsid wsp:val=&quot;00A4272D&quot;/&gt;&lt;wsp:rsid wsp:val=&quot;00A476F6&quot;/&gt;&lt;wsp:rsid wsp:val=&quot;00A47EEF&quot;/&gt;&lt;wsp:rsid wsp:val=&quot;00A51F8A&quot;/&gt;&lt;wsp:rsid wsp:val=&quot;00A53464&quot;/&gt;&lt;wsp:rsid wsp:val=&quot;00A53C56&quot;/&gt;&lt;wsp:rsid wsp:val=&quot;00A547AF&quot;/&gt;&lt;wsp:rsid wsp:val=&quot;00A54B03&quot;/&gt;&lt;wsp:rsid wsp:val=&quot;00A552DD&quot;/&gt;&lt;wsp:rsid wsp:val=&quot;00A573F9&quot;/&gt;&lt;wsp:rsid wsp:val=&quot;00A57615&quot;/&gt;&lt;wsp:rsid wsp:val=&quot;00A578EC&quot;/&gt;&lt;wsp:rsid wsp:val=&quot;00A57B36&quot;/&gt;&lt;wsp:rsid wsp:val=&quot;00A60DA7&quot;/&gt;&lt;wsp:rsid wsp:val=&quot;00A613D6&quot;/&gt;&lt;wsp:rsid wsp:val=&quot;00A65A44&quot;/&gt;&lt;wsp:rsid wsp:val=&quot;00A65F7A&quot;/&gt;&lt;wsp:rsid wsp:val=&quot;00A66BD4&quot;/&gt;&lt;wsp:rsid wsp:val=&quot;00A6717A&quot;/&gt;&lt;wsp:rsid wsp:val=&quot;00A72134&quot;/&gt;&lt;wsp:rsid wsp:val=&quot;00A76115&quot;/&gt;&lt;wsp:rsid wsp:val=&quot;00A77718&quot;/&gt;&lt;wsp:rsid wsp:val=&quot;00A77A33&quot;/&gt;&lt;wsp:rsid wsp:val=&quot;00A80497&quot;/&gt;&lt;wsp:rsid wsp:val=&quot;00A80FA3&quot;/&gt;&lt;wsp:rsid wsp:val=&quot;00A81243&quot;/&gt;&lt;wsp:rsid wsp:val=&quot;00A8238D&quot;/&gt;&lt;wsp:rsid wsp:val=&quot;00A82CF6&quot;/&gt;&lt;wsp:rsid wsp:val=&quot;00A832EB&quot;/&gt;&lt;wsp:rsid wsp:val=&quot;00A8339C&quot;/&gt;&lt;wsp:rsid wsp:val=&quot;00A868DF&quot;/&gt;&lt;wsp:rsid wsp:val=&quot;00A8792A&quot;/&gt;&lt;wsp:rsid wsp:val=&quot;00A906B3&quot;/&gt;&lt;wsp:rsid wsp:val=&quot;00A92FBD&quot;/&gt;&lt;wsp:rsid wsp:val=&quot;00A93480&quot;/&gt;&lt;wsp:rsid wsp:val=&quot;00A943FC&quot;/&gt;&lt;wsp:rsid wsp:val=&quot;00A94A2D&quot;/&gt;&lt;wsp:rsid wsp:val=&quot;00A96216&quot;/&gt;&lt;wsp:rsid wsp:val=&quot;00A9692D&quot;/&gt;&lt;wsp:rsid wsp:val=&quot;00A96B39&quot;/&gt;&lt;wsp:rsid wsp:val=&quot;00A97117&quot;/&gt;&lt;wsp:rsid wsp:val=&quot;00AA0878&quot;/&gt;&lt;wsp:rsid wsp:val=&quot;00AA10A4&quot;/&gt;&lt;wsp:rsid wsp:val=&quot;00AA2A99&quot;/&gt;&lt;wsp:rsid wsp:val=&quot;00AA3578&quot;/&gt;&lt;wsp:rsid wsp:val=&quot;00AA3E81&quot;/&gt;&lt;wsp:rsid wsp:val=&quot;00AA498E&quot;/&gt;&lt;wsp:rsid wsp:val=&quot;00AA5980&quot;/&gt;&lt;wsp:rsid wsp:val=&quot;00AB0AE0&quot;/&gt;&lt;wsp:rsid wsp:val=&quot;00AB1B55&quot;/&gt;&lt;wsp:rsid wsp:val=&quot;00AB1E72&quot;/&gt;&lt;wsp:rsid wsp:val=&quot;00AB3151&quot;/&gt;&lt;wsp:rsid wsp:val=&quot;00AB3E53&quot;/&gt;&lt;wsp:rsid wsp:val=&quot;00AB686F&quot;/&gt;&lt;wsp:rsid wsp:val=&quot;00AB6D13&quot;/&gt;&lt;wsp:rsid wsp:val=&quot;00AC186A&quot;/&gt;&lt;wsp:rsid wsp:val=&quot;00AC186F&quot;/&gt;&lt;wsp:rsid wsp:val=&quot;00AC3582&quot;/&gt;&lt;wsp:rsid wsp:val=&quot;00AC3DEA&quot;/&gt;&lt;wsp:rsid wsp:val=&quot;00AC4CC6&quot;/&gt;&lt;wsp:rsid wsp:val=&quot;00AD02D6&quot;/&gt;&lt;wsp:rsid wsp:val=&quot;00AD10F5&quot;/&gt;&lt;wsp:rsid wsp:val=&quot;00AD1A3E&quot;/&gt;&lt;wsp:rsid wsp:val=&quot;00AD3BBB&quot;/&gt;&lt;wsp:rsid wsp:val=&quot;00AD4387&quot;/&gt;&lt;wsp:rsid wsp:val=&quot;00AD4F81&quot;/&gt;&lt;wsp:rsid wsp:val=&quot;00AD7B75&quot;/&gt;&lt;wsp:rsid wsp:val=&quot;00AE0839&quot;/&gt;&lt;wsp:rsid wsp:val=&quot;00AE11F2&quot;/&gt;&lt;wsp:rsid wsp:val=&quot;00AE530C&quot;/&gt;&lt;wsp:rsid wsp:val=&quot;00AE553D&quot;/&gt;&lt;wsp:rsid wsp:val=&quot;00AF0388&quot;/&gt;&lt;wsp:rsid wsp:val=&quot;00AF0439&quot;/&gt;&lt;wsp:rsid wsp:val=&quot;00AF09FF&quot;/&gt;&lt;wsp:rsid wsp:val=&quot;00AF29B1&quot;/&gt;&lt;wsp:rsid wsp:val=&quot;00AF417C&quot;/&gt;&lt;wsp:rsid wsp:val=&quot;00AF42F3&quot;/&gt;&lt;wsp:rsid wsp:val=&quot;00AF6401&quot;/&gt;&lt;wsp:rsid wsp:val=&quot;00AF652D&quot;/&gt;&lt;wsp:rsid wsp:val=&quot;00B01824&quot;/&gt;&lt;wsp:rsid wsp:val=&quot;00B01A13&quot;/&gt;&lt;wsp:rsid wsp:val=&quot;00B02105&quot;/&gt;&lt;wsp:rsid wsp:val=&quot;00B02EAC&quot;/&gt;&lt;wsp:rsid wsp:val=&quot;00B0317D&quot;/&gt;&lt;wsp:rsid wsp:val=&quot;00B031D9&quot;/&gt;&lt;wsp:rsid wsp:val=&quot;00B05A31&quot;/&gt;&lt;wsp:rsid wsp:val=&quot;00B060CB&quot;/&gt;&lt;wsp:rsid wsp:val=&quot;00B07BDE&quot;/&gt;&lt;wsp:rsid wsp:val=&quot;00B11AD1&quot;/&gt;&lt;wsp:rsid wsp:val=&quot;00B120A8&quot;/&gt;&lt;wsp:rsid wsp:val=&quot;00B15663&quot;/&gt;&lt;wsp:rsid wsp:val=&quot;00B16543&quot;/&gt;&lt;wsp:rsid wsp:val=&quot;00B217F7&quot;/&gt;&lt;wsp:rsid wsp:val=&quot;00B241B7&quot;/&gt;&lt;wsp:rsid wsp:val=&quot;00B24A3A&quot;/&gt;&lt;wsp:rsid wsp:val=&quot;00B25148&quot;/&gt;&lt;wsp:rsid wsp:val=&quot;00B25A71&quot;/&gt;&lt;wsp:rsid wsp:val=&quot;00B2756A&quot;/&gt;&lt;wsp:rsid wsp:val=&quot;00B32647&quot;/&gt;&lt;wsp:rsid wsp:val=&quot;00B32CF5&quot;/&gt;&lt;wsp:rsid wsp:val=&quot;00B32E69&quot;/&gt;&lt;wsp:rsid wsp:val=&quot;00B33C6B&quot;/&gt;&lt;wsp:rsid wsp:val=&quot;00B33E13&quot;/&gt;&lt;wsp:rsid wsp:val=&quot;00B348A4&quot;/&gt;&lt;wsp:rsid wsp:val=&quot;00B36E15&quot;/&gt;&lt;wsp:rsid wsp:val=&quot;00B403B1&quot;/&gt;&lt;wsp:rsid wsp:val=&quot;00B4369C&quot;/&gt;&lt;wsp:rsid wsp:val=&quot;00B45DA3&quot;/&gt;&lt;wsp:rsid wsp:val=&quot;00B465CE&quot;/&gt;&lt;wsp:rsid wsp:val=&quot;00B4685A&quot;/&gt;&lt;wsp:rsid wsp:val=&quot;00B468D2&quot;/&gt;&lt;wsp:rsid wsp:val=&quot;00B46DD6&quot;/&gt;&lt;wsp:rsid wsp:val=&quot;00B521CA&quot;/&gt;&lt;wsp:rsid wsp:val=&quot;00B54AB1&quot;/&gt;&lt;wsp:rsid wsp:val=&quot;00B55B7C&quot;/&gt;&lt;wsp:rsid wsp:val=&quot;00B56CFC&quot;/&gt;&lt;wsp:rsid wsp:val=&quot;00B57F91&quot;/&gt;&lt;wsp:rsid wsp:val=&quot;00B60A16&quot;/&gt;&lt;wsp:rsid wsp:val=&quot;00B60B1A&quot;/&gt;&lt;wsp:rsid wsp:val=&quot;00B612E1&quot;/&gt;&lt;wsp:rsid wsp:val=&quot;00B62125&quot;/&gt;&lt;wsp:rsid wsp:val=&quot;00B6286B&quot;/&gt;&lt;wsp:rsid wsp:val=&quot;00B629BE&quot;/&gt;&lt;wsp:rsid wsp:val=&quot;00B6414F&quot;/&gt;&lt;wsp:rsid wsp:val=&quot;00B67B16&quot;/&gt;&lt;wsp:rsid wsp:val=&quot;00B702A3&quot;/&gt;&lt;wsp:rsid wsp:val=&quot;00B7380C&quot;/&gt;&lt;wsp:rsid wsp:val=&quot;00B770D3&quot;/&gt;&lt;wsp:rsid wsp:val=&quot;00B770F5&quot;/&gt;&lt;wsp:rsid wsp:val=&quot;00B779E0&quot;/&gt;&lt;wsp:rsid wsp:val=&quot;00B77A2E&quot;/&gt;&lt;wsp:rsid wsp:val=&quot;00B8700C&quot;/&gt;&lt;wsp:rsid wsp:val=&quot;00B90B33&quot;/&gt;&lt;wsp:rsid wsp:val=&quot;00B91008&quot;/&gt;&lt;wsp:rsid wsp:val=&quot;00B9170F&quot;/&gt;&lt;wsp:rsid wsp:val=&quot;00B92A58&quot;/&gt;&lt;wsp:rsid wsp:val=&quot;00B931AD&quot;/&gt;&lt;wsp:rsid wsp:val=&quot;00B93592&quot;/&gt;&lt;wsp:rsid wsp:val=&quot;00B952AC&quot;/&gt;&lt;wsp:rsid wsp:val=&quot;00B95847&quot;/&gt;&lt;wsp:rsid wsp:val=&quot;00BA13DC&quot;/&gt;&lt;wsp:rsid wsp:val=&quot;00BA35AD&quot;/&gt;&lt;wsp:rsid wsp:val=&quot;00BA4B97&quot;/&gt;&lt;wsp:rsid wsp:val=&quot;00BA72F5&quot;/&gt;&lt;wsp:rsid wsp:val=&quot;00BA7F86&quot;/&gt;&lt;wsp:rsid wsp:val=&quot;00BB03AA&quot;/&gt;&lt;wsp:rsid wsp:val=&quot;00BB0E82&quot;/&gt;&lt;wsp:rsid wsp:val=&quot;00BB1192&quot;/&gt;&lt;wsp:rsid wsp:val=&quot;00BB3CC8&quot;/&gt;&lt;wsp:rsid wsp:val=&quot;00BB4F16&quot;/&gt;&lt;wsp:rsid wsp:val=&quot;00BB556D&quot;/&gt;&lt;wsp:rsid wsp:val=&quot;00BB7288&quot;/&gt;&lt;wsp:rsid wsp:val=&quot;00BC074E&quot;/&gt;&lt;wsp:rsid wsp:val=&quot;00BC2357&quot;/&gt;&lt;wsp:rsid wsp:val=&quot;00BC452C&quot;/&gt;&lt;wsp:rsid wsp:val=&quot;00BC4DA5&quot;/&gt;&lt;wsp:rsid wsp:val=&quot;00BC5129&quot;/&gt;&lt;wsp:rsid wsp:val=&quot;00BC6434&quot;/&gt;&lt;wsp:rsid wsp:val=&quot;00BC6B37&quot;/&gt;&lt;wsp:rsid wsp:val=&quot;00BC771A&quot;/&gt;&lt;wsp:rsid wsp:val=&quot;00BD30BC&quot;/&gt;&lt;wsp:rsid wsp:val=&quot;00BD3F7B&quot;/&gt;&lt;wsp:rsid wsp:val=&quot;00BD46CB&quot;/&gt;&lt;wsp:rsid wsp:val=&quot;00BD5EB4&quot;/&gt;&lt;wsp:rsid wsp:val=&quot;00BE5993&quot;/&gt;&lt;wsp:rsid wsp:val=&quot;00BF2D88&quot;/&gt;&lt;wsp:rsid wsp:val=&quot;00BF360B&quot;/&gt;&lt;wsp:rsid wsp:val=&quot;00BF3FB9&quot;/&gt;&lt;wsp:rsid wsp:val=&quot;00BF41AC&quot;/&gt;&lt;wsp:rsid wsp:val=&quot;00BF4367&quot;/&gt;&lt;wsp:rsid wsp:val=&quot;00BF5D07&quot;/&gt;&lt;wsp:rsid wsp:val=&quot;00BF6C56&quot;/&gt;&lt;wsp:rsid wsp:val=&quot;00C0037E&quot;/&gt;&lt;wsp:rsid wsp:val=&quot;00C023FB&quot;/&gt;&lt;wsp:rsid wsp:val=&quot;00C036FE&quot;/&gt;&lt;wsp:rsid wsp:val=&quot;00C05008&quot;/&gt;&lt;wsp:rsid wsp:val=&quot;00C053A5&quot;/&gt;&lt;wsp:rsid wsp:val=&quot;00C0588C&quot;/&gt;&lt;wsp:rsid wsp:val=&quot;00C14CDF&quot;/&gt;&lt;wsp:rsid wsp:val=&quot;00C16280&quot;/&gt;&lt;wsp:rsid wsp:val=&quot;00C21794&quot;/&gt;&lt;wsp:rsid wsp:val=&quot;00C218D2&quot;/&gt;&lt;wsp:rsid wsp:val=&quot;00C2274F&quot;/&gt;&lt;wsp:rsid wsp:val=&quot;00C27792&quot;/&gt;&lt;wsp:rsid wsp:val=&quot;00C278D9&quot;/&gt;&lt;wsp:rsid wsp:val=&quot;00C309E3&quot;/&gt;&lt;wsp:rsid wsp:val=&quot;00C322FA&quot;/&gt;&lt;wsp:rsid wsp:val=&quot;00C335E2&quot;/&gt;&lt;wsp:rsid wsp:val=&quot;00C34497&quot;/&gt;&lt;wsp:rsid wsp:val=&quot;00C400A1&quot;/&gt;&lt;wsp:rsid wsp:val=&quot;00C40B8D&quot;/&gt;&lt;wsp:rsid wsp:val=&quot;00C4217F&quot;/&gt;&lt;wsp:rsid wsp:val=&quot;00C43DBB&quot;/&gt;&lt;wsp:rsid wsp:val=&quot;00C44794&quot;/&gt;&lt;wsp:rsid wsp:val=&quot;00C46961&quot;/&gt;&lt;wsp:rsid wsp:val=&quot;00C472C3&quot;/&gt;&lt;wsp:rsid wsp:val=&quot;00C52019&quot;/&gt;&lt;wsp:rsid wsp:val=&quot;00C565AF&quot;/&gt;&lt;wsp:rsid wsp:val=&quot;00C5741E&quot;/&gt;&lt;wsp:rsid wsp:val=&quot;00C606B7&quot;/&gt;&lt;wsp:rsid wsp:val=&quot;00C61086&quot;/&gt;&lt;wsp:rsid wsp:val=&quot;00C64FE1&quot;/&gt;&lt;wsp:rsid wsp:val=&quot;00C656CF&quot;/&gt;&lt;wsp:rsid wsp:val=&quot;00C656D9&quot;/&gt;&lt;wsp:rsid wsp:val=&quot;00C6623F&quot;/&gt;&lt;wsp:rsid wsp:val=&quot;00C66D36&quot;/&gt;&lt;wsp:rsid wsp:val=&quot;00C67173&quot;/&gt;&lt;wsp:rsid wsp:val=&quot;00C713D2&quot;/&gt;&lt;wsp:rsid wsp:val=&quot;00C72244&quot;/&gt;&lt;wsp:rsid wsp:val=&quot;00C72B2F&quot;/&gt;&lt;wsp:rsid wsp:val=&quot;00C7476C&quot;/&gt;&lt;wsp:rsid wsp:val=&quot;00C76566&quot;/&gt;&lt;wsp:rsid wsp:val=&quot;00C766C9&quot;/&gt;&lt;wsp:rsid wsp:val=&quot;00C777B8&quot;/&gt;&lt;wsp:rsid wsp:val=&quot;00C803BA&quot;/&gt;&lt;wsp:rsid wsp:val=&quot;00C83C45&quot;/&gt;&lt;wsp:rsid wsp:val=&quot;00C83D5C&quot;/&gt;&lt;wsp:rsid wsp:val=&quot;00C84DDB&quot;/&gt;&lt;wsp:rsid wsp:val=&quot;00C85E05&quot;/&gt;&lt;wsp:rsid wsp:val=&quot;00C86B80&quot;/&gt;&lt;wsp:rsid wsp:val=&quot;00C86C2A&quot;/&gt;&lt;wsp:rsid wsp:val=&quot;00C86D5C&quot;/&gt;&lt;wsp:rsid wsp:val=&quot;00C90ABC&quot;/&gt;&lt;wsp:rsid wsp:val=&quot;00C9211A&quot;/&gt;&lt;wsp:rsid wsp:val=&quot;00C92306&quot;/&gt;&lt;wsp:rsid wsp:val=&quot;00C92F92&quot;/&gt;&lt;wsp:rsid wsp:val=&quot;00C9537D&quot;/&gt;&lt;wsp:rsid wsp:val=&quot;00C97C7C&quot;/&gt;&lt;wsp:rsid wsp:val=&quot;00CA1C09&quot;/&gt;&lt;wsp:rsid wsp:val=&quot;00CA329D&quot;/&gt;&lt;wsp:rsid wsp:val=&quot;00CA7BBE&quot;/&gt;&lt;wsp:rsid wsp:val=&quot;00CB0D69&quot;/&gt;&lt;wsp:rsid wsp:val=&quot;00CB0F82&quot;/&gt;&lt;wsp:rsid wsp:val=&quot;00CB3374&quot;/&gt;&lt;wsp:rsid wsp:val=&quot;00CB604A&quot;/&gt;&lt;wsp:rsid wsp:val=&quot;00CC467A&quot;/&gt;&lt;wsp:rsid wsp:val=&quot;00CC4B82&quot;/&gt;&lt;wsp:rsid wsp:val=&quot;00CC5256&quot;/&gt;&lt;wsp:rsid wsp:val=&quot;00CC7273&quot;/&gt;&lt;wsp:rsid wsp:val=&quot;00CD2183&quot;/&gt;&lt;wsp:rsid wsp:val=&quot;00CD23B6&quot;/&gt;&lt;wsp:rsid wsp:val=&quot;00CD2640&quot;/&gt;&lt;wsp:rsid wsp:val=&quot;00CD458F&quot;/&gt;&lt;wsp:rsid wsp:val=&quot;00CD6BFC&quot;/&gt;&lt;wsp:rsid wsp:val=&quot;00CE6CBC&quot;/&gt;&lt;wsp:rsid wsp:val=&quot;00CE7343&quot;/&gt;&lt;wsp:rsid wsp:val=&quot;00CF02DF&quot;/&gt;&lt;wsp:rsid wsp:val=&quot;00CF0421&quot;/&gt;&lt;wsp:rsid wsp:val=&quot;00CF11B8&quot;/&gt;&lt;wsp:rsid wsp:val=&quot;00CF36C3&quot;/&gt;&lt;wsp:rsid wsp:val=&quot;00CF50F5&quot;/&gt;&lt;wsp:rsid wsp:val=&quot;00CF65E3&quot;/&gt;&lt;wsp:rsid wsp:val=&quot;00D009A3&quot;/&gt;&lt;wsp:rsid wsp:val=&quot;00D0235F&quot;/&gt;&lt;wsp:rsid wsp:val=&quot;00D02716&quot;/&gt;&lt;wsp:rsid wsp:val=&quot;00D02B6A&quot;/&gt;&lt;wsp:rsid wsp:val=&quot;00D02E4B&quot;/&gt;&lt;wsp:rsid wsp:val=&quot;00D03F58&quot;/&gt;&lt;wsp:rsid wsp:val=&quot;00D04507&quot;/&gt;&lt;wsp:rsid wsp:val=&quot;00D0723F&quot;/&gt;&lt;wsp:rsid wsp:val=&quot;00D073B0&quot;/&gt;&lt;wsp:rsid wsp:val=&quot;00D11EFE&quot;/&gt;&lt;wsp:rsid wsp:val=&quot;00D12292&quot;/&gt;&lt;wsp:rsid wsp:val=&quot;00D14F97&quot;/&gt;&lt;wsp:rsid wsp:val=&quot;00D1576A&quot;/&gt;&lt;wsp:rsid wsp:val=&quot;00D15798&quot;/&gt;&lt;wsp:rsid wsp:val=&quot;00D15B8A&quot;/&gt;&lt;wsp:rsid wsp:val=&quot;00D21FF1&quot;/&gt;&lt;wsp:rsid wsp:val=&quot;00D226FC&quot;/&gt;&lt;wsp:rsid wsp:val=&quot;00D22FD9&quot;/&gt;&lt;wsp:rsid wsp:val=&quot;00D237CB&quot;/&gt;&lt;wsp:rsid wsp:val=&quot;00D23922&quot;/&gt;&lt;wsp:rsid wsp:val=&quot;00D23FF4&quot;/&gt;&lt;wsp:rsid wsp:val=&quot;00D25222&quot;/&gt;&lt;wsp:rsid wsp:val=&quot;00D26531&quot;/&gt;&lt;wsp:rsid wsp:val=&quot;00D27324&quot;/&gt;&lt;wsp:rsid wsp:val=&quot;00D30E11&quot;/&gt;&lt;wsp:rsid wsp:val=&quot;00D31757&quot;/&gt;&lt;wsp:rsid wsp:val=&quot;00D31BEE&quot;/&gt;&lt;wsp:rsid wsp:val=&quot;00D36106&quot;/&gt;&lt;wsp:rsid wsp:val=&quot;00D37662&quot;/&gt;&lt;wsp:rsid wsp:val=&quot;00D423F6&quot;/&gt;&lt;wsp:rsid wsp:val=&quot;00D44E0E&quot;/&gt;&lt;wsp:rsid wsp:val=&quot;00D45623&quot;/&gt;&lt;wsp:rsid wsp:val=&quot;00D456B3&quot;/&gt;&lt;wsp:rsid wsp:val=&quot;00D4784A&quot;/&gt;&lt;wsp:rsid wsp:val=&quot;00D501DF&quot;/&gt;&lt;wsp:rsid wsp:val=&quot;00D506F4&quot;/&gt;&lt;wsp:rsid wsp:val=&quot;00D50AD1&quot;/&gt;&lt;wsp:rsid wsp:val=&quot;00D50E26&quot;/&gt;&lt;wsp:rsid wsp:val=&quot;00D52D5D&quot;/&gt;&lt;wsp:rsid wsp:val=&quot;00D53837&quot;/&gt;&lt;wsp:rsid wsp:val=&quot;00D54826&quot;/&gt;&lt;wsp:rsid wsp:val=&quot;00D55826&quot;/&gt;&lt;wsp:rsid wsp:val=&quot;00D60120&quot;/&gt;&lt;wsp:rsid wsp:val=&quot;00D625C2&quot;/&gt;&lt;wsp:rsid wsp:val=&quot;00D63429&quot;/&gt;&lt;wsp:rsid wsp:val=&quot;00D6445A&quot;/&gt;&lt;wsp:rsid wsp:val=&quot;00D656EB&quot;/&gt;&lt;wsp:rsid wsp:val=&quot;00D658FD&quot;/&gt;&lt;wsp:rsid wsp:val=&quot;00D660B1&quot;/&gt;&lt;wsp:rsid wsp:val=&quot;00D7210F&quot;/&gt;&lt;wsp:rsid wsp:val=&quot;00D76007&quot;/&gt;&lt;wsp:rsid wsp:val=&quot;00D76905&quot;/&gt;&lt;wsp:rsid wsp:val=&quot;00D82888&quot;/&gt;&lt;wsp:rsid wsp:val=&quot;00D83B29&quot;/&gt;&lt;wsp:rsid wsp:val=&quot;00D841E4&quot;/&gt;&lt;wsp:rsid wsp:val=&quot;00D8425C&quot;/&gt;&lt;wsp:rsid wsp:val=&quot;00D856A7&quot;/&gt;&lt;wsp:rsid wsp:val=&quot;00D86CB8&quot;/&gt;&lt;wsp:rsid wsp:val=&quot;00D8714D&quot;/&gt;&lt;wsp:rsid wsp:val=&quot;00D877FA&quot;/&gt;&lt;wsp:rsid wsp:val=&quot;00D901B1&quot;/&gt;&lt;wsp:rsid wsp:val=&quot;00D90DDC&quot;/&gt;&lt;wsp:rsid wsp:val=&quot;00D91A86&quot;/&gt;&lt;wsp:rsid wsp:val=&quot;00D93A1A&quot;/&gt;&lt;wsp:rsid wsp:val=&quot;00D960F1&quot;/&gt;&lt;wsp:rsid wsp:val=&quot;00DA02FC&quot;/&gt;&lt;wsp:rsid wsp:val=&quot;00DA082B&quot;/&gt;&lt;wsp:rsid wsp:val=&quot;00DA261F&quot;/&gt;&lt;wsp:rsid wsp:val=&quot;00DA298F&quot;/&gt;&lt;wsp:rsid wsp:val=&quot;00DA36ED&quot;/&gt;&lt;wsp:rsid wsp:val=&quot;00DA67F6&quot;/&gt;&lt;wsp:rsid wsp:val=&quot;00DA743E&quot;/&gt;&lt;wsp:rsid wsp:val=&quot;00DB00DB&quot;/&gt;&lt;wsp:rsid wsp:val=&quot;00DB0FC5&quot;/&gt;&lt;wsp:rsid wsp:val=&quot;00DB460E&quot;/&gt;&lt;wsp:rsid wsp:val=&quot;00DB5370&quot;/&gt;&lt;wsp:rsid wsp:val=&quot;00DB5484&quot;/&gt;&lt;wsp:rsid wsp:val=&quot;00DB6C5B&quot;/&gt;&lt;wsp:rsid wsp:val=&quot;00DC0D87&quot;/&gt;&lt;wsp:rsid wsp:val=&quot;00DC155C&quot;/&gt;&lt;wsp:rsid wsp:val=&quot;00DC19FC&quot;/&gt;&lt;wsp:rsid wsp:val=&quot;00DC23D8&quot;/&gt;&lt;wsp:rsid wsp:val=&quot;00DC2D4D&quot;/&gt;&lt;wsp:rsid wsp:val=&quot;00DC3CB1&quot;/&gt;&lt;wsp:rsid wsp:val=&quot;00DC3DC6&quot;/&gt;&lt;wsp:rsid wsp:val=&quot;00DC522B&quot;/&gt;&lt;wsp:rsid wsp:val=&quot;00DC6E14&quot;/&gt;&lt;wsp:rsid wsp:val=&quot;00DD0574&quot;/&gt;&lt;wsp:rsid wsp:val=&quot;00DD3A7C&quot;/&gt;&lt;wsp:rsid wsp:val=&quot;00DD4877&quot;/&gt;&lt;wsp:rsid wsp:val=&quot;00DE1496&quot;/&gt;&lt;wsp:rsid wsp:val=&quot;00DE454E&quot;/&gt;&lt;wsp:rsid wsp:val=&quot;00DE5CC3&quot;/&gt;&lt;wsp:rsid wsp:val=&quot;00DE7FC2&quot;/&gt;&lt;wsp:rsid wsp:val=&quot;00DF2B7E&quot;/&gt;&lt;wsp:rsid wsp:val=&quot;00DF2C8C&quot;/&gt;&lt;wsp:rsid wsp:val=&quot;00DF31FF&quot;/&gt;&lt;wsp:rsid wsp:val=&quot;00DF3B66&quot;/&gt;&lt;wsp:rsid wsp:val=&quot;00DF58E4&quot;/&gt;&lt;wsp:rsid wsp:val=&quot;00DF5D77&quot;/&gt;&lt;wsp:rsid wsp:val=&quot;00DF5FC2&quot;/&gt;&lt;wsp:rsid wsp:val=&quot;00DF62E0&quot;/&gt;&lt;wsp:rsid wsp:val=&quot;00DF7307&quot;/&gt;&lt;wsp:rsid wsp:val=&quot;00E00578&quot;/&gt;&lt;wsp:rsid wsp:val=&quot;00E017D0&quot;/&gt;&lt;wsp:rsid wsp:val=&quot;00E017F2&quot;/&gt;&lt;wsp:rsid wsp:val=&quot;00E0344F&quot;/&gt;&lt;wsp:rsid wsp:val=&quot;00E03B97&quot;/&gt;&lt;wsp:rsid wsp:val=&quot;00E0575F&quot;/&gt;&lt;wsp:rsid wsp:val=&quot;00E11E3B&quot;/&gt;&lt;wsp:rsid wsp:val=&quot;00E11F8E&quot;/&gt;&lt;wsp:rsid wsp:val=&quot;00E15B72&quot;/&gt;&lt;wsp:rsid wsp:val=&quot;00E163D8&quot;/&gt;&lt;wsp:rsid wsp:val=&quot;00E16885&quot;/&gt;&lt;wsp:rsid wsp:val=&quot;00E20135&quot;/&gt;&lt;wsp:rsid wsp:val=&quot;00E20D23&quot;/&gt;&lt;wsp:rsid wsp:val=&quot;00E2142F&quot;/&gt;&lt;wsp:rsid wsp:val=&quot;00E22E8F&quot;/&gt;&lt;wsp:rsid wsp:val=&quot;00E30E1A&quot;/&gt;&lt;wsp:rsid wsp:val=&quot;00E37014&quot;/&gt;&lt;wsp:rsid wsp:val=&quot;00E40E37&quot;/&gt;&lt;wsp:rsid wsp:val=&quot;00E43641&quot;/&gt;&lt;wsp:rsid wsp:val=&quot;00E44851&quot;/&gt;&lt;wsp:rsid wsp:val=&quot;00E451FC&quot;/&gt;&lt;wsp:rsid wsp:val=&quot;00E46B29&quot;/&gt;&lt;wsp:rsid wsp:val=&quot;00E47E6E&quot;/&gt;&lt;wsp:rsid wsp:val=&quot;00E50EAB&quot;/&gt;&lt;wsp:rsid wsp:val=&quot;00E522AC&quot;/&gt;&lt;wsp:rsid wsp:val=&quot;00E6021E&quot;/&gt;&lt;wsp:rsid wsp:val=&quot;00E61130&quot;/&gt;&lt;wsp:rsid wsp:val=&quot;00E62435&quot;/&gt;&lt;wsp:rsid wsp:val=&quot;00E63ABD&quot;/&gt;&lt;wsp:rsid wsp:val=&quot;00E65A93&quot;/&gt;&lt;wsp:rsid wsp:val=&quot;00E66293&quot;/&gt;&lt;wsp:rsid wsp:val=&quot;00E66CED&quot;/&gt;&lt;wsp:rsid wsp:val=&quot;00E670D3&quot;/&gt;&lt;wsp:rsid wsp:val=&quot;00E67A85&quot;/&gt;&lt;wsp:rsid wsp:val=&quot;00E70C0D&quot;/&gt;&lt;wsp:rsid wsp:val=&quot;00E71788&quot;/&gt;&lt;wsp:rsid wsp:val=&quot;00E753B5&quot;/&gt;&lt;wsp:rsid wsp:val=&quot;00E75D83&quot;/&gt;&lt;wsp:rsid wsp:val=&quot;00E76935&quot;/&gt;&lt;wsp:rsid wsp:val=&quot;00E77493&quot;/&gt;&lt;wsp:rsid wsp:val=&quot;00E80268&quot;/&gt;&lt;wsp:rsid wsp:val=&quot;00E828A7&quot;/&gt;&lt;wsp:rsid wsp:val=&quot;00E82FC8&quot;/&gt;&lt;wsp:rsid wsp:val=&quot;00E84915&quot;/&gt;&lt;wsp:rsid wsp:val=&quot;00E84F48&quot;/&gt;&lt;wsp:rsid wsp:val=&quot;00E869BA&quot;/&gt;&lt;wsp:rsid wsp:val=&quot;00E90ADF&quot;/&gt;&lt;wsp:rsid wsp:val=&quot;00E91A67&quot;/&gt;&lt;wsp:rsid wsp:val=&quot;00E938F2&quot;/&gt;&lt;wsp:rsid wsp:val=&quot;00E955F1&quot;/&gt;&lt;wsp:rsid wsp:val=&quot;00E9703B&quot;/&gt;&lt;wsp:rsid wsp:val=&quot;00EA0F57&quot;/&gt;&lt;wsp:rsid wsp:val=&quot;00EA10C1&quot;/&gt;&lt;wsp:rsid wsp:val=&quot;00EA267E&quot;/&gt;&lt;wsp:rsid wsp:val=&quot;00EA2F46&quot;/&gt;&lt;wsp:rsid wsp:val=&quot;00EA3188&quot;/&gt;&lt;wsp:rsid wsp:val=&quot;00EA4FE4&quot;/&gt;&lt;wsp:rsid wsp:val=&quot;00EA59D2&quot;/&gt;&lt;wsp:rsid wsp:val=&quot;00EA5FD2&quot;/&gt;&lt;wsp:rsid wsp:val=&quot;00EA6391&quot;/&gt;&lt;wsp:rsid wsp:val=&quot;00EA7A47&quot;/&gt;&lt;wsp:rsid wsp:val=&quot;00EA7D70&quot;/&gt;&lt;wsp:rsid wsp:val=&quot;00EB0413&quot;/&gt;&lt;wsp:rsid wsp:val=&quot;00EB18DA&quot;/&gt;&lt;wsp:rsid wsp:val=&quot;00EB2EC8&quot;/&gt;&lt;wsp:rsid wsp:val=&quot;00EB3D85&quot;/&gt;&lt;wsp:rsid wsp:val=&quot;00EB4ABA&quot;/&gt;&lt;wsp:rsid wsp:val=&quot;00EB6CD2&quot;/&gt;&lt;wsp:rsid wsp:val=&quot;00EC0E49&quot;/&gt;&lt;wsp:rsid wsp:val=&quot;00EC2549&quot;/&gt;&lt;wsp:rsid wsp:val=&quot;00EC2B62&quot;/&gt;&lt;wsp:rsid wsp:val=&quot;00EC5437&quot;/&gt;&lt;wsp:rsid wsp:val=&quot;00EC6F5F&quot;/&gt;&lt;wsp:rsid wsp:val=&quot;00EC6FD8&quot;/&gt;&lt;wsp:rsid wsp:val=&quot;00EC7A43&quot;/&gt;&lt;wsp:rsid wsp:val=&quot;00ED48C3&quot;/&gt;&lt;wsp:rsid wsp:val=&quot;00ED60C3&quot;/&gt;&lt;wsp:rsid wsp:val=&quot;00ED7FB5&quot;/&gt;&lt;wsp:rsid wsp:val=&quot;00EE11F6&quot;/&gt;&lt;wsp:rsid wsp:val=&quot;00EE1649&quot;/&gt;&lt;wsp:rsid wsp:val=&quot;00EE2BE5&quot;/&gt;&lt;wsp:rsid wsp:val=&quot;00EE2EC2&quot;/&gt;&lt;wsp:rsid wsp:val=&quot;00EE352E&quot;/&gt;&lt;wsp:rsid wsp:val=&quot;00EE43C0&quot;/&gt;&lt;wsp:rsid wsp:val=&quot;00EE51A1&quot;/&gt;&lt;wsp:rsid wsp:val=&quot;00EE5B4E&quot;/&gt;&lt;wsp:rsid wsp:val=&quot;00EE74E5&quot;/&gt;&lt;wsp:rsid wsp:val=&quot;00EF0ED4&quot;/&gt;&lt;wsp:rsid wsp:val=&quot;00EF1032&quot;/&gt;&lt;wsp:rsid wsp:val=&quot;00EF147F&quot;/&gt;&lt;wsp:rsid wsp:val=&quot;00EF23CC&quot;/&gt;&lt;wsp:rsid wsp:val=&quot;00EF38DE&quot;/&gt;&lt;wsp:rsid wsp:val=&quot;00EF51A1&quot;/&gt;&lt;wsp:rsid wsp:val=&quot;00EF6FAB&quot;/&gt;&lt;wsp:rsid wsp:val=&quot;00F00425&quot;/&gt;&lt;wsp:rsid wsp:val=&quot;00F0167F&quot;/&gt;&lt;wsp:rsid wsp:val=&quot;00F01BD6&quot;/&gt;&lt;wsp:rsid wsp:val=&quot;00F0514C&quot;/&gt;&lt;wsp:rsid wsp:val=&quot;00F06CE8&quot;/&gt;&lt;wsp:rsid wsp:val=&quot;00F14A8D&quot;/&gt;&lt;wsp:rsid wsp:val=&quot;00F15275&quot;/&gt;&lt;wsp:rsid wsp:val=&quot;00F171FD&quot;/&gt;&lt;wsp:rsid wsp:val=&quot;00F17A29&quot;/&gt;&lt;wsp:rsid wsp:val=&quot;00F20F39&quot;/&gt;&lt;wsp:rsid wsp:val=&quot;00F2213B&quot;/&gt;&lt;wsp:rsid wsp:val=&quot;00F25C8F&quot;/&gt;&lt;wsp:rsid wsp:val=&quot;00F27809&quot;/&gt;&lt;wsp:rsid wsp:val=&quot;00F312FB&quot;/&gt;&lt;wsp:rsid wsp:val=&quot;00F329E5&quot;/&gt;&lt;wsp:rsid wsp:val=&quot;00F340B6&quot;/&gt;&lt;wsp:rsid wsp:val=&quot;00F36BD6&quot;/&gt;&lt;wsp:rsid wsp:val=&quot;00F40E20&quot;/&gt;&lt;wsp:rsid wsp:val=&quot;00F42299&quot;/&gt;&lt;wsp:rsid wsp:val=&quot;00F43ACF&quot;/&gt;&lt;wsp:rsid wsp:val=&quot;00F43CA0&quot;/&gt;&lt;wsp:rsid wsp:val=&quot;00F4479D&quot;/&gt;&lt;wsp:rsid wsp:val=&quot;00F44B83&quot;/&gt;&lt;wsp:rsid wsp:val=&quot;00F51DCB&quot;/&gt;&lt;wsp:rsid wsp:val=&quot;00F51DD6&quot;/&gt;&lt;wsp:rsid wsp:val=&quot;00F51F67&quot;/&gt;&lt;wsp:rsid wsp:val=&quot;00F520E6&quot;/&gt;&lt;wsp:rsid wsp:val=&quot;00F52335&quot;/&gt;&lt;wsp:rsid wsp:val=&quot;00F5234A&quot;/&gt;&lt;wsp:rsid wsp:val=&quot;00F524E8&quot;/&gt;&lt;wsp:rsid wsp:val=&quot;00F5673B&quot;/&gt;&lt;wsp:rsid wsp:val=&quot;00F57380&quot;/&gt;&lt;wsp:rsid wsp:val=&quot;00F60143&quot;/&gt;&lt;wsp:rsid wsp:val=&quot;00F60F5F&quot;/&gt;&lt;wsp:rsid wsp:val=&quot;00F6149A&quot;/&gt;&lt;wsp:rsid wsp:val=&quot;00F61705&quot;/&gt;&lt;wsp:rsid wsp:val=&quot;00F628CA&quot;/&gt;&lt;wsp:rsid wsp:val=&quot;00F630E2&quot;/&gt;&lt;wsp:rsid wsp:val=&quot;00F6359B&quot;/&gt;&lt;wsp:rsid wsp:val=&quot;00F636FB&quot;/&gt;&lt;wsp:rsid wsp:val=&quot;00F65AE1&quot;/&gt;&lt;wsp:rsid wsp:val=&quot;00F65D8F&quot;/&gt;&lt;wsp:rsid wsp:val=&quot;00F661ED&quot;/&gt;&lt;wsp:rsid wsp:val=&quot;00F7025C&quot;/&gt;&lt;wsp:rsid wsp:val=&quot;00F708DD&quot;/&gt;&lt;wsp:rsid wsp:val=&quot;00F72351&quot;/&gt;&lt;wsp:rsid wsp:val=&quot;00F73AF4&quot;/&gt;&lt;wsp:rsid wsp:val=&quot;00F73E66&quot;/&gt;&lt;wsp:rsid wsp:val=&quot;00F742B4&quot;/&gt;&lt;wsp:rsid wsp:val=&quot;00F74E83&quot;/&gt;&lt;wsp:rsid wsp:val=&quot;00F815B9&quot;/&gt;&lt;wsp:rsid wsp:val=&quot;00F821A2&quot;/&gt;&lt;wsp:rsid wsp:val=&quot;00F825CA&quot;/&gt;&lt;wsp:rsid wsp:val=&quot;00F8426D&quot;/&gt;&lt;wsp:rsid wsp:val=&quot;00F85417&quot;/&gt;&lt;wsp:rsid wsp:val=&quot;00F86807&quot;/&gt;&lt;wsp:rsid wsp:val=&quot;00F86D78&quot;/&gt;&lt;wsp:rsid wsp:val=&quot;00F86F46&quot;/&gt;&lt;wsp:rsid wsp:val=&quot;00F874CF&quot;/&gt;&lt;wsp:rsid wsp:val=&quot;00F87727&quot;/&gt;&lt;wsp:rsid wsp:val=&quot;00F916D9&quot;/&gt;&lt;wsp:rsid wsp:val=&quot;00F92029&quot;/&gt;&lt;wsp:rsid wsp:val=&quot;00F928E9&quot;/&gt;&lt;wsp:rsid wsp:val=&quot;00F938CA&quot;/&gt;&lt;wsp:rsid wsp:val=&quot;00F95808&quot;/&gt;&lt;wsp:rsid wsp:val=&quot;00F95C3C&quot;/&gt;&lt;wsp:rsid wsp:val=&quot;00F95EED&quot;/&gt;&lt;wsp:rsid wsp:val=&quot;00F95FA7&quot;/&gt;&lt;wsp:rsid wsp:val=&quot;00F965AC&quot;/&gt;&lt;wsp:rsid wsp:val=&quot;00F9746A&quot;/&gt;&lt;wsp:rsid wsp:val=&quot;00FA16FF&quot;/&gt;&lt;wsp:rsid wsp:val=&quot;00FA2510&quot;/&gt;&lt;wsp:rsid wsp:val=&quot;00FA4339&quot;/&gt;&lt;wsp:rsid wsp:val=&quot;00FA764B&quot;/&gt;&lt;wsp:rsid wsp:val=&quot;00FB0812&quot;/&gt;&lt;wsp:rsid wsp:val=&quot;00FB0BE1&quot;/&gt;&lt;wsp:rsid wsp:val=&quot;00FB3B7A&quot;/&gt;&lt;wsp:rsid wsp:val=&quot;00FB5B44&quot;/&gt;&lt;wsp:rsid wsp:val=&quot;00FC08C0&quot;/&gt;&lt;wsp:rsid wsp:val=&quot;00FC142B&quot;/&gt;&lt;wsp:rsid wsp:val=&quot;00FC3070&quot;/&gt;&lt;wsp:rsid wsp:val=&quot;00FC394F&quot;/&gt;&lt;wsp:rsid wsp:val=&quot;00FC4616&quot;/&gt;&lt;wsp:rsid wsp:val=&quot;00FC4895&quot;/&gt;&lt;wsp:rsid wsp:val=&quot;00FC64A0&quot;/&gt;&lt;wsp:rsid wsp:val=&quot;00FC6724&quot;/&gt;&lt;wsp:rsid wsp:val=&quot;00FC67C5&quot;/&gt;&lt;wsp:rsid wsp:val=&quot;00FC736C&quot;/&gt;&lt;wsp:rsid wsp:val=&quot;00FC7F08&quot;/&gt;&lt;wsp:rsid wsp:val=&quot;00FD2571&quot;/&gt;&lt;wsp:rsid wsp:val=&quot;00FD6F91&quot;/&gt;&lt;wsp:rsid wsp:val=&quot;00FD72EB&quot;/&gt;&lt;wsp:rsid wsp:val=&quot;00FD7511&quot;/&gt;&lt;wsp:rsid wsp:val=&quot;00FE0173&quot;/&gt;&lt;wsp:rsid wsp:val=&quot;00FE479D&quot;/&gt;&lt;wsp:rsid wsp:val=&quot;00FE4B48&quot;/&gt;&lt;wsp:rsid wsp:val=&quot;00FF0E9F&quot;/&gt;&lt;wsp:rsid wsp:val=&quot;00FF3372&quot;/&gt;&lt;wsp:rsid wsp:val=&quot;00FF43D6&quot;/&gt;&lt;wsp:rsid wsp:val=&quot;00FF5E8D&quot;/&gt;&lt;wsp:rsid wsp:val=&quot;00FF6149&quot;/&gt;&lt;wsp:rsid wsp:val=&quot;00FF634E&quot;/&gt;&lt;wsp:rsid wsp:val=&quot;00FF6458&quot;/&gt;&lt;/wsp:rsids&gt;&lt;/w:docPr&gt;&lt;w:body&gt;&lt;wx:sect&gt;&lt;w:p wsp:rsidR=&quot;00000000&quot; wsp:rsidRDefault=&quot;001B5A60&quot; wsp:rsidP=&quot;001B5A60&quot;&gt;&lt;m:oMathPara&gt;&lt;m:oMath&gt;&lt;m:acc&gt;&lt;m:accPr&gt;&lt;m:chr m:val=&quot;̅&quot;/&gt;&lt;m:ctrlPr&gt;&lt;aml:annotation aml:id=&quot;0&quot; w:type=&quot;Word.Insertion&quot; aml:author=&quot;孔珍珍&quot; aml:createdate=&quot;2016-03-22T19:42:00Z&quot;&gt;&lt;aml:content&gt;&lt;w:rPr&gt;&lt;w:rFonts w:ascii=&quot;Cambria Math&quot; w:fareast=&quot;宋体&quot; w:h-ansi=&quot;Cambria Math&quot;/&gt;&lt;wx:font wx:val=&quot;Cambria Math&quot;/&gt;&lt;w:sz w:val=&quot;24&quot;/&gt;&lt;/w:rPr&gt;&lt;/aml:content&gt;&lt;/aml:annotation&gt;&lt;/m:ctrlPr&gt;&lt;/m:accPr&gt;&lt;m:e&gt;&lt;m:r&gt;&lt;aml:annotation aml:id=&quot;1&quot; w:type=&quot;Word.Insertion&quot; aml:author=&quot;孔珍珍&quot; aml:createdate=&quot;2016-03-22T19:42:00Z&quot;&gt;&lt;aml:content&gt;&lt;w:rPr&gt;&lt;w:rFonts w:ascii=&quot;Cambria Math&quot; w:fareast=&quot;宋体&quot; w:h-ansi=&quot;Cambria Math&quot;/&gt;&lt;wx:font wx:val=&quot;Cambria Math&quot;/&gt;&lt;w:i/&gt;&lt;w:sz w:val=&quot;24&quot;/&gt;&lt;/w:rPr&gt;&lt;m:t&gt;P&lt;/m:t&gt;&lt;/aml:content&gt;&lt;/aml:annotation&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2" chromakey="#FFFFFF" o:title=""/>
            <o:lock v:ext="edit" aspectratio="t"/>
            <w10:wrap type="none"/>
            <w10:anchorlock/>
          </v:shape>
        </w:pict>
      </w:r>
      <w:r>
        <w:rPr>
          <w:rFonts w:ascii="宋体" w:hAnsi="宋体" w:eastAsia="宋体" w:cs="Times New Roman"/>
          <w:color w:val="auto"/>
          <w:sz w:val="24"/>
          <w:szCs w:val="24"/>
          <w:highlight w:val="none"/>
        </w:rPr>
        <w:instrText xml:space="preserve"> </w:instrText>
      </w:r>
      <w:r>
        <w:rPr>
          <w:rFonts w:ascii="宋体" w:hAnsi="宋体" w:eastAsia="宋体" w:cs="Times New Roman"/>
          <w:color w:val="auto"/>
          <w:sz w:val="24"/>
          <w:szCs w:val="24"/>
          <w:highlight w:val="none"/>
        </w:rPr>
        <w:fldChar w:fldCharType="separate"/>
      </w:r>
      <w:r>
        <w:rPr>
          <w:rFonts w:ascii="宋体" w:hAnsi="宋体" w:eastAsia="宋体" w:cs="Times New Roman"/>
          <w:color w:val="auto"/>
          <w:sz w:val="24"/>
          <w:szCs w:val="24"/>
          <w:highlight w:val="none"/>
        </w:rPr>
        <w:fldChar w:fldCharType="end"/>
      </w:r>
      <w:r>
        <w:rPr>
          <w:rFonts w:hint="eastAsia" w:ascii="宋体" w:hAnsi="宋体" w:eastAsia="宋体" w:cs="Times New Roman"/>
          <w:color w:val="auto"/>
          <w:sz w:val="24"/>
          <w:szCs w:val="24"/>
          <w:highlight w:val="none"/>
        </w:rPr>
        <w:t>-</w:t>
      </w:r>
      <w:r>
        <w:rPr>
          <w:rFonts w:hint="eastAsia" w:ascii="宋体" w:hAnsi="宋体" w:eastAsia="宋体" w:cs="Times New Roman"/>
          <w:color w:val="auto"/>
          <w:szCs w:val="24"/>
          <w:highlight w:val="none"/>
        </w:rPr>
        <w:t>施工期平均定额人工费指数（即</w:t>
      </w:r>
      <w:r>
        <w:rPr>
          <w:rFonts w:hint="eastAsia" w:ascii="宋体" w:hAnsi="宋体" w:eastAsia="宋体" w:cs="Times New Roman"/>
          <w:color w:val="auto"/>
          <w:sz w:val="24"/>
          <w:szCs w:val="24"/>
          <w:highlight w:val="none"/>
        </w:rPr>
        <w:t>∑</w:t>
      </w:r>
      <w:r>
        <w:rPr>
          <w:rFonts w:ascii="宋体" w:hAnsi="宋体" w:eastAsia="宋体" w:cs="Times New Roman"/>
          <w:color w:val="auto"/>
          <w:szCs w:val="21"/>
          <w:highlight w:val="none"/>
        </w:rPr>
        <w:t>(L</w:t>
      </w:r>
      <w:r>
        <w:rPr>
          <w:rFonts w:ascii="宋体" w:hAnsi="宋体" w:eastAsia="宋体" w:cs="Times New Roman"/>
          <w:color w:val="auto"/>
          <w:szCs w:val="21"/>
          <w:highlight w:val="none"/>
          <w:vertAlign w:val="subscript"/>
        </w:rPr>
        <w:t>i</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I</w:t>
      </w:r>
      <w:r>
        <w:rPr>
          <w:rFonts w:ascii="宋体" w:hAnsi="宋体" w:eastAsia="宋体" w:cs="Times New Roman"/>
          <w:color w:val="auto"/>
          <w:szCs w:val="21"/>
          <w:highlight w:val="none"/>
          <w:vertAlign w:val="subscript"/>
        </w:rPr>
        <w:t>i</w:t>
      </w:r>
      <w:r>
        <w:rPr>
          <w:rFonts w:ascii="宋体" w:hAnsi="宋体" w:eastAsia="宋体" w:cs="Times New Roman"/>
          <w:color w:val="auto"/>
          <w:szCs w:val="21"/>
          <w:highlight w:val="none"/>
        </w:rPr>
        <w:t>)/L</w:t>
      </w:r>
      <w:r>
        <w:rPr>
          <w:rFonts w:ascii="宋体" w:hAnsi="宋体" w:eastAsia="宋体" w:cs="Times New Roman"/>
          <w:color w:val="auto"/>
          <w:szCs w:val="21"/>
          <w:highlight w:val="none"/>
          <w:vertAlign w:val="subscript"/>
        </w:rPr>
        <w:t>总</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L</w:t>
      </w:r>
      <w:r>
        <w:rPr>
          <w:rFonts w:ascii="宋体" w:hAnsi="宋体" w:eastAsia="宋体" w:cs="Times New Roman"/>
          <w:color w:val="auto"/>
          <w:szCs w:val="21"/>
          <w:highlight w:val="none"/>
          <w:vertAlign w:val="subscript"/>
        </w:rPr>
        <w:t>i</w:t>
      </w:r>
      <w:r>
        <w:rPr>
          <w:rFonts w:hint="eastAsia" w:ascii="宋体" w:hAnsi="宋体" w:eastAsia="宋体" w:cs="Times New Roman"/>
          <w:color w:val="auto"/>
          <w:szCs w:val="21"/>
          <w:highlight w:val="none"/>
        </w:rPr>
        <w:t>为施工期第</w:t>
      </w:r>
      <w:r>
        <w:rPr>
          <w:rFonts w:ascii="宋体" w:hAnsi="宋体" w:eastAsia="宋体" w:cs="Times New Roman"/>
          <w:color w:val="auto"/>
          <w:szCs w:val="21"/>
          <w:highlight w:val="none"/>
        </w:rPr>
        <w:t>i</w:t>
      </w:r>
      <w:r>
        <w:rPr>
          <w:rFonts w:hint="eastAsia" w:ascii="宋体" w:hAnsi="宋体" w:eastAsia="宋体" w:cs="Times New Roman"/>
          <w:color w:val="auto"/>
          <w:szCs w:val="21"/>
          <w:highlight w:val="none"/>
        </w:rPr>
        <w:t>个月某工种人工费</w:t>
      </w:r>
      <w:r>
        <w:rPr>
          <w:rFonts w:hint="eastAsia" w:ascii="宋体" w:hAnsi="宋体" w:eastAsia="宋体" w:cs="Times New Roman"/>
          <w:color w:val="auto"/>
          <w:sz w:val="24"/>
          <w:szCs w:val="24"/>
          <w:highlight w:val="none"/>
        </w:rPr>
        <w:t>，</w:t>
      </w:r>
      <w:r>
        <w:rPr>
          <w:rFonts w:ascii="宋体" w:hAnsi="宋体" w:eastAsia="宋体" w:cs="Times New Roman"/>
          <w:color w:val="auto"/>
          <w:szCs w:val="21"/>
          <w:highlight w:val="none"/>
        </w:rPr>
        <w:t>I</w:t>
      </w:r>
      <w:r>
        <w:rPr>
          <w:rFonts w:ascii="宋体" w:hAnsi="宋体" w:eastAsia="宋体" w:cs="Times New Roman"/>
          <w:color w:val="auto"/>
          <w:szCs w:val="21"/>
          <w:highlight w:val="none"/>
          <w:vertAlign w:val="subscript"/>
        </w:rPr>
        <w:t>i</w:t>
      </w:r>
      <w:r>
        <w:rPr>
          <w:rFonts w:hint="eastAsia" w:ascii="宋体" w:hAnsi="宋体" w:eastAsia="宋体" w:cs="Times New Roman"/>
          <w:color w:val="auto"/>
          <w:szCs w:val="21"/>
          <w:highlight w:val="none"/>
        </w:rPr>
        <w:t>为施工期第i个月当月《深圳建设工程价格信息》某工种定额人工费指数</w:t>
      </w:r>
      <w:r>
        <w:rPr>
          <w:rFonts w:hint="eastAsia" w:ascii="宋体" w:hAnsi="宋体" w:eastAsia="宋体" w:cs="Times New Roman"/>
          <w:color w:val="auto"/>
          <w:szCs w:val="24"/>
          <w:highlight w:val="none"/>
        </w:rPr>
        <w:t>）；</w:t>
      </w:r>
    </w:p>
    <w:p>
      <w:pPr>
        <w:ind w:left="1050" w:leftChars="500"/>
        <w:rPr>
          <w:rFonts w:ascii="宋体" w:hAnsi="宋体" w:eastAsia="宋体" w:cs="Times New Roman"/>
          <w:color w:val="auto"/>
          <w:szCs w:val="21"/>
          <w:highlight w:val="none"/>
        </w:rPr>
      </w:pPr>
      <w:r>
        <w:rPr>
          <w:rFonts w:ascii="宋体" w:hAnsi="宋体" w:eastAsia="宋体" w:cs="Times New Roman"/>
          <w:color w:val="auto"/>
          <w:szCs w:val="21"/>
          <w:highlight w:val="none"/>
        </w:rPr>
        <w:t>I</w:t>
      </w:r>
      <w:r>
        <w:rPr>
          <w:rFonts w:ascii="宋体" w:hAnsi="宋体" w:eastAsia="宋体" w:cs="Times New Roman"/>
          <w:color w:val="auto"/>
          <w:szCs w:val="21"/>
          <w:highlight w:val="none"/>
          <w:vertAlign w:val="subscript"/>
        </w:rPr>
        <w:t>o</w:t>
      </w:r>
      <w:r>
        <w:rPr>
          <w:rFonts w:hint="eastAsia" w:ascii="宋体" w:hAnsi="宋体" w:eastAsia="宋体" w:cs="Times New Roman"/>
          <w:color w:val="auto"/>
          <w:szCs w:val="21"/>
          <w:highlight w:val="none"/>
        </w:rPr>
        <w:t>─投标截止日期前35天的当月或</w:t>
      </w:r>
      <w:r>
        <w:rPr>
          <w:rFonts w:hint="eastAsia" w:ascii="宋体" w:hAnsi="宋体" w:eastAsia="宋体" w:cs="Times New Roman"/>
          <w:b/>
          <w:i/>
          <w:color w:val="auto"/>
          <w:szCs w:val="21"/>
          <w:highlight w:val="none"/>
        </w:rPr>
        <w:t>专用条款</w:t>
      </w:r>
      <w:r>
        <w:rPr>
          <w:rFonts w:hint="eastAsia" w:ascii="宋体" w:hAnsi="宋体" w:eastAsia="宋体" w:cs="Times New Roman"/>
          <w:color w:val="auto"/>
          <w:szCs w:val="21"/>
          <w:highlight w:val="none"/>
        </w:rPr>
        <w:t>约定月份《深圳建设工程价格信息》某工种定额人工费指数；</w:t>
      </w:r>
    </w:p>
    <w:p>
      <w:pPr>
        <w:ind w:firstLine="1050" w:firstLineChars="500"/>
        <w:rPr>
          <w:rFonts w:ascii="宋体" w:hAnsi="宋体" w:eastAsia="宋体" w:cs="Times New Roman"/>
          <w:color w:val="auto"/>
          <w:szCs w:val="21"/>
          <w:highlight w:val="none"/>
        </w:rPr>
      </w:pPr>
      <w:r>
        <w:rPr>
          <w:rFonts w:ascii="宋体" w:hAnsi="宋体" w:eastAsia="宋体" w:cs="Times New Roman"/>
          <w:color w:val="auto"/>
          <w:szCs w:val="21"/>
          <w:highlight w:val="none"/>
        </w:rPr>
        <w:t>C</w:t>
      </w:r>
      <w:r>
        <w:rPr>
          <w:rFonts w:hint="eastAsia" w:ascii="宋体" w:hAnsi="宋体" w:eastAsia="宋体" w:cs="Times New Roman"/>
          <w:color w:val="auto"/>
          <w:szCs w:val="21"/>
          <w:highlight w:val="none"/>
          <w:vertAlign w:val="subscript"/>
        </w:rPr>
        <w:t>增</w:t>
      </w:r>
      <w:r>
        <w:rPr>
          <w:rFonts w:hint="eastAsia" w:ascii="宋体" w:hAnsi="宋体" w:eastAsia="宋体" w:cs="Times New Roman"/>
          <w:color w:val="auto"/>
          <w:szCs w:val="21"/>
          <w:highlight w:val="none"/>
        </w:rPr>
        <w:t>─调增合同价格；</w:t>
      </w:r>
    </w:p>
    <w:p>
      <w:pPr>
        <w:ind w:firstLine="1050" w:firstLineChars="500"/>
        <w:rPr>
          <w:rFonts w:ascii="宋体" w:hAnsi="宋体" w:eastAsia="宋体" w:cs="Times New Roman"/>
          <w:color w:val="auto"/>
          <w:szCs w:val="21"/>
          <w:highlight w:val="none"/>
        </w:rPr>
      </w:pPr>
      <w:r>
        <w:rPr>
          <w:rFonts w:ascii="宋体" w:hAnsi="宋体" w:eastAsia="宋体" w:cs="Times New Roman"/>
          <w:color w:val="auto"/>
          <w:szCs w:val="21"/>
          <w:highlight w:val="none"/>
        </w:rPr>
        <w:t>C</w:t>
      </w:r>
      <w:r>
        <w:rPr>
          <w:rFonts w:hint="eastAsia" w:ascii="宋体" w:hAnsi="宋体" w:eastAsia="宋体" w:cs="Times New Roman"/>
          <w:color w:val="auto"/>
          <w:szCs w:val="21"/>
          <w:highlight w:val="none"/>
          <w:vertAlign w:val="subscript"/>
        </w:rPr>
        <w:t>减</w:t>
      </w:r>
      <w:r>
        <w:rPr>
          <w:rFonts w:hint="eastAsia" w:ascii="宋体" w:hAnsi="宋体" w:eastAsia="宋体" w:cs="Times New Roman"/>
          <w:color w:val="auto"/>
          <w:szCs w:val="21"/>
          <w:highlight w:val="none"/>
        </w:rPr>
        <w:t>─调减合同价格；</w:t>
      </w:r>
    </w:p>
    <w:p>
      <w:pPr>
        <w:tabs>
          <w:tab w:val="left" w:pos="1620"/>
          <w:tab w:val="left" w:pos="2340"/>
        </w:tabs>
        <w:spacing w:after="156"/>
        <w:ind w:firstLine="1050" w:firstLineChars="500"/>
        <w:jc w:val="lef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L</w:t>
      </w:r>
      <w:r>
        <w:rPr>
          <w:rFonts w:hint="eastAsia" w:ascii="宋体" w:hAnsi="宋体" w:eastAsia="宋体" w:cs="Times New Roman"/>
          <w:color w:val="auto"/>
          <w:szCs w:val="21"/>
          <w:highlight w:val="none"/>
          <w:vertAlign w:val="subscript"/>
        </w:rPr>
        <w:t>总</w:t>
      </w:r>
      <w:r>
        <w:rPr>
          <w:rFonts w:hint="eastAsia" w:ascii="宋体" w:hAnsi="宋体" w:eastAsia="宋体" w:cs="Times New Roman"/>
          <w:color w:val="auto"/>
          <w:szCs w:val="21"/>
          <w:highlight w:val="none"/>
        </w:rPr>
        <w:t>─本工程某工种总人工费，具体在</w:t>
      </w:r>
      <w:r>
        <w:rPr>
          <w:rFonts w:hint="eastAsia" w:ascii="宋体" w:hAnsi="宋体" w:eastAsia="宋体" w:cs="Times New Roman"/>
          <w:b/>
          <w:i/>
          <w:color w:val="auto"/>
          <w:szCs w:val="21"/>
          <w:highlight w:val="none"/>
        </w:rPr>
        <w:t>专用条款</w:t>
      </w:r>
      <w:r>
        <w:rPr>
          <w:rFonts w:hint="eastAsia" w:ascii="宋体" w:hAnsi="宋体" w:eastAsia="宋体" w:cs="Times New Roman"/>
          <w:color w:val="auto"/>
          <w:szCs w:val="21"/>
          <w:highlight w:val="none"/>
        </w:rPr>
        <w:t>约定。</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32"/>
          <w:highlight w:val="none"/>
          <w:lang w:val="en-US" w:eastAsia="zh-CN" w:bidi="ar-SA"/>
        </w:rPr>
      </w:pPr>
      <w:bookmarkStart w:id="1962" w:name="_Toc24459"/>
      <w:bookmarkStart w:id="1963" w:name="_Toc10334"/>
      <w:bookmarkStart w:id="1964" w:name="_Toc30729"/>
      <w:bookmarkStart w:id="1965" w:name="_Toc302635840"/>
      <w:bookmarkStart w:id="1966" w:name="_Toc15395"/>
      <w:bookmarkStart w:id="1967" w:name="_Toc28185"/>
      <w:bookmarkStart w:id="1968" w:name="_Toc2838"/>
      <w:bookmarkStart w:id="1969" w:name="_Toc2713"/>
      <w:bookmarkStart w:id="1970" w:name="_Toc2308"/>
      <w:bookmarkStart w:id="1971" w:name="_Toc5462"/>
      <w:bookmarkStart w:id="1972" w:name="_Toc305331350"/>
      <w:r>
        <w:rPr>
          <w:rFonts w:hint="eastAsia" w:ascii="宋体" w:hAnsi="宋体" w:eastAsia="宋体" w:cs="Times New Roman"/>
          <w:b/>
          <w:bCs/>
          <w:color w:val="auto"/>
          <w:kern w:val="0"/>
          <w:sz w:val="24"/>
          <w:szCs w:val="32"/>
          <w:highlight w:val="none"/>
          <w:lang w:val="en-US" w:eastAsia="zh-CN" w:bidi="ar-SA"/>
        </w:rPr>
        <w:t>合同价格调整程序</w:t>
      </w:r>
      <w:bookmarkEnd w:id="1962"/>
      <w:bookmarkEnd w:id="1963"/>
      <w:bookmarkEnd w:id="1964"/>
      <w:bookmarkEnd w:id="1965"/>
      <w:bookmarkEnd w:id="1966"/>
      <w:bookmarkEnd w:id="1967"/>
      <w:bookmarkEnd w:id="1968"/>
      <w:bookmarkEnd w:id="1969"/>
      <w:bookmarkEnd w:id="1970"/>
      <w:bookmarkEnd w:id="1971"/>
      <w:bookmarkEnd w:id="1972"/>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⑴承包人应在20.2款约定的合同价格调整情况发生后14天内，将调整原因、金额书面提交给</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审核调整金额，并报发包人确认后作为追加(减)合同价格，与工程进度款同期支付。发包人收到通知后14天内未确认也未提出异议的，视为已经同意该项合同价格调整。</w:t>
      </w:r>
      <w:bookmarkEnd w:id="1941"/>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⑵当20.2款约定的合同价格调整情况持续进行时，承包人应阶段性向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书面提交</w:t>
      </w:r>
      <w:r>
        <w:rPr>
          <w:rFonts w:ascii="宋体" w:hAnsi="宋体" w:eastAsia="宋体" w:cs="Times New Roman"/>
          <w:color w:val="auto"/>
          <w:kern w:val="0"/>
          <w:szCs w:val="24"/>
          <w:highlight w:val="none"/>
        </w:rPr>
        <w:t>调整合同价格</w:t>
      </w:r>
      <w:r>
        <w:rPr>
          <w:rFonts w:hint="eastAsia" w:ascii="宋体" w:hAnsi="宋体" w:eastAsia="宋体" w:cs="Times New Roman"/>
          <w:color w:val="auto"/>
          <w:kern w:val="0"/>
          <w:szCs w:val="24"/>
          <w:highlight w:val="none"/>
        </w:rPr>
        <w:t>报告，并在该情况终了后28天内，向监理人提交最终的</w:t>
      </w:r>
      <w:r>
        <w:rPr>
          <w:rFonts w:ascii="宋体" w:hAnsi="宋体" w:eastAsia="宋体" w:cs="Times New Roman"/>
          <w:color w:val="auto"/>
          <w:kern w:val="0"/>
          <w:szCs w:val="24"/>
          <w:highlight w:val="none"/>
        </w:rPr>
        <w:t>调整合同价格</w:t>
      </w:r>
      <w:r>
        <w:rPr>
          <w:rFonts w:hint="eastAsia" w:ascii="宋体" w:hAnsi="宋体" w:eastAsia="宋体" w:cs="Times New Roman"/>
          <w:color w:val="auto"/>
          <w:kern w:val="0"/>
          <w:szCs w:val="24"/>
          <w:highlight w:val="none"/>
        </w:rPr>
        <w:t>报告，</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审核和发包人确认程序与20.7⑴款约定相同。</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⑶当承包人未按20.7⑴、⑵款约定的时间内提出</w:t>
      </w:r>
      <w:r>
        <w:rPr>
          <w:rFonts w:ascii="宋体" w:hAnsi="宋体" w:eastAsia="宋体" w:cs="Times New Roman"/>
          <w:color w:val="auto"/>
          <w:kern w:val="0"/>
          <w:szCs w:val="24"/>
          <w:highlight w:val="none"/>
        </w:rPr>
        <w:t>调整合同价格</w:t>
      </w:r>
      <w:r>
        <w:rPr>
          <w:rFonts w:hint="eastAsia" w:ascii="宋体" w:hAnsi="宋体" w:eastAsia="宋体" w:cs="Times New Roman"/>
          <w:color w:val="auto"/>
          <w:kern w:val="0"/>
          <w:szCs w:val="24"/>
          <w:highlight w:val="none"/>
        </w:rPr>
        <w:t>报告的，发包人可自行决定是否</w:t>
      </w:r>
      <w:r>
        <w:rPr>
          <w:rFonts w:ascii="宋体" w:hAnsi="宋体" w:eastAsia="宋体" w:cs="Times New Roman"/>
          <w:color w:val="auto"/>
          <w:kern w:val="0"/>
          <w:szCs w:val="24"/>
          <w:highlight w:val="none"/>
        </w:rPr>
        <w:t>调整合同价格</w:t>
      </w:r>
      <w:r>
        <w:rPr>
          <w:rFonts w:hint="eastAsia" w:ascii="宋体" w:hAnsi="宋体" w:eastAsia="宋体" w:cs="Times New Roman"/>
          <w:color w:val="auto"/>
          <w:kern w:val="0"/>
          <w:szCs w:val="24"/>
          <w:highlight w:val="none"/>
        </w:rPr>
        <w:t>。发包人应在约定的</w:t>
      </w:r>
      <w:r>
        <w:rPr>
          <w:rFonts w:ascii="宋体" w:hAnsi="宋体" w:eastAsia="宋体" w:cs="Times New Roman"/>
          <w:color w:val="auto"/>
          <w:kern w:val="0"/>
          <w:szCs w:val="24"/>
          <w:highlight w:val="none"/>
        </w:rPr>
        <w:t>合同价格调整</w:t>
      </w:r>
      <w:r>
        <w:rPr>
          <w:rFonts w:hint="eastAsia" w:ascii="宋体" w:hAnsi="宋体" w:eastAsia="宋体" w:cs="Times New Roman"/>
          <w:color w:val="auto"/>
          <w:kern w:val="0"/>
          <w:szCs w:val="24"/>
          <w:highlight w:val="none"/>
        </w:rPr>
        <w:t>情况发生后28天内将不</w:t>
      </w:r>
      <w:r>
        <w:rPr>
          <w:rFonts w:ascii="宋体" w:hAnsi="宋体" w:eastAsia="宋体" w:cs="Times New Roman"/>
          <w:color w:val="auto"/>
          <w:kern w:val="0"/>
          <w:szCs w:val="24"/>
          <w:highlight w:val="none"/>
        </w:rPr>
        <w:t>调整合同价格</w:t>
      </w:r>
      <w:r>
        <w:rPr>
          <w:rFonts w:hint="eastAsia" w:ascii="宋体" w:hAnsi="宋体" w:eastAsia="宋体" w:cs="Times New Roman"/>
          <w:color w:val="auto"/>
          <w:kern w:val="0"/>
          <w:szCs w:val="24"/>
          <w:highlight w:val="none"/>
        </w:rPr>
        <w:t>的决定书面通知承包人；或将</w:t>
      </w:r>
      <w:r>
        <w:rPr>
          <w:rFonts w:ascii="宋体" w:hAnsi="宋体" w:eastAsia="宋体" w:cs="Times New Roman"/>
          <w:color w:val="auto"/>
          <w:kern w:val="0"/>
          <w:szCs w:val="24"/>
          <w:highlight w:val="none"/>
        </w:rPr>
        <w:t>调整合同价格</w:t>
      </w:r>
      <w:r>
        <w:rPr>
          <w:rFonts w:hint="eastAsia" w:ascii="宋体" w:hAnsi="宋体" w:eastAsia="宋体" w:cs="Times New Roman"/>
          <w:color w:val="auto"/>
          <w:kern w:val="0"/>
          <w:szCs w:val="24"/>
          <w:highlight w:val="none"/>
        </w:rPr>
        <w:t>报告提交给承包人确认。承包人收到报告14天内未确认也未提出异议的，视为已经同意该项</w:t>
      </w:r>
      <w:r>
        <w:rPr>
          <w:rFonts w:ascii="宋体" w:hAnsi="宋体" w:eastAsia="宋体" w:cs="Times New Roman"/>
          <w:color w:val="auto"/>
          <w:kern w:val="0"/>
          <w:szCs w:val="24"/>
          <w:highlight w:val="none"/>
        </w:rPr>
        <w:t>合同价格调整</w:t>
      </w:r>
      <w:r>
        <w:rPr>
          <w:rFonts w:hint="eastAsia" w:ascii="宋体" w:hAnsi="宋体" w:eastAsia="宋体" w:cs="Times New Roman"/>
          <w:color w:val="auto"/>
          <w:kern w:val="0"/>
          <w:szCs w:val="24"/>
          <w:highlight w:val="none"/>
        </w:rPr>
        <w:t>。</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⑷当约定的</w:t>
      </w:r>
      <w:r>
        <w:rPr>
          <w:rFonts w:ascii="宋体" w:hAnsi="宋体" w:eastAsia="宋体" w:cs="Times New Roman"/>
          <w:color w:val="auto"/>
          <w:kern w:val="0"/>
          <w:szCs w:val="24"/>
          <w:highlight w:val="none"/>
        </w:rPr>
        <w:t>合同价格调整</w:t>
      </w:r>
      <w:r>
        <w:rPr>
          <w:rFonts w:hint="eastAsia" w:ascii="宋体" w:hAnsi="宋体" w:eastAsia="宋体" w:cs="Times New Roman"/>
          <w:color w:val="auto"/>
          <w:kern w:val="0"/>
          <w:szCs w:val="24"/>
          <w:highlight w:val="none"/>
        </w:rPr>
        <w:t>情况发生后，发包人和承包人均未在前款约定时间内提出</w:t>
      </w:r>
      <w:r>
        <w:rPr>
          <w:rFonts w:ascii="宋体" w:hAnsi="宋体" w:eastAsia="宋体" w:cs="Times New Roman"/>
          <w:color w:val="auto"/>
          <w:kern w:val="0"/>
          <w:szCs w:val="24"/>
          <w:highlight w:val="none"/>
        </w:rPr>
        <w:t>调整合同价格</w:t>
      </w:r>
      <w:r>
        <w:rPr>
          <w:rFonts w:hint="eastAsia" w:ascii="宋体" w:hAnsi="宋体" w:eastAsia="宋体" w:cs="Times New Roman"/>
          <w:color w:val="auto"/>
          <w:kern w:val="0"/>
          <w:szCs w:val="24"/>
          <w:highlight w:val="none"/>
        </w:rPr>
        <w:t>意见，视为该调整情况的发生不涉及合同价格的调整。</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⑸</w:t>
      </w:r>
      <w:r>
        <w:rPr>
          <w:rFonts w:hint="eastAsia" w:ascii="宋体" w:hAnsi="宋体" w:eastAsia="宋体" w:cs="Times New Roman"/>
          <w:color w:val="auto"/>
          <w:kern w:val="0"/>
          <w:szCs w:val="24"/>
          <w:highlight w:val="none"/>
        </w:rPr>
        <w:t>上述</w:t>
      </w:r>
      <w:r>
        <w:rPr>
          <w:rFonts w:ascii="宋体" w:hAnsi="宋体" w:eastAsia="宋体" w:cs="Times New Roman"/>
          <w:color w:val="auto"/>
          <w:kern w:val="0"/>
          <w:szCs w:val="24"/>
          <w:highlight w:val="none"/>
        </w:rPr>
        <w:t>合同价格调整</w:t>
      </w:r>
      <w:r>
        <w:rPr>
          <w:rFonts w:hint="eastAsia" w:ascii="宋体" w:hAnsi="宋体" w:eastAsia="宋体" w:cs="Times New Roman"/>
          <w:color w:val="auto"/>
          <w:kern w:val="0"/>
          <w:szCs w:val="24"/>
          <w:highlight w:val="none"/>
        </w:rPr>
        <w:t>有关文件的编制和审核均须经注册造价工程师签字盖章确认。经发包人和承包人确认调整的合同价格，作为追加(减)合同价款，应与工程进度款同期支付。</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973" w:name="_Toc16483"/>
      <w:bookmarkStart w:id="1974" w:name="_Toc23307"/>
      <w:bookmarkStart w:id="1975" w:name="_Toc25346"/>
      <w:bookmarkStart w:id="1976" w:name="_Toc7357"/>
      <w:bookmarkStart w:id="1977" w:name="_Toc2227"/>
      <w:bookmarkStart w:id="1978" w:name="_Toc9239"/>
      <w:bookmarkStart w:id="1979" w:name="_Toc3893"/>
      <w:bookmarkStart w:id="1980" w:name="_Toc302635841"/>
      <w:bookmarkStart w:id="1981" w:name="_Toc4001"/>
      <w:bookmarkStart w:id="1982" w:name="_Toc7152"/>
      <w:r>
        <w:rPr>
          <w:rFonts w:hint="eastAsia" w:ascii="宋体" w:hAnsi="宋体" w:eastAsia="宋体" w:cs="Times New Roman"/>
          <w:b/>
          <w:bCs/>
          <w:color w:val="auto"/>
          <w:kern w:val="0"/>
          <w:sz w:val="24"/>
          <w:szCs w:val="24"/>
          <w:highlight w:val="none"/>
          <w:lang w:val="en-US" w:eastAsia="zh-CN" w:bidi="ar-SA"/>
        </w:rPr>
        <w:t>中标净下浮率</w:t>
      </w:r>
      <w:bookmarkEnd w:id="1973"/>
      <w:bookmarkEnd w:id="1974"/>
      <w:bookmarkEnd w:id="1975"/>
      <w:bookmarkEnd w:id="1976"/>
      <w:bookmarkEnd w:id="1977"/>
      <w:bookmarkEnd w:id="1978"/>
      <w:bookmarkEnd w:id="1979"/>
      <w:bookmarkEnd w:id="1980"/>
      <w:bookmarkEnd w:id="1981"/>
      <w:bookmarkEnd w:id="1982"/>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中标净下浮率是指中标价相对招标控制价的下浮比例，即：中标净下浮率=(招标控制价-中标价)/招标控制价，其中应扣除安全文明措施费、材料设备暂估价、专业工程暂估价、暂列金额等不可竞争性费用。本工程中标净下浮率应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中明确。</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1983" w:name="_Toc5976"/>
      <w:bookmarkStart w:id="1984" w:name="_Toc18068"/>
      <w:bookmarkStart w:id="1985" w:name="_Toc15841"/>
      <w:bookmarkStart w:id="1986" w:name="_Toc14132"/>
      <w:bookmarkStart w:id="1987" w:name="_Toc1284"/>
      <w:bookmarkStart w:id="1988" w:name="_Toc177"/>
      <w:bookmarkStart w:id="1989" w:name="_Toc19241"/>
      <w:bookmarkStart w:id="1990" w:name="_Toc4465"/>
      <w:bookmarkStart w:id="1991" w:name="_Toc5471"/>
      <w:r>
        <w:rPr>
          <w:rFonts w:hint="eastAsia" w:ascii="宋体" w:hAnsi="宋体" w:eastAsia="宋体" w:cs="Times New Roman"/>
          <w:b/>
          <w:bCs/>
          <w:color w:val="auto"/>
          <w:kern w:val="0"/>
          <w:sz w:val="24"/>
          <w:szCs w:val="24"/>
          <w:highlight w:val="none"/>
          <w:lang w:val="en-US" w:eastAsia="zh-CN" w:bidi="ar-SA"/>
        </w:rPr>
        <w:t>询价采购</w:t>
      </w:r>
      <w:bookmarkEnd w:id="1983"/>
      <w:bookmarkEnd w:id="1984"/>
      <w:bookmarkEnd w:id="1985"/>
      <w:bookmarkEnd w:id="1986"/>
      <w:bookmarkEnd w:id="1987"/>
      <w:bookmarkEnd w:id="1988"/>
      <w:bookmarkEnd w:id="1989"/>
      <w:bookmarkEnd w:id="1990"/>
      <w:bookmarkEnd w:id="1991"/>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⑴未经招标竞价的材料设备同时满足下列情形的，承包人应当进行询价采购：</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①因工程变更而增加的材料设备、暂估价中包含的材料设备等依法不需要另行招标的；</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②采购期前一年内《深圳建设工程价格信息》上未刊登价格；</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③采购估算价超过二十万元。</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⑵承包人担任上述材料设备的采购人，采购活动在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约定的询价采购网络服务平台进行。</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⑶询价采购活动按以下程序进行，询价采购确定的成交价格可作为工程计价、造价审查及审计的依据。</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①询价采购前，采购人按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约定成立询价采购小组，小组由五人以上单数组成，成员可从与询价采购活动相关的发包人、承包人、监理人、设计人、造价咨询单位中选取；</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②采购人按相关办法规定及</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约定编制询价采购文件，并在询价采购网络服务平台发布；</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③符合询价采购文件要求的供应商在报价截止日期前，通过询价采购网络服务平台一次性报出不得更改的价格；</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④询价采购小组在评审时间内统一评审报价文件，在满足询价采购文件各项要求的情况下，按照性价比最优原则推荐不少于三家供应商。评审完成后，询价采购小组向采购人提交评审报告；</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⑤采购人根据询价采购小组意见及相关规定，确定供应商及成交价格；</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⑥采购人按相关办法规定对询价采购结果在询价采购网络服务平台进行公示。</w:t>
      </w:r>
    </w:p>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hint="eastAsia" w:ascii="华文细黑" w:hAnsi="宋体" w:eastAsia="宋体" w:cs="Times New Roman"/>
          <w:b/>
          <w:bCs/>
          <w:snapToGrid w:val="0"/>
          <w:color w:val="auto"/>
          <w:kern w:val="0"/>
          <w:sz w:val="28"/>
          <w:szCs w:val="44"/>
          <w:highlight w:val="none"/>
          <w:lang w:val="en-US" w:eastAsia="zh-CN" w:bidi="ar-SA"/>
        </w:rPr>
      </w:pPr>
      <w:bookmarkStart w:id="1992" w:name="_Toc5803"/>
      <w:bookmarkStart w:id="1993" w:name="_Toc27404"/>
      <w:bookmarkStart w:id="1994" w:name="_Toc302635842"/>
      <w:bookmarkStart w:id="1995" w:name="_Toc21108"/>
      <w:bookmarkStart w:id="1996" w:name="_Toc7059"/>
      <w:bookmarkStart w:id="1997" w:name="_Toc5155"/>
      <w:bookmarkStart w:id="1998" w:name="_Toc20598"/>
      <w:bookmarkStart w:id="1999" w:name="_Toc22984"/>
      <w:bookmarkStart w:id="2000" w:name="_Toc11566"/>
      <w:bookmarkStart w:id="2001" w:name="_Toc20414"/>
      <w:r>
        <w:rPr>
          <w:rFonts w:hint="eastAsia" w:ascii="华文细黑" w:hAnsi="宋体" w:eastAsia="宋体" w:cs="Times New Roman"/>
          <w:b/>
          <w:bCs/>
          <w:snapToGrid w:val="0"/>
          <w:color w:val="auto"/>
          <w:kern w:val="0"/>
          <w:sz w:val="28"/>
          <w:szCs w:val="44"/>
          <w:highlight w:val="none"/>
          <w:lang w:val="en-US" w:eastAsia="zh-CN" w:bidi="ar-SA"/>
        </w:rPr>
        <w:t>暂估价和暂列金额</w:t>
      </w:r>
      <w:bookmarkEnd w:id="1992"/>
      <w:bookmarkEnd w:id="1993"/>
      <w:bookmarkEnd w:id="1994"/>
      <w:bookmarkEnd w:id="1995"/>
      <w:bookmarkEnd w:id="1996"/>
      <w:bookmarkEnd w:id="1997"/>
      <w:bookmarkEnd w:id="1998"/>
      <w:bookmarkEnd w:id="1999"/>
      <w:bookmarkEnd w:id="2000"/>
      <w:bookmarkEnd w:id="2001"/>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002" w:name="_Toc13426"/>
      <w:bookmarkStart w:id="2003" w:name="_Toc10250"/>
      <w:bookmarkStart w:id="2004" w:name="_Toc27048"/>
      <w:bookmarkStart w:id="2005" w:name="_Toc28555"/>
      <w:bookmarkStart w:id="2006" w:name="_Toc8491"/>
      <w:bookmarkStart w:id="2007" w:name="_Toc27366"/>
      <w:bookmarkStart w:id="2008" w:name="_Toc1538"/>
      <w:bookmarkStart w:id="2009" w:name="_Toc30586"/>
      <w:bookmarkStart w:id="2010" w:name="_Toc302635843"/>
      <w:bookmarkStart w:id="2011" w:name="_Toc20219"/>
      <w:bookmarkStart w:id="2012" w:name="_Toc305331351"/>
      <w:bookmarkStart w:id="2013" w:name="_Toc34909080"/>
      <w:r>
        <w:rPr>
          <w:rFonts w:hint="eastAsia" w:ascii="宋体" w:hAnsi="宋体" w:eastAsia="宋体" w:cs="Times New Roman"/>
          <w:b/>
          <w:bCs/>
          <w:color w:val="auto"/>
          <w:kern w:val="0"/>
          <w:sz w:val="24"/>
          <w:szCs w:val="24"/>
          <w:highlight w:val="none"/>
          <w:lang w:val="en-US" w:eastAsia="zh-CN" w:bidi="ar-SA"/>
        </w:rPr>
        <w:t>材料设备暂估价</w:t>
      </w:r>
      <w:bookmarkEnd w:id="2002"/>
      <w:bookmarkEnd w:id="2003"/>
      <w:bookmarkEnd w:id="2004"/>
      <w:bookmarkEnd w:id="2005"/>
      <w:bookmarkEnd w:id="2006"/>
      <w:bookmarkEnd w:id="2007"/>
      <w:bookmarkEnd w:id="2008"/>
      <w:bookmarkEnd w:id="2009"/>
      <w:bookmarkEnd w:id="2010"/>
      <w:bookmarkEnd w:id="2011"/>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⑴材料设备暂估价是发包人在工程量清单中提供的用于支付必然发生但暂时不能确定的材料设备的单价。发包人、承包人应在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中就上述材料设备的名称、规格、单位和暂估单价进行约定。该材料设备暂估价不作为竣工结算依据。</w:t>
      </w:r>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⑵如21.1⑴款所述暂估的材料设备属按规定必须招标的，应由发包人提出技术标准和最高限价，由承包人通过招标方式确定该材料设备单价。</w:t>
      </w:r>
    </w:p>
    <w:p>
      <w:pPr>
        <w:tabs>
          <w:tab w:val="left" w:pos="1620"/>
          <w:tab w:val="left" w:pos="2340"/>
        </w:tabs>
        <w:spacing w:before="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⑶如21.1⑴款所述暂估的材料设备不属于按规定必须招标的，由承发包双方按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中约定的方式确定该材料设备单价。</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⑷材料设备暂估价应按承发包双方最终确认的价格调整价差，价差调整部分不计利润。</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014" w:name="_Toc6825"/>
      <w:bookmarkStart w:id="2015" w:name="_Toc25945"/>
      <w:bookmarkStart w:id="2016" w:name="_Toc564"/>
      <w:bookmarkStart w:id="2017" w:name="_Toc302635844"/>
      <w:bookmarkStart w:id="2018" w:name="_Toc8815"/>
      <w:bookmarkStart w:id="2019" w:name="_Toc22746"/>
      <w:bookmarkStart w:id="2020" w:name="_Toc14161"/>
      <w:bookmarkStart w:id="2021" w:name="_Toc31631"/>
      <w:bookmarkStart w:id="2022" w:name="_Toc3450"/>
      <w:bookmarkStart w:id="2023" w:name="_Toc7775"/>
      <w:r>
        <w:rPr>
          <w:rFonts w:hint="eastAsia" w:ascii="宋体" w:hAnsi="宋体" w:eastAsia="宋体" w:cs="Times New Roman"/>
          <w:b/>
          <w:bCs/>
          <w:color w:val="auto"/>
          <w:kern w:val="0"/>
          <w:sz w:val="24"/>
          <w:szCs w:val="24"/>
          <w:highlight w:val="none"/>
          <w:lang w:val="en-US" w:eastAsia="zh-CN" w:bidi="ar-SA"/>
        </w:rPr>
        <w:t>专业工程暂估价</w:t>
      </w:r>
      <w:bookmarkEnd w:id="2012"/>
      <w:bookmarkEnd w:id="2014"/>
      <w:bookmarkEnd w:id="2015"/>
      <w:bookmarkEnd w:id="2016"/>
      <w:bookmarkEnd w:id="2017"/>
      <w:bookmarkEnd w:id="2018"/>
      <w:bookmarkEnd w:id="2019"/>
      <w:bookmarkEnd w:id="2020"/>
      <w:bookmarkEnd w:id="2021"/>
      <w:bookmarkEnd w:id="2022"/>
      <w:bookmarkEnd w:id="2023"/>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⑴专业工程暂估价是发包人在工程量清单中提供的用于支付必然发生但暂时不能确定的专业工程金额。发包人、承包人应在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中就上述专业工程的名称和暂估价款进行约定。该专业工程暂估价不作为结算依据。</w:t>
      </w:r>
    </w:p>
    <w:bookmarkEnd w:id="2013"/>
    <w:p>
      <w:pPr>
        <w:tabs>
          <w:tab w:val="left" w:pos="1620"/>
          <w:tab w:val="left" w:pos="2340"/>
        </w:tabs>
        <w:spacing w:before="156" w:after="156"/>
        <w:ind w:left="899"/>
        <w:jc w:val="left"/>
        <w:rPr>
          <w:rFonts w:ascii="宋体" w:hAnsi="宋体" w:eastAsia="宋体" w:cs="Times New Roman"/>
          <w:color w:val="auto"/>
          <w:kern w:val="0"/>
          <w:szCs w:val="24"/>
          <w:highlight w:val="none"/>
        </w:rPr>
      </w:pPr>
      <w:bookmarkStart w:id="2024" w:name="_Toc34909081"/>
      <w:r>
        <w:rPr>
          <w:rFonts w:hint="eastAsia" w:ascii="宋体" w:hAnsi="宋体" w:eastAsia="宋体" w:cs="Times New Roman"/>
          <w:color w:val="auto"/>
          <w:kern w:val="0"/>
          <w:szCs w:val="24"/>
          <w:highlight w:val="none"/>
        </w:rPr>
        <w:t>⑵如21.2⑴款所述暂估的专业工程属按规定必须招标的，应由发包人通过招标方式确定该专业工程结算价款。</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⑶如21.2⑴款所述暂估的专业工程不属于按规定必须招标的，除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另有约定外，发包人和承包人应按照本工程招标控制价的编制方法，根据专业工程施工图等计算，并按本工程净下浮率进行下浮调整确定该专业工程结算价款。</w:t>
      </w:r>
    </w:p>
    <w:bookmarkEnd w:id="2024"/>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025" w:name="_Toc305331352"/>
      <w:bookmarkStart w:id="2026" w:name="_Toc4750"/>
      <w:bookmarkStart w:id="2027" w:name="_Toc12698"/>
      <w:bookmarkStart w:id="2028" w:name="_Toc6157"/>
      <w:bookmarkStart w:id="2029" w:name="_Toc9324"/>
      <w:bookmarkStart w:id="2030" w:name="_Toc11269"/>
      <w:bookmarkStart w:id="2031" w:name="_Toc32220"/>
      <w:bookmarkStart w:id="2032" w:name="_Toc13257"/>
      <w:bookmarkStart w:id="2033" w:name="_Toc302635845"/>
      <w:bookmarkStart w:id="2034" w:name="_Toc27789"/>
      <w:bookmarkStart w:id="2035" w:name="_Toc568"/>
      <w:bookmarkStart w:id="2036" w:name="_Toc34909082"/>
      <w:r>
        <w:rPr>
          <w:rFonts w:hint="eastAsia" w:ascii="宋体" w:hAnsi="宋体" w:eastAsia="宋体" w:cs="Times New Roman"/>
          <w:b/>
          <w:bCs/>
          <w:color w:val="auto"/>
          <w:kern w:val="0"/>
          <w:sz w:val="24"/>
          <w:szCs w:val="24"/>
          <w:highlight w:val="none"/>
          <w:lang w:val="en-US" w:eastAsia="zh-CN" w:bidi="ar-SA"/>
        </w:rPr>
        <w:t>暂列金额</w:t>
      </w:r>
      <w:bookmarkEnd w:id="2025"/>
      <w:bookmarkEnd w:id="2026"/>
      <w:bookmarkEnd w:id="2027"/>
      <w:bookmarkEnd w:id="2028"/>
      <w:bookmarkEnd w:id="2029"/>
      <w:bookmarkEnd w:id="2030"/>
      <w:bookmarkEnd w:id="2031"/>
      <w:bookmarkEnd w:id="2032"/>
      <w:bookmarkEnd w:id="2033"/>
      <w:bookmarkEnd w:id="2034"/>
      <w:bookmarkEnd w:id="2035"/>
    </w:p>
    <w:bookmarkEnd w:id="2036"/>
    <w:p>
      <w:pPr>
        <w:tabs>
          <w:tab w:val="left" w:pos="1620"/>
          <w:tab w:val="left" w:pos="2340"/>
        </w:tabs>
        <w:spacing w:before="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⑴暂列金额是发包人在工程量清单中暂定并包括在签约合同价中的一笔款项，用于下列事项的费用支出：</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①本合同签订时尚未确定或不可预见的所需材料、设备、服务的采购；</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②施工中可能发生的工程变更；</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③合同约定调整因素出现时对合同价格所作的调整；</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④索赔；</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⑤现场签证。</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⑵暂列金额是发包人为可能发生的费用而预留的金额，并非支付给承包人的实际费用。</w:t>
      </w:r>
      <w:r>
        <w:rPr>
          <w:rFonts w:ascii="宋体" w:hAnsi="宋体" w:eastAsia="宋体" w:cs="Times New Roman"/>
          <w:color w:val="auto"/>
          <w:kern w:val="0"/>
          <w:szCs w:val="24"/>
          <w:highlight w:val="none"/>
        </w:rPr>
        <w:t>暂列金额应按照发包人的要求使用，发包人的要求应通过监理人发出。</w:t>
      </w:r>
      <w:r>
        <w:rPr>
          <w:rFonts w:hint="eastAsia" w:ascii="宋体" w:hAnsi="宋体" w:eastAsia="宋体" w:cs="Times New Roman"/>
          <w:color w:val="auto"/>
          <w:kern w:val="0"/>
          <w:szCs w:val="24"/>
          <w:highlight w:val="none"/>
        </w:rPr>
        <w:t>暂列金额不作为结算的依据。暂列金额的最终确定按本合同有关21.3⑴款有关事项的具体条款执行。</w:t>
      </w:r>
    </w:p>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2037" w:name="_Toc34909085"/>
      <w:bookmarkStart w:id="2038" w:name="_Toc35656992"/>
      <w:bookmarkStart w:id="2039" w:name="_Toc35656490"/>
      <w:bookmarkStart w:id="2040" w:name="_Toc305331353"/>
      <w:bookmarkStart w:id="2041" w:name="_Toc14465"/>
      <w:bookmarkStart w:id="2042" w:name="_Toc17914"/>
      <w:bookmarkStart w:id="2043" w:name="_Toc302635846"/>
      <w:bookmarkStart w:id="2044" w:name="_Toc5042"/>
      <w:bookmarkStart w:id="2045" w:name="_Toc25211"/>
      <w:bookmarkStart w:id="2046" w:name="_Toc30333"/>
      <w:bookmarkStart w:id="2047" w:name="_Toc29597"/>
      <w:bookmarkStart w:id="2048" w:name="_Toc29873"/>
      <w:bookmarkStart w:id="2049" w:name="_Toc19483"/>
      <w:bookmarkStart w:id="2050" w:name="_Toc8260"/>
      <w:r>
        <w:rPr>
          <w:rFonts w:hint="eastAsia" w:ascii="华文细黑" w:hAnsi="宋体" w:eastAsia="宋体" w:cs="Times New Roman"/>
          <w:b/>
          <w:bCs/>
          <w:snapToGrid w:val="0"/>
          <w:color w:val="auto"/>
          <w:kern w:val="0"/>
          <w:sz w:val="28"/>
          <w:szCs w:val="44"/>
          <w:highlight w:val="none"/>
          <w:lang w:val="en-US" w:eastAsia="zh-CN" w:bidi="ar-SA"/>
        </w:rPr>
        <w:t>工程量</w:t>
      </w:r>
      <w:bookmarkEnd w:id="2037"/>
      <w:bookmarkEnd w:id="2038"/>
      <w:bookmarkEnd w:id="2039"/>
      <w:r>
        <w:rPr>
          <w:rFonts w:hint="eastAsia" w:ascii="华文细黑" w:hAnsi="宋体" w:eastAsia="宋体" w:cs="Times New Roman"/>
          <w:b/>
          <w:bCs/>
          <w:snapToGrid w:val="0"/>
          <w:color w:val="auto"/>
          <w:kern w:val="0"/>
          <w:sz w:val="28"/>
          <w:szCs w:val="44"/>
          <w:highlight w:val="none"/>
          <w:lang w:val="en-US" w:eastAsia="zh-CN" w:bidi="ar-SA"/>
        </w:rPr>
        <w:t>计量</w:t>
      </w:r>
      <w:bookmarkEnd w:id="2040"/>
      <w:bookmarkEnd w:id="2041"/>
      <w:bookmarkEnd w:id="2042"/>
      <w:bookmarkEnd w:id="2043"/>
      <w:bookmarkEnd w:id="2044"/>
      <w:bookmarkEnd w:id="2045"/>
      <w:bookmarkEnd w:id="2046"/>
      <w:bookmarkEnd w:id="2047"/>
      <w:bookmarkEnd w:id="2048"/>
      <w:bookmarkEnd w:id="2049"/>
      <w:bookmarkEnd w:id="2050"/>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051" w:name="_Toc302635847"/>
      <w:bookmarkStart w:id="2052" w:name="_Toc2616"/>
      <w:bookmarkStart w:id="2053" w:name="_Toc23614"/>
      <w:bookmarkStart w:id="2054" w:name="_Toc2271"/>
      <w:bookmarkStart w:id="2055" w:name="_Toc6332"/>
      <w:bookmarkStart w:id="2056" w:name="_Toc28119"/>
      <w:bookmarkStart w:id="2057" w:name="_Toc6389"/>
      <w:bookmarkStart w:id="2058" w:name="_Toc305331354"/>
      <w:bookmarkStart w:id="2059" w:name="_Toc9371"/>
      <w:bookmarkStart w:id="2060" w:name="_Toc3399"/>
      <w:bookmarkStart w:id="2061" w:name="_Toc5510"/>
      <w:bookmarkStart w:id="2062" w:name="_Toc34909091"/>
      <w:bookmarkStart w:id="2063" w:name="_Toc34909086"/>
      <w:r>
        <w:rPr>
          <w:rFonts w:hint="eastAsia" w:ascii="宋体" w:hAnsi="宋体" w:eastAsia="宋体" w:cs="Times New Roman"/>
          <w:b/>
          <w:bCs/>
          <w:color w:val="auto"/>
          <w:kern w:val="0"/>
          <w:sz w:val="24"/>
          <w:szCs w:val="24"/>
          <w:highlight w:val="none"/>
          <w:lang w:val="en-US" w:eastAsia="zh-CN" w:bidi="ar-SA"/>
        </w:rPr>
        <w:t>工程量清单</w:t>
      </w:r>
      <w:bookmarkEnd w:id="2051"/>
      <w:bookmarkEnd w:id="2052"/>
      <w:bookmarkEnd w:id="2053"/>
      <w:bookmarkEnd w:id="2054"/>
      <w:bookmarkEnd w:id="2055"/>
      <w:bookmarkEnd w:id="2056"/>
      <w:bookmarkEnd w:id="2057"/>
      <w:bookmarkEnd w:id="2058"/>
      <w:bookmarkEnd w:id="2059"/>
      <w:bookmarkEnd w:id="2060"/>
      <w:bookmarkEnd w:id="2061"/>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在本工程招标文件中提供的工程量清单所开列的工程量是根据本工程的设计图纸提供的预计工程量，不能作为承包人在履行合同义务过程中应予完成的实际和准确的工程量，不作为进度款支付、过程结算和竣工结算时确认工程量的依据。</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⑵承包人实际应予完成的工程量以本工程图纸和技术规范为准。进度款支付、过程结算和竣工结算时的结算工程量按第22</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5款有关工程量计量的结果确认。</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064" w:name="_Toc24872"/>
      <w:bookmarkStart w:id="2065" w:name="_Toc4027"/>
      <w:bookmarkStart w:id="2066" w:name="_Toc21714"/>
      <w:bookmarkStart w:id="2067" w:name="_Toc25220"/>
      <w:bookmarkStart w:id="2068" w:name="_Toc21746"/>
      <w:bookmarkStart w:id="2069" w:name="_Toc302635848"/>
      <w:bookmarkStart w:id="2070" w:name="_Toc21375"/>
      <w:bookmarkStart w:id="2071" w:name="_Toc7854"/>
      <w:bookmarkStart w:id="2072" w:name="_Toc13701"/>
      <w:bookmarkStart w:id="2073" w:name="_Toc1317"/>
      <w:bookmarkStart w:id="2074" w:name="_Toc305331355"/>
      <w:bookmarkStart w:id="2075" w:name="_Toc34909087"/>
      <w:r>
        <w:rPr>
          <w:rFonts w:hint="eastAsia" w:ascii="宋体" w:hAnsi="宋体" w:eastAsia="宋体" w:cs="Times New Roman"/>
          <w:b/>
          <w:bCs/>
          <w:color w:val="auto"/>
          <w:kern w:val="0"/>
          <w:sz w:val="24"/>
          <w:szCs w:val="24"/>
          <w:highlight w:val="none"/>
          <w:lang w:val="en-US" w:eastAsia="zh-CN" w:bidi="ar-SA"/>
        </w:rPr>
        <w:t>工程量清单缺项和项目特征不符</w:t>
      </w:r>
      <w:bookmarkEnd w:id="2064"/>
      <w:bookmarkEnd w:id="2065"/>
      <w:bookmarkEnd w:id="2066"/>
      <w:bookmarkEnd w:id="2067"/>
      <w:bookmarkEnd w:id="2068"/>
      <w:bookmarkEnd w:id="2069"/>
      <w:bookmarkEnd w:id="2070"/>
      <w:bookmarkEnd w:id="2071"/>
      <w:bookmarkEnd w:id="2072"/>
      <w:bookmarkEnd w:id="2073"/>
    </w:p>
    <w:bookmarkEnd w:id="2074"/>
    <w:bookmarkEnd w:id="2075"/>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2076" w:name="_Toc305331356"/>
      <w:r>
        <w:rPr>
          <w:rFonts w:hint="eastAsia" w:ascii="宋体" w:hAnsi="宋体" w:eastAsia="宋体" w:cs="Times New Roman"/>
          <w:color w:val="auto"/>
          <w:kern w:val="0"/>
          <w:szCs w:val="24"/>
          <w:highlight w:val="none"/>
        </w:rPr>
        <w:t>⑴本合同签订后</w:t>
      </w:r>
      <w:r>
        <w:rPr>
          <w:rFonts w:hint="eastAsia" w:ascii="宋体" w:hAnsi="宋体" w:eastAsia="宋体" w:cs="Times New Roman"/>
          <w:b/>
          <w:color w:val="auto"/>
          <w:kern w:val="0"/>
          <w:szCs w:val="24"/>
          <w:highlight w:val="none"/>
        </w:rPr>
        <w:t>56天</w:t>
      </w:r>
      <w:r>
        <w:rPr>
          <w:rFonts w:hint="eastAsia" w:ascii="宋体" w:hAnsi="宋体" w:eastAsia="宋体" w:cs="Times New Roman"/>
          <w:color w:val="auto"/>
          <w:kern w:val="0"/>
          <w:szCs w:val="24"/>
          <w:highlight w:val="none"/>
        </w:rPr>
        <w:t>内，承包人应根据招标时发包人提供的图纸对发包人提供的工程量清单进行复核，复核结果报</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核对、发包人确认。</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⑵若发包人提供的工程量清单相比招标时发包人提供的图纸，出现缺项或项目特征描述与图纸不符时，发包人应对工程量清单进行补充或调整，补充或调整的工程量清单项目的综合单价按25.1款的约定确定。</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⑶出现工程量清单中措施项目缺项的，或按前款补充分部分项工程清单项目后引起措施项目发生变化的，应当按25.1款的约定，在承包人提交的实施方案被发包人批准后对合同价格进行调整。</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077" w:name="_Toc25826"/>
      <w:bookmarkStart w:id="2078" w:name="_Toc22109"/>
      <w:bookmarkStart w:id="2079" w:name="_Toc4219"/>
      <w:bookmarkStart w:id="2080" w:name="_Toc4989"/>
      <w:bookmarkStart w:id="2081" w:name="_Toc28762"/>
      <w:bookmarkStart w:id="2082" w:name="_Toc6184"/>
      <w:bookmarkStart w:id="2083" w:name="_Toc28276"/>
      <w:bookmarkStart w:id="2084" w:name="_Toc1261"/>
      <w:bookmarkStart w:id="2085" w:name="_Toc302635849"/>
      <w:bookmarkStart w:id="2086" w:name="_Toc19866"/>
      <w:r>
        <w:rPr>
          <w:rFonts w:hint="eastAsia" w:ascii="宋体" w:hAnsi="宋体" w:eastAsia="宋体" w:cs="Times New Roman"/>
          <w:b/>
          <w:bCs/>
          <w:color w:val="auto"/>
          <w:kern w:val="0"/>
          <w:sz w:val="24"/>
          <w:szCs w:val="24"/>
          <w:highlight w:val="none"/>
          <w:lang w:val="en-US" w:eastAsia="zh-CN" w:bidi="ar-SA"/>
        </w:rPr>
        <w:t>工程量计算规则</w:t>
      </w:r>
      <w:bookmarkEnd w:id="2076"/>
      <w:bookmarkEnd w:id="2077"/>
      <w:bookmarkEnd w:id="2078"/>
      <w:bookmarkEnd w:id="2079"/>
      <w:bookmarkEnd w:id="2080"/>
      <w:bookmarkEnd w:id="2081"/>
      <w:bookmarkEnd w:id="2082"/>
      <w:bookmarkEnd w:id="2083"/>
      <w:bookmarkEnd w:id="2084"/>
      <w:bookmarkEnd w:id="2085"/>
      <w:bookmarkEnd w:id="2086"/>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发包人和承包人应以</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中约定的工程量计算规则</w:t>
      </w:r>
      <w:bookmarkEnd w:id="2062"/>
      <w:r>
        <w:rPr>
          <w:rFonts w:hint="eastAsia" w:ascii="宋体" w:hAnsi="宋体" w:eastAsia="宋体" w:cs="Times New Roman"/>
          <w:color w:val="auto"/>
          <w:kern w:val="0"/>
          <w:szCs w:val="24"/>
          <w:highlight w:val="none"/>
        </w:rPr>
        <w:t>，作为本工程进度款支付、过程结算和竣工结算以及20.2款约定的</w:t>
      </w:r>
      <w:r>
        <w:rPr>
          <w:rFonts w:ascii="宋体" w:hAnsi="宋体" w:eastAsia="宋体" w:cs="Times New Roman"/>
          <w:color w:val="auto"/>
          <w:kern w:val="0"/>
          <w:szCs w:val="24"/>
          <w:highlight w:val="none"/>
        </w:rPr>
        <w:t>合同价格调整</w:t>
      </w:r>
      <w:r>
        <w:rPr>
          <w:rFonts w:hint="eastAsia" w:ascii="宋体" w:hAnsi="宋体" w:eastAsia="宋体" w:cs="Times New Roman"/>
          <w:color w:val="auto"/>
          <w:kern w:val="0"/>
          <w:szCs w:val="24"/>
          <w:highlight w:val="none"/>
        </w:rPr>
        <w:t>情形发生时涉及工程量的计算规则。</w:t>
      </w:r>
    </w:p>
    <w:bookmarkEnd w:id="2063"/>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087" w:name="_Toc30584"/>
      <w:bookmarkStart w:id="2088" w:name="_Toc14118"/>
      <w:bookmarkStart w:id="2089" w:name="_Toc10513"/>
      <w:bookmarkStart w:id="2090" w:name="_Toc13013"/>
      <w:bookmarkStart w:id="2091" w:name="_Toc19482"/>
      <w:bookmarkStart w:id="2092" w:name="_Toc6042"/>
      <w:bookmarkStart w:id="2093" w:name="_Toc3841"/>
      <w:bookmarkStart w:id="2094" w:name="_Toc302635850"/>
      <w:bookmarkStart w:id="2095" w:name="_Toc8932"/>
      <w:bookmarkStart w:id="2096" w:name="_Toc305331357"/>
      <w:bookmarkStart w:id="2097" w:name="_Toc28981"/>
      <w:bookmarkStart w:id="2098" w:name="_Toc34909088"/>
      <w:r>
        <w:rPr>
          <w:rFonts w:hint="eastAsia" w:ascii="宋体" w:hAnsi="宋体" w:eastAsia="宋体" w:cs="Times New Roman"/>
          <w:b/>
          <w:bCs/>
          <w:color w:val="auto"/>
          <w:kern w:val="0"/>
          <w:sz w:val="24"/>
          <w:szCs w:val="24"/>
          <w:highlight w:val="none"/>
          <w:lang w:val="en-US" w:eastAsia="zh-CN" w:bidi="ar-SA"/>
        </w:rPr>
        <w:t>工程量计量的程序</w:t>
      </w:r>
      <w:bookmarkEnd w:id="2087"/>
      <w:bookmarkEnd w:id="2088"/>
      <w:bookmarkEnd w:id="2089"/>
      <w:bookmarkEnd w:id="2090"/>
      <w:bookmarkEnd w:id="2091"/>
      <w:bookmarkEnd w:id="2092"/>
      <w:bookmarkEnd w:id="2093"/>
      <w:bookmarkEnd w:id="2094"/>
      <w:bookmarkEnd w:id="2095"/>
      <w:bookmarkEnd w:id="2096"/>
      <w:bookmarkEnd w:id="2097"/>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⑴承包人应按照23.2款约定的进度款支付时间间隔要求，根据本工程进展情况及时就已完工程量向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提交计量报告，</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应在收到计量报告后7天内对承包人提出的工程量报表审核并报送发包人。</w:t>
      </w:r>
      <w:bookmarkEnd w:id="2098"/>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⑵需要使用记录和图纸进行计量的工程，承包人应在工作过程中准备好该工程的记录和图纸，并提交给</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应在收到计量报告后7天内对承包人提出的工程量报表及有关记录和图纸审核并报送发包人。</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bookmarkStart w:id="2099" w:name="_Toc34909092"/>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监理人对工程量有异议的，有权要求承包人进行共同复核或抽样复测。承包人应协助监理人进行复核或抽样复测，并按监理人要求提供补充计量资料。</w:t>
      </w:r>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⑷有关工程量计量的文件的编制和审核均须经注册造价工程师签字盖章确认。</w:t>
      </w:r>
      <w:bookmarkEnd w:id="2099"/>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100" w:name="_Toc34909089"/>
      <w:bookmarkStart w:id="2101" w:name="_Toc302635851"/>
      <w:bookmarkStart w:id="2102" w:name="_Toc11046"/>
      <w:bookmarkStart w:id="2103" w:name="_Toc27626"/>
      <w:bookmarkStart w:id="2104" w:name="_Toc21421"/>
      <w:bookmarkStart w:id="2105" w:name="_Toc8028"/>
      <w:bookmarkStart w:id="2106" w:name="_Toc19384"/>
      <w:bookmarkStart w:id="2107" w:name="_Toc305331358"/>
      <w:bookmarkStart w:id="2108" w:name="_Toc1198"/>
      <w:bookmarkStart w:id="2109" w:name="_Toc20266"/>
      <w:bookmarkStart w:id="2110" w:name="_Toc21205"/>
      <w:bookmarkStart w:id="2111" w:name="_Toc13602"/>
      <w:r>
        <w:rPr>
          <w:rFonts w:hint="eastAsia" w:ascii="宋体" w:hAnsi="宋体" w:eastAsia="宋体" w:cs="Times New Roman"/>
          <w:b/>
          <w:bCs/>
          <w:color w:val="auto"/>
          <w:kern w:val="0"/>
          <w:sz w:val="24"/>
          <w:szCs w:val="24"/>
          <w:highlight w:val="none"/>
          <w:lang w:val="en-US" w:eastAsia="zh-CN" w:bidi="ar-SA"/>
        </w:rPr>
        <w:t>工程量计量的结果</w:t>
      </w:r>
      <w:bookmarkEnd w:id="2100"/>
      <w:bookmarkEnd w:id="2101"/>
      <w:bookmarkEnd w:id="2102"/>
      <w:bookmarkEnd w:id="2103"/>
      <w:bookmarkEnd w:id="2104"/>
      <w:bookmarkEnd w:id="2105"/>
      <w:bookmarkEnd w:id="2106"/>
      <w:bookmarkEnd w:id="2107"/>
      <w:bookmarkEnd w:id="2108"/>
      <w:bookmarkEnd w:id="2109"/>
      <w:bookmarkEnd w:id="2110"/>
      <w:bookmarkEnd w:id="2111"/>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⑴如承包人未按22.4款的约定参加计量，则由</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所作的或由他批准的计量应认为是对工程的正确计量。</w:t>
      </w:r>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⑵如</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未在22.4款约定的时间内进行计量，则承包人提交的计量报告中所列工程量即视为被确认。</w:t>
      </w:r>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⑶如</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未按22.4款约定的时间内通知承包人，致使承包人未能参加计量，则由</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所作的或由他批准的计量结果无效。</w:t>
      </w:r>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⑷对于因承包人原因造成的超出本合同工程承包范围的增加工程量及返工工程量，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不予计量。</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⑸如承包人不同意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计量的结果，应在收到上述结果后7天内向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提出书面意见，并附上其认为正确的计量结果和计算资料。</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收到上述书面意见后，应在7天内对承包人的计量结果进行复核后通知承包人。承包人对复核计量结果仍有异议的，按照合同约定的争议解决办法处理。</w:t>
      </w:r>
    </w:p>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hint="eastAsia" w:ascii="华文细黑" w:hAnsi="宋体" w:eastAsia="宋体" w:cs="Times New Roman"/>
          <w:b/>
          <w:bCs/>
          <w:snapToGrid w:val="0"/>
          <w:color w:val="auto"/>
          <w:kern w:val="0"/>
          <w:sz w:val="28"/>
          <w:szCs w:val="44"/>
          <w:highlight w:val="none"/>
          <w:lang w:val="en-US" w:eastAsia="zh-CN" w:bidi="ar-SA"/>
        </w:rPr>
      </w:pPr>
      <w:bookmarkStart w:id="2112" w:name="_Toc26420"/>
      <w:bookmarkStart w:id="2113" w:name="_Toc12573"/>
      <w:bookmarkStart w:id="2114" w:name="_Toc23277"/>
      <w:bookmarkStart w:id="2115" w:name="_Toc32597"/>
      <w:bookmarkStart w:id="2116" w:name="_Toc18667"/>
      <w:bookmarkStart w:id="2117" w:name="_Toc24283"/>
      <w:bookmarkStart w:id="2118" w:name="_Toc8901"/>
      <w:bookmarkStart w:id="2119" w:name="_Toc5647"/>
      <w:bookmarkStart w:id="2120" w:name="_Toc9041"/>
      <w:r>
        <w:rPr>
          <w:rFonts w:hint="eastAsia" w:ascii="华文细黑" w:hAnsi="宋体" w:eastAsia="宋体" w:cs="Times New Roman"/>
          <w:b/>
          <w:bCs/>
          <w:snapToGrid w:val="0"/>
          <w:color w:val="auto"/>
          <w:kern w:val="0"/>
          <w:sz w:val="28"/>
          <w:szCs w:val="44"/>
          <w:highlight w:val="none"/>
          <w:lang w:val="en-US" w:eastAsia="zh-CN" w:bidi="ar-SA"/>
        </w:rPr>
        <w:t>工程款支付</w:t>
      </w:r>
      <w:bookmarkEnd w:id="2112"/>
      <w:bookmarkEnd w:id="2113"/>
      <w:bookmarkEnd w:id="2114"/>
      <w:bookmarkEnd w:id="2115"/>
      <w:bookmarkEnd w:id="2116"/>
      <w:bookmarkEnd w:id="2117"/>
      <w:bookmarkEnd w:id="2118"/>
      <w:bookmarkEnd w:id="2119"/>
      <w:bookmarkEnd w:id="2120"/>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本项目无须承包人带资施工，工程款按以下方式支付。</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121" w:name="_Toc5691"/>
      <w:bookmarkStart w:id="2122" w:name="_Toc24893"/>
      <w:bookmarkStart w:id="2123" w:name="_Toc16180"/>
      <w:bookmarkStart w:id="2124" w:name="_Toc302635853"/>
      <w:bookmarkStart w:id="2125" w:name="_Toc26911"/>
      <w:bookmarkStart w:id="2126" w:name="_Toc8332"/>
      <w:bookmarkStart w:id="2127" w:name="_Toc16618"/>
      <w:bookmarkStart w:id="2128" w:name="_Toc22940"/>
      <w:bookmarkStart w:id="2129" w:name="_Toc3020"/>
      <w:bookmarkStart w:id="2130" w:name="_Toc13457"/>
      <w:bookmarkStart w:id="2131" w:name="_Toc305331360"/>
      <w:bookmarkStart w:id="2132" w:name="_Toc34909094"/>
      <w:r>
        <w:rPr>
          <w:rFonts w:hint="eastAsia" w:ascii="宋体" w:hAnsi="宋体" w:eastAsia="宋体" w:cs="Times New Roman"/>
          <w:b/>
          <w:bCs/>
          <w:color w:val="auto"/>
          <w:kern w:val="0"/>
          <w:sz w:val="24"/>
          <w:szCs w:val="24"/>
          <w:highlight w:val="none"/>
          <w:lang w:val="en-US" w:eastAsia="zh-CN" w:bidi="ar-SA"/>
        </w:rPr>
        <w:t>工程预付款</w:t>
      </w:r>
      <w:bookmarkEnd w:id="2121"/>
      <w:bookmarkEnd w:id="2122"/>
      <w:bookmarkEnd w:id="2123"/>
      <w:bookmarkEnd w:id="2124"/>
      <w:bookmarkEnd w:id="2125"/>
      <w:bookmarkEnd w:id="2126"/>
      <w:bookmarkEnd w:id="2127"/>
      <w:bookmarkEnd w:id="2128"/>
      <w:bookmarkEnd w:id="2129"/>
      <w:bookmarkEnd w:id="2130"/>
      <w:bookmarkEnd w:id="2131"/>
    </w:p>
    <w:p>
      <w:pPr>
        <w:tabs>
          <w:tab w:val="left" w:pos="1620"/>
          <w:tab w:val="left" w:pos="2340"/>
        </w:tabs>
        <w:spacing w:after="156"/>
        <w:ind w:left="899"/>
        <w:jc w:val="left"/>
        <w:rPr>
          <w:rFonts w:hint="eastAsia" w:ascii="宋体" w:hAnsi="宋体"/>
          <w:kern w:val="0"/>
          <w:highlight w:val="none"/>
        </w:rPr>
      </w:pPr>
      <w:r>
        <w:rPr>
          <w:rFonts w:hint="eastAsia" w:ascii="宋体" w:hAnsi="宋体"/>
          <w:kern w:val="0"/>
          <w:highlight w:val="none"/>
        </w:rPr>
        <w:t>⑴发包人和承包人应在</w:t>
      </w:r>
      <w:r>
        <w:rPr>
          <w:rFonts w:hint="eastAsia" w:ascii="宋体" w:hAnsi="宋体"/>
          <w:b/>
          <w:i/>
          <w:kern w:val="0"/>
          <w:highlight w:val="none"/>
        </w:rPr>
        <w:t>专用条款</w:t>
      </w:r>
      <w:r>
        <w:rPr>
          <w:rFonts w:hint="eastAsia" w:ascii="宋体" w:hAnsi="宋体"/>
          <w:kern w:val="0"/>
          <w:highlight w:val="none"/>
        </w:rPr>
        <w:t>中约定一定比例的工程预付款，用于施工准备，金额一般为签约合同价的10</w:t>
      </w:r>
      <w:r>
        <w:rPr>
          <w:rFonts w:ascii="宋体" w:hAnsi="宋体"/>
          <w:kern w:val="0"/>
          <w:highlight w:val="none"/>
        </w:rPr>
        <w:t>～</w:t>
      </w:r>
      <w:r>
        <w:rPr>
          <w:rFonts w:hint="eastAsia" w:ascii="宋体" w:hAnsi="宋体"/>
          <w:kern w:val="0"/>
          <w:highlight w:val="none"/>
        </w:rPr>
        <w:t>30%。其中施工现场安全文明措施费预付款金额：合同工期在一年以内的，不得低于该费用总额的50%；合同工期在一年以上的(含一年)，不得低于该费用总额的30%。工人工资预付款金额：政府投资项目不得低于签约合同价的1%，并一次性拨付至工人工资专用账户</w:t>
      </w:r>
      <w:r>
        <w:rPr>
          <w:rFonts w:hint="eastAsia" w:ascii="宋体" w:hAnsi="宋体"/>
          <w:kern w:val="0"/>
          <w:highlight w:val="none"/>
          <w:lang w:val="en-US" w:eastAsia="zh-CN"/>
        </w:rPr>
        <w:t>，非政府投资项目可</w:t>
      </w:r>
      <w:r>
        <w:rPr>
          <w:rFonts w:hint="eastAsia" w:ascii="宋体" w:hAnsi="宋体"/>
          <w:kern w:val="0"/>
          <w:highlight w:val="none"/>
          <w:lang w:eastAsia="zh-CN"/>
        </w:rPr>
        <w:t>参照执行。</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⑵发包人应按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约定的时间向承包人支付工程预付款，预付的时间应不迟于约定的开工日期前7天。但发包人支付预付款之前，还应具备</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条件。发包人不按约定预付的，承包人应在约定预付时间到期后7天内向发包人发出要求预付的通知，发包人收到通知后仍不能按要求预付，承包人可在发出通知14天后停止施工，发包人应从约定应付之日起向承包人支付应付款的贷款利息，并承担违约责任。</w:t>
      </w:r>
      <w:bookmarkEnd w:id="2132"/>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2133" w:name="_Toc34909095"/>
      <w:r>
        <w:rPr>
          <w:rFonts w:hint="eastAsia" w:ascii="宋体" w:hAnsi="宋体" w:eastAsia="宋体" w:cs="Times New Roman"/>
          <w:color w:val="auto"/>
          <w:kern w:val="0"/>
          <w:szCs w:val="24"/>
          <w:highlight w:val="none"/>
        </w:rPr>
        <w:t>⑶发包人和承包人应在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约定工程预付款扣回的起扣点和扣回比例。在未达到起扣点之前，预付款不予扣回；达到起扣点之后，预付款按约定比例根据工程进度分期从进度支付款和过程结算款中扣回。</w:t>
      </w:r>
      <w:bookmarkEnd w:id="2133"/>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134" w:name="_Toc2494"/>
      <w:bookmarkStart w:id="2135" w:name="_Toc17783"/>
      <w:bookmarkStart w:id="2136" w:name="_Toc13252"/>
      <w:bookmarkStart w:id="2137" w:name="_Toc10584"/>
      <w:bookmarkStart w:id="2138" w:name="_Toc27652"/>
      <w:bookmarkStart w:id="2139" w:name="_Toc11174"/>
      <w:bookmarkStart w:id="2140" w:name="_Toc15945"/>
      <w:bookmarkStart w:id="2141" w:name="_Toc27370"/>
      <w:bookmarkStart w:id="2142" w:name="_Toc34909096"/>
      <w:r>
        <w:rPr>
          <w:rFonts w:hint="eastAsia" w:ascii="宋体" w:hAnsi="宋体" w:eastAsia="宋体" w:cs="Times New Roman"/>
          <w:b/>
          <w:bCs/>
          <w:color w:val="auto"/>
          <w:kern w:val="0"/>
          <w:sz w:val="24"/>
          <w:szCs w:val="24"/>
          <w:highlight w:val="none"/>
          <w:lang w:val="en-US" w:eastAsia="zh-CN" w:bidi="ar-SA"/>
        </w:rPr>
        <w:t>进度款支付周期</w:t>
      </w:r>
      <w:bookmarkEnd w:id="2134"/>
      <w:bookmarkEnd w:id="2135"/>
      <w:bookmarkEnd w:id="2136"/>
      <w:bookmarkEnd w:id="2137"/>
      <w:bookmarkEnd w:id="2138"/>
      <w:bookmarkEnd w:id="2139"/>
      <w:bookmarkEnd w:id="2140"/>
      <w:bookmarkEnd w:id="2141"/>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另有约定外，发包人和承包人应按月办理进度款支付。其中，工人工资支付周期不得超过1个月，具体按23.5款约定执行。</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⑵承包人应根据本期内工程实际完成情况，按照22条有关工程量计量的约定，计算本期完成工程量，结合合同价格构成中的工程量清单项目单价，编制进度款支付申请。</w:t>
      </w:r>
    </w:p>
    <w:bookmarkEnd w:id="2142"/>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143" w:name="_Toc302635855"/>
      <w:bookmarkStart w:id="2144" w:name="_Toc4409"/>
      <w:bookmarkStart w:id="2145" w:name="_Toc5200"/>
      <w:bookmarkStart w:id="2146" w:name="_Toc305331363"/>
      <w:bookmarkStart w:id="2147" w:name="_Toc1329"/>
      <w:bookmarkStart w:id="2148" w:name="_Toc14087"/>
      <w:bookmarkStart w:id="2149" w:name="_Toc23815"/>
      <w:bookmarkStart w:id="2150" w:name="_Toc12409"/>
      <w:bookmarkStart w:id="2151" w:name="_Toc20011"/>
      <w:bookmarkStart w:id="2152" w:name="_Toc2659"/>
      <w:bookmarkStart w:id="2153" w:name="_Toc1636"/>
      <w:bookmarkStart w:id="2154" w:name="_Toc34909097"/>
      <w:r>
        <w:rPr>
          <w:rFonts w:hint="eastAsia" w:ascii="宋体" w:hAnsi="宋体" w:eastAsia="宋体" w:cs="Times New Roman"/>
          <w:b/>
          <w:bCs/>
          <w:color w:val="auto"/>
          <w:kern w:val="0"/>
          <w:sz w:val="24"/>
          <w:szCs w:val="24"/>
          <w:highlight w:val="none"/>
          <w:lang w:val="en-US" w:eastAsia="zh-CN" w:bidi="ar-SA"/>
        </w:rPr>
        <w:t>进度款支付申请的提交</w:t>
      </w:r>
      <w:bookmarkEnd w:id="2143"/>
      <w:bookmarkEnd w:id="2144"/>
      <w:bookmarkEnd w:id="2145"/>
      <w:bookmarkEnd w:id="2146"/>
      <w:bookmarkEnd w:id="2147"/>
      <w:bookmarkEnd w:id="2148"/>
      <w:bookmarkEnd w:id="2149"/>
      <w:bookmarkEnd w:id="2150"/>
      <w:bookmarkEnd w:id="2151"/>
      <w:bookmarkEnd w:id="2152"/>
      <w:bookmarkEnd w:id="2153"/>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承包人应按时向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提交由其项目经理签署的进度款支付申请，进度款支付申请应包括以下内容：</w:t>
      </w:r>
      <w:bookmarkEnd w:id="2154"/>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⑴本期已完成工程的价款；</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⑵自开工截止本期末累计已完成(已实际结算)工程价款；</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⑶自开工截止上期末累计已支付的工程价款；</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⑷本期已完成的(按20.2款经确认的)</w:t>
      </w:r>
      <w:r>
        <w:rPr>
          <w:rFonts w:ascii="宋体" w:hAnsi="宋体" w:eastAsia="宋体" w:cs="Times New Roman"/>
          <w:color w:val="auto"/>
          <w:kern w:val="0"/>
          <w:szCs w:val="24"/>
          <w:highlight w:val="none"/>
        </w:rPr>
        <w:t>调整</w:t>
      </w:r>
      <w:r>
        <w:rPr>
          <w:rFonts w:hint="eastAsia" w:ascii="宋体" w:hAnsi="宋体" w:eastAsia="宋体" w:cs="Times New Roman"/>
          <w:color w:val="auto"/>
          <w:kern w:val="0"/>
          <w:szCs w:val="24"/>
          <w:highlight w:val="none"/>
        </w:rPr>
        <w:t>价款；</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⑸本期已完成的(按21.1、2款经确定的)材料设备、专业工程暂估价价款；</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⑹本期应抵扣的(按23.1款)工程预付款；</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⑺本期应扣减的(按</w:t>
      </w:r>
      <w:r>
        <w:rPr>
          <w:rFonts w:hint="eastAsia" w:ascii="宋体" w:hAnsi="宋体" w:eastAsia="宋体" w:cs="Times New Roman"/>
          <w:color w:val="auto"/>
          <w:kern w:val="0"/>
          <w:szCs w:val="24"/>
          <w:highlight w:val="none"/>
          <w:lang w:val="en-US" w:eastAsia="zh-CN"/>
        </w:rPr>
        <w:t>32.3</w:t>
      </w:r>
      <w:r>
        <w:rPr>
          <w:rFonts w:hint="eastAsia" w:ascii="宋体" w:hAnsi="宋体" w:eastAsia="宋体" w:cs="Times New Roman"/>
          <w:color w:val="auto"/>
          <w:kern w:val="0"/>
          <w:szCs w:val="24"/>
          <w:highlight w:val="none"/>
        </w:rPr>
        <w:t>款)质量保证金；</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⑻</w:t>
      </w:r>
      <w:r>
        <w:rPr>
          <w:rFonts w:ascii="宋体" w:hAnsi="宋体" w:eastAsia="宋体" w:cs="Times New Roman"/>
          <w:color w:val="auto"/>
          <w:kern w:val="0"/>
          <w:szCs w:val="24"/>
          <w:highlight w:val="none"/>
        </w:rPr>
        <w:t>对已签发的进度款支付证书中出现错误的修正，应在本次进度付款中支付或扣除的金额；</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⑼本期根据合同应增加和扣减的其他金额；</w:t>
      </w:r>
    </w:p>
    <w:p>
      <w:pPr>
        <w:tabs>
          <w:tab w:val="left" w:pos="1620"/>
          <w:tab w:val="left" w:pos="2340"/>
        </w:tabs>
        <w:ind w:left="107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⑽</w:t>
      </w:r>
      <w:r>
        <w:rPr>
          <w:rFonts w:hint="eastAsia" w:ascii="宋体" w:hAnsi="宋体" w:eastAsia="宋体" w:cs="Times New Roman"/>
          <w:color w:val="auto"/>
          <w:kern w:val="0"/>
          <w:szCs w:val="24"/>
          <w:highlight w:val="none"/>
        </w:rPr>
        <w:t>本期应支付的工程价款。</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155" w:name="_Toc9999"/>
      <w:bookmarkStart w:id="2156" w:name="_Toc305331364"/>
      <w:bookmarkStart w:id="2157" w:name="_Toc24051"/>
      <w:bookmarkStart w:id="2158" w:name="_Toc27545"/>
      <w:bookmarkStart w:id="2159" w:name="_Toc13905"/>
      <w:bookmarkStart w:id="2160" w:name="_Toc6741"/>
      <w:bookmarkStart w:id="2161" w:name="_Toc25632"/>
      <w:bookmarkStart w:id="2162" w:name="_Toc302635856"/>
      <w:bookmarkStart w:id="2163" w:name="_Toc26010"/>
      <w:bookmarkStart w:id="2164" w:name="_Toc7233"/>
      <w:bookmarkStart w:id="2165" w:name="_Toc6374"/>
      <w:bookmarkStart w:id="2166" w:name="_Toc34909098"/>
      <w:r>
        <w:rPr>
          <w:rFonts w:hint="eastAsia" w:ascii="宋体" w:hAnsi="宋体" w:eastAsia="宋体" w:cs="Times New Roman"/>
          <w:b/>
          <w:bCs/>
          <w:color w:val="auto"/>
          <w:kern w:val="0"/>
          <w:sz w:val="24"/>
          <w:szCs w:val="24"/>
          <w:highlight w:val="none"/>
          <w:lang w:val="en-US" w:eastAsia="zh-CN" w:bidi="ar-SA"/>
        </w:rPr>
        <w:t>进度款支付</w:t>
      </w:r>
      <w:bookmarkEnd w:id="2155"/>
      <w:bookmarkEnd w:id="2156"/>
      <w:bookmarkEnd w:id="2157"/>
      <w:bookmarkEnd w:id="2158"/>
      <w:bookmarkEnd w:id="2159"/>
      <w:bookmarkEnd w:id="2160"/>
      <w:bookmarkEnd w:id="2161"/>
      <w:bookmarkEnd w:id="2162"/>
      <w:bookmarkEnd w:id="2163"/>
      <w:bookmarkEnd w:id="2164"/>
      <w:bookmarkEnd w:id="2165"/>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应在收到进度款支付申请后14天内签发进度款支付证书，签发时应写明到期应结算的价款及需要扣留和扣回的价款并报发包人批准。如该期应结算的价款经扣留和扣回后的价款少于</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约定的进度款支付的最低金额，则</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可不签发支付证书，该期工程价款将按期结转，直到累计应支付的价款达到</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约定的进度款支付的最低金额为止。累计进度款支付价款达到合同价格总额的90%或</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约定的支付比例时暂停支付。</w:t>
      </w:r>
      <w:bookmarkEnd w:id="2166"/>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⑵若承包人未按照23.2⑴款约定的时间提交进度款支付申请，</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可自行按照工程实际进度情况编制进度款支付申请，报发包人批准后签发进度款支付证书，承包人对此应予以认可。</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发包人和监理人对承包人的</w:t>
      </w:r>
      <w:r>
        <w:rPr>
          <w:rFonts w:hint="eastAsia" w:ascii="宋体" w:hAnsi="宋体" w:eastAsia="宋体" w:cs="Times New Roman"/>
          <w:color w:val="auto"/>
          <w:kern w:val="0"/>
          <w:szCs w:val="24"/>
          <w:highlight w:val="none"/>
        </w:rPr>
        <w:t>进度款支付申请</w:t>
      </w:r>
      <w:r>
        <w:rPr>
          <w:rFonts w:ascii="宋体" w:hAnsi="宋体" w:eastAsia="宋体" w:cs="Times New Roman"/>
          <w:color w:val="auto"/>
          <w:kern w:val="0"/>
          <w:szCs w:val="24"/>
          <w:highlight w:val="none"/>
        </w:rPr>
        <w:t>有异议的，有权要求承包人修正和提供补充资料，承包人应提交修正后的</w:t>
      </w:r>
      <w:r>
        <w:rPr>
          <w:rFonts w:hint="eastAsia" w:ascii="宋体" w:hAnsi="宋体" w:eastAsia="宋体" w:cs="Times New Roman"/>
          <w:color w:val="auto"/>
          <w:kern w:val="0"/>
          <w:szCs w:val="24"/>
          <w:highlight w:val="none"/>
        </w:rPr>
        <w:t>进度款支付申请</w:t>
      </w:r>
      <w:r>
        <w:rPr>
          <w:rFonts w:ascii="宋体" w:hAnsi="宋体" w:eastAsia="宋体" w:cs="Times New Roman"/>
          <w:color w:val="auto"/>
          <w:kern w:val="0"/>
          <w:szCs w:val="24"/>
          <w:highlight w:val="none"/>
        </w:rPr>
        <w:t>。监理人应在收到承包人修正后的</w:t>
      </w:r>
      <w:r>
        <w:rPr>
          <w:rFonts w:hint="eastAsia" w:ascii="宋体" w:hAnsi="宋体" w:eastAsia="宋体" w:cs="Times New Roman"/>
          <w:color w:val="auto"/>
          <w:kern w:val="0"/>
          <w:szCs w:val="24"/>
          <w:highlight w:val="none"/>
        </w:rPr>
        <w:t>进度款支付申请</w:t>
      </w:r>
      <w:r>
        <w:rPr>
          <w:rFonts w:ascii="宋体" w:hAnsi="宋体" w:eastAsia="宋体" w:cs="Times New Roman"/>
          <w:color w:val="auto"/>
          <w:kern w:val="0"/>
          <w:szCs w:val="24"/>
          <w:highlight w:val="none"/>
        </w:rPr>
        <w:t>及相关资料后7天内完成审查并报送发包人，发包人应在收到监理人报送的</w:t>
      </w:r>
      <w:r>
        <w:rPr>
          <w:rFonts w:hint="eastAsia" w:ascii="宋体" w:hAnsi="宋体" w:eastAsia="宋体" w:cs="Times New Roman"/>
          <w:color w:val="auto"/>
          <w:kern w:val="0"/>
          <w:szCs w:val="24"/>
          <w:highlight w:val="none"/>
        </w:rPr>
        <w:t>进度款支付申请</w:t>
      </w:r>
      <w:r>
        <w:rPr>
          <w:rFonts w:ascii="宋体" w:hAnsi="宋体" w:eastAsia="宋体" w:cs="Times New Roman"/>
          <w:color w:val="auto"/>
          <w:kern w:val="0"/>
          <w:szCs w:val="24"/>
          <w:highlight w:val="none"/>
        </w:rPr>
        <w:t>及相关资料后7天内，向承包人签发无异议部分的支付证书。存在争议的部分，按照第</w:t>
      </w:r>
      <w:r>
        <w:rPr>
          <w:rFonts w:hint="eastAsia" w:ascii="宋体" w:hAnsi="宋体" w:eastAsia="宋体" w:cs="Times New Roman"/>
          <w:color w:val="auto"/>
          <w:kern w:val="0"/>
          <w:szCs w:val="24"/>
          <w:highlight w:val="none"/>
          <w:lang w:val="en-US" w:eastAsia="zh-CN"/>
        </w:rPr>
        <w:t>31</w:t>
      </w:r>
      <w:r>
        <w:rPr>
          <w:rFonts w:ascii="宋体" w:hAnsi="宋体" w:eastAsia="宋体" w:cs="Times New Roman"/>
          <w:color w:val="auto"/>
          <w:kern w:val="0"/>
          <w:szCs w:val="24"/>
          <w:highlight w:val="none"/>
        </w:rPr>
        <w:t>条</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争议解决</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的约定处理。</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发包人应在进度款支付证书签发之日起7天内将进度款支付证书上列明的应付工程进度款支付给承包人。发包人超过约定的时间不支付，承包人可向发包人发出要求付款的通知。发包人收到通知后7天内仍不能付款，可与承包人协商签订延期付款协议，经承包人同意后可延期支付，发包人应从约定应付之日起按同期银行贷款利率向承包人支付拖欠工程进度款的贷款利息。</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发包人不按约定时间足额支付工程进度款，双方又未达成延期付款协议，导致施工无法进行，承包人可停止施工，发包人应从约定应付之日起按同期银行贷款利率向承包人支付拖欠工程进度款的贷款利息以外，还应按第2</w:t>
      </w:r>
      <w:r>
        <w:rPr>
          <w:rFonts w:hint="eastAsia" w:ascii="宋体" w:hAnsi="宋体" w:eastAsia="宋体" w:cs="Times New Roman"/>
          <w:color w:val="auto"/>
          <w:kern w:val="0"/>
          <w:szCs w:val="24"/>
          <w:highlight w:val="none"/>
          <w:lang w:val="en-US" w:eastAsia="zh-CN"/>
        </w:rPr>
        <w:t>9</w:t>
      </w:r>
      <w:r>
        <w:rPr>
          <w:rFonts w:hint="eastAsia" w:ascii="宋体" w:hAnsi="宋体" w:eastAsia="宋体" w:cs="Times New Roman"/>
          <w:color w:val="auto"/>
          <w:kern w:val="0"/>
          <w:szCs w:val="24"/>
          <w:highlight w:val="none"/>
        </w:rPr>
        <w:t>.1款〔发包人违约〕承担违约责任。</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⑹</w:t>
      </w:r>
      <w:r>
        <w:rPr>
          <w:rFonts w:ascii="宋体" w:hAnsi="宋体" w:eastAsia="宋体" w:cs="Times New Roman"/>
          <w:color w:val="auto"/>
          <w:kern w:val="0"/>
          <w:szCs w:val="24"/>
          <w:highlight w:val="none"/>
        </w:rPr>
        <w:t>在对已签发的</w:t>
      </w:r>
      <w:r>
        <w:rPr>
          <w:rFonts w:hint="eastAsia" w:ascii="宋体" w:hAnsi="宋体" w:eastAsia="宋体" w:cs="Times New Roman"/>
          <w:color w:val="auto"/>
          <w:kern w:val="0"/>
          <w:szCs w:val="24"/>
          <w:highlight w:val="none"/>
        </w:rPr>
        <w:t>进度款</w:t>
      </w:r>
      <w:r>
        <w:rPr>
          <w:rFonts w:ascii="宋体" w:hAnsi="宋体" w:eastAsia="宋体" w:cs="Times New Roman"/>
          <w:color w:val="auto"/>
          <w:kern w:val="0"/>
          <w:szCs w:val="24"/>
          <w:highlight w:val="none"/>
        </w:rPr>
        <w:t>支付证书进行阶段汇总和复核中发现错误、遗漏或重复的，发包人和承包人均有权提出修正申请。经发包人和承包人同意的修正，应在下期进度付款中支付或扣除。</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2167" w:name="_Toc34909102"/>
      <w:r>
        <w:rPr>
          <w:rFonts w:hint="eastAsia" w:ascii="宋体" w:hAnsi="宋体" w:eastAsia="宋体" w:cs="Times New Roman"/>
          <w:color w:val="auto"/>
          <w:kern w:val="0"/>
          <w:szCs w:val="24"/>
          <w:highlight w:val="none"/>
        </w:rPr>
        <w:t>⑺上述有关工程款支付的文件的编制和审核均须经注册造价工程师签字盖章确认。</w:t>
      </w:r>
      <w:bookmarkEnd w:id="2167"/>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168" w:name="_Toc15986"/>
      <w:bookmarkStart w:id="2169" w:name="_Toc6368"/>
      <w:bookmarkStart w:id="2170" w:name="_Toc16656"/>
      <w:bookmarkStart w:id="2171" w:name="_Toc5953"/>
      <w:bookmarkStart w:id="2172" w:name="_Toc19101"/>
      <w:bookmarkStart w:id="2173" w:name="_Toc3400"/>
      <w:bookmarkStart w:id="2174" w:name="_Toc21011"/>
      <w:bookmarkStart w:id="2175" w:name="_Toc24350"/>
      <w:bookmarkStart w:id="2176" w:name="_Toc10747"/>
      <w:r>
        <w:rPr>
          <w:rFonts w:hint="eastAsia" w:ascii="宋体" w:hAnsi="宋体" w:eastAsia="宋体" w:cs="Times New Roman"/>
          <w:b/>
          <w:bCs/>
          <w:color w:val="auto"/>
          <w:kern w:val="0"/>
          <w:sz w:val="24"/>
          <w:szCs w:val="24"/>
          <w:highlight w:val="none"/>
          <w:lang w:val="en-US" w:eastAsia="zh-CN" w:bidi="ar-SA"/>
        </w:rPr>
        <w:t>工人工资支付</w:t>
      </w:r>
      <w:bookmarkEnd w:id="2168"/>
      <w:bookmarkEnd w:id="2169"/>
      <w:bookmarkEnd w:id="2170"/>
      <w:bookmarkEnd w:id="2171"/>
      <w:bookmarkEnd w:id="2172"/>
      <w:bookmarkEnd w:id="2173"/>
      <w:bookmarkEnd w:id="2174"/>
      <w:bookmarkEnd w:id="2175"/>
      <w:bookmarkEnd w:id="2176"/>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和承包人应按照《保障农民工工资支付条例》《国务院关于解决农民工若干问题的意见》《建设领域农民工工资支付管理暂行办法》和深圳市建设行政主管部门的相关规定，实施用工实名制和分账制管理，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中约定工人工资支付方式，保障工人工资及时支付和足额发放。</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177" w:name="_Toc302635857"/>
      <w:bookmarkStart w:id="2178" w:name="_Toc305331365"/>
      <w:bookmarkStart w:id="2179" w:name="_Toc4227"/>
      <w:bookmarkStart w:id="2180" w:name="_Toc29562"/>
      <w:bookmarkStart w:id="2181" w:name="_Toc22860"/>
      <w:bookmarkStart w:id="2182" w:name="_Toc15634"/>
      <w:bookmarkStart w:id="2183" w:name="_Toc31456"/>
      <w:bookmarkStart w:id="2184" w:name="_Toc105"/>
      <w:bookmarkStart w:id="2185" w:name="_Toc17065"/>
      <w:bookmarkStart w:id="2186" w:name="_Toc25821"/>
      <w:bookmarkStart w:id="2187" w:name="_Toc22542"/>
      <w:r>
        <w:rPr>
          <w:rFonts w:hint="eastAsia" w:ascii="宋体" w:hAnsi="宋体" w:eastAsia="宋体" w:cs="Times New Roman"/>
          <w:b/>
          <w:bCs/>
          <w:color w:val="auto"/>
          <w:kern w:val="0"/>
          <w:sz w:val="24"/>
          <w:szCs w:val="24"/>
          <w:highlight w:val="none"/>
          <w:lang w:val="en-US" w:eastAsia="zh-CN" w:bidi="ar-SA"/>
        </w:rPr>
        <w:t>工程款专款专用</w:t>
      </w:r>
      <w:bookmarkEnd w:id="2177"/>
      <w:bookmarkEnd w:id="2178"/>
      <w:bookmarkEnd w:id="2179"/>
      <w:bookmarkEnd w:id="2180"/>
      <w:bookmarkEnd w:id="2181"/>
      <w:bookmarkEnd w:id="2182"/>
      <w:bookmarkEnd w:id="2183"/>
      <w:bookmarkEnd w:id="2184"/>
      <w:bookmarkEnd w:id="2185"/>
      <w:bookmarkEnd w:id="2186"/>
      <w:bookmarkEnd w:id="2187"/>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本工程发包人支付给承包人的工程款都应当专款专用，承包人不得擅自改变任何款项的使用性质。发包人有权检查承包人工程款的使用情况(包括但不限于工程预付款、材料款、分包工程款、劳务分包价款（工人工资）、安全文明措施费等款项)，发包人还可以采取</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约定的措施对承包人的工程款使用情况进行监管。</w:t>
      </w:r>
    </w:p>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2188" w:name="_Toc24368"/>
      <w:bookmarkStart w:id="2189" w:name="_Toc17558"/>
      <w:bookmarkStart w:id="2190" w:name="_Toc19088"/>
      <w:bookmarkStart w:id="2191" w:name="_Toc4669"/>
      <w:bookmarkStart w:id="2192" w:name="_Toc1512"/>
      <w:bookmarkStart w:id="2193" w:name="_Toc34909104"/>
      <w:bookmarkStart w:id="2194" w:name="_Toc35656493"/>
      <w:bookmarkStart w:id="2195" w:name="_Toc305331366"/>
      <w:bookmarkStart w:id="2196" w:name="_Toc35656995"/>
      <w:bookmarkStart w:id="2197" w:name="_Toc28332"/>
      <w:bookmarkStart w:id="2198" w:name="_Toc26061"/>
      <w:bookmarkStart w:id="2199" w:name="_Toc302635858"/>
      <w:bookmarkStart w:id="2200" w:name="_Toc1164"/>
      <w:bookmarkStart w:id="2201" w:name="_Toc24657"/>
      <w:r>
        <w:rPr>
          <w:rFonts w:hint="eastAsia" w:ascii="华文细黑" w:hAnsi="宋体" w:eastAsia="宋体" w:cs="Times New Roman"/>
          <w:b/>
          <w:bCs/>
          <w:snapToGrid w:val="0"/>
          <w:color w:val="auto"/>
          <w:kern w:val="0"/>
          <w:sz w:val="28"/>
          <w:szCs w:val="44"/>
          <w:highlight w:val="none"/>
          <w:lang w:val="en-US" w:eastAsia="zh-CN" w:bidi="ar-SA"/>
        </w:rPr>
        <w:t>工程变更</w:t>
      </w:r>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202" w:name="_Toc305331367"/>
      <w:bookmarkStart w:id="2203" w:name="_Toc19875"/>
      <w:bookmarkStart w:id="2204" w:name="_Toc8761"/>
      <w:bookmarkStart w:id="2205" w:name="_Toc302635859"/>
      <w:bookmarkStart w:id="2206" w:name="_Toc14977"/>
      <w:bookmarkStart w:id="2207" w:name="_Toc21365"/>
      <w:bookmarkStart w:id="2208" w:name="_Toc10969"/>
      <w:bookmarkStart w:id="2209" w:name="_Toc7001"/>
      <w:bookmarkStart w:id="2210" w:name="_Toc6535"/>
      <w:bookmarkStart w:id="2211" w:name="_Toc14035"/>
      <w:bookmarkStart w:id="2212" w:name="_Toc28613"/>
      <w:bookmarkStart w:id="2213" w:name="_Toc34909105"/>
      <w:r>
        <w:rPr>
          <w:rFonts w:hint="eastAsia" w:ascii="宋体" w:hAnsi="宋体" w:eastAsia="宋体" w:cs="Times New Roman"/>
          <w:b/>
          <w:bCs/>
          <w:color w:val="auto"/>
          <w:kern w:val="0"/>
          <w:sz w:val="24"/>
          <w:szCs w:val="24"/>
          <w:highlight w:val="none"/>
          <w:lang w:val="en-US" w:eastAsia="zh-CN" w:bidi="ar-SA"/>
        </w:rPr>
        <w:t>工程变更的范围</w:t>
      </w:r>
      <w:bookmarkEnd w:id="2202"/>
      <w:bookmarkEnd w:id="2203"/>
      <w:bookmarkEnd w:id="2204"/>
      <w:bookmarkEnd w:id="2205"/>
      <w:bookmarkEnd w:id="2206"/>
      <w:bookmarkEnd w:id="2207"/>
      <w:bookmarkEnd w:id="2208"/>
      <w:bookmarkEnd w:id="2209"/>
      <w:bookmarkEnd w:id="2210"/>
      <w:bookmarkEnd w:id="2211"/>
      <w:bookmarkEnd w:id="2212"/>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在施工过程中，出现以下情况，视为工程变更：</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⑴本工程图纸包括的任何工作内容的数量、质量或其他特征的改变；</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⑵本工程技术规范内容或要求的改变；</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⑶本工程任何部分的标高、线形、位置和尺寸的改变；</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⑷本工程任何部分施工的约定顺序或时间安排的改变；</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⑸为进行工程变更需要的任何附加工作、材料或设备。</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214" w:name="_Toc20981"/>
      <w:bookmarkStart w:id="2215" w:name="_Toc17710"/>
      <w:bookmarkStart w:id="2216" w:name="_Toc148"/>
      <w:bookmarkStart w:id="2217" w:name="_Toc23342"/>
      <w:bookmarkStart w:id="2218" w:name="_Toc2468"/>
      <w:bookmarkStart w:id="2219" w:name="_Toc1658"/>
      <w:bookmarkStart w:id="2220" w:name="_Toc16226"/>
      <w:bookmarkStart w:id="2221" w:name="_Toc14557"/>
      <w:bookmarkStart w:id="2222" w:name="_Toc14389"/>
      <w:bookmarkStart w:id="2223" w:name="_Toc305331368"/>
      <w:bookmarkStart w:id="2224" w:name="_Toc302635860"/>
      <w:r>
        <w:rPr>
          <w:rFonts w:hint="eastAsia" w:ascii="宋体" w:hAnsi="宋体" w:eastAsia="宋体" w:cs="Times New Roman"/>
          <w:b/>
          <w:bCs/>
          <w:color w:val="auto"/>
          <w:kern w:val="0"/>
          <w:sz w:val="24"/>
          <w:szCs w:val="24"/>
          <w:highlight w:val="none"/>
          <w:lang w:val="en-US" w:eastAsia="zh-CN" w:bidi="ar-SA"/>
        </w:rPr>
        <w:t>变更权</w:t>
      </w:r>
      <w:bookmarkEnd w:id="2214"/>
      <w:bookmarkEnd w:id="2215"/>
      <w:bookmarkEnd w:id="2216"/>
      <w:bookmarkEnd w:id="2217"/>
      <w:bookmarkEnd w:id="2218"/>
      <w:bookmarkEnd w:id="2219"/>
      <w:bookmarkEnd w:id="2220"/>
      <w:bookmarkEnd w:id="2221"/>
      <w:bookmarkEnd w:id="2222"/>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和监理人均可提出变更。变更指令均通过监理人发出，监理人发出变更指令前应征得发包人同意。承包人收到经发包人签认的变更指令后，方可实施变更。未经许可，承包人不得擅自对工程的任何部分进行变更。</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⑵涉及设计变更的，应由设计人提供变更后的图纸和说明。</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225" w:name="_Toc19914"/>
      <w:bookmarkStart w:id="2226" w:name="_Toc14525"/>
      <w:bookmarkStart w:id="2227" w:name="_Toc11647"/>
      <w:bookmarkStart w:id="2228" w:name="_Toc25097"/>
      <w:bookmarkStart w:id="2229" w:name="_Toc2388"/>
      <w:bookmarkStart w:id="2230" w:name="_Toc21475"/>
      <w:bookmarkStart w:id="2231" w:name="_Toc11752"/>
      <w:bookmarkStart w:id="2232" w:name="_Toc458"/>
      <w:bookmarkStart w:id="2233" w:name="_Toc19650"/>
      <w:r>
        <w:rPr>
          <w:rFonts w:hint="eastAsia" w:ascii="宋体" w:hAnsi="宋体" w:eastAsia="宋体" w:cs="Times New Roman"/>
          <w:b/>
          <w:bCs/>
          <w:color w:val="auto"/>
          <w:kern w:val="0"/>
          <w:sz w:val="24"/>
          <w:szCs w:val="24"/>
          <w:highlight w:val="none"/>
          <w:lang w:val="en-US" w:eastAsia="zh-CN" w:bidi="ar-SA"/>
        </w:rPr>
        <w:t>工程变更程序</w:t>
      </w:r>
      <w:bookmarkEnd w:id="2223"/>
      <w:bookmarkEnd w:id="2224"/>
      <w:bookmarkEnd w:id="2225"/>
      <w:bookmarkEnd w:id="2226"/>
      <w:bookmarkEnd w:id="2227"/>
      <w:bookmarkEnd w:id="2228"/>
      <w:bookmarkEnd w:id="2229"/>
      <w:bookmarkEnd w:id="2230"/>
      <w:bookmarkEnd w:id="2231"/>
      <w:bookmarkEnd w:id="2232"/>
      <w:bookmarkEnd w:id="2233"/>
    </w:p>
    <w:bookmarkEnd w:id="2213"/>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工程变更应按以下程序及</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的约定办理，并由</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提前14天向承包人发出变更指令。</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⑴发包人提出变更建议，经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审核，涉及施工图调整时应经</w:t>
      </w:r>
      <w:r>
        <w:rPr>
          <w:rFonts w:ascii="宋体" w:hAnsi="宋体" w:eastAsia="宋体" w:cs="Times New Roman"/>
          <w:color w:val="auto"/>
          <w:kern w:val="0"/>
          <w:szCs w:val="24"/>
          <w:highlight w:val="none"/>
        </w:rPr>
        <w:t>设计人</w:t>
      </w:r>
      <w:r>
        <w:rPr>
          <w:rFonts w:hint="eastAsia" w:ascii="宋体" w:hAnsi="宋体" w:eastAsia="宋体" w:cs="Times New Roman"/>
          <w:color w:val="auto"/>
          <w:kern w:val="0"/>
          <w:szCs w:val="24"/>
          <w:highlight w:val="none"/>
        </w:rPr>
        <w:t>同意并提交相应变更设计；</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设计人</w:t>
      </w:r>
      <w:r>
        <w:rPr>
          <w:rFonts w:hint="eastAsia" w:ascii="宋体" w:hAnsi="宋体" w:eastAsia="宋体" w:cs="Times New Roman"/>
          <w:color w:val="auto"/>
          <w:kern w:val="0"/>
          <w:szCs w:val="24"/>
          <w:highlight w:val="none"/>
        </w:rPr>
        <w:t>提出变更建议，涉及施工图调整时应提交相应变更设计，经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审核并报发包人同意；</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提出变更建议，涉及施工图调整时应经</w:t>
      </w:r>
      <w:r>
        <w:rPr>
          <w:rFonts w:ascii="宋体" w:hAnsi="宋体" w:eastAsia="宋体" w:cs="Times New Roman"/>
          <w:color w:val="auto"/>
          <w:kern w:val="0"/>
          <w:szCs w:val="24"/>
          <w:highlight w:val="none"/>
        </w:rPr>
        <w:t>设计人</w:t>
      </w:r>
      <w:r>
        <w:rPr>
          <w:rFonts w:hint="eastAsia" w:ascii="宋体" w:hAnsi="宋体" w:eastAsia="宋体" w:cs="Times New Roman"/>
          <w:color w:val="auto"/>
          <w:kern w:val="0"/>
          <w:szCs w:val="24"/>
          <w:highlight w:val="none"/>
        </w:rPr>
        <w:t>同意并提交相应变更设计，报发包人同意；</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⑷承包人提出变更建议，涉及施工图调整时应经</w:t>
      </w:r>
      <w:r>
        <w:rPr>
          <w:rFonts w:ascii="宋体" w:hAnsi="宋体" w:eastAsia="宋体" w:cs="Times New Roman"/>
          <w:color w:val="auto"/>
          <w:kern w:val="0"/>
          <w:szCs w:val="24"/>
          <w:highlight w:val="none"/>
        </w:rPr>
        <w:t>设计人</w:t>
      </w:r>
      <w:r>
        <w:rPr>
          <w:rFonts w:hint="eastAsia" w:ascii="宋体" w:hAnsi="宋体" w:eastAsia="宋体" w:cs="Times New Roman"/>
          <w:color w:val="auto"/>
          <w:kern w:val="0"/>
          <w:szCs w:val="24"/>
          <w:highlight w:val="none"/>
        </w:rPr>
        <w:t>同意并提交相应变更设计，经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审核并报发包人同意；</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⑸以上变更建议涉及到结构、外墙等影响本工程及公众安全的，必须经</w:t>
      </w:r>
      <w:r>
        <w:rPr>
          <w:rFonts w:ascii="宋体" w:hAnsi="宋体" w:eastAsia="宋体" w:cs="Times New Roman"/>
          <w:color w:val="auto"/>
          <w:kern w:val="0"/>
          <w:szCs w:val="24"/>
          <w:highlight w:val="none"/>
        </w:rPr>
        <w:t>设计人</w:t>
      </w:r>
      <w:r>
        <w:rPr>
          <w:rFonts w:hint="eastAsia" w:ascii="宋体" w:hAnsi="宋体" w:eastAsia="宋体" w:cs="Times New Roman"/>
          <w:color w:val="auto"/>
          <w:kern w:val="0"/>
          <w:szCs w:val="24"/>
          <w:highlight w:val="none"/>
        </w:rPr>
        <w:t>同意并提交相应变更设计；</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⑹以上变更超过原设计标准或批准的建设规模需要有关部门审批时，发包人应在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约定期限内报规划管理部门和其他有关部门重新审查批准，并提供由</w:t>
      </w:r>
      <w:r>
        <w:rPr>
          <w:rFonts w:ascii="宋体" w:hAnsi="宋体" w:eastAsia="宋体" w:cs="Times New Roman"/>
          <w:color w:val="auto"/>
          <w:kern w:val="0"/>
          <w:szCs w:val="24"/>
          <w:highlight w:val="none"/>
        </w:rPr>
        <w:t>设计人</w:t>
      </w:r>
      <w:r>
        <w:rPr>
          <w:rFonts w:hint="eastAsia" w:ascii="宋体" w:hAnsi="宋体" w:eastAsia="宋体" w:cs="Times New Roman"/>
          <w:color w:val="auto"/>
          <w:kern w:val="0"/>
          <w:szCs w:val="24"/>
          <w:highlight w:val="none"/>
        </w:rPr>
        <w:t>出具的相应变更设计。</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234" w:name="_Toc11590"/>
      <w:bookmarkStart w:id="2235" w:name="_Toc6379"/>
      <w:bookmarkStart w:id="2236" w:name="_Toc24436"/>
      <w:bookmarkStart w:id="2237" w:name="_Toc32015"/>
      <w:bookmarkStart w:id="2238" w:name="_Toc30434"/>
      <w:bookmarkStart w:id="2239" w:name="_Toc934"/>
      <w:bookmarkStart w:id="2240" w:name="_Toc305331369"/>
      <w:bookmarkStart w:id="2241" w:name="_Toc26098"/>
      <w:bookmarkStart w:id="2242" w:name="_Toc14117"/>
      <w:bookmarkStart w:id="2243" w:name="_Toc5911"/>
      <w:bookmarkStart w:id="2244" w:name="_Toc302635862"/>
      <w:bookmarkStart w:id="2245" w:name="_Toc34909108"/>
      <w:r>
        <w:rPr>
          <w:rFonts w:hint="eastAsia" w:ascii="宋体" w:hAnsi="宋体" w:eastAsia="宋体" w:cs="Times New Roman"/>
          <w:b/>
          <w:bCs/>
          <w:color w:val="auto"/>
          <w:kern w:val="0"/>
          <w:sz w:val="24"/>
          <w:szCs w:val="24"/>
          <w:highlight w:val="none"/>
          <w:lang w:val="en-US" w:eastAsia="zh-CN" w:bidi="ar-SA"/>
        </w:rPr>
        <w:t>其他变更</w:t>
      </w:r>
      <w:bookmarkEnd w:id="2234"/>
      <w:bookmarkEnd w:id="2235"/>
      <w:bookmarkEnd w:id="2236"/>
      <w:bookmarkEnd w:id="2237"/>
      <w:bookmarkEnd w:id="2238"/>
      <w:bookmarkEnd w:id="2239"/>
      <w:bookmarkEnd w:id="2240"/>
      <w:bookmarkEnd w:id="2241"/>
      <w:bookmarkEnd w:id="2242"/>
      <w:bookmarkEnd w:id="2243"/>
      <w:bookmarkEnd w:id="2244"/>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⑴如发出本工程变更指令是因为承包人过错、承包人违反本合同等造成的，则由此引起的任何额外费用由承包人承担。</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⑵如承包人为了便于组织施工，或为了施工安全、避免干扰等原因需采取相应的技术措施而提出的局部变更设计，除须得到</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的批准外，由此而增加的费用由承包人自行负担。因承包人擅自变更设计发生的费用和由此导致发包人的直接损失，由承包人承担，延误的工期不予顺延。</w:t>
      </w:r>
    </w:p>
    <w:bookmarkEnd w:id="2245"/>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246" w:name="_Toc23549"/>
      <w:bookmarkStart w:id="2247" w:name="_Toc25286"/>
      <w:bookmarkStart w:id="2248" w:name="_Toc1792"/>
      <w:bookmarkStart w:id="2249" w:name="_Toc29884"/>
      <w:bookmarkStart w:id="2250" w:name="_Toc302635863"/>
      <w:bookmarkStart w:id="2251" w:name="_Toc2209"/>
      <w:bookmarkStart w:id="2252" w:name="_Toc305331370"/>
      <w:bookmarkStart w:id="2253" w:name="_Toc12732"/>
      <w:bookmarkStart w:id="2254" w:name="_Toc1182"/>
      <w:bookmarkStart w:id="2255" w:name="_Toc2804"/>
      <w:bookmarkStart w:id="2256" w:name="_Toc14457"/>
      <w:bookmarkStart w:id="2257" w:name="_Toc34909084"/>
      <w:bookmarkStart w:id="2258" w:name="_Toc34909109"/>
      <w:r>
        <w:rPr>
          <w:rFonts w:hint="eastAsia" w:ascii="宋体" w:hAnsi="宋体" w:eastAsia="宋体" w:cs="Times New Roman"/>
          <w:b/>
          <w:bCs/>
          <w:color w:val="auto"/>
          <w:kern w:val="0"/>
          <w:sz w:val="24"/>
          <w:szCs w:val="24"/>
          <w:highlight w:val="none"/>
          <w:lang w:val="en-US" w:eastAsia="zh-CN" w:bidi="ar-SA"/>
        </w:rPr>
        <w:t>计日工现场签证</w:t>
      </w:r>
      <w:bookmarkEnd w:id="2246"/>
      <w:bookmarkEnd w:id="2247"/>
      <w:bookmarkEnd w:id="2248"/>
      <w:bookmarkEnd w:id="2249"/>
      <w:bookmarkEnd w:id="2250"/>
      <w:bookmarkEnd w:id="2251"/>
      <w:bookmarkEnd w:id="2252"/>
      <w:bookmarkEnd w:id="2253"/>
      <w:bookmarkEnd w:id="2254"/>
      <w:bookmarkEnd w:id="2255"/>
      <w:bookmarkEnd w:id="2256"/>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⑴在本工程施工过程中，承包人完成发包人或</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提出的施工图以外的零星项目或工作，</w:t>
      </w:r>
      <w:r>
        <w:rPr>
          <w:rFonts w:ascii="宋体" w:hAnsi="宋体" w:eastAsia="宋体" w:cs="Times New Roman"/>
          <w:color w:val="auto"/>
          <w:kern w:val="0"/>
          <w:szCs w:val="24"/>
          <w:highlight w:val="none"/>
        </w:rPr>
        <w:t>其价款按列入已标价工程量清单或预算书中的计日工计价项目及其单价进行计算；已标价工程量清单或预算书中无相应的计日工单价的，按照合理的成本与利润构成的原则，由承发包双方</w:t>
      </w:r>
      <w:r>
        <w:rPr>
          <w:rFonts w:hint="eastAsia" w:ascii="宋体" w:hAnsi="宋体" w:eastAsia="宋体" w:cs="Times New Roman"/>
          <w:color w:val="auto"/>
          <w:kern w:val="0"/>
          <w:szCs w:val="24"/>
          <w:highlight w:val="none"/>
        </w:rPr>
        <w:t>协商</w:t>
      </w:r>
      <w:r>
        <w:rPr>
          <w:rFonts w:ascii="宋体" w:hAnsi="宋体" w:eastAsia="宋体" w:cs="Times New Roman"/>
          <w:color w:val="auto"/>
          <w:kern w:val="0"/>
          <w:szCs w:val="24"/>
          <w:highlight w:val="none"/>
        </w:rPr>
        <w:t>确定变更工作的单价</w:t>
      </w:r>
      <w:r>
        <w:rPr>
          <w:rFonts w:hint="eastAsia" w:ascii="宋体" w:hAnsi="宋体" w:eastAsia="宋体" w:cs="Times New Roman"/>
          <w:color w:val="auto"/>
          <w:kern w:val="0"/>
          <w:szCs w:val="24"/>
          <w:highlight w:val="none"/>
        </w:rPr>
        <w:t>，协商不成的，按第3</w:t>
      </w:r>
      <w:r>
        <w:rPr>
          <w:rFonts w:hint="eastAsia" w:ascii="宋体" w:hAnsi="宋体" w:eastAsia="宋体" w:cs="Times New Roman"/>
          <w:color w:val="auto"/>
          <w:kern w:val="0"/>
          <w:szCs w:val="24"/>
          <w:highlight w:val="none"/>
          <w:lang w:val="en-US" w:eastAsia="zh-CN"/>
        </w:rPr>
        <w:t>1</w:t>
      </w:r>
      <w:r>
        <w:rPr>
          <w:rFonts w:hint="eastAsia" w:ascii="宋体" w:hAnsi="宋体" w:eastAsia="宋体" w:cs="Times New Roman"/>
          <w:color w:val="auto"/>
          <w:kern w:val="0"/>
          <w:szCs w:val="24"/>
          <w:highlight w:val="none"/>
        </w:rPr>
        <w:t>条〔争议解决〕的约定处理。</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⑵发包人或</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如认为必要时，可以指令承包人按计日工完成工作。对所有按计日工方式施工的工程，承包人应在该工程持续进行过程中，每天向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提交以下报表及有关凭证一式两份，经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确认签字后，退还其中一份给承包人。</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w:t>
      </w:r>
      <w:r>
        <w:rPr>
          <w:rFonts w:ascii="宋体" w:hAnsi="宋体" w:eastAsia="宋体" w:cs="Times New Roman"/>
          <w:color w:val="auto"/>
          <w:kern w:val="0"/>
          <w:szCs w:val="24"/>
          <w:highlight w:val="none"/>
        </w:rPr>
        <w:t>工作名称、内容和数量；</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w:t>
      </w:r>
      <w:r>
        <w:rPr>
          <w:rFonts w:ascii="宋体" w:hAnsi="宋体" w:eastAsia="宋体" w:cs="Times New Roman"/>
          <w:color w:val="auto"/>
          <w:kern w:val="0"/>
          <w:szCs w:val="24"/>
          <w:highlight w:val="none"/>
        </w:rPr>
        <w:t>投入该工作的所有人员的姓名、专业、工种、级别和耗用工时；</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w:t>
      </w:r>
      <w:r>
        <w:rPr>
          <w:rFonts w:ascii="宋体" w:hAnsi="宋体" w:eastAsia="宋体" w:cs="Times New Roman"/>
          <w:color w:val="auto"/>
          <w:kern w:val="0"/>
          <w:szCs w:val="24"/>
          <w:highlight w:val="none"/>
        </w:rPr>
        <w:t>投入该工作的材料类别和数量；</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④</w:t>
      </w:r>
      <w:r>
        <w:rPr>
          <w:rFonts w:ascii="宋体" w:hAnsi="宋体" w:eastAsia="宋体" w:cs="Times New Roman"/>
          <w:color w:val="auto"/>
          <w:kern w:val="0"/>
          <w:szCs w:val="24"/>
          <w:highlight w:val="none"/>
        </w:rPr>
        <w:t>投入该工作的施工设备型号和耗用</w:t>
      </w:r>
      <w:r>
        <w:rPr>
          <w:rFonts w:hint="eastAsia" w:ascii="宋体" w:hAnsi="宋体" w:eastAsia="宋体" w:cs="Times New Roman"/>
          <w:color w:val="auto"/>
          <w:kern w:val="0"/>
          <w:szCs w:val="24"/>
          <w:highlight w:val="none"/>
        </w:rPr>
        <w:t>台班</w:t>
      </w:r>
      <w:r>
        <w:rPr>
          <w:rFonts w:ascii="宋体" w:hAnsi="宋体" w:eastAsia="宋体" w:cs="Times New Roman"/>
          <w:color w:val="auto"/>
          <w:kern w:val="0"/>
          <w:szCs w:val="24"/>
          <w:highlight w:val="none"/>
        </w:rPr>
        <w:t>；</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⑤</w:t>
      </w:r>
      <w:r>
        <w:rPr>
          <w:rFonts w:ascii="宋体" w:hAnsi="宋体" w:eastAsia="宋体" w:cs="Times New Roman"/>
          <w:color w:val="auto"/>
          <w:kern w:val="0"/>
          <w:szCs w:val="24"/>
          <w:highlight w:val="none"/>
        </w:rPr>
        <w:t>其他有关资料和凭证。</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⑶在进度款支付的同时，承包人应按照</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确认的本期累计所用劳务、材料和承包人装备的数量，向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申报本期所用计日工费用，经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审核并报发包人确认后，与进度款支付同期支付。</w:t>
      </w:r>
    </w:p>
    <w:bookmarkEnd w:id="2257"/>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259" w:name="_Toc6190"/>
      <w:bookmarkStart w:id="2260" w:name="_Toc305331371"/>
      <w:bookmarkStart w:id="2261" w:name="_Toc17372"/>
      <w:bookmarkStart w:id="2262" w:name="_Toc23749"/>
      <w:bookmarkStart w:id="2263" w:name="_Toc1864"/>
      <w:bookmarkStart w:id="2264" w:name="_Toc2163"/>
      <w:bookmarkStart w:id="2265" w:name="_Toc22622"/>
      <w:bookmarkStart w:id="2266" w:name="_Toc6650"/>
      <w:bookmarkStart w:id="2267" w:name="_Toc21842"/>
      <w:bookmarkStart w:id="2268" w:name="_Toc302635864"/>
      <w:bookmarkStart w:id="2269" w:name="_Toc7112"/>
      <w:r>
        <w:rPr>
          <w:rFonts w:hint="eastAsia" w:ascii="宋体" w:hAnsi="宋体" w:eastAsia="宋体" w:cs="Times New Roman"/>
          <w:b/>
          <w:bCs/>
          <w:color w:val="auto"/>
          <w:kern w:val="0"/>
          <w:sz w:val="24"/>
          <w:szCs w:val="24"/>
          <w:highlight w:val="none"/>
          <w:lang w:val="en-US" w:eastAsia="zh-CN" w:bidi="ar-SA"/>
        </w:rPr>
        <w:t>价值工程</w:t>
      </w:r>
      <w:bookmarkEnd w:id="2259"/>
      <w:bookmarkEnd w:id="2260"/>
      <w:bookmarkEnd w:id="2261"/>
      <w:bookmarkEnd w:id="2262"/>
      <w:bookmarkEnd w:id="2263"/>
      <w:bookmarkEnd w:id="2264"/>
      <w:bookmarkEnd w:id="2265"/>
      <w:bookmarkEnd w:id="2266"/>
      <w:bookmarkEnd w:id="2267"/>
      <w:bookmarkEnd w:id="2268"/>
      <w:bookmarkEnd w:id="2269"/>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⑴施工过程中承包人可随时提出其认为可满足下列要求的合理化建议：</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①使本工程提前竣工；</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②降低发包人的工程施工、维护或运营的费用；</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③提高本工程的价值；</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④为发包人带来其它利益。</w:t>
      </w:r>
    </w:p>
    <w:p>
      <w:pPr>
        <w:tabs>
          <w:tab w:val="left" w:pos="1620"/>
          <w:tab w:val="left" w:pos="2340"/>
        </w:tabs>
        <w:spacing w:before="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收到此类建议后，应尽快提出针对性的回复，在此期间，承包人应继续按照本合同约定进行相应工作。若该合理化建议涉及到对设计图纸或施工组织设计的更改及对材料、设备的换用，须经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审查并报经发包人批准。未经批准擅自更改或换用时，承包人承担由此发生的费用，并赔偿发包人的有关损失，延误的工期不予顺延。</w:t>
      </w:r>
    </w:p>
    <w:p>
      <w:pPr>
        <w:tabs>
          <w:tab w:val="left" w:pos="1620"/>
          <w:tab w:val="left" w:pos="2340"/>
        </w:tabs>
        <w:spacing w:before="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⑶若发包人同意采用承包人合理化建议，所发生的费用和获得的收益，发包人和承包人按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的约定分担或分享。</w:t>
      </w:r>
      <w:bookmarkEnd w:id="2258"/>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270" w:name="_Toc16119"/>
      <w:bookmarkStart w:id="2271" w:name="_Toc23191"/>
      <w:bookmarkStart w:id="2272" w:name="_Toc11606"/>
      <w:bookmarkStart w:id="2273" w:name="_Toc28926"/>
      <w:bookmarkStart w:id="2274" w:name="_Toc14088"/>
      <w:bookmarkStart w:id="2275" w:name="_Toc351203573"/>
      <w:bookmarkStart w:id="2276" w:name="_Toc13263"/>
      <w:bookmarkStart w:id="2277" w:name="_Toc27902"/>
      <w:bookmarkStart w:id="2278" w:name="_Toc19199"/>
      <w:bookmarkStart w:id="2279" w:name="_Toc16638"/>
      <w:bookmarkStart w:id="2280" w:name="_Toc302635865"/>
      <w:bookmarkStart w:id="2281" w:name="_Toc337558793"/>
      <w:r>
        <w:rPr>
          <w:rFonts w:ascii="宋体" w:hAnsi="宋体" w:eastAsia="宋体" w:cs="Times New Roman"/>
          <w:b/>
          <w:bCs/>
          <w:color w:val="auto"/>
          <w:kern w:val="0"/>
          <w:sz w:val="24"/>
          <w:szCs w:val="24"/>
          <w:highlight w:val="none"/>
          <w:lang w:val="en-US" w:eastAsia="zh-CN" w:bidi="ar-SA"/>
        </w:rPr>
        <w:t>变更引起的工期调整</w:t>
      </w:r>
      <w:bookmarkEnd w:id="2270"/>
      <w:bookmarkEnd w:id="2271"/>
      <w:bookmarkEnd w:id="2272"/>
      <w:bookmarkEnd w:id="2273"/>
      <w:bookmarkEnd w:id="2274"/>
      <w:bookmarkEnd w:id="2275"/>
      <w:bookmarkEnd w:id="2276"/>
      <w:bookmarkEnd w:id="2277"/>
      <w:bookmarkEnd w:id="2278"/>
      <w:bookmarkEnd w:id="2279"/>
      <w:bookmarkEnd w:id="2280"/>
      <w:r>
        <w:rPr>
          <w:rFonts w:ascii="宋体" w:hAnsi="宋体" w:eastAsia="宋体" w:cs="Times New Roman"/>
          <w:b/>
          <w:bCs/>
          <w:color w:val="auto"/>
          <w:kern w:val="0"/>
          <w:sz w:val="24"/>
          <w:szCs w:val="24"/>
          <w:highlight w:val="none"/>
          <w:lang w:val="en-US" w:eastAsia="zh-CN" w:bidi="ar-SA"/>
        </w:rPr>
        <w:t xml:space="preserve"> </w:t>
      </w:r>
      <w:bookmarkEnd w:id="2281"/>
      <w:r>
        <w:rPr>
          <w:rFonts w:ascii="宋体" w:hAnsi="宋体" w:eastAsia="宋体" w:cs="Times New Roman"/>
          <w:b/>
          <w:bCs/>
          <w:color w:val="auto"/>
          <w:kern w:val="0"/>
          <w:sz w:val="24"/>
          <w:szCs w:val="24"/>
          <w:highlight w:val="none"/>
          <w:lang w:val="en-US" w:eastAsia="zh-CN" w:bidi="ar-SA"/>
        </w:rPr>
        <w:t xml:space="preserve">  </w:t>
      </w:r>
    </w:p>
    <w:p>
      <w:pPr>
        <w:tabs>
          <w:tab w:val="left" w:pos="1620"/>
          <w:tab w:val="left" w:pos="2340"/>
        </w:tabs>
        <w:spacing w:before="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因变更引起工期变化的，承发包双方均可要求调整合同工期，由承发包双方参考工期定额标准</w:t>
      </w:r>
      <w:r>
        <w:rPr>
          <w:rFonts w:hint="eastAsia" w:ascii="宋体" w:hAnsi="宋体" w:eastAsia="宋体" w:cs="Times New Roman"/>
          <w:color w:val="auto"/>
          <w:kern w:val="0"/>
          <w:szCs w:val="24"/>
          <w:highlight w:val="none"/>
        </w:rPr>
        <w:t>协商</w:t>
      </w:r>
      <w:r>
        <w:rPr>
          <w:rFonts w:ascii="宋体" w:hAnsi="宋体" w:eastAsia="宋体" w:cs="Times New Roman"/>
          <w:color w:val="auto"/>
          <w:kern w:val="0"/>
          <w:szCs w:val="24"/>
          <w:highlight w:val="none"/>
        </w:rPr>
        <w:t>确定增减工期天数。</w:t>
      </w:r>
    </w:p>
    <w:p>
      <w:pPr>
        <w:keepNext w:val="0"/>
        <w:keepLines w:val="0"/>
        <w:widowControl w:val="0"/>
        <w:numPr>
          <w:ilvl w:val="0"/>
          <w:numId w:val="2"/>
        </w:numPr>
        <w:tabs>
          <w:tab w:val="left" w:pos="720"/>
          <w:tab w:val="left" w:pos="1620"/>
          <w:tab w:val="left" w:pos="2340"/>
          <w:tab w:val="left"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2282" w:name="_Toc23131"/>
      <w:bookmarkStart w:id="2283" w:name="_Toc35656996"/>
      <w:bookmarkStart w:id="2284" w:name="_Toc28764"/>
      <w:bookmarkStart w:id="2285" w:name="_Toc12461"/>
      <w:bookmarkStart w:id="2286" w:name="_Toc30638"/>
      <w:bookmarkStart w:id="2287" w:name="_Toc9635"/>
      <w:bookmarkStart w:id="2288" w:name="_Toc302635866"/>
      <w:bookmarkStart w:id="2289" w:name="_Toc10332"/>
      <w:bookmarkStart w:id="2290" w:name="_Toc17617"/>
      <w:bookmarkStart w:id="2291" w:name="_Toc6824"/>
      <w:bookmarkStart w:id="2292" w:name="_Toc35656494"/>
      <w:bookmarkStart w:id="2293" w:name="_Toc1240"/>
      <w:bookmarkStart w:id="2294" w:name="_Toc305331372"/>
      <w:bookmarkStart w:id="2295" w:name="_Toc34909110"/>
      <w:r>
        <w:rPr>
          <w:rFonts w:hint="eastAsia" w:ascii="华文细黑" w:hAnsi="宋体" w:eastAsia="宋体" w:cs="Times New Roman"/>
          <w:b/>
          <w:bCs/>
          <w:snapToGrid w:val="0"/>
          <w:color w:val="auto"/>
          <w:kern w:val="0"/>
          <w:sz w:val="28"/>
          <w:szCs w:val="44"/>
          <w:highlight w:val="none"/>
          <w:lang w:val="en-US" w:eastAsia="zh-CN" w:bidi="ar-SA"/>
        </w:rPr>
        <w:t>工程变更价款</w:t>
      </w:r>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296" w:name="_Toc696"/>
      <w:bookmarkStart w:id="2297" w:name="_Toc28746"/>
      <w:bookmarkStart w:id="2298" w:name="_Toc10397"/>
      <w:bookmarkStart w:id="2299" w:name="_Toc12196"/>
      <w:bookmarkStart w:id="2300" w:name="_Toc3536"/>
      <w:bookmarkStart w:id="2301" w:name="_Toc13643"/>
      <w:bookmarkStart w:id="2302" w:name="_Toc21846"/>
      <w:bookmarkStart w:id="2303" w:name="_Toc305331373"/>
      <w:bookmarkStart w:id="2304" w:name="_Toc302635867"/>
      <w:bookmarkStart w:id="2305" w:name="_Toc21786"/>
      <w:bookmarkStart w:id="2306" w:name="_Toc27619"/>
      <w:bookmarkStart w:id="2307" w:name="_Toc34909112"/>
      <w:bookmarkStart w:id="2308" w:name="_Toc34909111"/>
      <w:r>
        <w:rPr>
          <w:rFonts w:hint="eastAsia" w:ascii="宋体" w:hAnsi="宋体" w:eastAsia="宋体" w:cs="Times New Roman"/>
          <w:b/>
          <w:bCs/>
          <w:color w:val="auto"/>
          <w:kern w:val="0"/>
          <w:sz w:val="24"/>
          <w:szCs w:val="24"/>
          <w:highlight w:val="none"/>
          <w:lang w:val="en-US" w:eastAsia="zh-CN" w:bidi="ar-SA"/>
        </w:rPr>
        <w:t>工程变更价款的确定方法</w:t>
      </w:r>
      <w:bookmarkEnd w:id="2296"/>
      <w:bookmarkEnd w:id="2297"/>
      <w:bookmarkEnd w:id="2298"/>
      <w:bookmarkEnd w:id="2299"/>
      <w:bookmarkEnd w:id="2300"/>
      <w:bookmarkEnd w:id="2301"/>
      <w:bookmarkEnd w:id="2302"/>
      <w:bookmarkEnd w:id="2303"/>
      <w:bookmarkEnd w:id="2304"/>
      <w:bookmarkEnd w:id="2305"/>
      <w:bookmarkEnd w:id="2306"/>
    </w:p>
    <w:bookmarkEnd w:id="2307"/>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⑴合同价格构成中的工程量清单项目单价中已有适用于变更工程的工程量清单项目单价，按已有的工程量清单项目单价确定变更价款。</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合同价格构成中的工程量清单项目单价中只有类似于变更工程的工程量清单项目单价，可以参照类似项目工程量清单项目单价确定变更价款，类似项目是指采用的材料、施工工艺和方法基本相似，不增加关键线路上工程的施工时间的项目。</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⑶合同价格构成中的工程量清单项目单价中没有适用或类似于变更工程的工程量清单项目单价，除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另有约定外，发包人和承包人应按照本工程招标控制价的编制方法，根据工程变更资料计算，并按本工程净下浮率进行下浮调整确定该工程变更价款。</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t>如工程变更造成工程量清单中某项目的工程量增减超过</w:t>
      </w:r>
      <w:r>
        <w:rPr>
          <w:rFonts w:hint="eastAsia" w:ascii="宋体" w:hAnsi="宋体" w:eastAsia="宋体" w:cs="Times New Roman"/>
          <w:color w:val="auto"/>
          <w:kern w:val="0"/>
          <w:szCs w:val="24"/>
          <w:highlight w:val="none"/>
        </w:rPr>
        <w:t>15</w:t>
      </w:r>
      <w:r>
        <w:rPr>
          <w:rFonts w:ascii="宋体" w:hAnsi="宋体" w:eastAsia="宋体" w:cs="Times New Roman"/>
          <w:color w:val="auto"/>
          <w:kern w:val="0"/>
          <w:szCs w:val="24"/>
          <w:highlight w:val="none"/>
        </w:rPr>
        <w:t>%或</w:t>
      </w:r>
      <w:r>
        <w:rPr>
          <w:rFonts w:hint="eastAsia" w:ascii="宋体" w:hAnsi="宋体" w:eastAsia="宋体" w:cs="Times New Roman"/>
          <w:color w:val="auto"/>
          <w:kern w:val="0"/>
          <w:szCs w:val="24"/>
          <w:highlight w:val="none"/>
        </w:rPr>
        <w:t>承发包双方</w:t>
      </w:r>
      <w:r>
        <w:rPr>
          <w:rFonts w:ascii="宋体" w:hAnsi="宋体" w:eastAsia="宋体" w:cs="Times New Roman"/>
          <w:color w:val="auto"/>
          <w:kern w:val="0"/>
          <w:szCs w:val="24"/>
          <w:highlight w:val="none"/>
        </w:rPr>
        <w:t>在</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中约定的幅度</w:t>
      </w:r>
      <w:r>
        <w:rPr>
          <w:rFonts w:hint="eastAsia" w:ascii="宋体" w:hAnsi="宋体" w:eastAsia="宋体" w:cs="Times New Roman"/>
          <w:color w:val="auto"/>
          <w:kern w:val="0"/>
          <w:szCs w:val="24"/>
          <w:highlight w:val="none"/>
        </w:rPr>
        <w:t>时</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其工程量清单</w:t>
      </w:r>
      <w:r>
        <w:rPr>
          <w:rFonts w:ascii="宋体" w:hAnsi="宋体" w:eastAsia="宋体" w:cs="Times New Roman"/>
          <w:color w:val="auto"/>
          <w:kern w:val="0"/>
          <w:szCs w:val="24"/>
          <w:highlight w:val="none"/>
        </w:rPr>
        <w:t>项目</w:t>
      </w:r>
      <w:r>
        <w:rPr>
          <w:rFonts w:hint="eastAsia" w:ascii="宋体" w:hAnsi="宋体" w:eastAsia="宋体" w:cs="Times New Roman"/>
          <w:color w:val="auto"/>
          <w:kern w:val="0"/>
          <w:szCs w:val="24"/>
          <w:highlight w:val="none"/>
        </w:rPr>
        <w:t>单价按第25.4款执行</w:t>
      </w:r>
      <w:r>
        <w:rPr>
          <w:rFonts w:ascii="宋体" w:hAnsi="宋体" w:eastAsia="宋体" w:cs="Times New Roman"/>
          <w:color w:val="auto"/>
          <w:kern w:val="0"/>
          <w:szCs w:val="24"/>
          <w:highlight w:val="none"/>
        </w:rPr>
        <w:t>。</w:t>
      </w:r>
    </w:p>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309" w:name="_Toc13622"/>
      <w:bookmarkStart w:id="2310" w:name="_Toc29024"/>
      <w:bookmarkStart w:id="2311" w:name="_Toc4611"/>
      <w:bookmarkStart w:id="2312" w:name="_Toc302635868"/>
      <w:bookmarkStart w:id="2313" w:name="_Toc10649"/>
      <w:bookmarkStart w:id="2314" w:name="_Toc305331375"/>
      <w:bookmarkStart w:id="2315" w:name="_Toc18502"/>
      <w:bookmarkStart w:id="2316" w:name="_Toc9455"/>
      <w:bookmarkStart w:id="2317" w:name="_Toc6075"/>
      <w:bookmarkStart w:id="2318" w:name="_Toc15943"/>
      <w:bookmarkStart w:id="2319" w:name="_Toc1320"/>
      <w:bookmarkStart w:id="2320" w:name="_Toc305331374"/>
      <w:r>
        <w:rPr>
          <w:rFonts w:hint="eastAsia" w:ascii="宋体" w:hAnsi="宋体" w:eastAsia="宋体" w:cs="Times New Roman"/>
          <w:b/>
          <w:bCs/>
          <w:color w:val="auto"/>
          <w:kern w:val="0"/>
          <w:sz w:val="24"/>
          <w:szCs w:val="24"/>
          <w:highlight w:val="none"/>
          <w:lang w:val="en-US" w:eastAsia="zh-CN" w:bidi="ar-SA"/>
        </w:rPr>
        <w:t>工程变更引起措施项目的调整</w:t>
      </w:r>
      <w:bookmarkEnd w:id="2309"/>
      <w:bookmarkEnd w:id="2310"/>
      <w:bookmarkEnd w:id="2311"/>
      <w:bookmarkEnd w:id="2312"/>
      <w:bookmarkEnd w:id="2313"/>
      <w:bookmarkEnd w:id="2314"/>
      <w:bookmarkEnd w:id="2315"/>
      <w:bookmarkEnd w:id="2316"/>
      <w:bookmarkEnd w:id="2317"/>
      <w:bookmarkEnd w:id="2318"/>
      <w:bookmarkEnd w:id="2319"/>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⑴当工程变更引起措施项目发生变化，造成施工组织设计或施工方案变更时，承包人有权提出调整措施项目费。</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⑵承包人提出调整措施项目费的，应事先将拟实施的方案提交</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确认，并详细说明与原方案措施项目的变化情况。拟实施的方案经</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认可，并报发包人批准后执行。</w:t>
      </w:r>
    </w:p>
    <w:p>
      <w:pPr>
        <w:tabs>
          <w:tab w:val="left" w:pos="1620"/>
          <w:tab w:val="left" w:pos="2340"/>
        </w:tabs>
        <w:ind w:left="899"/>
        <w:jc w:val="left"/>
        <w:rPr>
          <w:rFonts w:ascii="宋体" w:hAnsi="宋体" w:eastAsia="宋体" w:cs="Times New Roman"/>
          <w:color w:val="auto"/>
          <w:kern w:val="0"/>
          <w:szCs w:val="24"/>
          <w:highlight w:val="none"/>
        </w:rPr>
      </w:pPr>
      <w:bookmarkStart w:id="2321" w:name="_Toc302635869"/>
      <w:r>
        <w:rPr>
          <w:rFonts w:hint="eastAsia" w:ascii="宋体" w:hAnsi="宋体" w:eastAsia="宋体" w:cs="Times New Roman"/>
          <w:color w:val="auto"/>
          <w:kern w:val="0"/>
          <w:szCs w:val="24"/>
          <w:highlight w:val="none"/>
        </w:rPr>
        <w:t>⑶除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另有约定外，工程变更引起的措施项目费调整的计算方法为：</w:t>
      </w:r>
    </w:p>
    <w:p>
      <w:pPr>
        <w:tabs>
          <w:tab w:val="left" w:pos="1620"/>
          <w:tab w:val="left" w:pos="2340"/>
        </w:tabs>
        <w:ind w:left="1134"/>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①采用单价计算的措施项目费，按照实际发生变化的措施项目，按第25.1款〔工程变更价款的确定方法〕约定的方法确定单价；</w:t>
      </w:r>
    </w:p>
    <w:p>
      <w:pPr>
        <w:tabs>
          <w:tab w:val="left" w:pos="1620"/>
          <w:tab w:val="left" w:pos="2340"/>
        </w:tabs>
        <w:ind w:left="1134"/>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②除安全文明施工措施费外，采用以“项”计量计价的措施项目费，按照实际发生变化的措施项目以原措施费的组价方法调整；</w:t>
      </w:r>
    </w:p>
    <w:p>
      <w:pPr>
        <w:tabs>
          <w:tab w:val="left" w:pos="1620"/>
          <w:tab w:val="left" w:pos="2340"/>
        </w:tabs>
        <w:ind w:left="1134"/>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③安全文明施工措施费计算基数发生</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bCs/>
          <w:iCs/>
          <w:color w:val="auto"/>
          <w:kern w:val="0"/>
          <w:szCs w:val="24"/>
          <w:highlight w:val="none"/>
        </w:rPr>
        <w:t>约定</w:t>
      </w:r>
      <w:r>
        <w:rPr>
          <w:rFonts w:hint="eastAsia" w:ascii="宋体" w:hAnsi="宋体" w:eastAsia="宋体" w:cs="Times New Roman"/>
          <w:color w:val="auto"/>
          <w:kern w:val="0"/>
          <w:szCs w:val="24"/>
          <w:highlight w:val="none"/>
        </w:rPr>
        <w:t>变化</w:t>
      </w:r>
      <w:r>
        <w:rPr>
          <w:rFonts w:hint="eastAsia" w:ascii="宋体" w:hAnsi="宋体" w:eastAsia="宋体" w:cs="Times New Roman"/>
          <w:bCs/>
          <w:iCs/>
          <w:color w:val="auto"/>
          <w:kern w:val="0"/>
          <w:szCs w:val="24"/>
          <w:highlight w:val="none"/>
        </w:rPr>
        <w:t>幅度</w:t>
      </w:r>
      <w:r>
        <w:rPr>
          <w:rFonts w:hint="eastAsia" w:ascii="宋体" w:hAnsi="宋体" w:eastAsia="宋体" w:cs="Times New Roman"/>
          <w:color w:val="auto"/>
          <w:kern w:val="0"/>
          <w:szCs w:val="24"/>
          <w:highlight w:val="none"/>
        </w:rPr>
        <w:t>的，按照</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bCs/>
          <w:iCs/>
          <w:color w:val="auto"/>
          <w:kern w:val="0"/>
          <w:szCs w:val="24"/>
          <w:highlight w:val="none"/>
        </w:rPr>
        <w:t>约定</w:t>
      </w:r>
      <w:r>
        <w:rPr>
          <w:rFonts w:hint="eastAsia" w:ascii="宋体" w:hAnsi="宋体" w:eastAsia="宋体" w:cs="Times New Roman"/>
          <w:color w:val="auto"/>
          <w:kern w:val="0"/>
          <w:szCs w:val="24"/>
          <w:highlight w:val="none"/>
        </w:rPr>
        <w:t>的计算方法进行调整。</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322" w:name="_Toc27297"/>
      <w:bookmarkStart w:id="2323" w:name="_Toc8541"/>
      <w:bookmarkStart w:id="2324" w:name="_Toc10229"/>
      <w:bookmarkStart w:id="2325" w:name="_Toc14237"/>
      <w:bookmarkStart w:id="2326" w:name="_Toc5502"/>
      <w:bookmarkStart w:id="2327" w:name="_Toc17063"/>
      <w:bookmarkStart w:id="2328" w:name="_Toc10147"/>
      <w:bookmarkStart w:id="2329" w:name="_Toc27859"/>
      <w:bookmarkStart w:id="2330" w:name="_Toc30943"/>
      <w:r>
        <w:rPr>
          <w:rFonts w:hint="eastAsia" w:ascii="宋体" w:hAnsi="宋体" w:eastAsia="宋体" w:cs="Times New Roman"/>
          <w:b/>
          <w:bCs/>
          <w:color w:val="auto"/>
          <w:kern w:val="0"/>
          <w:sz w:val="24"/>
          <w:szCs w:val="24"/>
          <w:highlight w:val="none"/>
          <w:lang w:val="en-US" w:eastAsia="zh-CN" w:bidi="ar-SA"/>
        </w:rPr>
        <w:t>工程变更价款的确定程序</w:t>
      </w:r>
      <w:bookmarkEnd w:id="2320"/>
      <w:bookmarkEnd w:id="2321"/>
      <w:bookmarkEnd w:id="2322"/>
      <w:bookmarkEnd w:id="2323"/>
      <w:bookmarkEnd w:id="2324"/>
      <w:bookmarkEnd w:id="2325"/>
      <w:bookmarkEnd w:id="2326"/>
      <w:bookmarkEnd w:id="2327"/>
      <w:bookmarkEnd w:id="2328"/>
      <w:bookmarkEnd w:id="2329"/>
      <w:bookmarkEnd w:id="2330"/>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另有约定外，发包人和承包人应按以下程序确认工程变更价款：</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⑴承包人应在收到工程变更指令后14天内将变更工程价款和(或)调整工期报告提交给</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应及时予以确认，并报发包人批准。</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收到报告后14天内未确认也未提出异议的，视为该报告已被确认。</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⑵承包人在收到工程变更指令后14天内不向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出报告的，发包人可自行决定是否变更工程价款和(或)顺延工期。发包人应在发出变更指令28天内将不变更工程价款和(或)调整工期的决定书面通知承包人；或将变更工程价款和(或)调整工期报告提交给承包人确认。承包人收到报告14天内未确认也未提出异议的，视为该报告已被确认。</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⑶工程变更指令发出后，发包人与承包人均未在约定时间内提出变更工程价款和(或)顺延工期报告的，视为该项工程变更不涉及合同价格和(或)工期的调整。</w:t>
      </w:r>
    </w:p>
    <w:bookmarkEnd w:id="2308"/>
    <w:p>
      <w:pPr>
        <w:widowControl w:val="0"/>
        <w:numPr>
          <w:ilvl w:val="1"/>
          <w:numId w:val="2"/>
        </w:numPr>
        <w:tabs>
          <w:tab w:val="left" w:pos="540"/>
          <w:tab w:val="left" w:pos="576"/>
          <w:tab w:val="left" w:pos="900"/>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331" w:name="_Toc3609"/>
      <w:bookmarkStart w:id="2332" w:name="_Toc30551"/>
      <w:bookmarkStart w:id="2333" w:name="_Toc30197"/>
      <w:bookmarkStart w:id="2334" w:name="_Toc12206"/>
      <w:bookmarkStart w:id="2335" w:name="_Toc18977"/>
      <w:bookmarkStart w:id="2336" w:name="_Toc19375"/>
      <w:bookmarkStart w:id="2337" w:name="_Toc22585"/>
      <w:bookmarkStart w:id="2338" w:name="_Toc302635870"/>
      <w:bookmarkStart w:id="2339" w:name="_Toc22924"/>
      <w:bookmarkStart w:id="2340" w:name="_Toc14228"/>
      <w:bookmarkStart w:id="2341" w:name="_Toc305331376"/>
      <w:r>
        <w:rPr>
          <w:rFonts w:hint="eastAsia" w:ascii="宋体" w:hAnsi="宋体" w:eastAsia="宋体" w:cs="Times New Roman"/>
          <w:b/>
          <w:bCs/>
          <w:color w:val="auto"/>
          <w:kern w:val="0"/>
          <w:sz w:val="24"/>
          <w:szCs w:val="24"/>
          <w:highlight w:val="none"/>
          <w:lang w:val="en-US" w:eastAsia="zh-CN" w:bidi="ar-SA"/>
        </w:rPr>
        <w:t>工程量变化调整项目单价</w:t>
      </w:r>
      <w:bookmarkEnd w:id="2331"/>
      <w:bookmarkEnd w:id="2332"/>
      <w:bookmarkEnd w:id="2333"/>
      <w:bookmarkEnd w:id="2334"/>
      <w:bookmarkEnd w:id="2335"/>
      <w:bookmarkEnd w:id="2336"/>
      <w:bookmarkEnd w:id="2337"/>
      <w:bookmarkEnd w:id="2338"/>
      <w:bookmarkEnd w:id="2339"/>
      <w:bookmarkEnd w:id="2340"/>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由于工程变更或按第22条工程量计量结果造成工程量清单中某项目的工程量增减超过15%或发、承包人在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中约定的幅度时，除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另有约定外，发包人和承包人应按照本工程招标控制价的编制方法，并按本工程中标净下浮率进行下浮调整确定该清单项目增加部分或减少后剩余部分工程量的项目单价。</w:t>
      </w:r>
    </w:p>
    <w:p>
      <w:pPr>
        <w:widowControl w:val="0"/>
        <w:numPr>
          <w:ilvl w:val="1"/>
          <w:numId w:val="2"/>
        </w:numPr>
        <w:tabs>
          <w:tab w:val="left" w:pos="540"/>
          <w:tab w:val="left" w:pos="576"/>
          <w:tab w:val="left" w:pos="900"/>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342" w:name="_Toc28896"/>
      <w:bookmarkStart w:id="2343" w:name="_Toc30616"/>
      <w:bookmarkStart w:id="2344" w:name="_Toc11429"/>
      <w:bookmarkStart w:id="2345" w:name="_Toc19524"/>
      <w:bookmarkStart w:id="2346" w:name="_Toc4331"/>
      <w:bookmarkStart w:id="2347" w:name="_Toc5630"/>
      <w:bookmarkStart w:id="2348" w:name="_Toc113"/>
      <w:bookmarkStart w:id="2349" w:name="_Toc22199"/>
      <w:bookmarkStart w:id="2350" w:name="_Toc302635871"/>
      <w:bookmarkStart w:id="2351" w:name="_Toc15111"/>
      <w:r>
        <w:rPr>
          <w:rFonts w:hint="eastAsia" w:ascii="宋体" w:hAnsi="宋体" w:eastAsia="宋体" w:cs="Times New Roman"/>
          <w:b/>
          <w:bCs/>
          <w:color w:val="auto"/>
          <w:kern w:val="0"/>
          <w:sz w:val="24"/>
          <w:szCs w:val="24"/>
          <w:highlight w:val="none"/>
          <w:lang w:val="en-US" w:eastAsia="zh-CN" w:bidi="ar-SA"/>
        </w:rPr>
        <w:t>工程变更价款支付</w:t>
      </w:r>
      <w:bookmarkEnd w:id="2341"/>
      <w:bookmarkEnd w:id="2342"/>
      <w:bookmarkEnd w:id="2343"/>
      <w:bookmarkEnd w:id="2344"/>
      <w:bookmarkEnd w:id="2345"/>
      <w:bookmarkEnd w:id="2346"/>
      <w:bookmarkEnd w:id="2347"/>
      <w:bookmarkEnd w:id="2348"/>
      <w:bookmarkEnd w:id="2349"/>
      <w:bookmarkEnd w:id="2350"/>
      <w:bookmarkEnd w:id="2351"/>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⑴按第25.1、25.2款确认的增(减)工程变更价款作为追加(减)合同价款，与工程进度款同期同比例支付，达到追加</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减</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合同价款的一定比例时暂停支付，该比例在合同</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中明确。</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⑵有关工程变更价款的文件的编制和审核均须经注册造价工程师签字盖章确认。</w:t>
      </w:r>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352" w:name="_Toc302635872"/>
      <w:bookmarkStart w:id="2353" w:name="_Toc30813"/>
      <w:bookmarkStart w:id="2354" w:name="_Toc23479"/>
      <w:bookmarkStart w:id="2355" w:name="_Toc4292"/>
      <w:bookmarkStart w:id="2356" w:name="_Toc27056"/>
      <w:bookmarkStart w:id="2357" w:name="_Toc6676"/>
      <w:bookmarkStart w:id="2358" w:name="_Toc305331377"/>
      <w:bookmarkStart w:id="2359" w:name="_Toc11448"/>
      <w:bookmarkStart w:id="2360" w:name="_Toc24082"/>
      <w:bookmarkStart w:id="2361" w:name="_Toc19574"/>
      <w:bookmarkStart w:id="2362" w:name="_Toc9276"/>
      <w:r>
        <w:rPr>
          <w:rFonts w:hint="eastAsia" w:ascii="宋体" w:hAnsi="宋体" w:eastAsia="宋体" w:cs="Times New Roman"/>
          <w:b/>
          <w:bCs/>
          <w:color w:val="auto"/>
          <w:kern w:val="0"/>
          <w:sz w:val="24"/>
          <w:szCs w:val="24"/>
          <w:highlight w:val="none"/>
          <w:lang w:val="en-US" w:eastAsia="zh-CN" w:bidi="ar-SA"/>
        </w:rPr>
        <w:t>删减工作或工程的补偿</w:t>
      </w:r>
      <w:bookmarkEnd w:id="2352"/>
      <w:bookmarkEnd w:id="2353"/>
      <w:bookmarkEnd w:id="2354"/>
      <w:bookmarkEnd w:id="2355"/>
      <w:bookmarkEnd w:id="2356"/>
      <w:bookmarkEnd w:id="2357"/>
      <w:bookmarkEnd w:id="2358"/>
      <w:bookmarkEnd w:id="2359"/>
      <w:bookmarkEnd w:id="2360"/>
      <w:bookmarkEnd w:id="2361"/>
      <w:bookmarkEnd w:id="2362"/>
      <w:r>
        <w:rPr>
          <w:rFonts w:hint="eastAsia" w:ascii="宋体" w:hAnsi="宋体" w:eastAsia="宋体" w:cs="Times New Roman"/>
          <w:b/>
          <w:bCs/>
          <w:color w:val="auto"/>
          <w:kern w:val="0"/>
          <w:sz w:val="24"/>
          <w:szCs w:val="24"/>
          <w:highlight w:val="none"/>
          <w:lang w:val="en-US" w:eastAsia="zh-CN" w:bidi="ar-SA"/>
        </w:rPr>
        <w:t xml:space="preserve">                                                                                      </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由于非承包人原因删减了本合同中的某项原定工作或工程，致使承包人发生的费用或(和)预期收益不能被包括在其他已支付或应支付的项目中，也未包含在任何替代的工作或工程中，发包人应按照</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约定的方法给予承包人补偿。</w:t>
      </w:r>
    </w:p>
    <w:p>
      <w:pPr>
        <w:keepNext w:val="0"/>
        <w:keepLines w:val="0"/>
        <w:widowControl w:val="0"/>
        <w:numPr>
          <w:ilvl w:val="0"/>
          <w:numId w:val="1"/>
        </w:numPr>
        <w:tabs>
          <w:tab w:val="left" w:pos="720"/>
          <w:tab w:val="left" w:pos="1620"/>
          <w:tab w:val="left" w:pos="2340"/>
          <w:tab w:val="clear" w:pos="4032"/>
        </w:tabs>
        <w:spacing w:before="240" w:after="120"/>
        <w:ind w:left="178" w:firstLine="0"/>
        <w:jc w:val="left"/>
        <w:outlineLvl w:val="0"/>
        <w:rPr>
          <w:rFonts w:hint="eastAsia" w:ascii="华文细黑" w:hAnsi="宋体" w:eastAsia="宋体" w:cs="Times New Roman"/>
          <w:b/>
          <w:bCs/>
          <w:snapToGrid w:val="0"/>
          <w:color w:val="auto"/>
          <w:kern w:val="0"/>
          <w:sz w:val="28"/>
          <w:szCs w:val="44"/>
          <w:highlight w:val="none"/>
          <w:lang w:val="en-US" w:eastAsia="zh-CN" w:bidi="ar-SA"/>
        </w:rPr>
      </w:pPr>
      <w:bookmarkStart w:id="2363" w:name="_Toc151"/>
      <w:bookmarkStart w:id="2364" w:name="_Toc16539"/>
      <w:bookmarkStart w:id="2365" w:name="_Toc9043"/>
      <w:bookmarkStart w:id="2366" w:name="_Toc20260"/>
      <w:bookmarkStart w:id="2367" w:name="_Toc2555"/>
      <w:bookmarkStart w:id="2368" w:name="_Toc20907"/>
      <w:bookmarkStart w:id="2369" w:name="_Toc22504"/>
      <w:bookmarkStart w:id="2370" w:name="_Toc23283"/>
      <w:bookmarkStart w:id="2371" w:name="_Toc17673"/>
      <w:bookmarkStart w:id="2372" w:name="_Toc2753"/>
      <w:bookmarkStart w:id="2373" w:name="_Toc9729"/>
      <w:bookmarkStart w:id="2374" w:name="_Toc15042"/>
      <w:bookmarkStart w:id="2375" w:name="_Toc27706"/>
      <w:bookmarkStart w:id="2376" w:name="_Toc26"/>
      <w:bookmarkStart w:id="2377" w:name="_Toc11241"/>
      <w:bookmarkStart w:id="2378" w:name="_Toc34909117"/>
      <w:bookmarkStart w:id="2379" w:name="_Toc35656496"/>
      <w:bookmarkStart w:id="2380" w:name="_Toc305331378"/>
      <w:bookmarkStart w:id="2381" w:name="_Toc35656998"/>
      <w:bookmarkStart w:id="2382" w:name="_Toc302635873"/>
      <w:r>
        <w:rPr>
          <w:rFonts w:hint="eastAsia" w:ascii="华文细黑" w:hAnsi="宋体" w:eastAsia="宋体" w:cs="Times New Roman"/>
          <w:b/>
          <w:bCs/>
          <w:snapToGrid w:val="0"/>
          <w:color w:val="auto"/>
          <w:kern w:val="0"/>
          <w:sz w:val="28"/>
          <w:szCs w:val="44"/>
          <w:highlight w:val="none"/>
          <w:lang w:val="en-US" w:eastAsia="zh-CN" w:bidi="ar-SA"/>
        </w:rPr>
        <w:t>过程结算</w:t>
      </w:r>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383" w:name="_Toc21771"/>
      <w:bookmarkStart w:id="2384" w:name="_Toc21704"/>
      <w:bookmarkStart w:id="2385" w:name="_Toc4092"/>
      <w:bookmarkStart w:id="2386" w:name="_Toc8503"/>
      <w:bookmarkStart w:id="2387" w:name="_Toc21770"/>
      <w:bookmarkStart w:id="2388" w:name="_Toc27156"/>
      <w:bookmarkStart w:id="2389" w:name="_Toc7734"/>
      <w:bookmarkStart w:id="2390" w:name="_Toc7153"/>
      <w:bookmarkStart w:id="2391" w:name="_Toc9791"/>
      <w:bookmarkStart w:id="2392" w:name="_Toc21576"/>
      <w:bookmarkStart w:id="2393" w:name="_Toc14095"/>
      <w:bookmarkStart w:id="2394" w:name="_Toc391"/>
      <w:bookmarkStart w:id="2395" w:name="_Toc28150"/>
      <w:bookmarkStart w:id="2396" w:name="_Toc11740"/>
      <w:r>
        <w:rPr>
          <w:rFonts w:hint="eastAsia" w:ascii="宋体" w:hAnsi="宋体" w:eastAsia="宋体" w:cs="Times New Roman"/>
          <w:b/>
          <w:bCs/>
          <w:color w:val="auto"/>
          <w:kern w:val="0"/>
          <w:sz w:val="24"/>
          <w:szCs w:val="24"/>
          <w:highlight w:val="none"/>
          <w:lang w:val="en-US" w:eastAsia="zh-CN" w:bidi="ar-SA"/>
        </w:rPr>
        <w:t>过程结算周期及验收要求</w:t>
      </w:r>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p>
    <w:p>
      <w:pPr>
        <w:tabs>
          <w:tab w:val="left" w:pos="1620"/>
          <w:tab w:val="left" w:pos="2340"/>
        </w:tabs>
        <w:ind w:left="899"/>
        <w:rPr>
          <w:rFonts w:ascii="宋体" w:hAnsi="宋体" w:eastAsia="宋体" w:cs="Times New Roman"/>
          <w:color w:val="auto"/>
          <w:kern w:val="0"/>
          <w:szCs w:val="24"/>
          <w:highlight w:val="none"/>
        </w:rPr>
      </w:pPr>
      <w:r>
        <w:rPr>
          <w:rFonts w:hint="default" w:ascii="宋体" w:hAnsi="宋体" w:eastAsia="宋体" w:cs="Times New Roman"/>
          <w:color w:val="auto"/>
          <w:kern w:val="0"/>
          <w:szCs w:val="24"/>
          <w:highlight w:val="none"/>
        </w:rPr>
        <w:t>发承包双方开展过程结算的，应根据工程特点、工期长短及分部（工程）验收需要等，在</w:t>
      </w:r>
      <w:r>
        <w:rPr>
          <w:rFonts w:ascii="宋体" w:hAnsi="宋体" w:eastAsia="宋体" w:cs="Times New Roman"/>
          <w:b/>
          <w:bCs/>
          <w:i/>
          <w:iCs/>
          <w:color w:val="auto"/>
          <w:kern w:val="0"/>
          <w:szCs w:val="24"/>
          <w:highlight w:val="none"/>
        </w:rPr>
        <w:t>专用条款</w:t>
      </w:r>
      <w:r>
        <w:rPr>
          <w:rFonts w:ascii="宋体" w:hAnsi="宋体" w:eastAsia="宋体" w:cs="Times New Roman"/>
          <w:color w:val="auto"/>
          <w:kern w:val="0"/>
          <w:szCs w:val="24"/>
          <w:highlight w:val="none"/>
        </w:rPr>
        <w:t>中按时间节点或工程进度节点</w:t>
      </w:r>
      <w:r>
        <w:rPr>
          <w:rFonts w:hint="eastAsia" w:ascii="宋体" w:hAnsi="宋体" w:eastAsia="宋体" w:cs="Times New Roman"/>
          <w:color w:val="auto"/>
          <w:kern w:val="0"/>
          <w:szCs w:val="24"/>
          <w:highlight w:val="none"/>
        </w:rPr>
        <w:t>约定</w:t>
      </w:r>
      <w:r>
        <w:rPr>
          <w:rFonts w:ascii="宋体" w:hAnsi="宋体" w:eastAsia="宋体" w:cs="Times New Roman"/>
          <w:color w:val="auto"/>
          <w:kern w:val="0"/>
          <w:szCs w:val="24"/>
          <w:highlight w:val="none"/>
        </w:rPr>
        <w:t>过程结算周期，并在</w:t>
      </w:r>
      <w:r>
        <w:rPr>
          <w:rFonts w:ascii="宋体" w:hAnsi="宋体" w:eastAsia="宋体" w:cs="Times New Roman"/>
          <w:b/>
          <w:bCs/>
          <w:i/>
          <w:iCs/>
          <w:color w:val="auto"/>
          <w:kern w:val="0"/>
          <w:szCs w:val="24"/>
          <w:highlight w:val="none"/>
        </w:rPr>
        <w:t>专用条款</w:t>
      </w:r>
      <w:r>
        <w:rPr>
          <w:rFonts w:ascii="宋体" w:hAnsi="宋体" w:eastAsia="宋体" w:cs="Times New Roman"/>
          <w:color w:val="auto"/>
          <w:kern w:val="0"/>
          <w:szCs w:val="24"/>
          <w:highlight w:val="none"/>
        </w:rPr>
        <w:t>中明确过程结算的验收要求。</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397" w:name="_Toc25696"/>
      <w:bookmarkStart w:id="2398" w:name="_Toc2406"/>
      <w:bookmarkStart w:id="2399" w:name="_Toc15558"/>
      <w:bookmarkStart w:id="2400" w:name="_Toc13308"/>
      <w:bookmarkStart w:id="2401" w:name="_Toc12007"/>
      <w:bookmarkStart w:id="2402" w:name="_Toc30174"/>
      <w:bookmarkStart w:id="2403" w:name="_Toc9285"/>
      <w:bookmarkStart w:id="2404" w:name="_Toc24707"/>
      <w:bookmarkStart w:id="2405" w:name="_Toc2932"/>
      <w:bookmarkStart w:id="2406" w:name="_Toc14265"/>
      <w:bookmarkStart w:id="2407" w:name="_Toc3017"/>
      <w:bookmarkStart w:id="2408" w:name="_Toc6445"/>
      <w:bookmarkStart w:id="2409" w:name="_Toc25359"/>
      <w:bookmarkStart w:id="2410" w:name="_Toc23091"/>
      <w:r>
        <w:rPr>
          <w:rFonts w:hint="eastAsia" w:ascii="宋体" w:hAnsi="宋体" w:eastAsia="宋体" w:cs="Times New Roman"/>
          <w:b/>
          <w:bCs/>
          <w:color w:val="auto"/>
          <w:kern w:val="0"/>
          <w:sz w:val="24"/>
          <w:szCs w:val="24"/>
          <w:highlight w:val="none"/>
          <w:lang w:val="en-US" w:eastAsia="zh-CN" w:bidi="ar-SA"/>
        </w:rPr>
        <w:t>过程结算报告的编制和提交</w:t>
      </w:r>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⑴发承包双方应在线签订施工合同及其补充协议</w:t>
      </w:r>
      <w:r>
        <w:rPr>
          <w:rFonts w:hint="eastAsia" w:ascii="宋体" w:hAnsi="宋体" w:eastAsia="宋体" w:cs="Times New Roman"/>
          <w:color w:val="auto"/>
          <w:kern w:val="0"/>
          <w:szCs w:val="24"/>
          <w:highlight w:val="none"/>
          <w:lang w:eastAsia="zh-CN"/>
        </w:rPr>
        <w:t>的</w:t>
      </w:r>
      <w:r>
        <w:rPr>
          <w:rFonts w:hint="eastAsia"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lang w:eastAsia="zh-CN"/>
        </w:rPr>
        <w:t>应</w:t>
      </w:r>
      <w:r>
        <w:rPr>
          <w:rFonts w:hint="eastAsia" w:ascii="宋体" w:hAnsi="宋体" w:eastAsia="宋体" w:cs="Times New Roman"/>
          <w:color w:val="auto"/>
          <w:kern w:val="0"/>
          <w:szCs w:val="24"/>
          <w:highlight w:val="none"/>
        </w:rPr>
        <w:t>将过程结算所需资料即时上传至在线签订合同平台，作为过程结算的依据。过程结算的资料一般包括施工合同、工程竣工图纸及资料、双方确认的工程量、双方确认追加(减)的合同价格、双方确认的索赔和现场签证事项及价款、招标文件、投标文件、工程量清单报价单或施工图预算书等与过程结算有关的资料。</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⑵承包人应按本合同第20条〔合同价格的确定和调整〕、第22条〔工程量计量〕及第26.1款过程结算周期的约定计算过程结算价款，编制过程结算报告，并在</w:t>
      </w:r>
      <w:r>
        <w:rPr>
          <w:rFonts w:hint="eastAsia" w:ascii="宋体" w:hAnsi="宋体" w:eastAsia="宋体" w:cs="Times New Roman"/>
          <w:b/>
          <w:bCs/>
          <w:i/>
          <w:iCs/>
          <w:color w:val="auto"/>
          <w:kern w:val="0"/>
          <w:szCs w:val="24"/>
          <w:highlight w:val="none"/>
        </w:rPr>
        <w:t>专用条款</w:t>
      </w:r>
      <w:r>
        <w:rPr>
          <w:rFonts w:hint="eastAsia" w:ascii="宋体" w:hAnsi="宋体" w:eastAsia="宋体" w:cs="Times New Roman"/>
          <w:color w:val="auto"/>
          <w:kern w:val="0"/>
          <w:szCs w:val="24"/>
          <w:highlight w:val="none"/>
        </w:rPr>
        <w:t>约定的时间内向发包人提交过程结算报告。</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⑶经发承包双方确认的过程结算文件将作为竣工结算资料的组成部分。</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411" w:name="_Toc28601"/>
      <w:bookmarkStart w:id="2412" w:name="_Toc12348"/>
      <w:bookmarkStart w:id="2413" w:name="_Toc11726"/>
      <w:bookmarkStart w:id="2414" w:name="_Toc16546"/>
      <w:bookmarkStart w:id="2415" w:name="_Toc16536"/>
      <w:bookmarkStart w:id="2416" w:name="_Toc24281"/>
      <w:bookmarkStart w:id="2417" w:name="_Toc16814"/>
      <w:bookmarkStart w:id="2418" w:name="_Toc20272"/>
      <w:bookmarkStart w:id="2419" w:name="_Toc9377"/>
      <w:bookmarkStart w:id="2420" w:name="_Toc20498"/>
      <w:bookmarkStart w:id="2421" w:name="_Toc10526"/>
      <w:bookmarkStart w:id="2422" w:name="_Toc1559"/>
      <w:bookmarkStart w:id="2423" w:name="_Toc25716"/>
      <w:bookmarkStart w:id="2424" w:name="_Toc12389"/>
      <w:r>
        <w:rPr>
          <w:rFonts w:hint="eastAsia" w:ascii="宋体" w:hAnsi="宋体" w:eastAsia="宋体" w:cs="Times New Roman"/>
          <w:b/>
          <w:bCs/>
          <w:color w:val="auto"/>
          <w:kern w:val="0"/>
          <w:sz w:val="24"/>
          <w:szCs w:val="24"/>
          <w:highlight w:val="none"/>
          <w:lang w:val="en-US" w:eastAsia="zh-CN" w:bidi="ar-SA"/>
        </w:rPr>
        <w:t>过程结算报告的核对和修改</w:t>
      </w:r>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p>
    <w:p>
      <w:pPr>
        <w:tabs>
          <w:tab w:val="left" w:pos="1620"/>
          <w:tab w:val="left" w:pos="2340"/>
        </w:tabs>
        <w:ind w:left="901"/>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⑴发包人应在收到承包人提交的过程结算报告后28天或</w:t>
      </w:r>
      <w:r>
        <w:rPr>
          <w:rFonts w:hint="eastAsia" w:ascii="宋体" w:hAnsi="宋体" w:eastAsia="宋体" w:cs="Times New Roman"/>
          <w:b/>
          <w:bCs/>
          <w:i/>
          <w:iCs/>
          <w:color w:val="auto"/>
          <w:kern w:val="0"/>
          <w:szCs w:val="24"/>
          <w:highlight w:val="none"/>
        </w:rPr>
        <w:t>专用条款</w:t>
      </w:r>
      <w:r>
        <w:rPr>
          <w:rFonts w:hint="eastAsia" w:ascii="宋体" w:hAnsi="宋体" w:eastAsia="宋体" w:cs="Times New Roman"/>
          <w:color w:val="auto"/>
          <w:kern w:val="0"/>
          <w:szCs w:val="24"/>
          <w:highlight w:val="none"/>
        </w:rPr>
        <w:t>约定的时间内，对承包人提交的过程结算报告进行核对。</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①发包人认可承包人提交的过程结算报告的，应据此确认过程结算价款。</w:t>
      </w:r>
    </w:p>
    <w:p>
      <w:pPr>
        <w:tabs>
          <w:tab w:val="left" w:pos="1620"/>
          <w:tab w:val="left" w:pos="2340"/>
        </w:tabs>
        <w:spacing w:after="156"/>
        <w:ind w:left="901"/>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②发包人提出核对意见或要求补充结算资料的，则承包人应在收到发包人相关书面通知后14天或</w:t>
      </w:r>
      <w:r>
        <w:rPr>
          <w:rFonts w:hint="eastAsia" w:ascii="宋体" w:hAnsi="宋体" w:eastAsia="宋体" w:cs="Times New Roman"/>
          <w:b/>
          <w:bCs/>
          <w:i/>
          <w:iCs/>
          <w:color w:val="auto"/>
          <w:kern w:val="0"/>
          <w:szCs w:val="24"/>
          <w:highlight w:val="none"/>
        </w:rPr>
        <w:t>专用条款</w:t>
      </w:r>
      <w:r>
        <w:rPr>
          <w:rFonts w:hint="eastAsia" w:ascii="宋体" w:hAnsi="宋体" w:eastAsia="宋体" w:cs="Times New Roman"/>
          <w:color w:val="auto"/>
          <w:kern w:val="0"/>
          <w:szCs w:val="24"/>
          <w:highlight w:val="none"/>
        </w:rPr>
        <w:t>约定的时间内，向发包人提交经修改的过程结算报告或按要求补充结算资料，发包人应在收到承包人相关书面资料后14天或</w:t>
      </w:r>
      <w:r>
        <w:rPr>
          <w:rFonts w:hint="eastAsia" w:ascii="宋体" w:hAnsi="宋体" w:eastAsia="宋体" w:cs="Times New Roman"/>
          <w:b/>
          <w:bCs/>
          <w:i/>
          <w:iCs/>
          <w:color w:val="auto"/>
          <w:kern w:val="0"/>
          <w:szCs w:val="24"/>
          <w:highlight w:val="none"/>
        </w:rPr>
        <w:t>专用条款</w:t>
      </w:r>
      <w:r>
        <w:rPr>
          <w:rFonts w:hint="eastAsia" w:ascii="宋体" w:hAnsi="宋体" w:eastAsia="宋体" w:cs="Times New Roman"/>
          <w:color w:val="auto"/>
          <w:kern w:val="0"/>
          <w:szCs w:val="24"/>
          <w:highlight w:val="none"/>
        </w:rPr>
        <w:t>约定的时间内进行核对，经与承包人协商达成一致意见后确认过程结算价款。</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⑵承包人在收到发包人提出的核对意见后，在合同约定的时间内，未提出异议或没有明确答复的，视为承包人认可且接受发包人的核对意见，应据此确认过程结算价款。</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425" w:name="_Toc21213"/>
      <w:bookmarkStart w:id="2426" w:name="_Toc28145"/>
      <w:bookmarkStart w:id="2427" w:name="_Toc31285"/>
      <w:bookmarkStart w:id="2428" w:name="_Toc14761"/>
      <w:bookmarkStart w:id="2429" w:name="_Toc30261"/>
      <w:bookmarkStart w:id="2430" w:name="_Toc31961"/>
      <w:bookmarkStart w:id="2431" w:name="_Toc2757"/>
      <w:bookmarkStart w:id="2432" w:name="_Toc13790"/>
      <w:bookmarkStart w:id="2433" w:name="_Toc6972"/>
      <w:bookmarkStart w:id="2434" w:name="_Toc3991"/>
      <w:bookmarkStart w:id="2435" w:name="_Toc6320"/>
      <w:bookmarkStart w:id="2436" w:name="_Toc11995"/>
      <w:bookmarkStart w:id="2437" w:name="_Toc15290"/>
      <w:bookmarkStart w:id="2438" w:name="_Toc31259"/>
      <w:r>
        <w:rPr>
          <w:rFonts w:hint="eastAsia" w:ascii="宋体" w:hAnsi="宋体" w:eastAsia="宋体" w:cs="Times New Roman"/>
          <w:b/>
          <w:bCs/>
          <w:color w:val="auto"/>
          <w:kern w:val="0"/>
          <w:sz w:val="24"/>
          <w:szCs w:val="24"/>
          <w:highlight w:val="none"/>
          <w:lang w:val="en-US" w:eastAsia="zh-CN" w:bidi="ar-SA"/>
        </w:rPr>
        <w:t>承包人不提交过程结算报告</w:t>
      </w:r>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p>
    <w:p>
      <w:pPr>
        <w:tabs>
          <w:tab w:val="left" w:pos="1620"/>
          <w:tab w:val="left" w:pos="2340"/>
        </w:tabs>
        <w:ind w:left="899"/>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承包人未按</w:t>
      </w:r>
      <w:r>
        <w:rPr>
          <w:rFonts w:hint="eastAsia" w:ascii="宋体" w:hAnsi="宋体" w:eastAsia="宋体" w:cs="Times New Roman"/>
          <w:color w:val="auto"/>
          <w:kern w:val="0"/>
          <w:szCs w:val="24"/>
          <w:highlight w:val="none"/>
        </w:rPr>
        <w:t>本合同第26.2⑵项</w:t>
      </w:r>
      <w:r>
        <w:rPr>
          <w:rFonts w:ascii="宋体" w:hAnsi="宋体" w:eastAsia="宋体" w:cs="Times New Roman"/>
          <w:color w:val="auto"/>
          <w:kern w:val="0"/>
          <w:szCs w:val="24"/>
          <w:highlight w:val="none"/>
        </w:rPr>
        <w:t>约定时间提交过程结算报告的，</w:t>
      </w:r>
      <w:r>
        <w:rPr>
          <w:rFonts w:hint="eastAsia" w:ascii="宋体" w:hAnsi="宋体" w:eastAsia="宋体" w:cs="Times New Roman"/>
          <w:color w:val="auto"/>
          <w:kern w:val="0"/>
          <w:szCs w:val="24"/>
          <w:highlight w:val="none"/>
        </w:rPr>
        <w:t>发包人</w:t>
      </w:r>
      <w:r>
        <w:rPr>
          <w:rFonts w:ascii="宋体" w:hAnsi="宋体" w:eastAsia="宋体" w:cs="Times New Roman"/>
          <w:color w:val="auto"/>
          <w:kern w:val="0"/>
          <w:szCs w:val="24"/>
          <w:highlight w:val="none"/>
        </w:rPr>
        <w:t>应通知其提交，通知后14天内仍不提交的或没有明确答复的，发包人可以依据已有资料自行开展施工过程结算活动。</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439" w:name="_Toc21557"/>
      <w:bookmarkStart w:id="2440" w:name="_Toc12836"/>
      <w:bookmarkStart w:id="2441" w:name="_Toc13803"/>
      <w:bookmarkStart w:id="2442" w:name="_Toc8044"/>
      <w:bookmarkStart w:id="2443" w:name="_Toc19403"/>
      <w:bookmarkStart w:id="2444" w:name="_Toc19922"/>
      <w:bookmarkStart w:id="2445" w:name="_Toc1076"/>
      <w:bookmarkStart w:id="2446" w:name="_Toc369"/>
      <w:bookmarkStart w:id="2447" w:name="_Toc20402"/>
      <w:bookmarkStart w:id="2448" w:name="_Toc23179"/>
      <w:bookmarkStart w:id="2449" w:name="_Toc10386"/>
      <w:bookmarkStart w:id="2450" w:name="_Toc21530"/>
      <w:bookmarkStart w:id="2451" w:name="_Toc0"/>
      <w:bookmarkStart w:id="2452" w:name="_Toc25747"/>
      <w:r>
        <w:rPr>
          <w:rFonts w:hint="eastAsia" w:ascii="宋体" w:hAnsi="宋体" w:eastAsia="宋体" w:cs="Times New Roman"/>
          <w:b/>
          <w:bCs/>
          <w:color w:val="auto"/>
          <w:kern w:val="0"/>
          <w:sz w:val="24"/>
          <w:szCs w:val="24"/>
          <w:highlight w:val="none"/>
          <w:lang w:val="en-US" w:eastAsia="zh-CN" w:bidi="ar-SA"/>
        </w:rPr>
        <w:t>发包人逾期不过程结算</w:t>
      </w:r>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发包人收到过程结算报告后，或在收到经修改的过程结算报告或补充结算资料后</w:t>
      </w:r>
      <w:r>
        <w:rPr>
          <w:rFonts w:hint="eastAsia" w:ascii="宋体" w:hAnsi="宋体" w:eastAsia="宋体" w:cs="Times New Roman"/>
          <w:color w:val="auto"/>
          <w:kern w:val="0"/>
          <w:szCs w:val="24"/>
          <w:highlight w:val="none"/>
        </w:rPr>
        <w:t>，在合同</w:t>
      </w:r>
      <w:r>
        <w:rPr>
          <w:rFonts w:ascii="宋体" w:hAnsi="宋体" w:eastAsia="宋体" w:cs="Times New Roman"/>
          <w:color w:val="auto"/>
          <w:kern w:val="0"/>
          <w:szCs w:val="24"/>
          <w:highlight w:val="none"/>
        </w:rPr>
        <w:t>约定的时间内，既不认可承包人提交的过程结算报告</w:t>
      </w:r>
      <w:r>
        <w:rPr>
          <w:rFonts w:hint="eastAsia" w:ascii="宋体" w:hAnsi="宋体" w:eastAsia="宋体" w:cs="Times New Roman"/>
          <w:color w:val="auto"/>
          <w:kern w:val="0"/>
          <w:szCs w:val="24"/>
          <w:highlight w:val="none"/>
        </w:rPr>
        <w:t>（包括经修改的</w:t>
      </w:r>
      <w:r>
        <w:rPr>
          <w:rFonts w:ascii="宋体" w:hAnsi="宋体" w:eastAsia="宋体" w:cs="Times New Roman"/>
          <w:color w:val="auto"/>
          <w:kern w:val="0"/>
          <w:szCs w:val="24"/>
          <w:highlight w:val="none"/>
        </w:rPr>
        <w:t>过程结算报告</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，又不提出异议的，视</w:t>
      </w:r>
      <w:r>
        <w:rPr>
          <w:rFonts w:hint="eastAsia" w:ascii="宋体" w:hAnsi="宋体" w:eastAsia="宋体" w:cs="Times New Roman"/>
          <w:color w:val="auto"/>
          <w:kern w:val="0"/>
          <w:szCs w:val="24"/>
          <w:highlight w:val="none"/>
        </w:rPr>
        <w:t>为发包人</w:t>
      </w:r>
      <w:r>
        <w:rPr>
          <w:rFonts w:ascii="宋体" w:hAnsi="宋体" w:eastAsia="宋体" w:cs="Times New Roman"/>
          <w:color w:val="auto"/>
          <w:kern w:val="0"/>
          <w:szCs w:val="24"/>
          <w:highlight w:val="none"/>
        </w:rPr>
        <w:t>认可</w:t>
      </w:r>
      <w:r>
        <w:rPr>
          <w:rFonts w:hint="eastAsia" w:ascii="宋体" w:hAnsi="宋体" w:eastAsia="宋体" w:cs="Times New Roman"/>
          <w:color w:val="auto"/>
          <w:kern w:val="0"/>
          <w:szCs w:val="24"/>
          <w:highlight w:val="none"/>
        </w:rPr>
        <w:t>且接受</w:t>
      </w:r>
      <w:r>
        <w:rPr>
          <w:rFonts w:ascii="宋体" w:hAnsi="宋体" w:eastAsia="宋体" w:cs="Times New Roman"/>
          <w:color w:val="auto"/>
          <w:kern w:val="0"/>
          <w:szCs w:val="24"/>
          <w:highlight w:val="none"/>
        </w:rPr>
        <w:t>承包人提交的过程结算报告</w:t>
      </w:r>
      <w:r>
        <w:rPr>
          <w:rFonts w:hint="eastAsia" w:ascii="宋体" w:hAnsi="宋体" w:eastAsia="宋体" w:cs="Times New Roman"/>
          <w:color w:val="auto"/>
          <w:kern w:val="0"/>
          <w:szCs w:val="24"/>
          <w:highlight w:val="none"/>
        </w:rPr>
        <w:t>（包括经修改的</w:t>
      </w:r>
      <w:r>
        <w:rPr>
          <w:rFonts w:ascii="宋体" w:hAnsi="宋体" w:eastAsia="宋体" w:cs="Times New Roman"/>
          <w:color w:val="auto"/>
          <w:kern w:val="0"/>
          <w:szCs w:val="24"/>
          <w:highlight w:val="none"/>
        </w:rPr>
        <w:t>过程结算报告</w:t>
      </w:r>
      <w:r>
        <w:rPr>
          <w:rFonts w:hint="eastAsia" w:ascii="宋体" w:hAnsi="宋体" w:eastAsia="宋体" w:cs="Times New Roman"/>
          <w:color w:val="auto"/>
          <w:kern w:val="0"/>
          <w:szCs w:val="24"/>
          <w:highlight w:val="none"/>
        </w:rPr>
        <w:t>），应据此确认过程结算价款</w:t>
      </w:r>
      <w:r>
        <w:rPr>
          <w:rFonts w:ascii="宋体" w:hAnsi="宋体" w:eastAsia="宋体" w:cs="Times New Roman"/>
          <w:color w:val="auto"/>
          <w:kern w:val="0"/>
          <w:szCs w:val="24"/>
          <w:highlight w:val="none"/>
        </w:rPr>
        <w:t>。</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453" w:name="_Toc15556"/>
      <w:bookmarkStart w:id="2454" w:name="_Toc17043"/>
      <w:bookmarkStart w:id="2455" w:name="_Toc28526"/>
      <w:bookmarkStart w:id="2456" w:name="_Toc25812"/>
      <w:bookmarkStart w:id="2457" w:name="_Toc12000"/>
      <w:bookmarkStart w:id="2458" w:name="_Toc10062"/>
      <w:bookmarkStart w:id="2459" w:name="_Toc26290"/>
      <w:bookmarkStart w:id="2460" w:name="_Toc22662"/>
      <w:bookmarkStart w:id="2461" w:name="_Toc16363"/>
      <w:bookmarkStart w:id="2462" w:name="_Toc22419"/>
      <w:bookmarkStart w:id="2463" w:name="_Toc15954"/>
      <w:bookmarkStart w:id="2464" w:name="_Toc25855"/>
      <w:bookmarkStart w:id="2465" w:name="_Toc11671"/>
      <w:bookmarkStart w:id="2466" w:name="_Toc15950"/>
      <w:r>
        <w:rPr>
          <w:rFonts w:hint="eastAsia" w:ascii="宋体" w:hAnsi="宋体" w:eastAsia="宋体" w:cs="Times New Roman"/>
          <w:b/>
          <w:bCs/>
          <w:color w:val="auto"/>
          <w:kern w:val="0"/>
          <w:sz w:val="24"/>
          <w:szCs w:val="24"/>
          <w:highlight w:val="none"/>
          <w:lang w:val="en-US" w:eastAsia="zh-CN" w:bidi="ar-SA"/>
        </w:rPr>
        <w:t>过程结算支付</w:t>
      </w:r>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发承包双方确认过程结算价款后7天内，监理人应签发过程结算支付证书，报发包人批准后送交承包人。</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发包人应在确认过程结算支付证书后14天内向承包人支付过程结算价款。发包人在确认过程结算价款后14天内无正当理由不</w:t>
      </w:r>
      <w:r>
        <w:rPr>
          <w:rFonts w:hint="eastAsia" w:ascii="宋体" w:hAnsi="宋体" w:eastAsia="宋体" w:cs="Times New Roman"/>
          <w:color w:val="auto"/>
          <w:kern w:val="0"/>
          <w:szCs w:val="24"/>
          <w:highlight w:val="none"/>
        </w:rPr>
        <w:t>予</w:t>
      </w:r>
      <w:r>
        <w:rPr>
          <w:rFonts w:ascii="宋体" w:hAnsi="宋体" w:eastAsia="宋体" w:cs="Times New Roman"/>
          <w:color w:val="auto"/>
          <w:kern w:val="0"/>
          <w:szCs w:val="24"/>
          <w:highlight w:val="none"/>
        </w:rPr>
        <w:t>支付</w:t>
      </w:r>
      <w:r>
        <w:rPr>
          <w:rFonts w:hint="eastAsia" w:ascii="宋体" w:hAnsi="宋体" w:eastAsia="宋体" w:cs="Times New Roman"/>
          <w:color w:val="auto"/>
          <w:kern w:val="0"/>
          <w:szCs w:val="24"/>
          <w:highlight w:val="none"/>
        </w:rPr>
        <w:t>的</w:t>
      </w:r>
      <w:r>
        <w:rPr>
          <w:rFonts w:ascii="宋体" w:hAnsi="宋体" w:eastAsia="宋体" w:cs="Times New Roman"/>
          <w:color w:val="auto"/>
          <w:kern w:val="0"/>
          <w:szCs w:val="24"/>
          <w:highlight w:val="none"/>
        </w:rPr>
        <w:t>，从第15天起按同期银行贷款利率支付拖欠过程结算价款的贷款利息，并承担第2</w:t>
      </w:r>
      <w:r>
        <w:rPr>
          <w:rFonts w:hint="eastAsia" w:ascii="宋体" w:hAnsi="宋体" w:eastAsia="宋体" w:cs="Times New Roman"/>
          <w:color w:val="auto"/>
          <w:kern w:val="0"/>
          <w:szCs w:val="24"/>
          <w:highlight w:val="none"/>
        </w:rPr>
        <w:t>9</w:t>
      </w:r>
      <w:r>
        <w:rPr>
          <w:rFonts w:ascii="宋体" w:hAnsi="宋体" w:eastAsia="宋体" w:cs="Times New Roman"/>
          <w:color w:val="auto"/>
          <w:kern w:val="0"/>
          <w:szCs w:val="24"/>
          <w:highlight w:val="none"/>
        </w:rPr>
        <w:t>.1</w:t>
      </w: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项约定的违约责任。</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已签发的过程结算支付证书有错漏或重复的，发承包双方应</w:t>
      </w:r>
      <w:r>
        <w:rPr>
          <w:rFonts w:hint="eastAsia" w:ascii="宋体" w:hAnsi="宋体" w:eastAsia="宋体" w:cs="Times New Roman"/>
          <w:color w:val="auto"/>
          <w:kern w:val="0"/>
          <w:szCs w:val="24"/>
          <w:highlight w:val="none"/>
        </w:rPr>
        <w:t>在</w:t>
      </w:r>
      <w:r>
        <w:rPr>
          <w:rFonts w:ascii="宋体" w:hAnsi="宋体" w:eastAsia="宋体" w:cs="Times New Roman"/>
          <w:b/>
          <w:bCs/>
          <w:i/>
          <w:iCs/>
          <w:color w:val="auto"/>
          <w:kern w:val="0"/>
          <w:szCs w:val="24"/>
          <w:highlight w:val="none"/>
        </w:rPr>
        <w:t>专用条款</w:t>
      </w:r>
      <w:r>
        <w:rPr>
          <w:rFonts w:ascii="宋体" w:hAnsi="宋体" w:eastAsia="宋体" w:cs="Times New Roman"/>
          <w:color w:val="auto"/>
          <w:kern w:val="0"/>
          <w:szCs w:val="24"/>
          <w:highlight w:val="none"/>
        </w:rPr>
        <w:t>约定的时间内配合予以修正；经发承包双方复核并同意修正的，应在当期的过程结算中补充修正内容。</w:t>
      </w:r>
    </w:p>
    <w:p>
      <w:pPr>
        <w:tabs>
          <w:tab w:val="left" w:pos="1620"/>
          <w:tab w:val="left" w:pos="2340"/>
        </w:tabs>
        <w:spacing w:after="156"/>
        <w:ind w:left="899"/>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t>过程结算价款累计</w:t>
      </w:r>
      <w:r>
        <w:rPr>
          <w:rFonts w:hint="eastAsia" w:ascii="宋体" w:hAnsi="宋体" w:eastAsia="宋体" w:cs="Times New Roman"/>
          <w:color w:val="auto"/>
          <w:kern w:val="0"/>
          <w:szCs w:val="24"/>
          <w:highlight w:val="none"/>
        </w:rPr>
        <w:t>支付</w:t>
      </w:r>
      <w:r>
        <w:rPr>
          <w:rFonts w:ascii="宋体" w:hAnsi="宋体" w:eastAsia="宋体" w:cs="Times New Roman"/>
          <w:color w:val="auto"/>
          <w:kern w:val="0"/>
          <w:szCs w:val="24"/>
          <w:highlight w:val="none"/>
        </w:rPr>
        <w:t>总额达到合同价格的一定比例时，暂停支付。发承包双方应在</w:t>
      </w:r>
      <w:r>
        <w:rPr>
          <w:rFonts w:ascii="宋体" w:hAnsi="宋体" w:eastAsia="宋体" w:cs="Times New Roman"/>
          <w:b/>
          <w:bCs/>
          <w:i/>
          <w:iCs/>
          <w:color w:val="auto"/>
          <w:kern w:val="0"/>
          <w:szCs w:val="24"/>
          <w:highlight w:val="none"/>
        </w:rPr>
        <w:t>专用条款</w:t>
      </w:r>
      <w:r>
        <w:rPr>
          <w:rFonts w:ascii="宋体" w:hAnsi="宋体" w:eastAsia="宋体" w:cs="Times New Roman"/>
          <w:color w:val="auto"/>
          <w:kern w:val="0"/>
          <w:szCs w:val="24"/>
          <w:highlight w:val="none"/>
        </w:rPr>
        <w:t>中约定具体比例。</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⑸有关过程结算文件的编制和审核均须经注册造价工程师签字盖章确认。</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467" w:name="_Toc24727"/>
      <w:bookmarkStart w:id="2468" w:name="_Toc8939"/>
      <w:bookmarkStart w:id="2469" w:name="_Toc28454"/>
      <w:bookmarkStart w:id="2470" w:name="_Toc25659"/>
      <w:bookmarkStart w:id="2471" w:name="_Toc27785"/>
      <w:bookmarkStart w:id="2472" w:name="_Toc15824"/>
      <w:bookmarkStart w:id="2473" w:name="_Toc22075"/>
      <w:bookmarkStart w:id="2474" w:name="_Toc16681"/>
      <w:bookmarkStart w:id="2475" w:name="_Toc7827"/>
      <w:bookmarkStart w:id="2476" w:name="_Toc14249"/>
      <w:bookmarkStart w:id="2477" w:name="_Toc16434"/>
      <w:bookmarkStart w:id="2478" w:name="_Toc2999"/>
      <w:bookmarkStart w:id="2479" w:name="_Toc9888"/>
      <w:bookmarkStart w:id="2480" w:name="_Toc12512"/>
      <w:r>
        <w:rPr>
          <w:rFonts w:hint="eastAsia" w:ascii="宋体" w:hAnsi="宋体" w:eastAsia="宋体" w:cs="Times New Roman"/>
          <w:b/>
          <w:bCs/>
          <w:color w:val="auto"/>
          <w:kern w:val="0"/>
          <w:sz w:val="24"/>
          <w:szCs w:val="24"/>
          <w:highlight w:val="none"/>
          <w:lang w:val="en-US" w:eastAsia="zh-CN" w:bidi="ar-SA"/>
        </w:rPr>
        <w:t>过程结算暂定意见</w:t>
      </w:r>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发承包双方对过程结算不能达成一致意见的，双方可委托</w:t>
      </w:r>
      <w:r>
        <w:rPr>
          <w:rFonts w:ascii="宋体" w:hAnsi="宋体" w:eastAsia="宋体" w:cs="Times New Roman"/>
          <w:b/>
          <w:bCs/>
          <w:i/>
          <w:iCs/>
          <w:color w:val="auto"/>
          <w:kern w:val="0"/>
          <w:szCs w:val="24"/>
          <w:highlight w:val="none"/>
        </w:rPr>
        <w:t>专用条款</w:t>
      </w:r>
      <w:r>
        <w:rPr>
          <w:rFonts w:ascii="宋体" w:hAnsi="宋体" w:eastAsia="宋体" w:cs="Times New Roman"/>
          <w:color w:val="auto"/>
          <w:kern w:val="0"/>
          <w:szCs w:val="24"/>
          <w:highlight w:val="none"/>
        </w:rPr>
        <w:t>约定的第三方提出暂定结算意见。发承包双方在收到第三方暂定结算意见后，</w:t>
      </w:r>
      <w:r>
        <w:rPr>
          <w:rFonts w:hint="eastAsia" w:ascii="宋体" w:hAnsi="宋体" w:eastAsia="宋体" w:cs="Times New Roman"/>
          <w:color w:val="auto"/>
          <w:kern w:val="0"/>
          <w:szCs w:val="24"/>
          <w:highlight w:val="none"/>
        </w:rPr>
        <w:t>应</w:t>
      </w:r>
      <w:r>
        <w:rPr>
          <w:rFonts w:ascii="宋体" w:hAnsi="宋体" w:eastAsia="宋体" w:cs="Times New Roman"/>
          <w:color w:val="auto"/>
          <w:kern w:val="0"/>
          <w:szCs w:val="24"/>
          <w:highlight w:val="none"/>
        </w:rPr>
        <w:t>在</w:t>
      </w:r>
      <w:r>
        <w:rPr>
          <w:rFonts w:ascii="宋体" w:hAnsi="宋体" w:eastAsia="宋体" w:cs="Times New Roman"/>
          <w:b/>
          <w:bCs/>
          <w:i/>
          <w:iCs/>
          <w:color w:val="auto"/>
          <w:kern w:val="0"/>
          <w:szCs w:val="24"/>
          <w:highlight w:val="none"/>
        </w:rPr>
        <w:t>专用条款</w:t>
      </w:r>
      <w:r>
        <w:rPr>
          <w:rFonts w:ascii="宋体" w:hAnsi="宋体" w:eastAsia="宋体" w:cs="Times New Roman"/>
          <w:color w:val="auto"/>
          <w:kern w:val="0"/>
          <w:szCs w:val="24"/>
          <w:highlight w:val="none"/>
        </w:rPr>
        <w:t>约定时间内，对暂定结算意见予以确认或提出异议。发承包双方同意暂定结算意见的，应以书面形式确认。</w:t>
      </w:r>
      <w:r>
        <w:rPr>
          <w:rFonts w:hint="eastAsia" w:ascii="宋体" w:hAnsi="宋体" w:eastAsia="宋体" w:cs="Times New Roman"/>
          <w:color w:val="auto"/>
          <w:kern w:val="0"/>
          <w:szCs w:val="24"/>
          <w:highlight w:val="none"/>
        </w:rPr>
        <w:t>经</w:t>
      </w:r>
      <w:r>
        <w:rPr>
          <w:rFonts w:ascii="宋体" w:hAnsi="宋体" w:eastAsia="宋体" w:cs="Times New Roman"/>
          <w:color w:val="auto"/>
          <w:kern w:val="0"/>
          <w:szCs w:val="24"/>
          <w:highlight w:val="none"/>
        </w:rPr>
        <w:t>发承包双方同意的暂定结算意见</w:t>
      </w:r>
      <w:r>
        <w:rPr>
          <w:rFonts w:hint="eastAsia" w:ascii="宋体" w:hAnsi="宋体" w:eastAsia="宋体" w:cs="Times New Roman"/>
          <w:color w:val="auto"/>
          <w:kern w:val="0"/>
          <w:szCs w:val="24"/>
          <w:highlight w:val="none"/>
        </w:rPr>
        <w:t>将</w:t>
      </w:r>
      <w:r>
        <w:rPr>
          <w:rFonts w:ascii="宋体" w:hAnsi="宋体" w:eastAsia="宋体" w:cs="Times New Roman"/>
          <w:color w:val="auto"/>
          <w:kern w:val="0"/>
          <w:szCs w:val="24"/>
          <w:highlight w:val="none"/>
        </w:rPr>
        <w:t>作为过程结算依据，对发承包双方都有约束力，直到其被改变为止。如发承包双方或一方不同意暂定结算意见的，应以书面形式向合同约定的第三方提出，同时抄送另一方。暂定结算意见应在竣工结算前被最终确认或修改，并在被确认或修改的当期调整</w:t>
      </w:r>
      <w:r>
        <w:rPr>
          <w:rFonts w:hint="eastAsia" w:ascii="宋体" w:hAnsi="宋体" w:eastAsia="宋体" w:cs="Times New Roman"/>
          <w:color w:val="auto"/>
          <w:kern w:val="0"/>
          <w:szCs w:val="24"/>
          <w:highlight w:val="none"/>
        </w:rPr>
        <w:t>过程</w:t>
      </w:r>
      <w:r>
        <w:rPr>
          <w:rFonts w:ascii="宋体" w:hAnsi="宋体" w:eastAsia="宋体" w:cs="Times New Roman"/>
          <w:color w:val="auto"/>
          <w:kern w:val="0"/>
          <w:szCs w:val="24"/>
          <w:highlight w:val="none"/>
        </w:rPr>
        <w:t>结算价款。</w:t>
      </w:r>
    </w:p>
    <w:p>
      <w:pPr>
        <w:keepNext w:val="0"/>
        <w:keepLines w:val="0"/>
        <w:widowControl w:val="0"/>
        <w:numPr>
          <w:ilvl w:val="0"/>
          <w:numId w:val="1"/>
        </w:numPr>
        <w:tabs>
          <w:tab w:val="left" w:pos="720"/>
          <w:tab w:val="left" w:pos="1620"/>
          <w:tab w:val="left" w:pos="2340"/>
          <w:tab w:val="clear"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2481" w:name="_Toc3464"/>
      <w:bookmarkStart w:id="2482" w:name="_Toc9989"/>
      <w:bookmarkStart w:id="2483" w:name="_Toc31181"/>
      <w:bookmarkStart w:id="2484" w:name="_Toc7194"/>
      <w:bookmarkStart w:id="2485" w:name="_Toc14623"/>
      <w:bookmarkStart w:id="2486" w:name="_Toc21341"/>
      <w:bookmarkStart w:id="2487" w:name="_Toc21632"/>
      <w:bookmarkStart w:id="2488" w:name="_Toc1843"/>
      <w:r>
        <w:rPr>
          <w:rFonts w:hint="eastAsia" w:ascii="华文细黑" w:hAnsi="宋体" w:eastAsia="宋体" w:cs="Times New Roman"/>
          <w:b/>
          <w:bCs/>
          <w:snapToGrid w:val="0"/>
          <w:color w:val="auto"/>
          <w:kern w:val="0"/>
          <w:sz w:val="28"/>
          <w:szCs w:val="44"/>
          <w:highlight w:val="none"/>
          <w:lang w:val="en-US" w:eastAsia="zh-CN" w:bidi="ar-SA"/>
        </w:rPr>
        <w:t>竣工验收</w:t>
      </w:r>
      <w:bookmarkEnd w:id="2377"/>
      <w:bookmarkEnd w:id="2378"/>
      <w:bookmarkEnd w:id="2379"/>
      <w:bookmarkEnd w:id="2380"/>
      <w:bookmarkEnd w:id="2381"/>
      <w:bookmarkEnd w:id="2382"/>
      <w:bookmarkEnd w:id="2481"/>
      <w:bookmarkEnd w:id="2482"/>
      <w:bookmarkEnd w:id="2483"/>
      <w:bookmarkEnd w:id="2484"/>
      <w:bookmarkEnd w:id="2485"/>
      <w:bookmarkEnd w:id="2486"/>
      <w:bookmarkEnd w:id="2487"/>
      <w:bookmarkEnd w:id="2488"/>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489" w:name="_Toc4703"/>
      <w:bookmarkStart w:id="2490" w:name="_Toc14111"/>
      <w:bookmarkStart w:id="2491" w:name="_Toc15695"/>
      <w:bookmarkStart w:id="2492" w:name="_Toc31338"/>
      <w:bookmarkStart w:id="2493" w:name="_Toc26071"/>
      <w:bookmarkStart w:id="2494" w:name="_Toc302635874"/>
      <w:bookmarkStart w:id="2495" w:name="_Toc10908"/>
      <w:bookmarkStart w:id="2496" w:name="_Toc305331379"/>
      <w:bookmarkStart w:id="2497" w:name="_Toc32310"/>
      <w:bookmarkStart w:id="2498" w:name="_Toc20966"/>
      <w:bookmarkStart w:id="2499" w:name="_Toc16922"/>
      <w:bookmarkStart w:id="2500" w:name="_Toc34909068"/>
      <w:r>
        <w:rPr>
          <w:rFonts w:hint="eastAsia" w:ascii="宋体" w:hAnsi="宋体" w:eastAsia="宋体" w:cs="Times New Roman"/>
          <w:b/>
          <w:bCs/>
          <w:color w:val="auto"/>
          <w:kern w:val="0"/>
          <w:sz w:val="24"/>
          <w:szCs w:val="24"/>
          <w:highlight w:val="none"/>
          <w:lang w:val="en-US" w:eastAsia="zh-CN" w:bidi="ar-SA"/>
        </w:rPr>
        <w:t>竣工验收</w:t>
      </w:r>
      <w:bookmarkEnd w:id="2489"/>
      <w:bookmarkEnd w:id="2490"/>
      <w:bookmarkEnd w:id="2491"/>
      <w:bookmarkEnd w:id="2492"/>
      <w:bookmarkEnd w:id="2493"/>
      <w:bookmarkEnd w:id="2494"/>
      <w:bookmarkEnd w:id="2495"/>
      <w:bookmarkEnd w:id="2496"/>
      <w:bookmarkEnd w:id="2497"/>
      <w:bookmarkEnd w:id="2498"/>
      <w:bookmarkEnd w:id="2499"/>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工程具备以下条件的，承包人可以申请竣工验收：</w:t>
      </w:r>
    </w:p>
    <w:p>
      <w:pPr>
        <w:tabs>
          <w:tab w:val="left" w:pos="1620"/>
          <w:tab w:val="left" w:pos="2340"/>
        </w:tabs>
        <w:ind w:left="1134"/>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w:t>
      </w:r>
      <w:r>
        <w:rPr>
          <w:rFonts w:ascii="宋体" w:hAnsi="宋体" w:eastAsia="宋体" w:cs="Times New Roman"/>
          <w:color w:val="auto"/>
          <w:kern w:val="0"/>
          <w:szCs w:val="24"/>
          <w:highlight w:val="none"/>
        </w:rPr>
        <w:t>除发包人同意的甩项</w:t>
      </w:r>
      <w:r>
        <w:rPr>
          <w:rFonts w:hint="eastAsia" w:ascii="宋体" w:hAnsi="宋体" w:eastAsia="宋体" w:cs="Times New Roman"/>
          <w:color w:val="auto"/>
          <w:kern w:val="0"/>
          <w:szCs w:val="24"/>
          <w:highlight w:val="none"/>
        </w:rPr>
        <w:t>工作</w:t>
      </w:r>
      <w:r>
        <w:rPr>
          <w:rFonts w:ascii="宋体" w:hAnsi="宋体" w:eastAsia="宋体" w:cs="Times New Roman"/>
          <w:color w:val="auto"/>
          <w:kern w:val="0"/>
          <w:szCs w:val="24"/>
          <w:highlight w:val="none"/>
        </w:rPr>
        <w:t>和缺陷修补工作外，合同范围内的全部工程以及有关工作，包括合同要求的试验、试运行以及检验均已完成，并符合合同要求；</w:t>
      </w:r>
    </w:p>
    <w:p>
      <w:pPr>
        <w:tabs>
          <w:tab w:val="left" w:pos="1620"/>
          <w:tab w:val="left" w:pos="2340"/>
        </w:tabs>
        <w:ind w:left="1134"/>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w:t>
      </w:r>
      <w:r>
        <w:rPr>
          <w:rFonts w:ascii="宋体" w:hAnsi="宋体" w:eastAsia="宋体" w:cs="Times New Roman"/>
          <w:color w:val="auto"/>
          <w:kern w:val="0"/>
          <w:szCs w:val="24"/>
          <w:highlight w:val="none"/>
        </w:rPr>
        <w:t>已按合同约定编制了甩项</w:t>
      </w:r>
      <w:r>
        <w:rPr>
          <w:rFonts w:hint="eastAsia" w:ascii="宋体" w:hAnsi="宋体" w:eastAsia="宋体" w:cs="Times New Roman"/>
          <w:color w:val="auto"/>
          <w:kern w:val="0"/>
          <w:szCs w:val="24"/>
          <w:highlight w:val="none"/>
        </w:rPr>
        <w:t>工作</w:t>
      </w:r>
      <w:r>
        <w:rPr>
          <w:rFonts w:ascii="宋体" w:hAnsi="宋体" w:eastAsia="宋体" w:cs="Times New Roman"/>
          <w:color w:val="auto"/>
          <w:kern w:val="0"/>
          <w:szCs w:val="24"/>
          <w:highlight w:val="none"/>
        </w:rPr>
        <w:t>和缺陷修补工作清单以及相应的施工计划；</w:t>
      </w:r>
    </w:p>
    <w:p>
      <w:pPr>
        <w:tabs>
          <w:tab w:val="left" w:pos="1620"/>
          <w:tab w:val="left" w:pos="2340"/>
        </w:tabs>
        <w:ind w:left="1134"/>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w:t>
      </w:r>
      <w:r>
        <w:rPr>
          <w:rFonts w:ascii="宋体" w:hAnsi="宋体" w:eastAsia="宋体" w:cs="Times New Roman"/>
          <w:color w:val="auto"/>
          <w:kern w:val="0"/>
          <w:szCs w:val="24"/>
          <w:highlight w:val="none"/>
        </w:rPr>
        <w:t>已按合同约定的内容和份数备齐竣工资料。</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⑵工程具备竣工验收条件后21天内，承包人应按工程竣工验收的有关规定和</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申请竣工验收并提供竣工资料(如项目经理任命通知书、施工组织设计方案、施工质量技术交底、施工日志、各种验收记录表和检测报告、工程变更资料、工程质量事故处理报告、竣工图纸等)。</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监理人审查后认为尚不具备验收条件的，应通知承包人在竣工验收前承包人还需完成的工作内容，承包人应在完成监理人通知的全部工作内容后，再次提交竣工验收申请报告。</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t>监理人审查后认为已具备竣工验收条件的，应将竣工验收申请报告提交发包人，发包人应在收到</w:t>
      </w:r>
      <w:r>
        <w:rPr>
          <w:rFonts w:hint="eastAsia" w:ascii="宋体" w:hAnsi="宋体" w:eastAsia="宋体" w:cs="Times New Roman"/>
          <w:color w:val="auto"/>
          <w:kern w:val="0"/>
          <w:szCs w:val="24"/>
          <w:highlight w:val="none"/>
        </w:rPr>
        <w:t>经</w:t>
      </w:r>
      <w:r>
        <w:rPr>
          <w:rFonts w:ascii="宋体" w:hAnsi="宋体" w:eastAsia="宋体" w:cs="Times New Roman"/>
          <w:color w:val="auto"/>
          <w:kern w:val="0"/>
          <w:szCs w:val="24"/>
          <w:highlight w:val="none"/>
        </w:rPr>
        <w:t>监理人审核的竣工验收申请报告后28天内</w:t>
      </w:r>
      <w:r>
        <w:rPr>
          <w:rFonts w:hint="eastAsia" w:ascii="宋体" w:hAnsi="宋体" w:eastAsia="宋体" w:cs="Times New Roman"/>
          <w:color w:val="auto"/>
          <w:kern w:val="0"/>
          <w:szCs w:val="24"/>
          <w:highlight w:val="none"/>
        </w:rPr>
        <w:t>审批</w:t>
      </w:r>
      <w:r>
        <w:rPr>
          <w:rFonts w:ascii="宋体" w:hAnsi="宋体" w:eastAsia="宋体" w:cs="Times New Roman"/>
          <w:color w:val="auto"/>
          <w:kern w:val="0"/>
          <w:szCs w:val="24"/>
          <w:highlight w:val="none"/>
        </w:rPr>
        <w:t>完毕并组织监理人、承包人、设计人等相关单位完成竣工验收。</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⑸发包人收到承包人提交的竣工验收申请后21天内不组织竣工验收，或竣工验收工作完毕后7天内不提出修改意见，均视为本工程通过竣工验收。发包人应承担此后本工程的一切保管责任。</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⑹本工程未经竣工验收或竣工验收未通过的，发包人不得使用。如发包人擅自使用，由此发生的质量问题及其他问题，由发包人承担责任，并承担此后本工程的一切保管责任。</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⑺根据</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的约定，本工程中某单项工程须单独进行竣工验收的，按本条有关竣工验收规定办理。</w:t>
      </w:r>
    </w:p>
    <w:bookmarkEnd w:id="2500"/>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501" w:name="_Toc27693"/>
      <w:bookmarkStart w:id="2502" w:name="_Toc27266"/>
      <w:bookmarkStart w:id="2503" w:name="_Toc660"/>
      <w:bookmarkStart w:id="2504" w:name="_Toc28437"/>
      <w:bookmarkStart w:id="2505" w:name="_Toc302635875"/>
      <w:bookmarkStart w:id="2506" w:name="_Toc24328"/>
      <w:bookmarkStart w:id="2507" w:name="_Toc305331380"/>
      <w:bookmarkStart w:id="2508" w:name="_Toc19942"/>
      <w:bookmarkStart w:id="2509" w:name="_Toc12104"/>
      <w:bookmarkStart w:id="2510" w:name="_Toc2135"/>
      <w:bookmarkStart w:id="2511" w:name="_Toc2285"/>
      <w:bookmarkStart w:id="2512" w:name="_Toc34909119"/>
      <w:r>
        <w:rPr>
          <w:rFonts w:hint="eastAsia" w:ascii="宋体" w:hAnsi="宋体" w:eastAsia="宋体" w:cs="Times New Roman"/>
          <w:b/>
          <w:bCs/>
          <w:color w:val="auto"/>
          <w:kern w:val="0"/>
          <w:sz w:val="24"/>
          <w:szCs w:val="24"/>
          <w:highlight w:val="none"/>
          <w:lang w:val="en-US" w:eastAsia="zh-CN" w:bidi="ar-SA"/>
        </w:rPr>
        <w:t>竣工验收合格后的移交和清理</w:t>
      </w:r>
      <w:bookmarkEnd w:id="2501"/>
      <w:bookmarkEnd w:id="2502"/>
      <w:bookmarkEnd w:id="2503"/>
      <w:bookmarkEnd w:id="2504"/>
      <w:bookmarkEnd w:id="2505"/>
      <w:bookmarkEnd w:id="2506"/>
      <w:bookmarkEnd w:id="2507"/>
      <w:bookmarkEnd w:id="2508"/>
      <w:bookmarkEnd w:id="2509"/>
      <w:bookmarkEnd w:id="2510"/>
      <w:bookmarkEnd w:id="2511"/>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工程竣工验收通过，发包人应在验收工作完毕后7天内向承包人签发交接证书，同时办理工程的移交工作。交接证书上应写明本工程的实际竣工日期(即竣工验收合格之日)。交接证书签发后，承包人应将工程交付给发包人，承包人不再承担对工程的照管责任。</w:t>
      </w:r>
      <w:bookmarkEnd w:id="2512"/>
      <w:r>
        <w:rPr>
          <w:rFonts w:ascii="宋体" w:hAnsi="宋体" w:eastAsia="宋体" w:cs="Times New Roman"/>
          <w:color w:val="auto"/>
          <w:kern w:val="0"/>
          <w:szCs w:val="24"/>
          <w:highlight w:val="none"/>
        </w:rPr>
        <w:t>承包人无正当理由不移交工程的，</w:t>
      </w:r>
      <w:r>
        <w:rPr>
          <w:rFonts w:hint="eastAsia" w:ascii="宋体" w:hAnsi="宋体" w:eastAsia="宋体" w:cs="Times New Roman"/>
          <w:color w:val="auto"/>
          <w:kern w:val="0"/>
          <w:szCs w:val="24"/>
          <w:highlight w:val="none"/>
        </w:rPr>
        <w:t>承包人应承担</w:t>
      </w:r>
      <w:r>
        <w:rPr>
          <w:rFonts w:ascii="宋体" w:hAnsi="宋体" w:eastAsia="宋体" w:cs="Times New Roman"/>
          <w:color w:val="auto"/>
          <w:kern w:val="0"/>
          <w:szCs w:val="24"/>
          <w:highlight w:val="none"/>
        </w:rPr>
        <w:t>工程照管、成品保护、保管等与工程有关的各项费用</w:t>
      </w:r>
      <w:r>
        <w:rPr>
          <w:rFonts w:hint="eastAsia" w:ascii="宋体" w:hAnsi="宋体" w:eastAsia="宋体" w:cs="Times New Roman"/>
          <w:color w:val="auto"/>
          <w:kern w:val="0"/>
          <w:szCs w:val="24"/>
          <w:highlight w:val="none"/>
        </w:rPr>
        <w:t>，承发包双方可以在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中另行约定承包人无正当理由不移交工程的违约责任</w:t>
      </w:r>
      <w:r>
        <w:rPr>
          <w:rFonts w:ascii="宋体" w:hAnsi="宋体" w:eastAsia="宋体" w:cs="Times New Roman"/>
          <w:color w:val="auto"/>
          <w:kern w:val="0"/>
          <w:szCs w:val="24"/>
          <w:highlight w:val="none"/>
        </w:rPr>
        <w:t>。</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⑵在签发交接证书后，承包人应从施工现场清理并运出承包人装备、剩余材料设备、垃圾和各种临时工程，保持整个现场及工程整洁，达到竣工使用状态。如承包人未在发包人或</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允许的合理时间内把所有的承包人装备、剩余材料设备、垃圾及各种临时工程运走，则发包人可以：</w:t>
      </w:r>
    </w:p>
    <w:p>
      <w:pPr>
        <w:tabs>
          <w:tab w:val="left" w:pos="1620"/>
          <w:tab w:val="left" w:pos="2340"/>
        </w:tabs>
        <w:ind w:left="899" w:firstLine="181"/>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①委托他人将承包人装备、剩余材料及承包人的其他财产觅地存放；</w:t>
      </w:r>
    </w:p>
    <w:p>
      <w:pPr>
        <w:tabs>
          <w:tab w:val="left" w:pos="1620"/>
          <w:tab w:val="left" w:pos="2340"/>
        </w:tabs>
        <w:ind w:left="899" w:firstLine="181"/>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②委托他人清除并运走垃圾、废料。</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因上述工作而发生的费用由承包人承担，发包人可从应付承包人的任何款项内扣除。</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发包人无正当理由不接收工程的，发包人自</w:t>
      </w:r>
      <w:r>
        <w:rPr>
          <w:rFonts w:hint="eastAsia" w:ascii="宋体" w:hAnsi="宋体" w:eastAsia="宋体" w:cs="Times New Roman"/>
          <w:color w:val="auto"/>
          <w:kern w:val="0"/>
          <w:szCs w:val="24"/>
          <w:highlight w:val="none"/>
        </w:rPr>
        <w:t>应当接收工程</w:t>
      </w:r>
      <w:r>
        <w:rPr>
          <w:rFonts w:ascii="宋体" w:hAnsi="宋体" w:eastAsia="宋体" w:cs="Times New Roman"/>
          <w:color w:val="auto"/>
          <w:kern w:val="0"/>
          <w:szCs w:val="24"/>
          <w:highlight w:val="none"/>
        </w:rPr>
        <w:t>之日起，承担工程照管、成品保护、保管等与工程有关的各项费用</w:t>
      </w:r>
      <w:r>
        <w:rPr>
          <w:rFonts w:hint="eastAsia" w:ascii="宋体" w:hAnsi="宋体" w:eastAsia="宋体" w:cs="Times New Roman"/>
          <w:color w:val="auto"/>
          <w:kern w:val="0"/>
          <w:szCs w:val="24"/>
          <w:highlight w:val="none"/>
        </w:rPr>
        <w:t>，承发包双方可以在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中另行约定发包人逾期接收工程的违约责任</w:t>
      </w:r>
      <w:r>
        <w:rPr>
          <w:rFonts w:ascii="宋体" w:hAnsi="宋体" w:eastAsia="宋体" w:cs="Times New Roman"/>
          <w:color w:val="auto"/>
          <w:kern w:val="0"/>
          <w:szCs w:val="24"/>
          <w:highlight w:val="none"/>
        </w:rPr>
        <w:t>。</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513" w:name="_Toc23313"/>
      <w:bookmarkStart w:id="2514" w:name="_Toc17192"/>
      <w:bookmarkStart w:id="2515" w:name="_Toc8454"/>
      <w:bookmarkStart w:id="2516" w:name="_Toc13350"/>
      <w:bookmarkStart w:id="2517" w:name="_Toc302635876"/>
      <w:bookmarkStart w:id="2518" w:name="_Toc27758"/>
      <w:bookmarkStart w:id="2519" w:name="_Toc17589"/>
      <w:bookmarkStart w:id="2520" w:name="_Toc11981"/>
      <w:bookmarkStart w:id="2521" w:name="_Toc21459"/>
      <w:bookmarkStart w:id="2522" w:name="_Toc19391"/>
      <w:bookmarkStart w:id="2523" w:name="_Toc305331381"/>
      <w:bookmarkStart w:id="2524" w:name="_Toc34909121"/>
      <w:r>
        <w:rPr>
          <w:rFonts w:hint="eastAsia" w:ascii="宋体" w:hAnsi="宋体" w:eastAsia="宋体" w:cs="Times New Roman"/>
          <w:b/>
          <w:bCs/>
          <w:color w:val="auto"/>
          <w:kern w:val="0"/>
          <w:sz w:val="24"/>
          <w:szCs w:val="24"/>
          <w:highlight w:val="none"/>
          <w:lang w:val="en-US" w:eastAsia="zh-CN" w:bidi="ar-SA"/>
        </w:rPr>
        <w:t>竣工验收质量不合格和重新验收</w:t>
      </w:r>
      <w:bookmarkEnd w:id="2513"/>
      <w:bookmarkEnd w:id="2514"/>
      <w:bookmarkEnd w:id="2515"/>
      <w:bookmarkEnd w:id="2516"/>
      <w:bookmarkEnd w:id="2517"/>
      <w:bookmarkEnd w:id="2518"/>
      <w:bookmarkEnd w:id="2519"/>
      <w:bookmarkEnd w:id="2520"/>
      <w:bookmarkEnd w:id="2521"/>
      <w:bookmarkEnd w:id="2522"/>
      <w:bookmarkEnd w:id="2523"/>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⑴如本工程竣工验收质量未达到合同约定的标准，承包人应按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的约定承担违约责任。</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⑵如本工程竣工验收质量未达到合同约定的标准，</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应在验收工作完毕后7天内向承包人发出不予验收的指令，要求承包人对达不到合同约定标准的工程返工或修复。承包人在完成上述工作后，应重新提出竣工验收申请。发包人应按照第</w:t>
      </w:r>
      <w:r>
        <w:rPr>
          <w:rFonts w:hint="eastAsia" w:ascii="宋体" w:hAnsi="宋体" w:eastAsia="宋体" w:cs="Times New Roman"/>
          <w:color w:val="auto"/>
          <w:kern w:val="0"/>
          <w:szCs w:val="24"/>
          <w:highlight w:val="none"/>
          <w:lang w:val="en-US" w:eastAsia="zh-CN"/>
        </w:rPr>
        <w:t>27</w:t>
      </w:r>
      <w:r>
        <w:rPr>
          <w:rFonts w:hint="eastAsia" w:ascii="宋体" w:hAnsi="宋体" w:eastAsia="宋体" w:cs="Times New Roman"/>
          <w:color w:val="auto"/>
          <w:kern w:val="0"/>
          <w:szCs w:val="24"/>
          <w:highlight w:val="none"/>
        </w:rPr>
        <w:t>.1款的约定重新组织竣工验收。竣工验收通过，发包人应按第</w:t>
      </w:r>
      <w:r>
        <w:rPr>
          <w:rFonts w:hint="eastAsia" w:ascii="宋体" w:hAnsi="宋体" w:eastAsia="宋体" w:cs="Times New Roman"/>
          <w:color w:val="auto"/>
          <w:kern w:val="0"/>
          <w:szCs w:val="24"/>
          <w:highlight w:val="none"/>
          <w:lang w:val="en-US" w:eastAsia="zh-CN"/>
        </w:rPr>
        <w:t>27</w:t>
      </w:r>
      <w:r>
        <w:rPr>
          <w:rFonts w:hint="eastAsia" w:ascii="宋体" w:hAnsi="宋体" w:eastAsia="宋体" w:cs="Times New Roman"/>
          <w:color w:val="auto"/>
          <w:kern w:val="0"/>
          <w:szCs w:val="24"/>
          <w:highlight w:val="none"/>
        </w:rPr>
        <w:t>.2款的约定签发交接证书。交接证书中写明的实际竣工日期应为重新验收合格之日。</w:t>
      </w:r>
      <w:bookmarkEnd w:id="2524"/>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525" w:name="_Toc302635880"/>
      <w:bookmarkStart w:id="2526" w:name="_Toc953"/>
      <w:bookmarkStart w:id="2527" w:name="_Toc2681"/>
      <w:bookmarkStart w:id="2528" w:name="_Toc9329"/>
      <w:bookmarkStart w:id="2529" w:name="_Toc10213"/>
      <w:bookmarkStart w:id="2530" w:name="_Toc20339"/>
      <w:bookmarkStart w:id="2531" w:name="_Toc6626"/>
      <w:bookmarkStart w:id="2532" w:name="_Toc622"/>
      <w:bookmarkStart w:id="2533" w:name="_Toc4730"/>
      <w:bookmarkStart w:id="2534" w:name="_Toc34"/>
      <w:bookmarkStart w:id="2535" w:name="_Toc305331386"/>
      <w:bookmarkStart w:id="2536" w:name="_Toc305331385"/>
      <w:r>
        <w:rPr>
          <w:rFonts w:hint="eastAsia" w:ascii="宋体" w:hAnsi="宋体" w:eastAsia="宋体" w:cs="Times New Roman"/>
          <w:b/>
          <w:bCs/>
          <w:color w:val="auto"/>
          <w:kern w:val="0"/>
          <w:sz w:val="24"/>
          <w:szCs w:val="24"/>
          <w:highlight w:val="none"/>
          <w:lang w:val="en-US" w:eastAsia="zh-CN" w:bidi="ar-SA"/>
        </w:rPr>
        <w:t>竣工日期</w:t>
      </w:r>
      <w:bookmarkEnd w:id="2525"/>
      <w:bookmarkEnd w:id="2526"/>
      <w:bookmarkEnd w:id="2527"/>
      <w:bookmarkEnd w:id="2528"/>
      <w:bookmarkEnd w:id="2529"/>
      <w:bookmarkEnd w:id="2530"/>
      <w:bookmarkEnd w:id="2531"/>
      <w:bookmarkEnd w:id="2532"/>
      <w:bookmarkEnd w:id="2533"/>
      <w:bookmarkEnd w:id="2534"/>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工程经竣工验收合格的，以</w:t>
      </w:r>
      <w:r>
        <w:rPr>
          <w:rFonts w:hint="eastAsia" w:ascii="宋体" w:hAnsi="宋体" w:eastAsia="宋体" w:cs="Times New Roman"/>
          <w:color w:val="auto"/>
          <w:kern w:val="0"/>
          <w:szCs w:val="24"/>
          <w:highlight w:val="none"/>
        </w:rPr>
        <w:t>竣工验收合格</w:t>
      </w:r>
      <w:r>
        <w:rPr>
          <w:rFonts w:ascii="宋体" w:hAnsi="宋体" w:eastAsia="宋体" w:cs="Times New Roman"/>
          <w:color w:val="auto"/>
          <w:kern w:val="0"/>
          <w:szCs w:val="24"/>
          <w:highlight w:val="none"/>
        </w:rPr>
        <w:t>之日为实际竣工日期，并在工程接收证书中载明；因发包人原因，未在监理人收到承包人提交的竣工验收申请报告42天内完成</w:t>
      </w:r>
      <w:r>
        <w:rPr>
          <w:rFonts w:hint="eastAsia" w:ascii="宋体" w:hAnsi="宋体" w:eastAsia="宋体" w:cs="Times New Roman"/>
          <w:color w:val="auto"/>
          <w:kern w:val="0"/>
          <w:szCs w:val="24"/>
          <w:highlight w:val="none"/>
        </w:rPr>
        <w:t>竣工</w:t>
      </w:r>
      <w:r>
        <w:rPr>
          <w:rFonts w:ascii="宋体" w:hAnsi="宋体" w:eastAsia="宋体" w:cs="Times New Roman"/>
          <w:color w:val="auto"/>
          <w:kern w:val="0"/>
          <w:szCs w:val="24"/>
          <w:highlight w:val="none"/>
        </w:rPr>
        <w:t>验收</w:t>
      </w:r>
      <w:r>
        <w:rPr>
          <w:rFonts w:hint="eastAsia" w:ascii="宋体" w:hAnsi="宋体" w:eastAsia="宋体" w:cs="Times New Roman"/>
          <w:color w:val="auto"/>
          <w:kern w:val="0"/>
          <w:szCs w:val="24"/>
          <w:highlight w:val="none"/>
        </w:rPr>
        <w:t>，或完成竣工验收不予签发工程接收证书</w:t>
      </w:r>
      <w:r>
        <w:rPr>
          <w:rFonts w:ascii="宋体" w:hAnsi="宋体" w:eastAsia="宋体" w:cs="Times New Roman"/>
          <w:color w:val="auto"/>
          <w:kern w:val="0"/>
          <w:szCs w:val="24"/>
          <w:highlight w:val="none"/>
        </w:rPr>
        <w:t>的，以提交竣工验</w:t>
      </w:r>
      <w:bookmarkStart w:id="2537" w:name="#go14"/>
      <w:bookmarkEnd w:id="2537"/>
      <w:r>
        <w:rPr>
          <w:rFonts w:ascii="宋体" w:hAnsi="宋体" w:eastAsia="宋体" w:cs="Times New Roman"/>
          <w:color w:val="auto"/>
          <w:kern w:val="0"/>
          <w:szCs w:val="24"/>
          <w:highlight w:val="none"/>
        </w:rPr>
        <w:t>收申请报告的日期为实际竣工日期；工程未经竣工验收，发包人擅自使用的，以转移占有工程之日为实际竣工日期。</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538" w:name="_Toc22426"/>
      <w:bookmarkStart w:id="2539" w:name="_Toc16205"/>
      <w:bookmarkStart w:id="2540" w:name="_Toc302635881"/>
      <w:bookmarkStart w:id="2541" w:name="_Toc25037"/>
      <w:bookmarkStart w:id="2542" w:name="_Toc9253"/>
      <w:bookmarkStart w:id="2543" w:name="_Toc25578"/>
      <w:bookmarkStart w:id="2544" w:name="_Toc8059"/>
      <w:bookmarkStart w:id="2545" w:name="_Toc26564"/>
      <w:bookmarkStart w:id="2546" w:name="_Toc12516"/>
      <w:bookmarkStart w:id="2547" w:name="_Toc29802"/>
      <w:r>
        <w:rPr>
          <w:rFonts w:ascii="宋体" w:hAnsi="宋体" w:eastAsia="宋体" w:cs="Times New Roman"/>
          <w:b/>
          <w:bCs/>
          <w:color w:val="auto"/>
          <w:kern w:val="0"/>
          <w:sz w:val="24"/>
          <w:szCs w:val="24"/>
          <w:highlight w:val="none"/>
          <w:lang w:val="en-US" w:eastAsia="zh-CN" w:bidi="ar-SA"/>
        </w:rPr>
        <w:t>拒绝接收全部或部分工程</w:t>
      </w:r>
      <w:bookmarkEnd w:id="2538"/>
      <w:bookmarkEnd w:id="2539"/>
      <w:bookmarkEnd w:id="2540"/>
      <w:bookmarkEnd w:id="2541"/>
      <w:bookmarkEnd w:id="2542"/>
      <w:bookmarkEnd w:id="2543"/>
      <w:bookmarkEnd w:id="2544"/>
      <w:bookmarkEnd w:id="2545"/>
      <w:bookmarkEnd w:id="2546"/>
      <w:bookmarkEnd w:id="2547"/>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对于竣工验收不合格的工程，承包人完成整改后，</w:t>
      </w:r>
      <w:r>
        <w:rPr>
          <w:rFonts w:hint="eastAsia" w:ascii="宋体" w:hAnsi="宋体" w:eastAsia="宋体" w:cs="Times New Roman"/>
          <w:color w:val="auto"/>
          <w:kern w:val="0"/>
          <w:szCs w:val="24"/>
          <w:highlight w:val="none"/>
        </w:rPr>
        <w:t>应当</w:t>
      </w:r>
      <w:r>
        <w:rPr>
          <w:rFonts w:ascii="宋体" w:hAnsi="宋体" w:eastAsia="宋体" w:cs="Times New Roman"/>
          <w:color w:val="auto"/>
          <w:kern w:val="0"/>
          <w:szCs w:val="24"/>
          <w:highlight w:val="none"/>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548" w:name="_Toc4369"/>
      <w:bookmarkStart w:id="2549" w:name="_Toc7728"/>
      <w:bookmarkStart w:id="2550" w:name="_Toc26766"/>
      <w:bookmarkStart w:id="2551" w:name="_Toc24999"/>
      <w:bookmarkStart w:id="2552" w:name="_Toc4889"/>
      <w:bookmarkStart w:id="2553" w:name="_Toc25581"/>
      <w:bookmarkStart w:id="2554" w:name="_Toc32463"/>
      <w:bookmarkStart w:id="2555" w:name="_Toc7742"/>
      <w:bookmarkStart w:id="2556" w:name="_Toc24614"/>
      <w:bookmarkStart w:id="2557" w:name="_Toc302635882"/>
      <w:r>
        <w:rPr>
          <w:rFonts w:hint="eastAsia" w:ascii="宋体" w:hAnsi="宋体" w:eastAsia="宋体" w:cs="Times New Roman"/>
          <w:b/>
          <w:bCs/>
          <w:color w:val="auto"/>
          <w:kern w:val="0"/>
          <w:sz w:val="24"/>
          <w:szCs w:val="24"/>
          <w:highlight w:val="none"/>
          <w:lang w:val="en-US" w:eastAsia="zh-CN" w:bidi="ar-SA"/>
        </w:rPr>
        <w:t>竣工验收工程质量争议处理</w:t>
      </w:r>
      <w:bookmarkEnd w:id="2535"/>
      <w:bookmarkEnd w:id="2548"/>
      <w:bookmarkEnd w:id="2549"/>
      <w:bookmarkEnd w:id="2550"/>
      <w:bookmarkEnd w:id="2551"/>
      <w:bookmarkEnd w:id="2552"/>
      <w:bookmarkEnd w:id="2553"/>
      <w:bookmarkEnd w:id="2554"/>
      <w:bookmarkEnd w:id="2555"/>
      <w:bookmarkEnd w:id="2556"/>
      <w:bookmarkEnd w:id="2557"/>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除发包人同意降低合同约定的质量标准接收工程(但不得低于国家强制性质量标准)外，发包人对工程质量有异议，拒不签发工程交接证书的，发包人与承包人应将此质量争议共同委托</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约定的有资质的质量检测鉴定机构进行检测。若质量检测合格，检测费用由发包人承担；若质量检测不合格，检测费用由承包人承担，并同时负责无偿修复此质量缺陷。</w:t>
      </w:r>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558" w:name="_Toc16052"/>
      <w:bookmarkStart w:id="2559" w:name="_Toc31623"/>
      <w:bookmarkStart w:id="2560" w:name="_Toc17146"/>
      <w:bookmarkStart w:id="2561" w:name="_Toc302635883"/>
      <w:bookmarkStart w:id="2562" w:name="_Toc8858"/>
      <w:bookmarkStart w:id="2563" w:name="_Toc29505"/>
      <w:bookmarkStart w:id="2564" w:name="_Toc11800"/>
      <w:bookmarkStart w:id="2565" w:name="_Toc5567"/>
      <w:bookmarkStart w:id="2566" w:name="_Toc13441"/>
      <w:bookmarkStart w:id="2567" w:name="_Toc28181"/>
      <w:r>
        <w:rPr>
          <w:rFonts w:hint="eastAsia" w:ascii="宋体" w:hAnsi="宋体" w:eastAsia="宋体" w:cs="Times New Roman"/>
          <w:b/>
          <w:bCs/>
          <w:color w:val="auto"/>
          <w:kern w:val="0"/>
          <w:sz w:val="24"/>
          <w:szCs w:val="24"/>
          <w:highlight w:val="none"/>
          <w:lang w:val="en-US" w:eastAsia="zh-CN" w:bidi="ar-SA"/>
        </w:rPr>
        <w:t>履约评价与优质优价</w:t>
      </w:r>
      <w:bookmarkEnd w:id="2536"/>
      <w:bookmarkEnd w:id="2558"/>
      <w:bookmarkEnd w:id="2559"/>
      <w:bookmarkEnd w:id="2560"/>
      <w:bookmarkEnd w:id="2561"/>
      <w:bookmarkEnd w:id="2562"/>
      <w:bookmarkEnd w:id="2563"/>
      <w:bookmarkEnd w:id="2564"/>
      <w:bookmarkEnd w:id="2565"/>
      <w:bookmarkEnd w:id="2566"/>
      <w:bookmarkEnd w:id="2567"/>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⑴发包人应按照</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中的约定对承包人进行履约评价。</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⑵本工程实行优质优价，发包人与承包人应在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中约定履约评价奖励及工程创优的奖励办法。</w:t>
      </w:r>
    </w:p>
    <w:p>
      <w:pPr>
        <w:keepNext w:val="0"/>
        <w:keepLines w:val="0"/>
        <w:widowControl w:val="0"/>
        <w:numPr>
          <w:ilvl w:val="0"/>
          <w:numId w:val="1"/>
        </w:numPr>
        <w:tabs>
          <w:tab w:val="left" w:pos="720"/>
          <w:tab w:val="left" w:pos="1620"/>
          <w:tab w:val="left" w:pos="2340"/>
          <w:tab w:val="clear"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2568" w:name="_Toc12009"/>
      <w:bookmarkStart w:id="2569" w:name="_Toc302635884"/>
      <w:bookmarkStart w:id="2570" w:name="_Toc35656999"/>
      <w:bookmarkStart w:id="2571" w:name="_Toc35656497"/>
      <w:bookmarkStart w:id="2572" w:name="_Toc19887"/>
      <w:bookmarkStart w:id="2573" w:name="_Toc34909125"/>
      <w:bookmarkStart w:id="2574" w:name="_Toc2027"/>
      <w:bookmarkStart w:id="2575" w:name="_Toc22119"/>
      <w:bookmarkStart w:id="2576" w:name="_Toc24166"/>
      <w:bookmarkStart w:id="2577" w:name="_Toc305331387"/>
      <w:bookmarkStart w:id="2578" w:name="_Toc7605"/>
      <w:bookmarkStart w:id="2579" w:name="_Toc18912"/>
      <w:bookmarkStart w:id="2580" w:name="_Toc3816"/>
      <w:bookmarkStart w:id="2581" w:name="_Toc13528"/>
      <w:r>
        <w:rPr>
          <w:rFonts w:hint="eastAsia" w:ascii="华文细黑" w:hAnsi="宋体" w:eastAsia="宋体" w:cs="Times New Roman"/>
          <w:b/>
          <w:bCs/>
          <w:snapToGrid w:val="0"/>
          <w:color w:val="auto"/>
          <w:kern w:val="0"/>
          <w:sz w:val="28"/>
          <w:szCs w:val="44"/>
          <w:highlight w:val="none"/>
          <w:lang w:val="en-US" w:eastAsia="zh-CN" w:bidi="ar-SA"/>
        </w:rPr>
        <w:t>竣工结算</w:t>
      </w:r>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582" w:name="_Toc24680"/>
      <w:bookmarkStart w:id="2583" w:name="_Toc24651"/>
      <w:bookmarkStart w:id="2584" w:name="_Toc27376"/>
      <w:bookmarkStart w:id="2585" w:name="_Toc14898"/>
      <w:bookmarkStart w:id="2586" w:name="_Toc302635885"/>
      <w:bookmarkStart w:id="2587" w:name="_Toc4270"/>
      <w:bookmarkStart w:id="2588" w:name="_Toc5066"/>
      <w:bookmarkStart w:id="2589" w:name="_Toc6528"/>
      <w:bookmarkStart w:id="2590" w:name="_Toc305331388"/>
      <w:bookmarkStart w:id="2591" w:name="_Toc19201"/>
      <w:bookmarkStart w:id="2592" w:name="_Toc25370"/>
      <w:bookmarkStart w:id="2593" w:name="_Toc34909126"/>
      <w:r>
        <w:rPr>
          <w:rFonts w:hint="eastAsia" w:ascii="宋体" w:hAnsi="宋体" w:eastAsia="宋体" w:cs="Times New Roman"/>
          <w:b/>
          <w:bCs/>
          <w:color w:val="auto"/>
          <w:kern w:val="0"/>
          <w:sz w:val="24"/>
          <w:szCs w:val="24"/>
          <w:highlight w:val="none"/>
          <w:lang w:val="en-US" w:eastAsia="zh-CN" w:bidi="ar-SA"/>
        </w:rPr>
        <w:t>竣工结算书的编制和提交</w:t>
      </w:r>
      <w:bookmarkEnd w:id="2582"/>
      <w:bookmarkEnd w:id="2583"/>
      <w:bookmarkEnd w:id="2584"/>
      <w:bookmarkEnd w:id="2585"/>
      <w:bookmarkEnd w:id="2586"/>
      <w:bookmarkEnd w:id="2587"/>
      <w:bookmarkEnd w:id="2588"/>
      <w:bookmarkEnd w:id="2589"/>
      <w:bookmarkEnd w:id="2590"/>
      <w:bookmarkEnd w:id="2591"/>
      <w:bookmarkEnd w:id="2592"/>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⑴承包人应按照第20.1款约定的签约合同价和第20.2款约定的</w:t>
      </w:r>
      <w:r>
        <w:rPr>
          <w:rFonts w:ascii="宋体" w:hAnsi="宋体" w:eastAsia="宋体" w:cs="Times New Roman"/>
          <w:color w:val="auto"/>
          <w:kern w:val="0"/>
          <w:szCs w:val="24"/>
          <w:highlight w:val="none"/>
        </w:rPr>
        <w:t>合同价格调整</w:t>
      </w:r>
      <w:r>
        <w:rPr>
          <w:rFonts w:hint="eastAsia" w:ascii="宋体" w:hAnsi="宋体" w:eastAsia="宋体" w:cs="Times New Roman"/>
          <w:color w:val="auto"/>
          <w:kern w:val="0"/>
          <w:szCs w:val="24"/>
          <w:highlight w:val="none"/>
        </w:rPr>
        <w:t>内容计算竣工结算价款，编制竣工结算书，并汇总竣工结算资料。竣工结算资料一般包括施工合同、工程竣工图纸及资料、双方确认的工程量、双方确认追加(减)的合同价格、双方确认的索赔和现场签证事项及价款、招标文件、投标文件、工程量清单报价单或施工图预算书等与竣工结算有关的资料。</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⑵工程竣工验收合格后，在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约定的时间内，承包人应向发包人提交竣工结算书及完整的结算资料</w:t>
      </w:r>
      <w:bookmarkEnd w:id="2593"/>
      <w:r>
        <w:rPr>
          <w:rFonts w:hint="eastAsia" w:ascii="宋体" w:hAnsi="宋体" w:eastAsia="宋体" w:cs="Times New Roman"/>
          <w:color w:val="auto"/>
          <w:kern w:val="0"/>
          <w:szCs w:val="24"/>
          <w:highlight w:val="none"/>
        </w:rPr>
        <w:t>。政府投资项目应按《深圳经济特区政府投资项目管理条例》等相关规定执行。</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594" w:name="_Toc2373"/>
      <w:bookmarkStart w:id="2595" w:name="_Toc305331389"/>
      <w:bookmarkStart w:id="2596" w:name="_Toc26022"/>
      <w:bookmarkStart w:id="2597" w:name="_Toc19181"/>
      <w:bookmarkStart w:id="2598" w:name="_Toc18388"/>
      <w:bookmarkStart w:id="2599" w:name="_Toc15922"/>
      <w:bookmarkStart w:id="2600" w:name="_Toc16953"/>
      <w:bookmarkStart w:id="2601" w:name="_Toc302635886"/>
      <w:bookmarkStart w:id="2602" w:name="_Toc27161"/>
      <w:bookmarkStart w:id="2603" w:name="_Toc4642"/>
      <w:bookmarkStart w:id="2604" w:name="_Toc10108"/>
      <w:bookmarkStart w:id="2605" w:name="_Toc34909127"/>
      <w:r>
        <w:rPr>
          <w:rFonts w:hint="eastAsia" w:ascii="宋体" w:hAnsi="宋体" w:eastAsia="宋体" w:cs="Times New Roman"/>
          <w:b/>
          <w:bCs/>
          <w:color w:val="auto"/>
          <w:kern w:val="0"/>
          <w:sz w:val="24"/>
          <w:szCs w:val="24"/>
          <w:highlight w:val="none"/>
          <w:lang w:val="en-US" w:eastAsia="zh-CN" w:bidi="ar-SA"/>
        </w:rPr>
        <w:t>竣工结算书的核对和修改</w:t>
      </w:r>
      <w:bookmarkEnd w:id="2594"/>
      <w:bookmarkEnd w:id="2595"/>
      <w:bookmarkEnd w:id="2596"/>
      <w:bookmarkEnd w:id="2597"/>
      <w:bookmarkEnd w:id="2598"/>
      <w:bookmarkEnd w:id="2599"/>
      <w:bookmarkEnd w:id="2600"/>
      <w:bookmarkEnd w:id="2601"/>
      <w:bookmarkEnd w:id="2602"/>
      <w:bookmarkEnd w:id="2603"/>
      <w:bookmarkEnd w:id="2604"/>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⑴</w:t>
      </w:r>
      <w:r>
        <w:rPr>
          <w:rFonts w:hint="eastAsia" w:ascii="宋体" w:hAnsi="宋体" w:eastAsia="宋体" w:cs="Times New Roman"/>
          <w:color w:val="auto"/>
          <w:kern w:val="0"/>
          <w:szCs w:val="24"/>
          <w:highlight w:val="none"/>
        </w:rPr>
        <w:t>发包人在收到承包人提交的竣工结算书及结算资料后28天或</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约定的时间内，应按合同的有关约定，依据结算资料，在</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的协助下，对承包人提交的竣工结算书进行核对：</w:t>
      </w:r>
    </w:p>
    <w:p>
      <w:pPr>
        <w:tabs>
          <w:tab w:val="left" w:pos="1620"/>
          <w:tab w:val="left" w:pos="2340"/>
        </w:tabs>
        <w:ind w:left="899" w:firstLine="181"/>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①认可承包人提交的竣工结算书，并确认工程竣工结算价款；或</w:t>
      </w:r>
    </w:p>
    <w:p>
      <w:pPr>
        <w:tabs>
          <w:tab w:val="left" w:pos="1620"/>
          <w:tab w:val="left" w:pos="2340"/>
        </w:tabs>
        <w:ind w:left="899" w:firstLine="181"/>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②提出核对意见或要求补充结算资料。</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⑵承包人应在收到发包人提出的核对意见后14天或</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约定的时间内，向发包人提交经修改的竣工结算书或补充结算资料。发包人应在收到后14天或</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约定的时间内，进行核对，经与承包人协商达成一致意见后确认工程竣工结算价款。</w:t>
      </w:r>
      <w:bookmarkEnd w:id="2605"/>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⑶承包人在收到发包人提出的核对意见后，在合同约定的时间内，未提出异议或没有明确答复的，视为发包人的核对意见被承包人认可且接受，竣工结算至此办理完毕。</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606" w:name="_Toc302635887"/>
      <w:bookmarkStart w:id="2607" w:name="_Toc31584"/>
      <w:bookmarkStart w:id="2608" w:name="_Toc28166"/>
      <w:bookmarkStart w:id="2609" w:name="_Toc305331390"/>
      <w:bookmarkStart w:id="2610" w:name="_Toc2816"/>
      <w:bookmarkStart w:id="2611" w:name="_Toc16499"/>
      <w:bookmarkStart w:id="2612" w:name="_Toc7328"/>
      <w:bookmarkStart w:id="2613" w:name="_Toc28749"/>
      <w:bookmarkStart w:id="2614" w:name="_Toc10905"/>
      <w:bookmarkStart w:id="2615" w:name="_Toc18188"/>
      <w:bookmarkStart w:id="2616" w:name="_Toc26171"/>
      <w:r>
        <w:rPr>
          <w:rFonts w:hint="eastAsia" w:ascii="宋体" w:hAnsi="宋体" w:eastAsia="宋体" w:cs="Times New Roman"/>
          <w:b/>
          <w:bCs/>
          <w:color w:val="auto"/>
          <w:kern w:val="0"/>
          <w:sz w:val="24"/>
          <w:szCs w:val="24"/>
          <w:highlight w:val="none"/>
          <w:lang w:val="en-US" w:eastAsia="zh-CN" w:bidi="ar-SA"/>
        </w:rPr>
        <w:t>竣工结算书核对次数</w:t>
      </w:r>
      <w:bookmarkEnd w:id="2606"/>
      <w:bookmarkEnd w:id="2607"/>
      <w:bookmarkEnd w:id="2608"/>
      <w:bookmarkEnd w:id="2609"/>
      <w:bookmarkEnd w:id="2610"/>
      <w:bookmarkEnd w:id="2611"/>
      <w:bookmarkEnd w:id="2612"/>
      <w:bookmarkEnd w:id="2613"/>
      <w:bookmarkEnd w:id="2614"/>
      <w:bookmarkEnd w:id="2615"/>
      <w:bookmarkEnd w:id="2616"/>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⑴</w:t>
      </w:r>
      <w:r>
        <w:rPr>
          <w:rFonts w:hint="eastAsia" w:ascii="宋体" w:hAnsi="宋体" w:eastAsia="宋体" w:cs="Times New Roman"/>
          <w:color w:val="auto"/>
          <w:kern w:val="0"/>
          <w:szCs w:val="24"/>
          <w:highlight w:val="none"/>
        </w:rPr>
        <w:t>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明确约定核对人及核对次数，发包人、承包人双方对竣工结算仅需核对一次，但承包人依据发包人提出的核对意见后修改重新提交核对的除外。本工程竣工结算核对完成，发包人、承包人双方签字确认后，发包人不应要求承包人与另一个或多个工程造价咨询机构重复核对发包人和承包人已确认的竣工结算。</w:t>
      </w:r>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⑵依据相关法律、法规、规章，要求使用国有资金和集体所有资金等投资建设工程的竣工结算需向政府指定机构提交审计或审核的，该审计或审核行为不视为第</w:t>
      </w:r>
      <w:r>
        <w:rPr>
          <w:rFonts w:hint="eastAsia" w:ascii="宋体" w:hAnsi="宋体" w:eastAsia="宋体" w:cs="Times New Roman"/>
          <w:color w:val="auto"/>
          <w:kern w:val="0"/>
          <w:szCs w:val="24"/>
          <w:highlight w:val="none"/>
          <w:lang w:val="en-US" w:eastAsia="zh-CN"/>
        </w:rPr>
        <w:t>28</w:t>
      </w:r>
      <w:r>
        <w:rPr>
          <w:rFonts w:hint="eastAsia" w:ascii="宋体" w:hAnsi="宋体" w:eastAsia="宋体" w:cs="Times New Roman"/>
          <w:color w:val="auto"/>
          <w:kern w:val="0"/>
          <w:szCs w:val="24"/>
          <w:highlight w:val="none"/>
        </w:rPr>
        <w:t>.3</w:t>
      </w:r>
      <w:r>
        <w:rPr>
          <w:rFonts w:ascii="宋体" w:hAnsi="宋体" w:eastAsia="宋体" w:cs="Times New Roman"/>
          <w:color w:val="auto"/>
          <w:kern w:val="0"/>
          <w:szCs w:val="24"/>
          <w:highlight w:val="none"/>
        </w:rPr>
        <w:t>⑴</w:t>
      </w:r>
      <w:r>
        <w:rPr>
          <w:rFonts w:hint="eastAsia" w:ascii="宋体" w:hAnsi="宋体" w:eastAsia="宋体" w:cs="Times New Roman"/>
          <w:color w:val="auto"/>
          <w:kern w:val="0"/>
          <w:szCs w:val="24"/>
          <w:highlight w:val="none"/>
        </w:rPr>
        <w:t>款所述核对。</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617" w:name="_Toc2972"/>
      <w:bookmarkStart w:id="2618" w:name="_Toc4708"/>
      <w:bookmarkStart w:id="2619" w:name="_Toc1737"/>
      <w:bookmarkStart w:id="2620" w:name="_Toc302635888"/>
      <w:bookmarkStart w:id="2621" w:name="_Toc22546"/>
      <w:bookmarkStart w:id="2622" w:name="_Toc15348"/>
      <w:bookmarkStart w:id="2623" w:name="_Toc24075"/>
      <w:bookmarkStart w:id="2624" w:name="_Toc305331391"/>
      <w:bookmarkStart w:id="2625" w:name="_Toc31281"/>
      <w:bookmarkStart w:id="2626" w:name="_Toc13819"/>
      <w:bookmarkStart w:id="2627" w:name="_Toc28575"/>
      <w:r>
        <w:rPr>
          <w:rFonts w:hint="eastAsia" w:ascii="宋体" w:hAnsi="宋体" w:eastAsia="宋体" w:cs="Times New Roman"/>
          <w:b/>
          <w:bCs/>
          <w:color w:val="auto"/>
          <w:kern w:val="0"/>
          <w:sz w:val="24"/>
          <w:szCs w:val="24"/>
          <w:highlight w:val="none"/>
          <w:lang w:val="en-US" w:eastAsia="zh-CN" w:bidi="ar-SA"/>
        </w:rPr>
        <w:t>承包人不提交竣工结算书</w:t>
      </w:r>
      <w:bookmarkEnd w:id="2617"/>
      <w:bookmarkEnd w:id="2618"/>
      <w:bookmarkEnd w:id="2619"/>
      <w:bookmarkEnd w:id="2620"/>
      <w:bookmarkEnd w:id="2621"/>
      <w:bookmarkEnd w:id="2622"/>
      <w:bookmarkEnd w:id="2623"/>
      <w:bookmarkEnd w:id="2624"/>
      <w:bookmarkEnd w:id="2625"/>
      <w:bookmarkEnd w:id="2626"/>
      <w:bookmarkEnd w:id="2627"/>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在本合同约定期限内，承包人未提交竣工结算书及结算资料(包括经修改的竣工结算书或补充结算资料)，</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应通知其要求提交，通知后14天内仍不提交的</w:t>
      </w:r>
      <w:r>
        <w:rPr>
          <w:rFonts w:ascii="宋体" w:hAnsi="宋体" w:eastAsia="宋体" w:cs="Times New Roman"/>
          <w:color w:val="auto"/>
          <w:kern w:val="0"/>
          <w:szCs w:val="24"/>
          <w:highlight w:val="none"/>
        </w:rPr>
        <w:t>或没有明确答复</w:t>
      </w:r>
      <w:r>
        <w:rPr>
          <w:rFonts w:hint="eastAsia" w:ascii="宋体" w:hAnsi="宋体" w:eastAsia="宋体" w:cs="Times New Roman"/>
          <w:color w:val="auto"/>
          <w:kern w:val="0"/>
          <w:szCs w:val="24"/>
          <w:highlight w:val="none"/>
        </w:rPr>
        <w:t>的</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发包人可在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中约定按以下方式进行处理：</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⑴依据已有资料进行审查、核实，并确定工程竣工结算价款，书面提交承包人，并以此作为竣工结算价款支付依据。若承包人不予接受的，按第3</w:t>
      </w:r>
      <w:r>
        <w:rPr>
          <w:rFonts w:hint="eastAsia" w:ascii="宋体" w:hAnsi="宋体" w:eastAsia="宋体" w:cs="Times New Roman"/>
          <w:color w:val="auto"/>
          <w:kern w:val="0"/>
          <w:szCs w:val="24"/>
          <w:highlight w:val="none"/>
          <w:lang w:val="en-US" w:eastAsia="zh-CN"/>
        </w:rPr>
        <w:t>1</w:t>
      </w:r>
      <w:r>
        <w:rPr>
          <w:rFonts w:hint="eastAsia" w:ascii="宋体" w:hAnsi="宋体" w:eastAsia="宋体" w:cs="Times New Roman"/>
          <w:color w:val="auto"/>
          <w:kern w:val="0"/>
          <w:szCs w:val="24"/>
          <w:highlight w:val="none"/>
        </w:rPr>
        <w:t>条〔争议解决〕的约定处理。</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的约定对承包人进行处罚。</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628" w:name="_Toc1040"/>
      <w:bookmarkStart w:id="2629" w:name="_Toc305331392"/>
      <w:bookmarkStart w:id="2630" w:name="_Toc18042"/>
      <w:bookmarkStart w:id="2631" w:name="_Toc13479"/>
      <w:bookmarkStart w:id="2632" w:name="_Toc22683"/>
      <w:bookmarkStart w:id="2633" w:name="_Toc10400"/>
      <w:bookmarkStart w:id="2634" w:name="_Toc31298"/>
      <w:bookmarkStart w:id="2635" w:name="_Toc30714"/>
      <w:bookmarkStart w:id="2636" w:name="_Toc24126"/>
      <w:bookmarkStart w:id="2637" w:name="_Toc24377"/>
      <w:bookmarkStart w:id="2638" w:name="_Toc302635889"/>
      <w:r>
        <w:rPr>
          <w:rFonts w:hint="eastAsia" w:ascii="宋体" w:hAnsi="宋体" w:eastAsia="宋体" w:cs="Times New Roman"/>
          <w:b/>
          <w:bCs/>
          <w:color w:val="auto"/>
          <w:kern w:val="0"/>
          <w:sz w:val="24"/>
          <w:szCs w:val="24"/>
          <w:highlight w:val="none"/>
          <w:lang w:val="en-US" w:eastAsia="zh-CN" w:bidi="ar-SA"/>
        </w:rPr>
        <w:t>发包人逾期不结算</w:t>
      </w:r>
      <w:bookmarkEnd w:id="2628"/>
      <w:bookmarkEnd w:id="2629"/>
      <w:bookmarkEnd w:id="2630"/>
      <w:bookmarkEnd w:id="2631"/>
      <w:bookmarkEnd w:id="2632"/>
      <w:bookmarkEnd w:id="2633"/>
      <w:bookmarkEnd w:id="2634"/>
      <w:bookmarkEnd w:id="2635"/>
      <w:bookmarkEnd w:id="2636"/>
      <w:bookmarkEnd w:id="2637"/>
      <w:bookmarkEnd w:id="2638"/>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收到竣工结算书及结算资料后，或在收到经修改的竣工结算书或补充结算资料后，在合同约定的时间内，既不认可承包人提交的竣工结算书(包括经修改的竣工结算书)，又不提出异议的，视同认可承包人提交的竣工结算书(包括经修改的竣工结算书)。承包人依此向发包人申请支付，发包人拒不支付的，按第3</w:t>
      </w:r>
      <w:r>
        <w:rPr>
          <w:rFonts w:hint="eastAsia" w:ascii="宋体" w:hAnsi="宋体" w:eastAsia="宋体" w:cs="Times New Roman"/>
          <w:color w:val="auto"/>
          <w:kern w:val="0"/>
          <w:szCs w:val="24"/>
          <w:highlight w:val="none"/>
          <w:lang w:val="en-US" w:eastAsia="zh-CN"/>
        </w:rPr>
        <w:t>1</w:t>
      </w:r>
      <w:r>
        <w:rPr>
          <w:rFonts w:hint="eastAsia" w:ascii="宋体" w:hAnsi="宋体" w:eastAsia="宋体" w:cs="Times New Roman"/>
          <w:color w:val="auto"/>
          <w:kern w:val="0"/>
          <w:szCs w:val="24"/>
          <w:highlight w:val="none"/>
        </w:rPr>
        <w:t>条〔争议解决〕的约定处理。</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639" w:name="_Toc305331393"/>
      <w:bookmarkStart w:id="2640" w:name="_Toc7022"/>
      <w:bookmarkStart w:id="2641" w:name="_Toc15591"/>
      <w:bookmarkStart w:id="2642" w:name="_Toc302635890"/>
      <w:bookmarkStart w:id="2643" w:name="_Toc6433"/>
      <w:bookmarkStart w:id="2644" w:name="_Toc31033"/>
      <w:bookmarkStart w:id="2645" w:name="_Toc12474"/>
      <w:bookmarkStart w:id="2646" w:name="_Toc20740"/>
      <w:bookmarkStart w:id="2647" w:name="_Toc30792"/>
      <w:bookmarkStart w:id="2648" w:name="_Toc1062"/>
      <w:bookmarkStart w:id="2649" w:name="_Toc26070"/>
      <w:bookmarkStart w:id="2650" w:name="_Toc34909128"/>
      <w:r>
        <w:rPr>
          <w:rFonts w:hint="eastAsia" w:ascii="宋体" w:hAnsi="宋体" w:eastAsia="宋体" w:cs="Times New Roman"/>
          <w:b/>
          <w:bCs/>
          <w:color w:val="auto"/>
          <w:kern w:val="0"/>
          <w:sz w:val="24"/>
          <w:szCs w:val="24"/>
          <w:highlight w:val="none"/>
          <w:lang w:val="en-US" w:eastAsia="zh-CN" w:bidi="ar-SA"/>
        </w:rPr>
        <w:t>竣工结算</w:t>
      </w:r>
      <w:bookmarkEnd w:id="2639"/>
      <w:r>
        <w:rPr>
          <w:rFonts w:hint="eastAsia" w:ascii="宋体" w:hAnsi="宋体" w:eastAsia="宋体" w:cs="Times New Roman"/>
          <w:b/>
          <w:bCs/>
          <w:color w:val="auto"/>
          <w:kern w:val="0"/>
          <w:sz w:val="24"/>
          <w:szCs w:val="24"/>
          <w:highlight w:val="none"/>
          <w:lang w:val="en-US" w:eastAsia="zh-CN" w:bidi="ar-SA"/>
        </w:rPr>
        <w:t>审计或审核</w:t>
      </w:r>
      <w:bookmarkEnd w:id="2640"/>
      <w:bookmarkEnd w:id="2641"/>
      <w:bookmarkEnd w:id="2642"/>
      <w:bookmarkEnd w:id="2643"/>
      <w:bookmarkEnd w:id="2644"/>
      <w:bookmarkEnd w:id="2645"/>
      <w:bookmarkEnd w:id="2646"/>
      <w:bookmarkEnd w:id="2647"/>
      <w:bookmarkEnd w:id="2648"/>
      <w:bookmarkEnd w:id="2649"/>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⑴在发包人和承包人确认竣工结算价款后7天内，发包人应当将经发包人和承包人共同确认的竣工结算书按规定报政府指定机构审计或审核。在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约定的特殊情况下，发包人可启动强制结算机制，将其单方编制的结算文件送审计或审核。</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本合同的任何</w:t>
      </w:r>
      <w:r>
        <w:rPr>
          <w:rFonts w:hint="eastAsia" w:ascii="宋体" w:hAnsi="宋体" w:eastAsia="宋体" w:cs="Times New Roman"/>
          <w:color w:val="auto"/>
          <w:kern w:val="0"/>
          <w:szCs w:val="24"/>
          <w:highlight w:val="none"/>
        </w:rPr>
        <w:t>工程</w:t>
      </w:r>
      <w:r>
        <w:rPr>
          <w:rFonts w:ascii="宋体" w:hAnsi="宋体" w:eastAsia="宋体" w:cs="Times New Roman"/>
          <w:color w:val="auto"/>
          <w:kern w:val="0"/>
          <w:szCs w:val="24"/>
          <w:highlight w:val="none"/>
        </w:rPr>
        <w:t>变更、索赔、</w:t>
      </w:r>
      <w:r>
        <w:rPr>
          <w:rFonts w:hint="eastAsia" w:ascii="宋体" w:hAnsi="宋体" w:eastAsia="宋体" w:cs="Times New Roman"/>
          <w:color w:val="auto"/>
          <w:kern w:val="0"/>
          <w:szCs w:val="24"/>
          <w:highlight w:val="none"/>
        </w:rPr>
        <w:t>签证</w:t>
      </w:r>
      <w:r>
        <w:rPr>
          <w:rFonts w:ascii="宋体" w:hAnsi="宋体" w:eastAsia="宋体" w:cs="Times New Roman"/>
          <w:color w:val="auto"/>
          <w:kern w:val="0"/>
          <w:szCs w:val="24"/>
          <w:highlight w:val="none"/>
        </w:rPr>
        <w:t>和竣工结算以及补充协议</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如果有</w:t>
      </w:r>
      <w:r>
        <w:rPr>
          <w:rFonts w:hint="eastAsia" w:ascii="宋体" w:hAnsi="宋体" w:eastAsia="宋体" w:cs="Times New Roman"/>
          <w:color w:val="auto"/>
          <w:kern w:val="0"/>
          <w:szCs w:val="24"/>
          <w:highlight w:val="none"/>
        </w:rPr>
        <w:t>)应按规定</w:t>
      </w:r>
      <w:r>
        <w:rPr>
          <w:rFonts w:ascii="宋体" w:hAnsi="宋体" w:eastAsia="宋体" w:cs="Times New Roman"/>
          <w:color w:val="auto"/>
          <w:kern w:val="0"/>
          <w:szCs w:val="24"/>
          <w:highlight w:val="none"/>
        </w:rPr>
        <w:t>经过</w:t>
      </w:r>
      <w:r>
        <w:rPr>
          <w:rFonts w:hint="eastAsia" w:ascii="宋体" w:hAnsi="宋体" w:eastAsia="宋体" w:cs="Times New Roman"/>
          <w:color w:val="auto"/>
          <w:kern w:val="0"/>
          <w:szCs w:val="24"/>
          <w:highlight w:val="none"/>
        </w:rPr>
        <w:t>政府指定机构</w:t>
      </w:r>
      <w:r>
        <w:rPr>
          <w:rFonts w:ascii="宋体" w:hAnsi="宋体" w:eastAsia="宋体" w:cs="Times New Roman"/>
          <w:color w:val="auto"/>
          <w:kern w:val="0"/>
          <w:szCs w:val="24"/>
          <w:highlight w:val="none"/>
        </w:rPr>
        <w:t>审</w:t>
      </w:r>
      <w:r>
        <w:rPr>
          <w:rFonts w:hint="eastAsia" w:ascii="宋体" w:hAnsi="宋体" w:eastAsia="宋体" w:cs="Times New Roman"/>
          <w:color w:val="auto"/>
          <w:kern w:val="0"/>
          <w:szCs w:val="24"/>
          <w:highlight w:val="none"/>
        </w:rPr>
        <w:t>计或审核</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最终的竣工结算和支付依据按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约定执行。</w:t>
      </w:r>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⑶政府指定机构的</w:t>
      </w:r>
      <w:r>
        <w:rPr>
          <w:rFonts w:ascii="宋体" w:hAnsi="宋体" w:eastAsia="宋体" w:cs="Times New Roman"/>
          <w:color w:val="auto"/>
          <w:kern w:val="0"/>
          <w:szCs w:val="24"/>
          <w:highlight w:val="none"/>
        </w:rPr>
        <w:t>审</w:t>
      </w:r>
      <w:r>
        <w:rPr>
          <w:rFonts w:hint="eastAsia" w:ascii="宋体" w:hAnsi="宋体" w:eastAsia="宋体" w:cs="Times New Roman"/>
          <w:color w:val="auto"/>
          <w:kern w:val="0"/>
          <w:szCs w:val="24"/>
          <w:highlight w:val="none"/>
        </w:rPr>
        <w:t>计或审核</w:t>
      </w:r>
      <w:r>
        <w:rPr>
          <w:rFonts w:ascii="宋体" w:hAnsi="宋体" w:eastAsia="宋体" w:cs="Times New Roman"/>
          <w:color w:val="auto"/>
          <w:kern w:val="0"/>
          <w:szCs w:val="24"/>
          <w:highlight w:val="none"/>
        </w:rPr>
        <w:t>包括合同履行期间的过程审计</w:t>
      </w:r>
      <w:r>
        <w:rPr>
          <w:rFonts w:hint="eastAsia" w:ascii="宋体" w:hAnsi="宋体" w:eastAsia="宋体" w:cs="Times New Roman"/>
          <w:color w:val="auto"/>
          <w:kern w:val="0"/>
          <w:szCs w:val="24"/>
          <w:highlight w:val="none"/>
        </w:rPr>
        <w:t>或审核、工程完工后的</w:t>
      </w:r>
      <w:r>
        <w:rPr>
          <w:rFonts w:ascii="宋体" w:hAnsi="宋体" w:eastAsia="宋体" w:cs="Times New Roman"/>
          <w:color w:val="auto"/>
          <w:kern w:val="0"/>
          <w:szCs w:val="24"/>
          <w:highlight w:val="none"/>
        </w:rPr>
        <w:t>竣工结算审计</w:t>
      </w:r>
      <w:r>
        <w:rPr>
          <w:rFonts w:hint="eastAsia" w:ascii="宋体" w:hAnsi="宋体" w:eastAsia="宋体" w:cs="Times New Roman"/>
          <w:color w:val="auto"/>
          <w:kern w:val="0"/>
          <w:szCs w:val="24"/>
          <w:highlight w:val="none"/>
        </w:rPr>
        <w:t>或审核</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发包人和</w:t>
      </w:r>
      <w:r>
        <w:rPr>
          <w:rFonts w:ascii="宋体" w:hAnsi="宋体" w:eastAsia="宋体" w:cs="Times New Roman"/>
          <w:color w:val="auto"/>
          <w:kern w:val="0"/>
          <w:szCs w:val="24"/>
          <w:highlight w:val="none"/>
        </w:rPr>
        <w:t>承包人</w:t>
      </w:r>
      <w:r>
        <w:rPr>
          <w:rFonts w:hint="eastAsia" w:ascii="宋体" w:hAnsi="宋体" w:eastAsia="宋体" w:cs="Times New Roman"/>
          <w:color w:val="auto"/>
          <w:kern w:val="0"/>
          <w:szCs w:val="24"/>
          <w:highlight w:val="none"/>
        </w:rPr>
        <w:t>均</w:t>
      </w:r>
      <w:r>
        <w:rPr>
          <w:rFonts w:ascii="宋体" w:hAnsi="宋体" w:eastAsia="宋体" w:cs="Times New Roman"/>
          <w:color w:val="auto"/>
          <w:kern w:val="0"/>
          <w:szCs w:val="24"/>
          <w:highlight w:val="none"/>
        </w:rPr>
        <w:t>不得拒绝</w:t>
      </w:r>
      <w:r>
        <w:rPr>
          <w:rFonts w:hint="eastAsia" w:ascii="宋体" w:hAnsi="宋体" w:eastAsia="宋体" w:cs="Times New Roman"/>
          <w:color w:val="auto"/>
          <w:kern w:val="0"/>
          <w:szCs w:val="24"/>
          <w:highlight w:val="none"/>
        </w:rPr>
        <w:t>政府指定机构的任何监管</w:t>
      </w:r>
      <w:r>
        <w:rPr>
          <w:rFonts w:ascii="宋体" w:hAnsi="宋体" w:eastAsia="宋体" w:cs="Times New Roman"/>
          <w:color w:val="auto"/>
          <w:kern w:val="0"/>
          <w:szCs w:val="24"/>
          <w:highlight w:val="none"/>
        </w:rPr>
        <w:t>，必须充分配合</w:t>
      </w:r>
      <w:r>
        <w:rPr>
          <w:rFonts w:hint="eastAsia" w:ascii="宋体" w:hAnsi="宋体" w:eastAsia="宋体" w:cs="Times New Roman"/>
          <w:color w:val="auto"/>
          <w:kern w:val="0"/>
          <w:szCs w:val="24"/>
          <w:highlight w:val="none"/>
        </w:rPr>
        <w:t>审计或审核</w:t>
      </w:r>
      <w:r>
        <w:rPr>
          <w:rFonts w:ascii="宋体" w:hAnsi="宋体" w:eastAsia="宋体" w:cs="Times New Roman"/>
          <w:color w:val="auto"/>
          <w:kern w:val="0"/>
          <w:szCs w:val="24"/>
          <w:highlight w:val="none"/>
        </w:rPr>
        <w:t>，不得拖延。</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651" w:name="_Toc19090"/>
      <w:bookmarkStart w:id="2652" w:name="_Toc302635891"/>
      <w:bookmarkStart w:id="2653" w:name="_Toc23824"/>
      <w:bookmarkStart w:id="2654" w:name="_Toc305331394"/>
      <w:bookmarkStart w:id="2655" w:name="_Toc29428"/>
      <w:bookmarkStart w:id="2656" w:name="_Toc30078"/>
      <w:bookmarkStart w:id="2657" w:name="_Toc24292"/>
      <w:bookmarkStart w:id="2658" w:name="_Toc14924"/>
      <w:bookmarkStart w:id="2659" w:name="_Toc2948"/>
      <w:bookmarkStart w:id="2660" w:name="_Toc31188"/>
      <w:bookmarkStart w:id="2661" w:name="_Toc7825"/>
      <w:r>
        <w:rPr>
          <w:rFonts w:hint="eastAsia" w:ascii="宋体" w:hAnsi="宋体" w:eastAsia="宋体" w:cs="Times New Roman"/>
          <w:b/>
          <w:bCs/>
          <w:color w:val="auto"/>
          <w:kern w:val="0"/>
          <w:sz w:val="24"/>
          <w:szCs w:val="24"/>
          <w:highlight w:val="none"/>
          <w:lang w:val="en-US" w:eastAsia="zh-CN" w:bidi="ar-SA"/>
        </w:rPr>
        <w:t>竣工结算支付</w:t>
      </w:r>
      <w:bookmarkEnd w:id="2651"/>
      <w:bookmarkEnd w:id="2652"/>
      <w:bookmarkEnd w:id="2653"/>
      <w:bookmarkEnd w:id="2654"/>
      <w:bookmarkEnd w:id="2655"/>
      <w:bookmarkEnd w:id="2656"/>
      <w:bookmarkEnd w:id="2657"/>
      <w:bookmarkEnd w:id="2658"/>
      <w:bookmarkEnd w:id="2659"/>
      <w:bookmarkEnd w:id="2660"/>
      <w:bookmarkEnd w:id="2661"/>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⑴在按</w:t>
      </w:r>
      <w:r>
        <w:rPr>
          <w:rFonts w:hint="eastAsia" w:ascii="宋体" w:hAnsi="宋体" w:eastAsia="宋体" w:cs="Times New Roman"/>
          <w:color w:val="auto"/>
          <w:kern w:val="0"/>
          <w:szCs w:val="24"/>
          <w:highlight w:val="none"/>
          <w:lang w:val="en-US" w:eastAsia="zh-CN"/>
        </w:rPr>
        <w:t>28</w:t>
      </w:r>
      <w:r>
        <w:rPr>
          <w:rFonts w:hint="eastAsia" w:ascii="宋体" w:hAnsi="宋体" w:eastAsia="宋体" w:cs="Times New Roman"/>
          <w:color w:val="auto"/>
          <w:kern w:val="0"/>
          <w:szCs w:val="24"/>
          <w:highlight w:val="none"/>
        </w:rPr>
        <w:t>.6款竣工结算</w:t>
      </w:r>
      <w:r>
        <w:rPr>
          <w:rFonts w:ascii="宋体" w:hAnsi="宋体" w:eastAsia="宋体" w:cs="Times New Roman"/>
          <w:color w:val="auto"/>
          <w:kern w:val="0"/>
          <w:szCs w:val="24"/>
          <w:highlight w:val="none"/>
        </w:rPr>
        <w:t>审计</w:t>
      </w:r>
      <w:r>
        <w:rPr>
          <w:rFonts w:hint="eastAsia" w:ascii="宋体" w:hAnsi="宋体" w:eastAsia="宋体" w:cs="Times New Roman"/>
          <w:color w:val="auto"/>
          <w:kern w:val="0"/>
          <w:szCs w:val="24"/>
          <w:highlight w:val="none"/>
        </w:rPr>
        <w:t>或审核完毕后7天内，</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应签发竣工支付证书，报发包人批准后送交承包人。竣工支付证书中应载明</w:t>
      </w:r>
      <w:bookmarkEnd w:id="2650"/>
      <w:r>
        <w:rPr>
          <w:rFonts w:hint="eastAsia" w:ascii="宋体" w:hAnsi="宋体" w:eastAsia="宋体" w:cs="Times New Roman"/>
          <w:color w:val="auto"/>
          <w:kern w:val="0"/>
          <w:szCs w:val="24"/>
          <w:highlight w:val="none"/>
        </w:rPr>
        <w:t>按照经确认的工程竣工结算价款及根据合同约定最后应支付给承包人的价款。</w:t>
      </w:r>
    </w:p>
    <w:p>
      <w:pPr>
        <w:tabs>
          <w:tab w:val="left" w:pos="1620"/>
          <w:tab w:val="left" w:pos="2340"/>
        </w:tabs>
        <w:spacing w:before="156" w:after="156"/>
        <w:ind w:left="899"/>
        <w:jc w:val="left"/>
        <w:rPr>
          <w:rFonts w:ascii="宋体" w:hAnsi="宋体" w:eastAsia="宋体" w:cs="Times New Roman"/>
          <w:color w:val="auto"/>
          <w:kern w:val="0"/>
          <w:szCs w:val="24"/>
          <w:highlight w:val="none"/>
        </w:rPr>
      </w:pPr>
      <w:bookmarkStart w:id="2662" w:name="_Toc34909129"/>
      <w:r>
        <w:rPr>
          <w:rFonts w:hint="eastAsia" w:ascii="宋体" w:hAnsi="宋体" w:eastAsia="宋体" w:cs="Times New Roman"/>
          <w:color w:val="auto"/>
          <w:kern w:val="0"/>
          <w:szCs w:val="24"/>
          <w:highlight w:val="none"/>
        </w:rPr>
        <w:t>⑵发包人应在确认竣工支付证书后14天内向承包人支付除按本合同附件《工程质量保修书》约定扣留的质量保证金以外的本工程竣工结算价款。</w:t>
      </w:r>
      <w:bookmarkEnd w:id="2662"/>
    </w:p>
    <w:p>
      <w:pPr>
        <w:tabs>
          <w:tab w:val="left" w:pos="1620"/>
          <w:tab w:val="left" w:pos="2340"/>
        </w:tabs>
        <w:spacing w:before="156" w:after="156"/>
        <w:ind w:left="899"/>
        <w:jc w:val="left"/>
        <w:rPr>
          <w:rFonts w:ascii="宋体" w:hAnsi="宋体" w:eastAsia="宋体" w:cs="Times New Roman"/>
          <w:color w:val="auto"/>
          <w:kern w:val="0"/>
          <w:szCs w:val="24"/>
          <w:highlight w:val="none"/>
        </w:rPr>
      </w:pPr>
      <w:bookmarkStart w:id="2663" w:name="_Toc34909130"/>
      <w:r>
        <w:rPr>
          <w:rFonts w:hint="eastAsia" w:ascii="宋体" w:hAnsi="宋体" w:eastAsia="宋体" w:cs="Times New Roman"/>
          <w:color w:val="auto"/>
          <w:kern w:val="0"/>
          <w:szCs w:val="24"/>
          <w:highlight w:val="none"/>
        </w:rPr>
        <w:t>⑶发包人在确认竣工结算价款后14天内无正当理由不支付工程竣工结算价款，从第15天起按同期银行贷款利率支付拖欠工程价款的贷款利息，并承担第</w:t>
      </w:r>
      <w:r>
        <w:rPr>
          <w:rFonts w:hint="eastAsia" w:ascii="宋体" w:hAnsi="宋体" w:eastAsia="宋体" w:cs="Times New Roman"/>
          <w:color w:val="auto"/>
          <w:kern w:val="0"/>
          <w:szCs w:val="24"/>
          <w:highlight w:val="none"/>
          <w:lang w:val="en-US" w:eastAsia="zh-CN"/>
        </w:rPr>
        <w:t>29</w:t>
      </w:r>
      <w:r>
        <w:rPr>
          <w:rFonts w:hint="eastAsia" w:ascii="宋体" w:hAnsi="宋体" w:eastAsia="宋体" w:cs="Times New Roman"/>
          <w:color w:val="auto"/>
          <w:kern w:val="0"/>
          <w:szCs w:val="24"/>
          <w:highlight w:val="none"/>
        </w:rPr>
        <w:t>.1⑵项约定的违约责任。承包人可以催告发包人支付结算价款，如双方达成延期支付协议，发包人应按同期银行贷款利率支付拖欠工程价款的利息。如双方未达成延期支付协议，发包人在收到催告后14天内仍不支付的，承包人可以对留置的标的物进行处理；或者向保证人提出支付担保索赔；或者与发包人协议将该工程折价或拍卖，承包人就该工程折价或拍卖的价款优先受偿。</w:t>
      </w:r>
      <w:bookmarkEnd w:id="2663"/>
    </w:p>
    <w:p>
      <w:pPr>
        <w:tabs>
          <w:tab w:val="left" w:pos="1620"/>
          <w:tab w:val="left" w:pos="2340"/>
        </w:tabs>
        <w:spacing w:before="156" w:after="156"/>
        <w:ind w:left="899"/>
        <w:jc w:val="left"/>
        <w:rPr>
          <w:rFonts w:hint="eastAsia" w:ascii="宋体" w:hAnsi="宋体" w:eastAsia="宋体" w:cs="Times New Roman"/>
          <w:color w:val="auto"/>
          <w:kern w:val="0"/>
          <w:szCs w:val="24"/>
          <w:highlight w:val="none"/>
        </w:rPr>
      </w:pPr>
      <w:bookmarkStart w:id="2664" w:name="_Toc34909131"/>
      <w:r>
        <w:rPr>
          <w:rFonts w:hint="eastAsia" w:ascii="宋体" w:hAnsi="宋体" w:eastAsia="宋体" w:cs="Times New Roman"/>
          <w:color w:val="auto"/>
          <w:kern w:val="0"/>
          <w:szCs w:val="24"/>
          <w:highlight w:val="none"/>
        </w:rPr>
        <w:t>⑷有关本工程竣工结算的文件的编制和审核均须经注册造价工程师签字盖章确认。</w:t>
      </w:r>
      <w:bookmarkEnd w:id="2664"/>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665" w:name="_Toc4037"/>
      <w:bookmarkStart w:id="2666" w:name="_Toc26264"/>
      <w:bookmarkStart w:id="2667" w:name="_Toc23235"/>
      <w:bookmarkStart w:id="2668" w:name="_Toc302635892"/>
      <w:bookmarkStart w:id="2669" w:name="_Toc1116"/>
      <w:bookmarkStart w:id="2670" w:name="_Toc26569"/>
      <w:bookmarkStart w:id="2671" w:name="_Toc16615"/>
      <w:bookmarkStart w:id="2672" w:name="_Toc13392"/>
      <w:bookmarkStart w:id="2673" w:name="_Toc7801"/>
      <w:bookmarkStart w:id="2674" w:name="_Toc12480"/>
      <w:r>
        <w:rPr>
          <w:rFonts w:hint="eastAsia" w:ascii="宋体" w:hAnsi="宋体" w:eastAsia="宋体" w:cs="Times New Roman"/>
          <w:b/>
          <w:bCs/>
          <w:color w:val="auto"/>
          <w:kern w:val="0"/>
          <w:sz w:val="24"/>
          <w:szCs w:val="24"/>
          <w:highlight w:val="none"/>
          <w:lang w:val="en-US" w:eastAsia="zh-CN" w:bidi="ar-SA"/>
        </w:rPr>
        <w:t>最终结清申请</w:t>
      </w:r>
      <w:bookmarkEnd w:id="2665"/>
      <w:bookmarkEnd w:id="2666"/>
      <w:bookmarkEnd w:id="2667"/>
      <w:bookmarkEnd w:id="2668"/>
      <w:bookmarkEnd w:id="2669"/>
      <w:bookmarkEnd w:id="2670"/>
      <w:bookmarkEnd w:id="2671"/>
      <w:bookmarkEnd w:id="2672"/>
      <w:bookmarkEnd w:id="2673"/>
      <w:bookmarkEnd w:id="2674"/>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除</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另有约定外，承包人应在缺陷责任期终止证书颁发后7天内，按</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约定的份数向发包人提交最终结清申请单，并提供相关证明材料。</w:t>
      </w:r>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除</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另有约定外，最终结清申请单应列明质量保证金、应扣除的质量保证金、缺陷责任期内发生的增减费用。</w:t>
      </w:r>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发包人对最终结清申请单内容有异议的，有权要求承包人进行修正和提供补充资料，承包人应向发包人提交修正后的最终结清申请单。</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675" w:name="_Toc17601"/>
      <w:bookmarkStart w:id="2676" w:name="_Toc23353"/>
      <w:bookmarkStart w:id="2677" w:name="_Toc7895"/>
      <w:bookmarkStart w:id="2678" w:name="_Toc17357"/>
      <w:bookmarkStart w:id="2679" w:name="_Toc302635893"/>
      <w:bookmarkStart w:id="2680" w:name="_Toc87"/>
      <w:bookmarkStart w:id="2681" w:name="_Toc10470"/>
      <w:bookmarkStart w:id="2682" w:name="_Toc15770"/>
      <w:bookmarkStart w:id="2683" w:name="_Toc64"/>
      <w:bookmarkStart w:id="2684" w:name="_Toc15552"/>
      <w:r>
        <w:rPr>
          <w:rFonts w:ascii="宋体" w:hAnsi="宋体" w:eastAsia="宋体" w:cs="Times New Roman"/>
          <w:b/>
          <w:bCs/>
          <w:color w:val="auto"/>
          <w:kern w:val="0"/>
          <w:sz w:val="24"/>
          <w:szCs w:val="24"/>
          <w:highlight w:val="none"/>
          <w:lang w:val="en-US" w:eastAsia="zh-CN" w:bidi="ar-SA"/>
        </w:rPr>
        <w:t>最终结清证书和支付</w:t>
      </w:r>
      <w:bookmarkEnd w:id="2675"/>
      <w:bookmarkEnd w:id="2676"/>
      <w:bookmarkEnd w:id="2677"/>
      <w:bookmarkEnd w:id="2678"/>
      <w:bookmarkEnd w:id="2679"/>
      <w:bookmarkEnd w:id="2680"/>
      <w:bookmarkEnd w:id="2681"/>
      <w:bookmarkEnd w:id="2682"/>
      <w:bookmarkEnd w:id="2683"/>
      <w:bookmarkEnd w:id="2684"/>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除</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另有约定外，发包人应在收到承包人提交的最终结清申请单后14天内完成审批并向承包人颁发最终结清证书。发包人逾期未完成</w:t>
      </w:r>
      <w:r>
        <w:rPr>
          <w:rFonts w:hint="eastAsia" w:ascii="宋体" w:hAnsi="宋体" w:eastAsia="宋体" w:cs="Times New Roman"/>
          <w:color w:val="auto"/>
          <w:kern w:val="0"/>
          <w:szCs w:val="24"/>
          <w:highlight w:val="none"/>
        </w:rPr>
        <w:t>审批</w:t>
      </w:r>
      <w:r>
        <w:rPr>
          <w:rFonts w:ascii="宋体" w:hAnsi="宋体" w:eastAsia="宋体" w:cs="Times New Roman"/>
          <w:color w:val="auto"/>
          <w:kern w:val="0"/>
          <w:szCs w:val="24"/>
          <w:highlight w:val="none"/>
        </w:rPr>
        <w:t>，又未提出修改意见的，视为发包人同意承包人提交的最终结清申请单，且自发包人收到承包人提交的最终结清申请单后15天起视为已颁发最终结清证书。</w:t>
      </w:r>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除</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tabs>
          <w:tab w:val="left" w:pos="1620"/>
          <w:tab w:val="left" w:pos="2340"/>
        </w:tabs>
        <w:spacing w:before="156"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承包人对发包人颁发的最终结清证书有异议的，按第</w:t>
      </w:r>
      <w:r>
        <w:rPr>
          <w:rFonts w:hint="eastAsia" w:ascii="宋体" w:hAnsi="宋体" w:eastAsia="宋体" w:cs="Times New Roman"/>
          <w:color w:val="auto"/>
          <w:kern w:val="0"/>
          <w:szCs w:val="24"/>
          <w:highlight w:val="none"/>
        </w:rPr>
        <w:t>3</w:t>
      </w:r>
      <w:r>
        <w:rPr>
          <w:rFonts w:hint="eastAsia" w:ascii="宋体" w:hAnsi="宋体" w:eastAsia="宋体" w:cs="Times New Roman"/>
          <w:color w:val="auto"/>
          <w:kern w:val="0"/>
          <w:szCs w:val="24"/>
          <w:highlight w:val="none"/>
          <w:lang w:val="en-US" w:eastAsia="zh-CN"/>
        </w:rPr>
        <w:t>1</w:t>
      </w:r>
      <w:r>
        <w:rPr>
          <w:rFonts w:ascii="宋体" w:hAnsi="宋体" w:eastAsia="宋体" w:cs="Times New Roman"/>
          <w:color w:val="auto"/>
          <w:kern w:val="0"/>
          <w:szCs w:val="24"/>
          <w:highlight w:val="none"/>
        </w:rPr>
        <w:t>条</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争议解决</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的约定办理。</w:t>
      </w:r>
    </w:p>
    <w:p>
      <w:pPr>
        <w:keepNext w:val="0"/>
        <w:keepLines w:val="0"/>
        <w:widowControl w:val="0"/>
        <w:numPr>
          <w:ilvl w:val="0"/>
          <w:numId w:val="1"/>
        </w:numPr>
        <w:tabs>
          <w:tab w:val="left" w:pos="720"/>
          <w:tab w:val="left" w:pos="1620"/>
          <w:tab w:val="left" w:pos="2340"/>
          <w:tab w:val="clear"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2685" w:name="_Toc35657001"/>
      <w:bookmarkStart w:id="2686" w:name="_Toc31612"/>
      <w:bookmarkStart w:id="2687" w:name="_Toc15767"/>
      <w:bookmarkStart w:id="2688" w:name="_Toc34909133"/>
      <w:bookmarkStart w:id="2689" w:name="_Toc18480"/>
      <w:bookmarkStart w:id="2690" w:name="_Toc3208"/>
      <w:bookmarkStart w:id="2691" w:name="_Toc29195"/>
      <w:bookmarkStart w:id="2692" w:name="_Toc9489"/>
      <w:bookmarkStart w:id="2693" w:name="_Toc35656499"/>
      <w:bookmarkStart w:id="2694" w:name="_Toc302635894"/>
      <w:bookmarkStart w:id="2695" w:name="_Toc23598"/>
      <w:bookmarkStart w:id="2696" w:name="_Toc5884"/>
      <w:bookmarkStart w:id="2697" w:name="_Toc4508"/>
      <w:bookmarkStart w:id="2698" w:name="_Toc305331395"/>
      <w:r>
        <w:rPr>
          <w:rFonts w:hint="eastAsia" w:ascii="华文细黑" w:hAnsi="宋体" w:eastAsia="宋体" w:cs="Times New Roman"/>
          <w:b/>
          <w:bCs/>
          <w:snapToGrid w:val="0"/>
          <w:color w:val="auto"/>
          <w:kern w:val="0"/>
          <w:sz w:val="28"/>
          <w:szCs w:val="44"/>
          <w:highlight w:val="none"/>
          <w:lang w:val="en-US" w:eastAsia="zh-CN" w:bidi="ar-SA"/>
        </w:rPr>
        <w:t>违约</w:t>
      </w:r>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699" w:name="_Toc19233"/>
      <w:bookmarkStart w:id="2700" w:name="_Toc26178"/>
      <w:bookmarkStart w:id="2701" w:name="_Toc302635895"/>
      <w:bookmarkStart w:id="2702" w:name="_Toc305331396"/>
      <w:bookmarkStart w:id="2703" w:name="_Toc8106"/>
      <w:bookmarkStart w:id="2704" w:name="_Toc14264"/>
      <w:bookmarkStart w:id="2705" w:name="_Toc6441"/>
      <w:bookmarkStart w:id="2706" w:name="_Toc24982"/>
      <w:bookmarkStart w:id="2707" w:name="_Toc24172"/>
      <w:bookmarkStart w:id="2708" w:name="_Toc3581"/>
      <w:bookmarkStart w:id="2709" w:name="_Toc31104"/>
      <w:bookmarkStart w:id="2710" w:name="_Toc34909134"/>
      <w:r>
        <w:rPr>
          <w:rFonts w:hint="eastAsia" w:ascii="宋体" w:hAnsi="宋体" w:eastAsia="宋体" w:cs="Times New Roman"/>
          <w:b/>
          <w:bCs/>
          <w:color w:val="auto"/>
          <w:kern w:val="0"/>
          <w:sz w:val="24"/>
          <w:szCs w:val="24"/>
          <w:highlight w:val="none"/>
          <w:lang w:val="en-US" w:eastAsia="zh-CN" w:bidi="ar-SA"/>
        </w:rPr>
        <w:t>发包人违约</w:t>
      </w:r>
      <w:bookmarkEnd w:id="2699"/>
      <w:bookmarkEnd w:id="2700"/>
      <w:bookmarkEnd w:id="2701"/>
      <w:bookmarkEnd w:id="2702"/>
      <w:bookmarkEnd w:id="2703"/>
      <w:bookmarkEnd w:id="2704"/>
      <w:bookmarkEnd w:id="2705"/>
      <w:bookmarkEnd w:id="2706"/>
      <w:bookmarkEnd w:id="2707"/>
      <w:bookmarkEnd w:id="2708"/>
      <w:bookmarkEnd w:id="2709"/>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发包人不履行合同义务或不按合同约定履行义务，应承担违约责任，赔偿因其违约给承包人造成的损失，顺延延误的工期。当发生下列情况时，发包人应根据</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w:t>
      </w:r>
      <w:bookmarkEnd w:id="2710"/>
      <w:r>
        <w:rPr>
          <w:rFonts w:hint="eastAsia" w:ascii="宋体" w:hAnsi="宋体" w:eastAsia="宋体" w:cs="Times New Roman"/>
          <w:color w:val="auto"/>
          <w:kern w:val="0"/>
          <w:szCs w:val="24"/>
          <w:highlight w:val="none"/>
        </w:rPr>
        <w:t>承担违约责任。</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因发包人原因未能在计划开工日期前7天内下达开工通知的；</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⑵发包人不按时支付工程预付款、工程进度款、工程过程结算款、工程竣工结算款；</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发包人提供的材料、工程设备的规格、数量或质量不符合合同约定，或因发包人原因导致交货日期延误或交货地点变更等情况的；</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t>因发包人违反合同约定造成暂停施工的；</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⑸</w:t>
      </w:r>
      <w:r>
        <w:rPr>
          <w:rFonts w:ascii="宋体" w:hAnsi="宋体" w:eastAsia="宋体" w:cs="Times New Roman"/>
          <w:color w:val="auto"/>
          <w:kern w:val="0"/>
          <w:szCs w:val="24"/>
          <w:highlight w:val="none"/>
        </w:rPr>
        <w:t>发包人无正当理由没有在约定期限内发出复工指示，导致承包人无法复工的；</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⑹</w:t>
      </w:r>
      <w:r>
        <w:rPr>
          <w:rFonts w:ascii="宋体" w:hAnsi="宋体" w:eastAsia="宋体" w:cs="Times New Roman"/>
          <w:color w:val="auto"/>
          <w:kern w:val="0"/>
          <w:szCs w:val="24"/>
          <w:highlight w:val="none"/>
        </w:rPr>
        <w:t>发包人明确表示或者以其行为表明不履行合同主要义务的；</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⑺</w:t>
      </w:r>
      <w:r>
        <w:rPr>
          <w:rFonts w:ascii="宋体" w:hAnsi="宋体" w:eastAsia="宋体" w:cs="Times New Roman"/>
          <w:color w:val="auto"/>
          <w:kern w:val="0"/>
          <w:szCs w:val="24"/>
          <w:highlight w:val="none"/>
        </w:rPr>
        <w:t>发包人未能按照合同约定履行其他义务的。</w:t>
      </w:r>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711" w:name="_Toc16861"/>
      <w:bookmarkStart w:id="2712" w:name="_Toc20183"/>
      <w:bookmarkStart w:id="2713" w:name="_Toc13493"/>
      <w:bookmarkStart w:id="2714" w:name="_Toc1066"/>
      <w:bookmarkStart w:id="2715" w:name="_Toc10595"/>
      <w:bookmarkStart w:id="2716" w:name="_Toc4885"/>
      <w:bookmarkStart w:id="2717" w:name="_Toc305331397"/>
      <w:bookmarkStart w:id="2718" w:name="_Toc21602"/>
      <w:bookmarkStart w:id="2719" w:name="_Toc18340"/>
      <w:bookmarkStart w:id="2720" w:name="_Toc19452"/>
      <w:bookmarkStart w:id="2721" w:name="_Toc302635896"/>
      <w:bookmarkStart w:id="2722" w:name="_Toc34909135"/>
      <w:r>
        <w:rPr>
          <w:rFonts w:hint="eastAsia" w:ascii="宋体" w:hAnsi="宋体" w:eastAsia="宋体" w:cs="Times New Roman"/>
          <w:b/>
          <w:bCs/>
          <w:color w:val="auto"/>
          <w:kern w:val="0"/>
          <w:sz w:val="24"/>
          <w:szCs w:val="24"/>
          <w:highlight w:val="none"/>
          <w:lang w:val="en-US" w:eastAsia="zh-CN" w:bidi="ar-SA"/>
        </w:rPr>
        <w:t>承包人违约</w:t>
      </w:r>
      <w:bookmarkEnd w:id="2711"/>
      <w:bookmarkEnd w:id="2712"/>
      <w:bookmarkEnd w:id="2713"/>
      <w:bookmarkEnd w:id="2714"/>
      <w:bookmarkEnd w:id="2715"/>
      <w:bookmarkEnd w:id="2716"/>
      <w:bookmarkEnd w:id="2717"/>
      <w:bookmarkEnd w:id="2718"/>
      <w:bookmarkEnd w:id="2719"/>
      <w:bookmarkEnd w:id="2720"/>
      <w:bookmarkEnd w:id="2721"/>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承包人不履行合同义务或不按合同约定履行义务，应承担违约责任，赔偿因其违约给发包人造成的损失。当发生下列情况时，承包人应根据</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w:t>
      </w:r>
      <w:bookmarkEnd w:id="2722"/>
      <w:r>
        <w:rPr>
          <w:rFonts w:hint="eastAsia" w:ascii="宋体" w:hAnsi="宋体" w:eastAsia="宋体" w:cs="Times New Roman"/>
          <w:color w:val="auto"/>
          <w:kern w:val="0"/>
          <w:szCs w:val="24"/>
          <w:highlight w:val="none"/>
        </w:rPr>
        <w:t>承担违约责任。</w:t>
      </w:r>
    </w:p>
    <w:p>
      <w:pPr>
        <w:tabs>
          <w:tab w:val="left" w:pos="1620"/>
          <w:tab w:val="left" w:pos="2340"/>
        </w:tabs>
        <w:ind w:left="1079"/>
        <w:jc w:val="left"/>
        <w:rPr>
          <w:rFonts w:ascii="宋体" w:hAnsi="宋体" w:eastAsia="宋体" w:cs="Times New Roman"/>
          <w:bCs/>
          <w:color w:val="auto"/>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bCs/>
          <w:color w:val="auto"/>
          <w:szCs w:val="24"/>
          <w:highlight w:val="none"/>
        </w:rPr>
        <w:t>承包人违反合同约定进行转包或违法分包的；</w:t>
      </w:r>
    </w:p>
    <w:p>
      <w:pPr>
        <w:tabs>
          <w:tab w:val="left" w:pos="1620"/>
          <w:tab w:val="left" w:pos="2340"/>
        </w:tabs>
        <w:ind w:left="1079"/>
        <w:jc w:val="left"/>
        <w:rPr>
          <w:rFonts w:ascii="宋体" w:hAnsi="宋体" w:eastAsia="宋体" w:cs="Times New Roman"/>
          <w:bCs/>
          <w:color w:val="auto"/>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bCs/>
          <w:color w:val="auto"/>
          <w:szCs w:val="24"/>
          <w:highlight w:val="none"/>
        </w:rPr>
        <w:t>承包人违反合同约定采购和使用不合格的材料和工程设备的；</w:t>
      </w:r>
    </w:p>
    <w:p>
      <w:pPr>
        <w:tabs>
          <w:tab w:val="left" w:pos="1620"/>
          <w:tab w:val="left" w:pos="2340"/>
        </w:tabs>
        <w:ind w:left="1079"/>
        <w:jc w:val="left"/>
        <w:rPr>
          <w:rFonts w:ascii="宋体" w:hAnsi="宋体" w:eastAsia="宋体" w:cs="Times New Roman"/>
          <w:bCs/>
          <w:color w:val="auto"/>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bCs/>
          <w:color w:val="auto"/>
          <w:szCs w:val="24"/>
          <w:highlight w:val="none"/>
        </w:rPr>
        <w:t xml:space="preserve">因承包人原因导致工程质量不符合合同要求的； </w:t>
      </w:r>
    </w:p>
    <w:p>
      <w:pPr>
        <w:tabs>
          <w:tab w:val="left" w:pos="1620"/>
          <w:tab w:val="left" w:pos="2340"/>
        </w:tabs>
        <w:ind w:left="1079"/>
        <w:jc w:val="left"/>
        <w:rPr>
          <w:rFonts w:ascii="宋体" w:hAnsi="宋体" w:eastAsia="宋体" w:cs="Times New Roman"/>
          <w:bCs/>
          <w:color w:val="auto"/>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bCs/>
          <w:color w:val="auto"/>
          <w:szCs w:val="24"/>
          <w:highlight w:val="none"/>
        </w:rPr>
        <w:t>承包人未经批准，私自将已按照合同约定进入施工现场的材料或设备撤离施工现场的；</w:t>
      </w:r>
    </w:p>
    <w:p>
      <w:pPr>
        <w:tabs>
          <w:tab w:val="left" w:pos="1620"/>
          <w:tab w:val="left" w:pos="2340"/>
        </w:tabs>
        <w:ind w:left="1079"/>
        <w:jc w:val="left"/>
        <w:rPr>
          <w:rFonts w:ascii="宋体" w:hAnsi="宋体" w:eastAsia="宋体" w:cs="Times New Roman"/>
          <w:bCs/>
          <w:color w:val="auto"/>
          <w:szCs w:val="24"/>
          <w:highlight w:val="none"/>
        </w:rPr>
      </w:pPr>
      <w:r>
        <w:rPr>
          <w:rFonts w:hint="eastAsia" w:ascii="宋体" w:hAnsi="宋体" w:eastAsia="宋体" w:cs="Times New Roman"/>
          <w:color w:val="auto"/>
          <w:kern w:val="0"/>
          <w:szCs w:val="24"/>
          <w:highlight w:val="none"/>
        </w:rPr>
        <w:t>⑸</w:t>
      </w:r>
      <w:r>
        <w:rPr>
          <w:rFonts w:ascii="宋体" w:hAnsi="宋体" w:eastAsia="宋体" w:cs="Times New Roman"/>
          <w:bCs/>
          <w:color w:val="auto"/>
          <w:szCs w:val="24"/>
          <w:highlight w:val="none"/>
        </w:rPr>
        <w:t>承包人未能按施工进度计划及时完成合同约定的工作，造成工期延误的；</w:t>
      </w:r>
    </w:p>
    <w:p>
      <w:pPr>
        <w:tabs>
          <w:tab w:val="left" w:pos="1620"/>
          <w:tab w:val="left" w:pos="2340"/>
        </w:tabs>
        <w:ind w:left="1079"/>
        <w:jc w:val="left"/>
        <w:rPr>
          <w:rFonts w:ascii="宋体" w:hAnsi="宋体" w:eastAsia="宋体" w:cs="Times New Roman"/>
          <w:bCs/>
          <w:color w:val="auto"/>
          <w:szCs w:val="24"/>
          <w:highlight w:val="none"/>
        </w:rPr>
      </w:pPr>
      <w:r>
        <w:rPr>
          <w:rFonts w:hint="eastAsia" w:ascii="宋体" w:hAnsi="宋体" w:eastAsia="宋体" w:cs="Times New Roman"/>
          <w:color w:val="auto"/>
          <w:kern w:val="0"/>
          <w:szCs w:val="24"/>
          <w:highlight w:val="none"/>
        </w:rPr>
        <w:t>⑹</w:t>
      </w:r>
      <w:r>
        <w:rPr>
          <w:rFonts w:ascii="宋体" w:hAnsi="宋体" w:eastAsia="宋体" w:cs="Times New Roman"/>
          <w:bCs/>
          <w:color w:val="auto"/>
          <w:szCs w:val="24"/>
          <w:highlight w:val="none"/>
        </w:rPr>
        <w:t>承包人在缺陷责任期及保修期内，未能在合理期限对工程缺陷进行修复，或拒绝按发包人要求进行修复的；</w:t>
      </w:r>
    </w:p>
    <w:p>
      <w:pPr>
        <w:tabs>
          <w:tab w:val="left" w:pos="1620"/>
          <w:tab w:val="left" w:pos="2340"/>
        </w:tabs>
        <w:ind w:left="1079"/>
        <w:jc w:val="left"/>
        <w:rPr>
          <w:rFonts w:ascii="宋体" w:hAnsi="宋体" w:eastAsia="宋体" w:cs="Times New Roman"/>
          <w:bCs/>
          <w:color w:val="auto"/>
          <w:szCs w:val="24"/>
          <w:highlight w:val="none"/>
        </w:rPr>
      </w:pPr>
      <w:r>
        <w:rPr>
          <w:rFonts w:hint="eastAsia" w:ascii="宋体" w:hAnsi="宋体" w:eastAsia="宋体" w:cs="Times New Roman"/>
          <w:color w:val="auto"/>
          <w:kern w:val="0"/>
          <w:szCs w:val="24"/>
          <w:highlight w:val="none"/>
        </w:rPr>
        <w:t>⑺</w:t>
      </w:r>
      <w:r>
        <w:rPr>
          <w:rFonts w:hint="eastAsia" w:ascii="宋体" w:hAnsi="宋体" w:eastAsia="宋体" w:cs="Times New Roman"/>
          <w:bCs/>
          <w:color w:val="auto"/>
          <w:szCs w:val="24"/>
          <w:highlight w:val="none"/>
        </w:rPr>
        <w:t>因承包人原因导致BIM实施应用不符合合同要求的；</w:t>
      </w:r>
    </w:p>
    <w:p>
      <w:pPr>
        <w:tabs>
          <w:tab w:val="left" w:pos="1620"/>
          <w:tab w:val="left" w:pos="2340"/>
        </w:tabs>
        <w:ind w:left="1079"/>
        <w:jc w:val="left"/>
        <w:rPr>
          <w:rFonts w:ascii="宋体" w:hAnsi="宋体" w:eastAsia="宋体" w:cs="Times New Roman"/>
          <w:bCs/>
          <w:color w:val="auto"/>
          <w:szCs w:val="24"/>
          <w:highlight w:val="none"/>
        </w:rPr>
      </w:pPr>
      <w:r>
        <w:rPr>
          <w:rFonts w:hint="eastAsia" w:ascii="宋体" w:hAnsi="宋体" w:eastAsia="宋体" w:cs="Times New Roman"/>
          <w:color w:val="auto"/>
          <w:kern w:val="0"/>
          <w:szCs w:val="24"/>
          <w:highlight w:val="none"/>
        </w:rPr>
        <w:t>⑻</w:t>
      </w:r>
      <w:r>
        <w:rPr>
          <w:rFonts w:ascii="宋体" w:hAnsi="宋体" w:eastAsia="宋体" w:cs="Times New Roman"/>
          <w:bCs/>
          <w:color w:val="auto"/>
          <w:szCs w:val="24"/>
          <w:highlight w:val="none"/>
        </w:rPr>
        <w:t>承包人明确表示或者以其行为表明不履行合同主要义务的；</w:t>
      </w:r>
    </w:p>
    <w:p>
      <w:pPr>
        <w:tabs>
          <w:tab w:val="left" w:pos="1620"/>
          <w:tab w:val="left" w:pos="2340"/>
        </w:tabs>
        <w:ind w:left="1079"/>
        <w:jc w:val="left"/>
        <w:rPr>
          <w:rFonts w:ascii="宋体" w:hAnsi="宋体" w:eastAsia="宋体" w:cs="Times New Roman"/>
          <w:bCs/>
          <w:color w:val="auto"/>
          <w:szCs w:val="24"/>
          <w:highlight w:val="none"/>
        </w:rPr>
      </w:pPr>
      <w:r>
        <w:rPr>
          <w:rFonts w:hint="eastAsia" w:ascii="宋体" w:hAnsi="宋体" w:eastAsia="宋体" w:cs="Times New Roman"/>
          <w:color w:val="auto"/>
          <w:kern w:val="0"/>
          <w:szCs w:val="24"/>
          <w:highlight w:val="none"/>
          <w:lang w:val="en-US" w:eastAsia="zh-CN"/>
        </w:rPr>
        <w:t>⑼</w:t>
      </w:r>
      <w:r>
        <w:rPr>
          <w:rFonts w:hint="eastAsia" w:ascii="宋体" w:hAnsi="宋体" w:eastAsia="宋体" w:cs="Times New Roman"/>
          <w:color w:val="auto"/>
          <w:kern w:val="0"/>
          <w:szCs w:val="24"/>
          <w:highlight w:val="none"/>
        </w:rPr>
        <w:t>承</w:t>
      </w:r>
      <w:r>
        <w:rPr>
          <w:rFonts w:ascii="宋体" w:hAnsi="宋体" w:eastAsia="宋体" w:cs="Times New Roman"/>
          <w:bCs/>
          <w:color w:val="auto"/>
          <w:szCs w:val="24"/>
          <w:highlight w:val="none"/>
        </w:rPr>
        <w:t>包人未能按照合同约定履行其他义务的。</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723" w:name="_Toc11539"/>
      <w:bookmarkStart w:id="2724" w:name="_Toc19827"/>
      <w:bookmarkStart w:id="2725" w:name="_Toc15711"/>
      <w:bookmarkStart w:id="2726" w:name="_Toc31560"/>
      <w:bookmarkStart w:id="2727" w:name="_Toc1953"/>
      <w:bookmarkStart w:id="2728" w:name="_Toc7582"/>
      <w:bookmarkStart w:id="2729" w:name="_Toc32013"/>
      <w:bookmarkStart w:id="2730" w:name="_Toc9661"/>
      <w:bookmarkStart w:id="2731" w:name="_Toc26136"/>
      <w:bookmarkStart w:id="2732" w:name="_Toc302635897"/>
      <w:r>
        <w:rPr>
          <w:rFonts w:ascii="宋体" w:hAnsi="宋体" w:eastAsia="宋体" w:cs="Times New Roman"/>
          <w:b/>
          <w:bCs/>
          <w:color w:val="auto"/>
          <w:kern w:val="0"/>
          <w:sz w:val="24"/>
          <w:szCs w:val="24"/>
          <w:highlight w:val="none"/>
          <w:lang w:val="en-US" w:eastAsia="zh-CN" w:bidi="ar-SA"/>
        </w:rPr>
        <w:t>第三人造成的违约</w:t>
      </w:r>
      <w:bookmarkEnd w:id="2723"/>
      <w:bookmarkEnd w:id="2724"/>
      <w:bookmarkEnd w:id="2725"/>
      <w:bookmarkEnd w:id="2726"/>
      <w:bookmarkEnd w:id="2727"/>
      <w:bookmarkEnd w:id="2728"/>
      <w:bookmarkEnd w:id="2729"/>
      <w:bookmarkEnd w:id="2730"/>
      <w:bookmarkEnd w:id="2731"/>
      <w:bookmarkEnd w:id="2732"/>
    </w:p>
    <w:p>
      <w:pPr>
        <w:tabs>
          <w:tab w:val="left" w:pos="1620"/>
          <w:tab w:val="left" w:pos="2340"/>
        </w:tabs>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在履行合同过程中，</w:t>
      </w:r>
      <w:r>
        <w:rPr>
          <w:rFonts w:hint="eastAsia" w:ascii="宋体" w:hAnsi="宋体" w:eastAsia="宋体" w:cs="Times New Roman"/>
          <w:color w:val="auto"/>
          <w:kern w:val="0"/>
          <w:szCs w:val="24"/>
          <w:highlight w:val="none"/>
        </w:rPr>
        <w:t>发包人或承包人</w:t>
      </w:r>
      <w:r>
        <w:rPr>
          <w:rFonts w:ascii="宋体" w:hAnsi="宋体" w:eastAsia="宋体" w:cs="Times New Roman"/>
          <w:color w:val="auto"/>
          <w:kern w:val="0"/>
          <w:szCs w:val="24"/>
          <w:highlight w:val="none"/>
        </w:rPr>
        <w:t>一方因第三人的原因造成违约的，应当向对方承担违约责任。</w:t>
      </w:r>
      <w:r>
        <w:rPr>
          <w:rFonts w:hint="eastAsia" w:ascii="宋体" w:hAnsi="宋体" w:eastAsia="宋体" w:cs="Times New Roman"/>
          <w:color w:val="auto"/>
          <w:kern w:val="0"/>
          <w:szCs w:val="24"/>
          <w:highlight w:val="none"/>
        </w:rPr>
        <w:t>发包人或承包人</w:t>
      </w:r>
      <w:r>
        <w:rPr>
          <w:rFonts w:ascii="宋体" w:hAnsi="宋体" w:eastAsia="宋体" w:cs="Times New Roman"/>
          <w:color w:val="auto"/>
          <w:kern w:val="0"/>
          <w:szCs w:val="24"/>
          <w:highlight w:val="none"/>
        </w:rPr>
        <w:t>一方和第三人之间的纠纷，依照</w:t>
      </w:r>
      <w:r>
        <w:rPr>
          <w:rFonts w:hint="eastAsia" w:ascii="宋体" w:hAnsi="宋体" w:eastAsia="宋体" w:cs="Times New Roman"/>
          <w:color w:val="auto"/>
          <w:kern w:val="0"/>
          <w:szCs w:val="24"/>
          <w:highlight w:val="none"/>
        </w:rPr>
        <w:t>相关</w:t>
      </w:r>
      <w:r>
        <w:rPr>
          <w:rFonts w:ascii="宋体" w:hAnsi="宋体" w:eastAsia="宋体" w:cs="Times New Roman"/>
          <w:color w:val="auto"/>
          <w:kern w:val="0"/>
          <w:szCs w:val="24"/>
          <w:highlight w:val="none"/>
        </w:rPr>
        <w:t>法律规定解决。</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733" w:name="_Toc302635898"/>
      <w:bookmarkStart w:id="2734" w:name="_Toc23628"/>
      <w:bookmarkStart w:id="2735" w:name="_Toc3028"/>
      <w:bookmarkStart w:id="2736" w:name="_Toc32266"/>
      <w:bookmarkStart w:id="2737" w:name="_Toc27110"/>
      <w:bookmarkStart w:id="2738" w:name="_Toc30110"/>
      <w:bookmarkStart w:id="2739" w:name="_Toc7467"/>
      <w:bookmarkStart w:id="2740" w:name="_Toc305331398"/>
      <w:bookmarkStart w:id="2741" w:name="_Toc18139"/>
      <w:bookmarkStart w:id="2742" w:name="_Toc13592"/>
      <w:bookmarkStart w:id="2743" w:name="_Toc21587"/>
      <w:bookmarkStart w:id="2744" w:name="_Toc34909136"/>
      <w:r>
        <w:rPr>
          <w:rFonts w:hint="eastAsia" w:ascii="宋体" w:hAnsi="宋体" w:eastAsia="宋体" w:cs="Times New Roman"/>
          <w:b/>
          <w:bCs/>
          <w:color w:val="auto"/>
          <w:kern w:val="0"/>
          <w:sz w:val="24"/>
          <w:szCs w:val="24"/>
          <w:highlight w:val="none"/>
          <w:lang w:val="en-US" w:eastAsia="zh-CN" w:bidi="ar-SA"/>
        </w:rPr>
        <w:t>继续履行合同</w:t>
      </w:r>
      <w:bookmarkEnd w:id="2733"/>
      <w:bookmarkEnd w:id="2734"/>
      <w:bookmarkEnd w:id="2735"/>
      <w:bookmarkEnd w:id="2736"/>
      <w:bookmarkEnd w:id="2737"/>
      <w:bookmarkEnd w:id="2738"/>
      <w:bookmarkEnd w:id="2739"/>
      <w:bookmarkEnd w:id="2740"/>
      <w:bookmarkEnd w:id="2741"/>
      <w:bookmarkEnd w:id="2742"/>
      <w:bookmarkEnd w:id="2743"/>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除非另有约定，发包人和承包人一方违约后，另一方要求违约方继续履行本合同时，违约方承担上述违约责任后仍应继续履行合同。</w:t>
      </w:r>
      <w:bookmarkEnd w:id="2744"/>
    </w:p>
    <w:p>
      <w:pPr>
        <w:keepNext w:val="0"/>
        <w:keepLines w:val="0"/>
        <w:widowControl w:val="0"/>
        <w:numPr>
          <w:ilvl w:val="0"/>
          <w:numId w:val="1"/>
        </w:numPr>
        <w:tabs>
          <w:tab w:val="left" w:pos="720"/>
          <w:tab w:val="left" w:pos="1620"/>
          <w:tab w:val="left" w:pos="2340"/>
          <w:tab w:val="clear"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2745" w:name="_Toc35657002"/>
      <w:bookmarkStart w:id="2746" w:name="_Toc24588"/>
      <w:bookmarkStart w:id="2747" w:name="_Toc23961"/>
      <w:bookmarkStart w:id="2748" w:name="_Toc28847"/>
      <w:bookmarkStart w:id="2749" w:name="_Toc302635899"/>
      <w:bookmarkStart w:id="2750" w:name="_Toc35656500"/>
      <w:bookmarkStart w:id="2751" w:name="_Toc4373"/>
      <w:bookmarkStart w:id="2752" w:name="_Toc24373"/>
      <w:bookmarkStart w:id="2753" w:name="_Toc34909137"/>
      <w:bookmarkStart w:id="2754" w:name="_Toc12904"/>
      <w:bookmarkStart w:id="2755" w:name="_Toc12590"/>
      <w:bookmarkStart w:id="2756" w:name="_Toc305331399"/>
      <w:bookmarkStart w:id="2757" w:name="_Toc889"/>
      <w:bookmarkStart w:id="2758" w:name="_Toc27701"/>
      <w:r>
        <w:rPr>
          <w:rFonts w:hint="eastAsia" w:ascii="华文细黑" w:hAnsi="宋体" w:eastAsia="宋体" w:cs="Times New Roman"/>
          <w:b/>
          <w:bCs/>
          <w:snapToGrid w:val="0"/>
          <w:color w:val="auto"/>
          <w:kern w:val="0"/>
          <w:sz w:val="28"/>
          <w:szCs w:val="44"/>
          <w:highlight w:val="none"/>
          <w:lang w:val="en-US" w:eastAsia="zh-CN" w:bidi="ar-SA"/>
        </w:rPr>
        <w:t>索赔</w:t>
      </w:r>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759" w:name="_Toc305331400"/>
      <w:bookmarkStart w:id="2760" w:name="_Toc18688"/>
      <w:bookmarkStart w:id="2761" w:name="_Toc8583"/>
      <w:bookmarkStart w:id="2762" w:name="_Toc21655"/>
      <w:bookmarkStart w:id="2763" w:name="_Toc8622"/>
      <w:bookmarkStart w:id="2764" w:name="_Toc302635900"/>
      <w:bookmarkStart w:id="2765" w:name="_Toc16622"/>
      <w:bookmarkStart w:id="2766" w:name="_Toc20832"/>
      <w:bookmarkStart w:id="2767" w:name="_Toc19435"/>
      <w:bookmarkStart w:id="2768" w:name="_Toc25846"/>
      <w:bookmarkStart w:id="2769" w:name="_Toc6315"/>
      <w:bookmarkStart w:id="2770" w:name="_Toc34909138"/>
      <w:r>
        <w:rPr>
          <w:rFonts w:hint="eastAsia" w:ascii="宋体" w:hAnsi="宋体" w:eastAsia="宋体" w:cs="Times New Roman"/>
          <w:b/>
          <w:bCs/>
          <w:color w:val="auto"/>
          <w:kern w:val="0"/>
          <w:sz w:val="24"/>
          <w:szCs w:val="24"/>
          <w:highlight w:val="none"/>
          <w:lang w:val="en-US" w:eastAsia="zh-CN" w:bidi="ar-SA"/>
        </w:rPr>
        <w:t>索赔理由与记录</w:t>
      </w:r>
      <w:bookmarkEnd w:id="2759"/>
      <w:bookmarkEnd w:id="2760"/>
      <w:bookmarkEnd w:id="2761"/>
      <w:bookmarkEnd w:id="2762"/>
      <w:bookmarkEnd w:id="2763"/>
      <w:bookmarkEnd w:id="2764"/>
      <w:bookmarkEnd w:id="2765"/>
      <w:bookmarkEnd w:id="2766"/>
      <w:bookmarkEnd w:id="2767"/>
      <w:bookmarkEnd w:id="2768"/>
      <w:bookmarkEnd w:id="2769"/>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⑴发包人和承包人双方中，</w:t>
      </w:r>
      <w:bookmarkEnd w:id="2770"/>
      <w:r>
        <w:rPr>
          <w:rFonts w:hint="eastAsia" w:ascii="宋体" w:hAnsi="宋体" w:eastAsia="宋体" w:cs="Times New Roman"/>
          <w:color w:val="auto"/>
          <w:kern w:val="0"/>
          <w:szCs w:val="24"/>
          <w:highlight w:val="none"/>
        </w:rPr>
        <w:t>当一方向另一方提出索赔时，要有合理的索赔理由，且有其要求索赔的事件发生时的有效证据。</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2771" w:name="_Toc34909139"/>
      <w:r>
        <w:rPr>
          <w:rFonts w:hint="eastAsia" w:ascii="宋体" w:hAnsi="宋体" w:eastAsia="宋体" w:cs="Times New Roman"/>
          <w:color w:val="auto"/>
          <w:kern w:val="0"/>
          <w:szCs w:val="24"/>
          <w:highlight w:val="none"/>
        </w:rPr>
        <w:t>⑵提出索赔的一方在其要求索赔的事件发生时，应保存好必要的记录，以便证明提出的索赔，并应允许另一方或</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查阅全部记录。</w:t>
      </w:r>
      <w:bookmarkEnd w:id="2771"/>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772" w:name="_Toc302635901"/>
      <w:bookmarkStart w:id="2773" w:name="_Toc7383"/>
      <w:bookmarkStart w:id="2774" w:name="_Toc1445"/>
      <w:bookmarkStart w:id="2775" w:name="_Toc17604"/>
      <w:bookmarkStart w:id="2776" w:name="_Toc26105"/>
      <w:bookmarkStart w:id="2777" w:name="_Toc12255"/>
      <w:bookmarkStart w:id="2778" w:name="_Toc17525"/>
      <w:bookmarkStart w:id="2779" w:name="_Toc28788"/>
      <w:bookmarkStart w:id="2780" w:name="_Toc27999"/>
      <w:bookmarkStart w:id="2781" w:name="_Toc32382"/>
      <w:bookmarkStart w:id="2782" w:name="_Toc305331401"/>
      <w:bookmarkStart w:id="2783" w:name="_Toc34909140"/>
      <w:r>
        <w:rPr>
          <w:rFonts w:hint="eastAsia" w:ascii="宋体" w:hAnsi="宋体" w:eastAsia="宋体" w:cs="Times New Roman"/>
          <w:b/>
          <w:bCs/>
          <w:color w:val="auto"/>
          <w:kern w:val="0"/>
          <w:sz w:val="24"/>
          <w:szCs w:val="24"/>
          <w:highlight w:val="none"/>
          <w:lang w:val="en-US" w:eastAsia="zh-CN" w:bidi="ar-SA"/>
        </w:rPr>
        <w:t>索赔</w:t>
      </w:r>
      <w:bookmarkEnd w:id="2772"/>
      <w:r>
        <w:rPr>
          <w:rFonts w:hint="eastAsia" w:ascii="宋体" w:hAnsi="宋体" w:eastAsia="宋体" w:cs="Times New Roman"/>
          <w:b/>
          <w:bCs/>
          <w:color w:val="auto"/>
          <w:kern w:val="0"/>
          <w:sz w:val="24"/>
          <w:szCs w:val="24"/>
          <w:highlight w:val="none"/>
          <w:lang w:val="en-US" w:eastAsia="zh-CN" w:bidi="ar-SA"/>
        </w:rPr>
        <w:t>内容</w:t>
      </w:r>
      <w:bookmarkEnd w:id="2773"/>
      <w:bookmarkEnd w:id="2774"/>
      <w:bookmarkEnd w:id="2775"/>
      <w:bookmarkEnd w:id="2776"/>
      <w:bookmarkEnd w:id="2777"/>
      <w:bookmarkEnd w:id="2778"/>
      <w:bookmarkEnd w:id="2779"/>
      <w:bookmarkEnd w:id="2780"/>
      <w:bookmarkEnd w:id="2781"/>
    </w:p>
    <w:p>
      <w:pPr>
        <w:tabs>
          <w:tab w:val="left" w:pos="1620"/>
          <w:tab w:val="left" w:pos="2340"/>
        </w:tabs>
        <w:spacing w:before="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⑴发包人提出索赔时，可选择下列一项或几项方式获得赔偿：</w:t>
      </w:r>
    </w:p>
    <w:p>
      <w:pPr>
        <w:tabs>
          <w:tab w:val="left" w:pos="1620"/>
          <w:tab w:val="left" w:pos="2340"/>
        </w:tabs>
        <w:ind w:left="1134"/>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①延长质量缺陷修复期限；</w:t>
      </w:r>
    </w:p>
    <w:p>
      <w:pPr>
        <w:tabs>
          <w:tab w:val="left" w:pos="1620"/>
          <w:tab w:val="left" w:pos="2340"/>
        </w:tabs>
        <w:ind w:left="1134"/>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②要求承包人支付实际发生的额外费用；</w:t>
      </w:r>
    </w:p>
    <w:p>
      <w:pPr>
        <w:tabs>
          <w:tab w:val="left" w:pos="1620"/>
          <w:tab w:val="left" w:pos="2340"/>
        </w:tabs>
        <w:ind w:left="1134"/>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③要求承包人支付合同约定的违约金。</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⑵承包人提出索赔时，可选择下列一项或几项方式获得赔偿：</w:t>
      </w:r>
    </w:p>
    <w:p>
      <w:pPr>
        <w:tabs>
          <w:tab w:val="left" w:pos="1620"/>
          <w:tab w:val="left" w:pos="2340"/>
        </w:tabs>
        <w:ind w:left="1134"/>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①延长工期；</w:t>
      </w:r>
    </w:p>
    <w:p>
      <w:pPr>
        <w:tabs>
          <w:tab w:val="left" w:pos="1620"/>
          <w:tab w:val="left" w:pos="2340"/>
        </w:tabs>
        <w:ind w:left="1134"/>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②要求发包人支付实际发生的额外费用；</w:t>
      </w:r>
    </w:p>
    <w:p>
      <w:pPr>
        <w:tabs>
          <w:tab w:val="left" w:pos="1620"/>
          <w:tab w:val="left" w:pos="2340"/>
        </w:tabs>
        <w:ind w:left="1134"/>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 xml:space="preserve">③要求发包人支付合理的预期利润； </w:t>
      </w:r>
    </w:p>
    <w:p>
      <w:pPr>
        <w:tabs>
          <w:tab w:val="left" w:pos="1620"/>
          <w:tab w:val="left" w:pos="2340"/>
        </w:tabs>
        <w:ind w:left="1134"/>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④要求发包人支付合同约定的违约金。</w:t>
      </w:r>
    </w:p>
    <w:bookmarkEnd w:id="2782"/>
    <w:bookmarkEnd w:id="2783"/>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784" w:name="_Toc28345"/>
      <w:bookmarkStart w:id="2785" w:name="_Toc19272"/>
      <w:bookmarkStart w:id="2786" w:name="_Toc25068"/>
      <w:bookmarkStart w:id="2787" w:name="_Toc10680"/>
      <w:bookmarkStart w:id="2788" w:name="_Toc29730"/>
      <w:bookmarkStart w:id="2789" w:name="_Toc19755"/>
      <w:bookmarkStart w:id="2790" w:name="_Toc12670"/>
      <w:bookmarkStart w:id="2791" w:name="_Toc21238"/>
      <w:bookmarkStart w:id="2792" w:name="_Toc6147"/>
      <w:bookmarkStart w:id="2793" w:name="_Toc302635903"/>
      <w:bookmarkStart w:id="2794" w:name="_Toc305331402"/>
      <w:bookmarkStart w:id="2795" w:name="_Toc34909143"/>
      <w:bookmarkStart w:id="2796" w:name="_Toc34909142"/>
      <w:r>
        <w:rPr>
          <w:rFonts w:hint="eastAsia" w:ascii="宋体" w:hAnsi="宋体" w:eastAsia="宋体" w:cs="Times New Roman"/>
          <w:b/>
          <w:bCs/>
          <w:color w:val="auto"/>
          <w:kern w:val="0"/>
          <w:sz w:val="24"/>
          <w:szCs w:val="24"/>
          <w:highlight w:val="none"/>
          <w:lang w:val="en-US" w:eastAsia="zh-CN" w:bidi="ar-SA"/>
        </w:rPr>
        <w:t>发包人索赔情形</w:t>
      </w:r>
      <w:bookmarkEnd w:id="2784"/>
      <w:bookmarkEnd w:id="2785"/>
      <w:bookmarkEnd w:id="2786"/>
      <w:bookmarkEnd w:id="2787"/>
      <w:bookmarkEnd w:id="2788"/>
      <w:bookmarkEnd w:id="2789"/>
      <w:bookmarkEnd w:id="2790"/>
      <w:bookmarkEnd w:id="2791"/>
      <w:bookmarkEnd w:id="2792"/>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在施工合同履行过程中发生下列情形之一的，发包人可向承包人提出索赔：</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⑴承包人使用的设备和材料不符合合同规定，或施工质量不符合施工技术规程的要求；</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⑵由于承包人原因导致工期延误；</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⑶工程竣工验收合格后，因承包人原因导致的缺陷或损坏致使工程、单位工程或某项主要设备不能按原定目的使用；</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中约定的其他情形。</w:t>
      </w:r>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797" w:name="_Toc3632"/>
      <w:bookmarkStart w:id="2798" w:name="_Toc14619"/>
      <w:bookmarkStart w:id="2799" w:name="_Toc17536"/>
      <w:bookmarkStart w:id="2800" w:name="_Toc9212"/>
      <w:bookmarkStart w:id="2801" w:name="_Toc26818"/>
      <w:bookmarkStart w:id="2802" w:name="_Toc14798"/>
      <w:bookmarkStart w:id="2803" w:name="_Toc1910"/>
      <w:bookmarkStart w:id="2804" w:name="_Toc15495"/>
      <w:bookmarkStart w:id="2805" w:name="_Toc29520"/>
      <w:r>
        <w:rPr>
          <w:rFonts w:hint="eastAsia" w:ascii="宋体" w:hAnsi="宋体" w:eastAsia="宋体" w:cs="Times New Roman"/>
          <w:b/>
          <w:bCs/>
          <w:color w:val="auto"/>
          <w:kern w:val="0"/>
          <w:sz w:val="24"/>
          <w:szCs w:val="24"/>
          <w:highlight w:val="none"/>
          <w:lang w:val="en-US" w:eastAsia="zh-CN" w:bidi="ar-SA"/>
        </w:rPr>
        <w:t>发包人索赔程序</w:t>
      </w:r>
      <w:bookmarkEnd w:id="2793"/>
      <w:bookmarkEnd w:id="2794"/>
      <w:bookmarkEnd w:id="2797"/>
      <w:bookmarkEnd w:id="2798"/>
      <w:bookmarkEnd w:id="2799"/>
      <w:bookmarkEnd w:id="2800"/>
      <w:bookmarkEnd w:id="2801"/>
      <w:bookmarkEnd w:id="2802"/>
      <w:bookmarkEnd w:id="2803"/>
      <w:bookmarkEnd w:id="2804"/>
      <w:bookmarkEnd w:id="2805"/>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承包人未能按合同约定履行义务、发生错误以及应由承包人承担责任的其他情况，给发包人造成损失的，发包人可按下列程序向承包人提出索赔</w:t>
      </w:r>
      <w:bookmarkEnd w:id="2795"/>
      <w:r>
        <w:rPr>
          <w:rFonts w:hint="eastAsia" w:ascii="宋体" w:hAnsi="宋体" w:eastAsia="宋体" w:cs="Times New Roman"/>
          <w:color w:val="auto"/>
          <w:kern w:val="0"/>
          <w:szCs w:val="24"/>
          <w:highlight w:val="none"/>
        </w:rPr>
        <w:t>：</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⑴索赔的事件发生后28天内，向承包人提出索赔意向通知。逾期不提出的，视为放弃索赔；</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⑵在提出索赔意向通知后28天内，向承包人提出赔偿损失的索赔报告及有关资料；</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⑶承包人在收到发包人提交的索赔报告和有关资料后，于28天内给予答复，或要求发包人进一步补充索赔理由和证据；</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⑷承包人在收到发包人提交的索赔报告和有关资料后28天内未予答复或未对发包人作进一步要求，视为该项索赔已被认可；</w:t>
      </w:r>
    </w:p>
    <w:p>
      <w:pPr>
        <w:tabs>
          <w:tab w:val="left" w:pos="1620"/>
          <w:tab w:val="left" w:pos="2340"/>
        </w:tabs>
        <w:ind w:left="107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⑸</w:t>
      </w:r>
      <w:r>
        <w:rPr>
          <w:rFonts w:hint="eastAsia" w:ascii="宋体" w:hAnsi="宋体" w:eastAsia="宋体" w:cs="Times New Roman"/>
          <w:color w:val="auto"/>
          <w:kern w:val="0"/>
          <w:szCs w:val="24"/>
          <w:highlight w:val="none"/>
        </w:rPr>
        <w:t>当索赔事件持续进行时，发包人应阶段性向承包人提出索赔意向通知，在该事件终了后28天内，向承包人提交索赔的有关资料和最终索赔报告。索赔答复程序与第</w:t>
      </w:r>
      <w:r>
        <w:rPr>
          <w:rFonts w:hint="eastAsia" w:ascii="宋体" w:hAnsi="宋体" w:eastAsia="宋体" w:cs="Times New Roman"/>
          <w:color w:val="auto"/>
          <w:kern w:val="0"/>
          <w:szCs w:val="24"/>
          <w:highlight w:val="none"/>
          <w:lang w:val="en-US" w:eastAsia="zh-CN"/>
        </w:rPr>
        <w:t>30</w:t>
      </w:r>
      <w:r>
        <w:rPr>
          <w:rFonts w:hint="eastAsia" w:ascii="宋体" w:hAnsi="宋体" w:eastAsia="宋体" w:cs="Times New Roman"/>
          <w:color w:val="auto"/>
          <w:kern w:val="0"/>
          <w:szCs w:val="24"/>
          <w:highlight w:val="none"/>
        </w:rPr>
        <w:t>.6⑶、⑷项约定相同。</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⑹</w:t>
      </w:r>
      <w:r>
        <w:rPr>
          <w:rFonts w:ascii="宋体" w:hAnsi="宋体" w:eastAsia="宋体" w:cs="Times New Roman"/>
          <w:color w:val="auto"/>
          <w:kern w:val="0"/>
          <w:szCs w:val="24"/>
          <w:highlight w:val="none"/>
        </w:rPr>
        <w:t>承包人接受索赔处理结果的，发包人可从应支付给承包人的合同价款中扣除赔付的金额或延长缺陷责任期；发包人不接受索赔处理结果的，按第</w:t>
      </w:r>
      <w:r>
        <w:rPr>
          <w:rFonts w:hint="eastAsia" w:ascii="宋体" w:hAnsi="宋体" w:eastAsia="宋体" w:cs="Times New Roman"/>
          <w:color w:val="auto"/>
          <w:kern w:val="0"/>
          <w:szCs w:val="24"/>
          <w:highlight w:val="none"/>
          <w:lang w:val="en-US" w:eastAsia="zh-CN"/>
        </w:rPr>
        <w:t>31</w:t>
      </w:r>
      <w:r>
        <w:rPr>
          <w:rFonts w:ascii="宋体" w:hAnsi="宋体" w:eastAsia="宋体" w:cs="Times New Roman"/>
          <w:color w:val="auto"/>
          <w:kern w:val="0"/>
          <w:szCs w:val="24"/>
          <w:highlight w:val="none"/>
        </w:rPr>
        <w:t>条</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争议解决</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约定处理。</w:t>
      </w:r>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806" w:name="_Toc13045"/>
      <w:bookmarkStart w:id="2807" w:name="_Toc23060"/>
      <w:bookmarkStart w:id="2808" w:name="_Toc25087"/>
      <w:bookmarkStart w:id="2809" w:name="_Toc28071"/>
      <w:bookmarkStart w:id="2810" w:name="_Toc28579"/>
      <w:bookmarkStart w:id="2811" w:name="_Toc21230"/>
      <w:bookmarkStart w:id="2812" w:name="_Toc30962"/>
      <w:bookmarkStart w:id="2813" w:name="_Toc25888"/>
      <w:bookmarkStart w:id="2814" w:name="_Toc10454"/>
      <w:bookmarkStart w:id="2815" w:name="_Toc302635902"/>
      <w:bookmarkStart w:id="2816" w:name="_Toc302635904"/>
      <w:bookmarkStart w:id="2817" w:name="_Toc305331403"/>
      <w:r>
        <w:rPr>
          <w:rFonts w:hint="eastAsia" w:ascii="宋体" w:hAnsi="宋体" w:eastAsia="宋体" w:cs="Times New Roman"/>
          <w:b/>
          <w:bCs/>
          <w:color w:val="auto"/>
          <w:kern w:val="0"/>
          <w:sz w:val="24"/>
          <w:szCs w:val="24"/>
          <w:highlight w:val="none"/>
          <w:lang w:val="en-US" w:eastAsia="zh-CN" w:bidi="ar-SA"/>
        </w:rPr>
        <w:t>承包人索赔情形</w:t>
      </w:r>
      <w:bookmarkEnd w:id="2806"/>
      <w:bookmarkEnd w:id="2807"/>
      <w:bookmarkEnd w:id="2808"/>
      <w:bookmarkEnd w:id="2809"/>
      <w:bookmarkEnd w:id="2810"/>
      <w:bookmarkEnd w:id="2811"/>
      <w:bookmarkEnd w:id="2812"/>
      <w:bookmarkEnd w:id="2813"/>
      <w:bookmarkEnd w:id="2814"/>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在施工合同履行过程中发生下列情形之一的，承包人可向发包人提出索赔：</w:t>
      </w:r>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1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发包人未能按合同约定提供图纸或所提供图纸不符合合同约定的；</w:t>
      </w:r>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2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发包人未能按合同约定提供施工现场、施工条件、基础资料、许可、批准等开工条件的；</w:t>
      </w:r>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3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发包人提供的测量基准点、基准线和水准点及其书面资料存在错误或疏漏的；</w:t>
      </w:r>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4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发包人未能在计划开工日期之日起7天内同意下达开工通知的；</w:t>
      </w:r>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5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⑸</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发包人未能按合同约定日期支付工程预付款、进度款</w:t>
      </w:r>
      <w:r>
        <w:rPr>
          <w:rFonts w:hint="eastAsia" w:ascii="宋体" w:hAnsi="宋体" w:eastAsia="宋体" w:cs="Times New Roman"/>
          <w:color w:val="auto"/>
          <w:kern w:val="0"/>
          <w:szCs w:val="24"/>
          <w:highlight w:val="none"/>
          <w:lang w:eastAsia="zh-CN"/>
        </w:rPr>
        <w:t>、过程结算</w:t>
      </w:r>
      <w:r>
        <w:rPr>
          <w:rFonts w:ascii="宋体" w:hAnsi="宋体" w:eastAsia="宋体" w:cs="Times New Roman"/>
          <w:color w:val="auto"/>
          <w:kern w:val="0"/>
          <w:szCs w:val="24"/>
          <w:highlight w:val="none"/>
        </w:rPr>
        <w:t>或竣工结算款的；</w:t>
      </w:r>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6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⑹</w:t>
      </w:r>
      <w:r>
        <w:rPr>
          <w:rFonts w:ascii="宋体" w:hAnsi="宋体" w:eastAsia="宋体" w:cs="Times New Roman"/>
          <w:color w:val="auto"/>
          <w:kern w:val="0"/>
          <w:szCs w:val="24"/>
          <w:highlight w:val="none"/>
        </w:rPr>
        <w:fldChar w:fldCharType="end"/>
      </w:r>
      <w:r>
        <w:rPr>
          <w:rFonts w:ascii="宋体" w:hAnsi="宋体" w:eastAsia="宋体" w:cs="Times New Roman"/>
          <w:color w:val="auto"/>
          <w:kern w:val="0"/>
          <w:szCs w:val="24"/>
          <w:highlight w:val="none"/>
        </w:rPr>
        <w:t>监理单位未按合同约定发出指示、批准等文件的；</w:t>
      </w:r>
    </w:p>
    <w:p>
      <w:pPr>
        <w:tabs>
          <w:tab w:val="left" w:pos="1620"/>
          <w:tab w:val="left" w:pos="2340"/>
        </w:tabs>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w:instrText>
      </w:r>
      <w:r>
        <w:rPr>
          <w:rFonts w:hint="eastAsia" w:ascii="宋体" w:hAnsi="宋体" w:eastAsia="宋体" w:cs="Times New Roman"/>
          <w:color w:val="auto"/>
          <w:kern w:val="0"/>
          <w:szCs w:val="24"/>
          <w:highlight w:val="none"/>
        </w:rPr>
        <w:instrText xml:space="preserve">= 7 \* GB2</w:instrText>
      </w:r>
      <w:r>
        <w:rPr>
          <w:rFonts w:ascii="宋体" w:hAnsi="宋体" w:eastAsia="宋体" w:cs="Times New Roman"/>
          <w:color w:val="auto"/>
          <w:kern w:val="0"/>
          <w:szCs w:val="24"/>
          <w:highlight w:val="none"/>
        </w:rPr>
        <w:instrText xml:space="preserve">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color w:val="auto"/>
          <w:kern w:val="0"/>
          <w:szCs w:val="24"/>
          <w:highlight w:val="none"/>
        </w:rPr>
        <w:t>⑺</w:t>
      </w:r>
      <w:r>
        <w:rPr>
          <w:rFonts w:ascii="宋体" w:hAnsi="宋体" w:eastAsia="宋体" w:cs="Times New Roman"/>
          <w:color w:val="auto"/>
          <w:kern w:val="0"/>
          <w:szCs w:val="24"/>
          <w:highlight w:val="none"/>
        </w:rPr>
        <w:fldChar w:fldCharType="end"/>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中约定的其他情形。</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818" w:name="_Toc30253"/>
      <w:bookmarkStart w:id="2819" w:name="_Toc32440"/>
      <w:bookmarkStart w:id="2820" w:name="_Toc25103"/>
      <w:bookmarkStart w:id="2821" w:name="_Toc27386"/>
      <w:bookmarkStart w:id="2822" w:name="_Toc5138"/>
      <w:bookmarkStart w:id="2823" w:name="_Toc10015"/>
      <w:bookmarkStart w:id="2824" w:name="_Toc24471"/>
      <w:bookmarkStart w:id="2825" w:name="_Toc3178"/>
      <w:bookmarkStart w:id="2826" w:name="_Toc10675"/>
      <w:r>
        <w:rPr>
          <w:rFonts w:hint="eastAsia" w:ascii="宋体" w:hAnsi="宋体" w:eastAsia="宋体" w:cs="Times New Roman"/>
          <w:b/>
          <w:bCs/>
          <w:color w:val="auto"/>
          <w:kern w:val="0"/>
          <w:sz w:val="24"/>
          <w:szCs w:val="24"/>
          <w:highlight w:val="none"/>
          <w:lang w:val="en-US" w:eastAsia="zh-CN" w:bidi="ar-SA"/>
        </w:rPr>
        <w:t>承包人索赔程序</w:t>
      </w:r>
      <w:bookmarkEnd w:id="2815"/>
      <w:bookmarkEnd w:id="2818"/>
      <w:bookmarkEnd w:id="2819"/>
      <w:bookmarkEnd w:id="2820"/>
      <w:bookmarkEnd w:id="2821"/>
      <w:bookmarkEnd w:id="2822"/>
      <w:bookmarkEnd w:id="2823"/>
      <w:bookmarkEnd w:id="2824"/>
      <w:bookmarkEnd w:id="2825"/>
      <w:bookmarkEnd w:id="2826"/>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发包人未能按合同约定履行义务、发生错误以及应由发包人承担责任的其他情况，给承包人造成损失和(或)导致工期延误的，承包人可按下列程序向发包人提出索赔：</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⑴索赔的事件发生后28天内，向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提出索赔意向通知。逾期不提出的，视为放弃索赔；</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⑵在提出索赔意向通知后28天内，向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提交赔偿损失和(或)延长工期的索赔报告及有关资料；</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在收到承包人提交的索赔报告和有关资料后，于28天内给予答复，或要求承包人进一步补充索赔理由和证据；</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在收到承包人提交的索赔报告和有关资料后28天内未予答复或未对承包人作进一步要求，视为该项索赔已被认可；</w:t>
      </w:r>
    </w:p>
    <w:p>
      <w:pPr>
        <w:tabs>
          <w:tab w:val="left" w:pos="1620"/>
          <w:tab w:val="left" w:pos="2340"/>
        </w:tabs>
        <w:ind w:left="107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⑸</w:t>
      </w:r>
      <w:r>
        <w:rPr>
          <w:rFonts w:hint="eastAsia" w:ascii="宋体" w:hAnsi="宋体" w:eastAsia="宋体" w:cs="Times New Roman"/>
          <w:color w:val="auto"/>
          <w:kern w:val="0"/>
          <w:szCs w:val="24"/>
          <w:highlight w:val="none"/>
        </w:rPr>
        <w:t>当索赔事件持续进行时，承包人应阶段性向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提出索赔意向通知，在该事件终了后28天内，向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提交索赔的有关资料和最终索赔报告。索赔答复程序与第</w:t>
      </w:r>
      <w:r>
        <w:rPr>
          <w:rFonts w:hint="eastAsia" w:ascii="宋体" w:hAnsi="宋体" w:eastAsia="宋体" w:cs="Times New Roman"/>
          <w:color w:val="auto"/>
          <w:kern w:val="0"/>
          <w:szCs w:val="24"/>
          <w:highlight w:val="none"/>
          <w:lang w:val="en-US" w:eastAsia="zh-CN"/>
        </w:rPr>
        <w:t>30</w:t>
      </w:r>
      <w:r>
        <w:rPr>
          <w:rFonts w:hint="eastAsia" w:ascii="宋体" w:hAnsi="宋体" w:eastAsia="宋体" w:cs="Times New Roman"/>
          <w:color w:val="auto"/>
          <w:kern w:val="0"/>
          <w:szCs w:val="24"/>
          <w:highlight w:val="none"/>
        </w:rPr>
        <w:t>.4⑶、⑷项的约定相同。</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⑹</w:t>
      </w:r>
      <w:r>
        <w:rPr>
          <w:rFonts w:ascii="宋体" w:hAnsi="宋体" w:eastAsia="宋体" w:cs="Times New Roman"/>
          <w:color w:val="auto"/>
          <w:kern w:val="0"/>
          <w:szCs w:val="24"/>
          <w:highlight w:val="none"/>
        </w:rPr>
        <w:t>承包人接受索赔处理结果的，索赔款项在当期进度款中进行支付；承包人不接受索赔处理结果的，按照第</w:t>
      </w:r>
      <w:r>
        <w:rPr>
          <w:rFonts w:hint="eastAsia" w:ascii="宋体" w:hAnsi="宋体" w:eastAsia="宋体" w:cs="Times New Roman"/>
          <w:color w:val="auto"/>
          <w:kern w:val="0"/>
          <w:szCs w:val="24"/>
          <w:highlight w:val="none"/>
          <w:lang w:val="en-US" w:eastAsia="zh-CN"/>
        </w:rPr>
        <w:t>31</w:t>
      </w:r>
      <w:r>
        <w:rPr>
          <w:rFonts w:ascii="宋体" w:hAnsi="宋体" w:eastAsia="宋体" w:cs="Times New Roman"/>
          <w:color w:val="auto"/>
          <w:kern w:val="0"/>
          <w:szCs w:val="24"/>
          <w:highlight w:val="none"/>
        </w:rPr>
        <w:t>条</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争议解决</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约定处理。</w:t>
      </w:r>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827" w:name="_Toc17327"/>
      <w:bookmarkStart w:id="2828" w:name="_Toc17462"/>
      <w:bookmarkStart w:id="2829" w:name="_Toc15006"/>
      <w:bookmarkStart w:id="2830" w:name="_Toc3929"/>
      <w:bookmarkStart w:id="2831" w:name="_Toc8718"/>
      <w:bookmarkStart w:id="2832" w:name="_Toc30918"/>
      <w:bookmarkStart w:id="2833" w:name="_Toc3843"/>
      <w:bookmarkStart w:id="2834" w:name="_Toc30400"/>
      <w:bookmarkStart w:id="2835" w:name="_Toc23133"/>
      <w:r>
        <w:rPr>
          <w:rFonts w:hint="eastAsia" w:ascii="宋体" w:hAnsi="宋体" w:eastAsia="宋体" w:cs="Times New Roman"/>
          <w:b/>
          <w:bCs/>
          <w:color w:val="auto"/>
          <w:kern w:val="0"/>
          <w:sz w:val="24"/>
          <w:szCs w:val="24"/>
          <w:highlight w:val="none"/>
          <w:lang w:val="en-US" w:eastAsia="zh-CN" w:bidi="ar-SA"/>
        </w:rPr>
        <w:t>提出索赔的期限</w:t>
      </w:r>
      <w:bookmarkEnd w:id="2816"/>
      <w:bookmarkEnd w:id="2827"/>
      <w:bookmarkEnd w:id="2828"/>
      <w:bookmarkEnd w:id="2829"/>
      <w:bookmarkEnd w:id="2830"/>
      <w:bookmarkEnd w:id="2831"/>
      <w:bookmarkEnd w:id="2832"/>
      <w:bookmarkEnd w:id="2833"/>
      <w:bookmarkEnd w:id="2834"/>
      <w:bookmarkEnd w:id="2835"/>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承包人按第</w:t>
      </w:r>
      <w:r>
        <w:rPr>
          <w:rFonts w:hint="eastAsia" w:ascii="宋体" w:hAnsi="宋体" w:eastAsia="宋体" w:cs="Times New Roman"/>
          <w:color w:val="auto"/>
          <w:kern w:val="0"/>
          <w:szCs w:val="24"/>
          <w:highlight w:val="none"/>
          <w:lang w:val="en-US" w:eastAsia="zh-CN"/>
        </w:rPr>
        <w:t>28</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7</w:t>
      </w:r>
      <w:r>
        <w:rPr>
          <w:rFonts w:ascii="宋体" w:hAnsi="宋体" w:eastAsia="宋体" w:cs="Times New Roman"/>
          <w:color w:val="auto"/>
          <w:kern w:val="0"/>
          <w:szCs w:val="24"/>
          <w:highlight w:val="none"/>
        </w:rPr>
        <w:t>款</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竣工结算</w:t>
      </w:r>
      <w:r>
        <w:rPr>
          <w:rFonts w:hint="eastAsia" w:ascii="宋体" w:hAnsi="宋体" w:eastAsia="宋体" w:cs="Times New Roman"/>
          <w:color w:val="auto"/>
          <w:kern w:val="0"/>
          <w:szCs w:val="24"/>
          <w:highlight w:val="none"/>
        </w:rPr>
        <w:t>支付〕</w:t>
      </w:r>
      <w:r>
        <w:rPr>
          <w:rFonts w:ascii="宋体" w:hAnsi="宋体" w:eastAsia="宋体" w:cs="Times New Roman"/>
          <w:color w:val="auto"/>
          <w:kern w:val="0"/>
          <w:szCs w:val="24"/>
          <w:highlight w:val="none"/>
        </w:rPr>
        <w:t>约定接收竣工</w:t>
      </w:r>
      <w:r>
        <w:rPr>
          <w:rFonts w:hint="eastAsia" w:ascii="宋体" w:hAnsi="宋体" w:eastAsia="宋体" w:cs="Times New Roman"/>
          <w:color w:val="auto"/>
          <w:kern w:val="0"/>
          <w:szCs w:val="24"/>
          <w:highlight w:val="none"/>
        </w:rPr>
        <w:t>支付</w:t>
      </w:r>
      <w:r>
        <w:rPr>
          <w:rFonts w:ascii="宋体" w:hAnsi="宋体" w:eastAsia="宋体" w:cs="Times New Roman"/>
          <w:color w:val="auto"/>
          <w:kern w:val="0"/>
          <w:szCs w:val="24"/>
          <w:highlight w:val="none"/>
        </w:rPr>
        <w:t>证书后，应被视为已无权再提出在工程接收证书颁发前所发生的任何索赔。</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承包人按第</w:t>
      </w:r>
      <w:r>
        <w:rPr>
          <w:rFonts w:hint="eastAsia" w:ascii="宋体" w:hAnsi="宋体" w:eastAsia="宋体" w:cs="Times New Roman"/>
          <w:color w:val="auto"/>
          <w:kern w:val="0"/>
          <w:szCs w:val="24"/>
          <w:highlight w:val="none"/>
          <w:lang w:val="en-US" w:eastAsia="zh-CN"/>
        </w:rPr>
        <w:t>28</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8</w:t>
      </w:r>
      <w:r>
        <w:rPr>
          <w:rFonts w:ascii="宋体" w:hAnsi="宋体" w:eastAsia="宋体" w:cs="Times New Roman"/>
          <w:color w:val="auto"/>
          <w:kern w:val="0"/>
          <w:szCs w:val="24"/>
          <w:highlight w:val="none"/>
        </w:rPr>
        <w:t>款</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最终结清</w:t>
      </w:r>
      <w:r>
        <w:rPr>
          <w:rFonts w:hint="eastAsia" w:ascii="宋体" w:hAnsi="宋体" w:eastAsia="宋体" w:cs="Times New Roman"/>
          <w:color w:val="auto"/>
          <w:kern w:val="0"/>
          <w:szCs w:val="24"/>
          <w:highlight w:val="none"/>
        </w:rPr>
        <w:t>申请〕</w:t>
      </w:r>
      <w:r>
        <w:rPr>
          <w:rFonts w:ascii="宋体" w:hAnsi="宋体" w:eastAsia="宋体" w:cs="Times New Roman"/>
          <w:color w:val="auto"/>
          <w:kern w:val="0"/>
          <w:szCs w:val="24"/>
          <w:highlight w:val="none"/>
        </w:rPr>
        <w:t>提交的最终结清申请单中，只限于提出工程接收证书颁发后发生的索赔。提出索赔的期限自接受最终结清证书时终止。</w:t>
      </w:r>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836" w:name="_Toc12418"/>
      <w:bookmarkStart w:id="2837" w:name="_Toc32647"/>
      <w:bookmarkStart w:id="2838" w:name="_Toc17741"/>
      <w:bookmarkStart w:id="2839" w:name="_Toc25134"/>
      <w:bookmarkStart w:id="2840" w:name="_Toc24025"/>
      <w:bookmarkStart w:id="2841" w:name="_Toc302635905"/>
      <w:bookmarkStart w:id="2842" w:name="_Toc32377"/>
      <w:bookmarkStart w:id="2843" w:name="_Toc14168"/>
      <w:bookmarkStart w:id="2844" w:name="_Toc22084"/>
      <w:bookmarkStart w:id="2845" w:name="_Toc23180"/>
      <w:r>
        <w:rPr>
          <w:rFonts w:hint="eastAsia" w:ascii="宋体" w:hAnsi="宋体" w:eastAsia="宋体" w:cs="Times New Roman"/>
          <w:b/>
          <w:bCs/>
          <w:color w:val="auto"/>
          <w:kern w:val="0"/>
          <w:sz w:val="24"/>
          <w:szCs w:val="24"/>
          <w:highlight w:val="none"/>
          <w:lang w:val="en-US" w:eastAsia="zh-CN" w:bidi="ar-SA"/>
        </w:rPr>
        <w:t>索赔费用的支付</w:t>
      </w:r>
      <w:bookmarkEnd w:id="2817"/>
      <w:bookmarkEnd w:id="2836"/>
      <w:bookmarkEnd w:id="2837"/>
      <w:bookmarkEnd w:id="2838"/>
      <w:bookmarkEnd w:id="2839"/>
      <w:bookmarkEnd w:id="2840"/>
      <w:bookmarkEnd w:id="2841"/>
      <w:bookmarkEnd w:id="2842"/>
      <w:bookmarkEnd w:id="2843"/>
      <w:bookmarkEnd w:id="2844"/>
      <w:bookmarkEnd w:id="2845"/>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对承包人根据第</w:t>
      </w:r>
      <w:r>
        <w:rPr>
          <w:rFonts w:hint="eastAsia" w:ascii="宋体" w:hAnsi="宋体" w:eastAsia="宋体" w:cs="Times New Roman"/>
          <w:color w:val="auto"/>
          <w:kern w:val="0"/>
          <w:szCs w:val="24"/>
          <w:highlight w:val="none"/>
          <w:lang w:val="en-US" w:eastAsia="zh-CN"/>
        </w:rPr>
        <w:t>30</w:t>
      </w:r>
      <w:r>
        <w:rPr>
          <w:rFonts w:hint="eastAsia"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lang w:val="en-US" w:eastAsia="zh-CN"/>
        </w:rPr>
        <w:t>6</w:t>
      </w:r>
      <w:r>
        <w:rPr>
          <w:rFonts w:hint="eastAsia" w:ascii="宋体" w:hAnsi="宋体" w:eastAsia="宋体" w:cs="Times New Roman"/>
          <w:color w:val="auto"/>
          <w:kern w:val="0"/>
          <w:szCs w:val="24"/>
          <w:highlight w:val="none"/>
        </w:rPr>
        <w:t>款提交的索赔报告和有关资料进行核实，并报发包人批准后，确定赔偿的费用并与工程款同期支付，确定延误的工期并顺延工期。</w:t>
      </w:r>
      <w:bookmarkEnd w:id="2796"/>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⑵承包人对发包人根据第</w:t>
      </w:r>
      <w:r>
        <w:rPr>
          <w:rFonts w:hint="eastAsia" w:ascii="宋体" w:hAnsi="宋体" w:eastAsia="宋体" w:cs="Times New Roman"/>
          <w:color w:val="auto"/>
          <w:kern w:val="0"/>
          <w:szCs w:val="24"/>
          <w:highlight w:val="none"/>
          <w:lang w:val="en-US" w:eastAsia="zh-CN"/>
        </w:rPr>
        <w:t>30</w:t>
      </w:r>
      <w:r>
        <w:rPr>
          <w:rFonts w:hint="eastAsia"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lang w:val="en-US" w:eastAsia="zh-CN"/>
        </w:rPr>
        <w:t>4</w:t>
      </w:r>
      <w:r>
        <w:rPr>
          <w:rFonts w:hint="eastAsia" w:ascii="宋体" w:hAnsi="宋体" w:eastAsia="宋体" w:cs="Times New Roman"/>
          <w:color w:val="auto"/>
          <w:kern w:val="0"/>
          <w:szCs w:val="24"/>
          <w:highlight w:val="none"/>
        </w:rPr>
        <w:t>款提交的索赔报告和有关资料进行核实，与发包人协商后确定赔偿的费用并在</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签发给承包人的支付证书中予以扣除。</w:t>
      </w:r>
    </w:p>
    <w:p>
      <w:pPr>
        <w:tabs>
          <w:tab w:val="left" w:pos="1620"/>
          <w:tab w:val="left" w:pos="2340"/>
        </w:tabs>
        <w:spacing w:after="156"/>
        <w:ind w:left="899"/>
        <w:jc w:val="left"/>
        <w:rPr>
          <w:rFonts w:ascii="宋体" w:hAnsi="宋体" w:eastAsia="宋体" w:cs="Times New Roman"/>
          <w:color w:val="auto"/>
          <w:kern w:val="0"/>
          <w:szCs w:val="24"/>
          <w:highlight w:val="none"/>
        </w:rPr>
      </w:pPr>
      <w:bookmarkStart w:id="2846" w:name="_Toc34909144"/>
      <w:r>
        <w:rPr>
          <w:rFonts w:hint="eastAsia" w:ascii="宋体" w:hAnsi="宋体" w:eastAsia="宋体" w:cs="Times New Roman"/>
          <w:color w:val="auto"/>
          <w:kern w:val="0"/>
          <w:szCs w:val="24"/>
          <w:highlight w:val="none"/>
        </w:rPr>
        <w:t>⑶有关本工程索赔的文件的编制和审核均须经注册造价工程师签字盖章确认。</w:t>
      </w:r>
      <w:bookmarkEnd w:id="2846"/>
    </w:p>
    <w:p>
      <w:pPr>
        <w:keepNext w:val="0"/>
        <w:keepLines w:val="0"/>
        <w:widowControl w:val="0"/>
        <w:numPr>
          <w:ilvl w:val="0"/>
          <w:numId w:val="1"/>
        </w:numPr>
        <w:tabs>
          <w:tab w:val="left" w:pos="720"/>
          <w:tab w:val="left" w:pos="1620"/>
          <w:tab w:val="left" w:pos="2340"/>
          <w:tab w:val="clear"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2847" w:name="_Toc305331404"/>
      <w:bookmarkStart w:id="2848" w:name="_Toc35656501"/>
      <w:bookmarkStart w:id="2849" w:name="_Toc34909145"/>
      <w:bookmarkStart w:id="2850" w:name="_Toc35657003"/>
      <w:bookmarkStart w:id="2851" w:name="_Toc15597"/>
      <w:bookmarkStart w:id="2852" w:name="_Toc24904"/>
      <w:bookmarkStart w:id="2853" w:name="_Toc16684"/>
      <w:bookmarkStart w:id="2854" w:name="_Toc15914"/>
      <w:bookmarkStart w:id="2855" w:name="_Toc21420"/>
      <w:bookmarkStart w:id="2856" w:name="_Toc302635906"/>
      <w:bookmarkStart w:id="2857" w:name="_Toc4712"/>
      <w:bookmarkStart w:id="2858" w:name="_Toc9528"/>
      <w:bookmarkStart w:id="2859" w:name="_Toc30373"/>
      <w:bookmarkStart w:id="2860" w:name="_Toc14510"/>
      <w:r>
        <w:rPr>
          <w:rFonts w:hint="eastAsia" w:ascii="华文细黑" w:hAnsi="宋体" w:eastAsia="宋体" w:cs="Times New Roman"/>
          <w:b/>
          <w:bCs/>
          <w:snapToGrid w:val="0"/>
          <w:color w:val="auto"/>
          <w:kern w:val="0"/>
          <w:sz w:val="28"/>
          <w:szCs w:val="44"/>
          <w:highlight w:val="none"/>
          <w:lang w:val="en-US" w:eastAsia="zh-CN" w:bidi="ar-SA"/>
        </w:rPr>
        <w:t>争议</w:t>
      </w:r>
      <w:bookmarkEnd w:id="2847"/>
      <w:bookmarkEnd w:id="2848"/>
      <w:bookmarkEnd w:id="2849"/>
      <w:bookmarkEnd w:id="2850"/>
      <w:r>
        <w:rPr>
          <w:rFonts w:hint="eastAsia" w:ascii="华文细黑" w:hAnsi="宋体" w:eastAsia="宋体" w:cs="Times New Roman"/>
          <w:b/>
          <w:bCs/>
          <w:snapToGrid w:val="0"/>
          <w:color w:val="auto"/>
          <w:kern w:val="0"/>
          <w:sz w:val="28"/>
          <w:szCs w:val="44"/>
          <w:highlight w:val="none"/>
          <w:lang w:val="en-US" w:eastAsia="zh-CN" w:bidi="ar-SA"/>
        </w:rPr>
        <w:t>解决</w:t>
      </w:r>
      <w:bookmarkEnd w:id="2851"/>
      <w:bookmarkEnd w:id="2852"/>
      <w:bookmarkEnd w:id="2853"/>
      <w:bookmarkEnd w:id="2854"/>
      <w:bookmarkEnd w:id="2855"/>
      <w:bookmarkEnd w:id="2856"/>
      <w:bookmarkEnd w:id="2857"/>
      <w:bookmarkEnd w:id="2858"/>
      <w:bookmarkEnd w:id="2859"/>
      <w:bookmarkEnd w:id="2860"/>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861" w:name="_Toc12612"/>
      <w:bookmarkStart w:id="2862" w:name="_Toc23624"/>
      <w:bookmarkStart w:id="2863" w:name="_Toc23457"/>
      <w:bookmarkStart w:id="2864" w:name="_Toc305331405"/>
      <w:bookmarkStart w:id="2865" w:name="_Toc302635907"/>
      <w:bookmarkStart w:id="2866" w:name="_Toc8755"/>
      <w:bookmarkStart w:id="2867" w:name="_Toc21091"/>
      <w:bookmarkStart w:id="2868" w:name="_Toc13369"/>
      <w:bookmarkStart w:id="2869" w:name="_Toc21570"/>
      <w:bookmarkStart w:id="2870" w:name="_Toc9240"/>
      <w:bookmarkStart w:id="2871" w:name="_Toc29995"/>
      <w:bookmarkStart w:id="2872" w:name="_Toc34909146"/>
      <w:r>
        <w:rPr>
          <w:rFonts w:hint="eastAsia" w:ascii="宋体" w:hAnsi="宋体" w:eastAsia="宋体" w:cs="Times New Roman"/>
          <w:b/>
          <w:bCs/>
          <w:color w:val="auto"/>
          <w:kern w:val="0"/>
          <w:sz w:val="24"/>
          <w:szCs w:val="24"/>
          <w:highlight w:val="none"/>
          <w:lang w:val="en-US" w:eastAsia="zh-CN" w:bidi="ar-SA"/>
        </w:rPr>
        <w:t>争议的解决方式</w:t>
      </w:r>
      <w:bookmarkEnd w:id="2861"/>
      <w:bookmarkEnd w:id="2862"/>
      <w:bookmarkEnd w:id="2863"/>
      <w:bookmarkEnd w:id="2864"/>
      <w:bookmarkEnd w:id="2865"/>
      <w:bookmarkEnd w:id="2866"/>
      <w:bookmarkEnd w:id="2867"/>
      <w:bookmarkEnd w:id="2868"/>
      <w:bookmarkEnd w:id="2869"/>
      <w:bookmarkEnd w:id="2870"/>
      <w:bookmarkEnd w:id="2871"/>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⑴凡因本合同引起的或与本合同有关的任何争议，发包人与承包人可自行和解，和解不成的可提交</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中约定的机构进行调解。和解或调解成功的，发包人和承包人应签订书面和解协议。</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⑵发包人或承包人一方不愿调解或调解不成的，双方可按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中约定的方式申请仲裁或提起诉讼解决争议</w:t>
      </w:r>
      <w:bookmarkEnd w:id="2872"/>
      <w:r>
        <w:rPr>
          <w:rFonts w:hint="eastAsia" w:ascii="宋体" w:hAnsi="宋体" w:eastAsia="宋体" w:cs="Times New Roman"/>
          <w:color w:val="auto"/>
          <w:kern w:val="0"/>
          <w:szCs w:val="24"/>
          <w:highlight w:val="none"/>
        </w:rPr>
        <w:t>。</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873" w:name="_Toc7526"/>
      <w:bookmarkStart w:id="2874" w:name="_Toc15789"/>
      <w:bookmarkStart w:id="2875" w:name="_Toc23810"/>
      <w:bookmarkStart w:id="2876" w:name="_Toc305331406"/>
      <w:bookmarkStart w:id="2877" w:name="_Toc24775"/>
      <w:bookmarkStart w:id="2878" w:name="_Toc302635908"/>
      <w:bookmarkStart w:id="2879" w:name="_Toc15259"/>
      <w:bookmarkStart w:id="2880" w:name="_Toc6404"/>
      <w:bookmarkStart w:id="2881" w:name="_Toc21147"/>
      <w:bookmarkStart w:id="2882" w:name="_Toc6244"/>
      <w:bookmarkStart w:id="2883" w:name="_Toc27548"/>
      <w:bookmarkStart w:id="2884" w:name="_Toc34909148"/>
      <w:r>
        <w:rPr>
          <w:rFonts w:hint="eastAsia" w:ascii="宋体" w:hAnsi="宋体" w:eastAsia="宋体" w:cs="Times New Roman"/>
          <w:b/>
          <w:bCs/>
          <w:color w:val="auto"/>
          <w:kern w:val="0"/>
          <w:sz w:val="24"/>
          <w:szCs w:val="24"/>
          <w:highlight w:val="none"/>
          <w:lang w:val="en-US" w:eastAsia="zh-CN" w:bidi="ar-SA"/>
        </w:rPr>
        <w:t>继续履行合同</w:t>
      </w:r>
      <w:bookmarkEnd w:id="2873"/>
      <w:bookmarkEnd w:id="2874"/>
      <w:bookmarkEnd w:id="2875"/>
      <w:bookmarkEnd w:id="2876"/>
      <w:bookmarkEnd w:id="2877"/>
      <w:bookmarkEnd w:id="2878"/>
      <w:bookmarkEnd w:id="2879"/>
      <w:bookmarkEnd w:id="2880"/>
      <w:bookmarkEnd w:id="2881"/>
      <w:bookmarkEnd w:id="2882"/>
      <w:bookmarkEnd w:id="2883"/>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发生争议后，除非出现下列情况及本合同另有约定的情况，双方都应继续履行合同，保持施工连续，保护好已完工程：</w:t>
      </w:r>
      <w:bookmarkEnd w:id="2884"/>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⑴单方违约导致合同确已无法履行，双方协议停止施工；</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⑵调解要求停止施工，且为双方接受；</w:t>
      </w:r>
    </w:p>
    <w:p>
      <w:pPr>
        <w:tabs>
          <w:tab w:val="left" w:pos="1620"/>
          <w:tab w:val="left" w:pos="2340"/>
        </w:tabs>
        <w:ind w:left="107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⑶仲裁机构要求停止施工；</w:t>
      </w:r>
    </w:p>
    <w:p>
      <w:pPr>
        <w:tabs>
          <w:tab w:val="left" w:pos="1620"/>
          <w:tab w:val="left" w:pos="2340"/>
        </w:tabs>
        <w:ind w:left="107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⑷法院要求停止施工。</w:t>
      </w:r>
    </w:p>
    <w:p>
      <w:pPr>
        <w:keepNext w:val="0"/>
        <w:keepLines w:val="0"/>
        <w:widowControl w:val="0"/>
        <w:numPr>
          <w:ilvl w:val="0"/>
          <w:numId w:val="1"/>
        </w:numPr>
        <w:tabs>
          <w:tab w:val="left" w:pos="720"/>
          <w:tab w:val="left" w:pos="1620"/>
          <w:tab w:val="left" w:pos="2340"/>
          <w:tab w:val="clear"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2885" w:name="_Toc22610"/>
      <w:bookmarkStart w:id="2886" w:name="_Toc977"/>
      <w:bookmarkStart w:id="2887" w:name="_Toc20789"/>
      <w:bookmarkStart w:id="2888" w:name="_Toc305331407"/>
      <w:bookmarkStart w:id="2889" w:name="_Toc24027"/>
      <w:bookmarkStart w:id="2890" w:name="_Toc302635909"/>
      <w:bookmarkStart w:id="2891" w:name="_Toc19623"/>
      <w:bookmarkStart w:id="2892" w:name="_Toc3622"/>
      <w:bookmarkStart w:id="2893" w:name="_Toc23596"/>
      <w:bookmarkStart w:id="2894" w:name="_Toc20573"/>
      <w:bookmarkStart w:id="2895" w:name="_Toc26231"/>
      <w:r>
        <w:rPr>
          <w:rFonts w:hint="eastAsia" w:ascii="华文细黑" w:hAnsi="宋体" w:eastAsia="宋体" w:cs="Times New Roman"/>
          <w:b/>
          <w:bCs/>
          <w:snapToGrid w:val="0"/>
          <w:color w:val="auto"/>
          <w:kern w:val="0"/>
          <w:sz w:val="28"/>
          <w:szCs w:val="44"/>
          <w:highlight w:val="none"/>
          <w:lang w:val="en-US" w:eastAsia="zh-CN" w:bidi="ar-SA"/>
        </w:rPr>
        <w:t>工程缺陷责任与保修</w:t>
      </w:r>
      <w:bookmarkEnd w:id="2885"/>
      <w:bookmarkEnd w:id="2886"/>
      <w:bookmarkEnd w:id="2887"/>
      <w:bookmarkEnd w:id="2888"/>
      <w:bookmarkEnd w:id="2889"/>
      <w:bookmarkEnd w:id="2890"/>
      <w:bookmarkEnd w:id="2891"/>
      <w:bookmarkEnd w:id="2892"/>
      <w:bookmarkEnd w:id="2893"/>
      <w:bookmarkEnd w:id="2894"/>
      <w:bookmarkEnd w:id="2895"/>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896" w:name="_Toc3185"/>
      <w:bookmarkStart w:id="2897" w:name="_Toc32528"/>
      <w:bookmarkStart w:id="2898" w:name="_Toc6451"/>
      <w:bookmarkStart w:id="2899" w:name="_Toc10800"/>
      <w:bookmarkStart w:id="2900" w:name="_Toc416"/>
      <w:bookmarkStart w:id="2901" w:name="_Toc6181"/>
      <w:bookmarkStart w:id="2902" w:name="_Toc9146"/>
      <w:bookmarkStart w:id="2903" w:name="_Toc3878"/>
      <w:bookmarkStart w:id="2904" w:name="_Toc20374"/>
      <w:bookmarkStart w:id="2905" w:name="_Toc302635910"/>
      <w:bookmarkStart w:id="2906" w:name="_Toc305331408"/>
      <w:bookmarkStart w:id="2907" w:name="_Toc34909151"/>
      <w:r>
        <w:rPr>
          <w:rFonts w:hint="eastAsia" w:ascii="宋体" w:hAnsi="宋体" w:eastAsia="宋体" w:cs="Times New Roman"/>
          <w:b/>
          <w:bCs/>
          <w:color w:val="auto"/>
          <w:kern w:val="0"/>
          <w:sz w:val="24"/>
          <w:szCs w:val="24"/>
          <w:highlight w:val="none"/>
          <w:lang w:val="en-US" w:eastAsia="zh-CN" w:bidi="ar-SA"/>
        </w:rPr>
        <w:t>工程保修的原则</w:t>
      </w:r>
      <w:bookmarkEnd w:id="2896"/>
      <w:bookmarkEnd w:id="2897"/>
      <w:bookmarkEnd w:id="2898"/>
      <w:bookmarkEnd w:id="2899"/>
      <w:bookmarkEnd w:id="2900"/>
      <w:bookmarkEnd w:id="2901"/>
      <w:bookmarkEnd w:id="2902"/>
      <w:bookmarkEnd w:id="2903"/>
      <w:bookmarkEnd w:id="2904"/>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在工程移交发包人后，因承包人原因产生的质量缺陷，承包人应承担质量缺陷责任和保修义务。缺陷责任期届满，承包人仍应按合同约定的工程各部位保修年限承担保修义务。</w:t>
      </w:r>
    </w:p>
    <w:bookmarkEnd w:id="2905"/>
    <w:bookmarkEnd w:id="2906"/>
    <w:bookmarkEnd w:id="2907"/>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908" w:name="_Toc15171"/>
      <w:bookmarkStart w:id="2909" w:name="_Toc1837"/>
      <w:bookmarkStart w:id="2910" w:name="_Toc27144"/>
      <w:bookmarkStart w:id="2911" w:name="_Toc15962"/>
      <w:bookmarkStart w:id="2912" w:name="_Toc9126"/>
      <w:bookmarkStart w:id="2913" w:name="_Toc12944"/>
      <w:bookmarkStart w:id="2914" w:name="_Toc18240"/>
      <w:bookmarkStart w:id="2915" w:name="_Toc14563"/>
      <w:bookmarkStart w:id="2916" w:name="_Toc3347"/>
      <w:bookmarkStart w:id="2917" w:name="_Toc302635911"/>
      <w:bookmarkStart w:id="2918" w:name="_Toc305331409"/>
      <w:bookmarkStart w:id="2919" w:name="_Toc34909152"/>
      <w:r>
        <w:rPr>
          <w:rFonts w:hint="eastAsia" w:ascii="宋体" w:hAnsi="宋体" w:eastAsia="宋体" w:cs="Times New Roman"/>
          <w:b/>
          <w:bCs/>
          <w:color w:val="auto"/>
          <w:kern w:val="0"/>
          <w:sz w:val="24"/>
          <w:szCs w:val="24"/>
          <w:highlight w:val="none"/>
          <w:lang w:val="en-US" w:eastAsia="zh-CN" w:bidi="ar-SA"/>
        </w:rPr>
        <w:t>缺陷责任期</w:t>
      </w:r>
      <w:bookmarkEnd w:id="2908"/>
      <w:bookmarkEnd w:id="2909"/>
      <w:bookmarkEnd w:id="2910"/>
      <w:bookmarkEnd w:id="2911"/>
      <w:bookmarkEnd w:id="2912"/>
      <w:bookmarkEnd w:id="2913"/>
      <w:bookmarkEnd w:id="2914"/>
      <w:bookmarkEnd w:id="2915"/>
      <w:bookmarkEnd w:id="2916"/>
      <w:bookmarkEnd w:id="2917"/>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缺陷责任期自</w:t>
      </w:r>
      <w:r>
        <w:rPr>
          <w:rFonts w:hint="eastAsia" w:ascii="宋体" w:hAnsi="宋体" w:eastAsia="宋体" w:cs="Times New Roman"/>
          <w:color w:val="auto"/>
          <w:kern w:val="0"/>
          <w:szCs w:val="24"/>
          <w:highlight w:val="none"/>
        </w:rPr>
        <w:t>实际竣工日期</w:t>
      </w:r>
      <w:r>
        <w:rPr>
          <w:rFonts w:ascii="宋体" w:hAnsi="宋体" w:eastAsia="宋体" w:cs="Times New Roman"/>
          <w:color w:val="auto"/>
          <w:kern w:val="0"/>
          <w:szCs w:val="24"/>
          <w:highlight w:val="none"/>
        </w:rPr>
        <w:t>起计算，承发包双方应在</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约定缺陷责任期的具体期限，但该期限最长不超过24个月。</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w:t>
      </w:r>
      <w:r>
        <w:rPr>
          <w:rFonts w:hint="eastAsia" w:ascii="宋体" w:hAnsi="宋体" w:eastAsia="宋体" w:cs="Times New Roman"/>
          <w:color w:val="auto"/>
          <w:kern w:val="0"/>
          <w:szCs w:val="24"/>
          <w:highlight w:val="none"/>
        </w:rPr>
        <w:t>第91天（含）</w:t>
      </w:r>
      <w:r>
        <w:rPr>
          <w:rFonts w:ascii="宋体" w:hAnsi="宋体" w:eastAsia="宋体" w:cs="Times New Roman"/>
          <w:color w:val="auto"/>
          <w:kern w:val="0"/>
          <w:szCs w:val="24"/>
          <w:highlight w:val="none"/>
        </w:rPr>
        <w:t>开始计算；发包人未经竣工验收擅自使用工程的，缺陷责任期自工程转移占有之日起开始计算。</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任何一项缺陷或损坏修复后，经检查证明其影响了工程或工程设备的使用性能，承包人应重新进行合同约定的试验和试运行，试验和试运行的全部费用应由责任方承担。</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w:t>
      </w:r>
      <w:r>
        <w:rPr>
          <w:rFonts w:ascii="宋体" w:hAnsi="宋体" w:eastAsia="宋体" w:cs="Times New Roman"/>
          <w:color w:val="auto"/>
          <w:kern w:val="0"/>
          <w:szCs w:val="24"/>
          <w:highlight w:val="none"/>
        </w:rPr>
        <w:t>除</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另有约定外，承包人应于缺陷责任期届满后7天内向发包人发出缺陷责任期</w:t>
      </w:r>
      <w:r>
        <w:rPr>
          <w:rFonts w:hint="eastAsia" w:ascii="宋体" w:hAnsi="宋体" w:eastAsia="宋体" w:cs="Times New Roman"/>
          <w:color w:val="auto"/>
          <w:kern w:val="0"/>
          <w:szCs w:val="24"/>
          <w:highlight w:val="none"/>
        </w:rPr>
        <w:t>届</w:t>
      </w:r>
      <w:r>
        <w:rPr>
          <w:rFonts w:ascii="宋体" w:hAnsi="宋体" w:eastAsia="宋体" w:cs="Times New Roman"/>
          <w:color w:val="auto"/>
          <w:kern w:val="0"/>
          <w:szCs w:val="24"/>
          <w:highlight w:val="none"/>
        </w:rPr>
        <w:t>满通知，发包人应在</w:t>
      </w:r>
      <w:r>
        <w:rPr>
          <w:rFonts w:hint="eastAsia" w:ascii="宋体" w:hAnsi="宋体" w:eastAsia="宋体" w:cs="Times New Roman"/>
          <w:color w:val="auto"/>
          <w:kern w:val="0"/>
          <w:szCs w:val="24"/>
          <w:highlight w:val="none"/>
        </w:rPr>
        <w:t>收</w:t>
      </w:r>
      <w:r>
        <w:rPr>
          <w:rFonts w:ascii="宋体" w:hAnsi="宋体" w:eastAsia="宋体" w:cs="Times New Roman"/>
          <w:color w:val="auto"/>
          <w:kern w:val="0"/>
          <w:szCs w:val="24"/>
          <w:highlight w:val="none"/>
        </w:rPr>
        <w:t>到缺陷责任期满通知后14天内核实承包人是否履行缺陷</w:t>
      </w:r>
      <w:r>
        <w:rPr>
          <w:rFonts w:hint="eastAsia" w:ascii="宋体" w:hAnsi="宋体" w:eastAsia="宋体" w:cs="Times New Roman"/>
          <w:color w:val="auto"/>
          <w:kern w:val="0"/>
          <w:szCs w:val="24"/>
          <w:highlight w:val="none"/>
        </w:rPr>
        <w:t>修复</w:t>
      </w:r>
      <w:r>
        <w:rPr>
          <w:rFonts w:ascii="宋体" w:hAnsi="宋体" w:eastAsia="宋体" w:cs="Times New Roman"/>
          <w:color w:val="auto"/>
          <w:kern w:val="0"/>
          <w:szCs w:val="24"/>
          <w:highlight w:val="none"/>
        </w:rPr>
        <w:t>义务，承包人未能履行缺陷</w:t>
      </w:r>
      <w:r>
        <w:rPr>
          <w:rFonts w:hint="eastAsia" w:ascii="宋体" w:hAnsi="宋体" w:eastAsia="宋体" w:cs="Times New Roman"/>
          <w:color w:val="auto"/>
          <w:kern w:val="0"/>
          <w:szCs w:val="24"/>
          <w:highlight w:val="none"/>
        </w:rPr>
        <w:t>修复</w:t>
      </w:r>
      <w:r>
        <w:rPr>
          <w:rFonts w:ascii="宋体" w:hAnsi="宋体" w:eastAsia="宋体" w:cs="Times New Roman"/>
          <w:color w:val="auto"/>
          <w:kern w:val="0"/>
          <w:szCs w:val="24"/>
          <w:highlight w:val="none"/>
        </w:rPr>
        <w:t>义务的，发包人有权扣除相应金额的维修费用。发包人应在</w:t>
      </w:r>
      <w:r>
        <w:rPr>
          <w:rFonts w:hint="eastAsia" w:ascii="宋体" w:hAnsi="宋体" w:eastAsia="宋体" w:cs="Times New Roman"/>
          <w:color w:val="auto"/>
          <w:kern w:val="0"/>
          <w:szCs w:val="24"/>
          <w:highlight w:val="none"/>
        </w:rPr>
        <w:t>收到</w:t>
      </w:r>
      <w:r>
        <w:rPr>
          <w:rFonts w:ascii="宋体" w:hAnsi="宋体" w:eastAsia="宋体" w:cs="Times New Roman"/>
          <w:color w:val="auto"/>
          <w:kern w:val="0"/>
          <w:szCs w:val="24"/>
          <w:highlight w:val="none"/>
        </w:rPr>
        <w:t>缺陷责任期</w:t>
      </w:r>
      <w:r>
        <w:rPr>
          <w:rFonts w:hint="eastAsia" w:ascii="宋体" w:hAnsi="宋体" w:eastAsia="宋体" w:cs="Times New Roman"/>
          <w:color w:val="auto"/>
          <w:kern w:val="0"/>
          <w:szCs w:val="24"/>
          <w:highlight w:val="none"/>
        </w:rPr>
        <w:t>届</w:t>
      </w:r>
      <w:r>
        <w:rPr>
          <w:rFonts w:ascii="宋体" w:hAnsi="宋体" w:eastAsia="宋体" w:cs="Times New Roman"/>
          <w:color w:val="auto"/>
          <w:kern w:val="0"/>
          <w:szCs w:val="24"/>
          <w:highlight w:val="none"/>
        </w:rPr>
        <w:t>满</w:t>
      </w:r>
      <w:r>
        <w:rPr>
          <w:rFonts w:hint="eastAsia" w:ascii="宋体" w:hAnsi="宋体" w:eastAsia="宋体" w:cs="Times New Roman"/>
          <w:color w:val="auto"/>
          <w:kern w:val="0"/>
          <w:szCs w:val="24"/>
          <w:highlight w:val="none"/>
        </w:rPr>
        <w:t>通知后</w:t>
      </w:r>
      <w:r>
        <w:rPr>
          <w:rFonts w:ascii="宋体" w:hAnsi="宋体" w:eastAsia="宋体" w:cs="Times New Roman"/>
          <w:color w:val="auto"/>
          <w:kern w:val="0"/>
          <w:szCs w:val="24"/>
          <w:highlight w:val="none"/>
        </w:rPr>
        <w:t>14天内，向承包人颁发缺陷责任期终止证</w:t>
      </w:r>
      <w:r>
        <w:rPr>
          <w:rFonts w:hint="eastAsia" w:ascii="宋体" w:hAnsi="宋体" w:eastAsia="宋体" w:cs="Times New Roman"/>
          <w:color w:val="auto"/>
          <w:kern w:val="0"/>
          <w:szCs w:val="24"/>
          <w:highlight w:val="none"/>
        </w:rPr>
        <w:t>书</w:t>
      </w:r>
      <w:r>
        <w:rPr>
          <w:rFonts w:ascii="宋体" w:hAnsi="宋体" w:eastAsia="宋体" w:cs="Times New Roman"/>
          <w:color w:val="auto"/>
          <w:kern w:val="0"/>
          <w:szCs w:val="24"/>
          <w:highlight w:val="none"/>
        </w:rPr>
        <w:t>。</w:t>
      </w:r>
    </w:p>
    <w:bookmarkEnd w:id="2918"/>
    <w:bookmarkEnd w:id="2919"/>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2920" w:name="_Toc29426"/>
      <w:bookmarkStart w:id="2921" w:name="_Toc24795"/>
      <w:bookmarkStart w:id="2922" w:name="_Toc1911"/>
      <w:bookmarkStart w:id="2923" w:name="_Toc302635913"/>
      <w:bookmarkStart w:id="2924" w:name="_Toc10076"/>
      <w:bookmarkStart w:id="2925" w:name="_Toc23018"/>
      <w:bookmarkStart w:id="2926" w:name="_Toc18070"/>
      <w:bookmarkStart w:id="2927" w:name="_Toc11382"/>
      <w:bookmarkStart w:id="2928" w:name="_Toc32639"/>
      <w:bookmarkStart w:id="2929" w:name="_Toc24317"/>
      <w:r>
        <w:rPr>
          <w:rFonts w:hint="eastAsia" w:ascii="宋体" w:hAnsi="宋体" w:eastAsia="宋体" w:cs="Times New Roman"/>
          <w:b/>
          <w:bCs/>
          <w:color w:val="auto"/>
          <w:kern w:val="0"/>
          <w:sz w:val="24"/>
          <w:szCs w:val="24"/>
          <w:highlight w:val="none"/>
          <w:lang w:val="en-US" w:eastAsia="zh-CN" w:bidi="ar-SA"/>
        </w:rPr>
        <w:t>质量保证金</w:t>
      </w:r>
      <w:bookmarkEnd w:id="2920"/>
      <w:bookmarkEnd w:id="2921"/>
      <w:bookmarkEnd w:id="2922"/>
      <w:bookmarkEnd w:id="2923"/>
      <w:bookmarkEnd w:id="2924"/>
      <w:bookmarkEnd w:id="2925"/>
      <w:bookmarkEnd w:id="2926"/>
      <w:bookmarkEnd w:id="2927"/>
      <w:bookmarkEnd w:id="2928"/>
      <w:bookmarkEnd w:id="2929"/>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⑴经承发包双方协商一致扣留质量保证金的，应在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中予以明确。</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⑵承包人提供</w:t>
      </w:r>
      <w:r>
        <w:rPr>
          <w:rFonts w:ascii="宋体" w:hAnsi="宋体" w:eastAsia="宋体" w:cs="Times New Roman"/>
          <w:color w:val="auto"/>
          <w:kern w:val="0"/>
          <w:szCs w:val="24"/>
          <w:highlight w:val="none"/>
        </w:rPr>
        <w:t>质量保证金</w:t>
      </w:r>
      <w:r>
        <w:rPr>
          <w:rFonts w:hint="eastAsia" w:ascii="宋体" w:hAnsi="宋体" w:eastAsia="宋体" w:cs="Times New Roman"/>
          <w:color w:val="auto"/>
          <w:kern w:val="0"/>
          <w:szCs w:val="24"/>
          <w:highlight w:val="none"/>
        </w:rPr>
        <w:t>有</w:t>
      </w:r>
      <w:r>
        <w:rPr>
          <w:rFonts w:ascii="宋体" w:hAnsi="宋体" w:eastAsia="宋体" w:cs="Times New Roman"/>
          <w:color w:val="auto"/>
          <w:kern w:val="0"/>
          <w:szCs w:val="24"/>
          <w:highlight w:val="none"/>
        </w:rPr>
        <w:t>以下</w:t>
      </w:r>
      <w:r>
        <w:rPr>
          <w:rFonts w:hint="eastAsia" w:ascii="宋体" w:hAnsi="宋体" w:eastAsia="宋体" w:cs="Times New Roman"/>
          <w:color w:val="auto"/>
          <w:kern w:val="0"/>
          <w:szCs w:val="24"/>
          <w:highlight w:val="none"/>
        </w:rPr>
        <w:t>三种方</w:t>
      </w:r>
      <w:r>
        <w:rPr>
          <w:rFonts w:ascii="宋体" w:hAnsi="宋体" w:eastAsia="宋体" w:cs="Times New Roman"/>
          <w:color w:val="auto"/>
          <w:kern w:val="0"/>
          <w:szCs w:val="24"/>
          <w:highlight w:val="none"/>
        </w:rPr>
        <w:t>式：</w:t>
      </w:r>
    </w:p>
    <w:p>
      <w:pPr>
        <w:tabs>
          <w:tab w:val="left" w:pos="1620"/>
          <w:tab w:val="left" w:pos="2340"/>
        </w:tabs>
        <w:ind w:left="1109" w:leftChars="528"/>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w:t>
      </w:r>
      <w:r>
        <w:rPr>
          <w:rFonts w:ascii="宋体" w:hAnsi="宋体" w:eastAsia="宋体" w:cs="Times New Roman"/>
          <w:color w:val="auto"/>
          <w:kern w:val="0"/>
          <w:szCs w:val="24"/>
          <w:highlight w:val="none"/>
        </w:rPr>
        <w:t xml:space="preserve">质量保证金保函； </w:t>
      </w:r>
    </w:p>
    <w:p>
      <w:pPr>
        <w:tabs>
          <w:tab w:val="left" w:pos="1620"/>
          <w:tab w:val="left" w:pos="2340"/>
        </w:tabs>
        <w:ind w:left="1109" w:leftChars="528"/>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w:t>
      </w:r>
      <w:r>
        <w:rPr>
          <w:rFonts w:ascii="宋体" w:hAnsi="宋体" w:eastAsia="宋体" w:cs="Times New Roman"/>
          <w:color w:val="auto"/>
          <w:kern w:val="0"/>
          <w:szCs w:val="24"/>
          <w:highlight w:val="none"/>
        </w:rPr>
        <w:t>相应比例的工程款；</w:t>
      </w:r>
    </w:p>
    <w:p>
      <w:pPr>
        <w:tabs>
          <w:tab w:val="left" w:pos="1620"/>
          <w:tab w:val="left" w:pos="2340"/>
        </w:tabs>
        <w:ind w:left="1109" w:leftChars="528"/>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w:t>
      </w:r>
      <w:r>
        <w:rPr>
          <w:rFonts w:ascii="宋体" w:hAnsi="宋体" w:eastAsia="宋体" w:cs="Times New Roman"/>
          <w:color w:val="auto"/>
          <w:kern w:val="0"/>
          <w:szCs w:val="24"/>
          <w:highlight w:val="none"/>
        </w:rPr>
        <w:t>双方约定的其他</w:t>
      </w:r>
      <w:r>
        <w:rPr>
          <w:rFonts w:hint="eastAsia" w:ascii="宋体" w:hAnsi="宋体" w:eastAsia="宋体" w:cs="Times New Roman"/>
          <w:color w:val="auto"/>
          <w:kern w:val="0"/>
          <w:szCs w:val="24"/>
          <w:highlight w:val="none"/>
        </w:rPr>
        <w:t>方</w:t>
      </w:r>
      <w:r>
        <w:rPr>
          <w:rFonts w:ascii="宋体" w:hAnsi="宋体" w:eastAsia="宋体" w:cs="Times New Roman"/>
          <w:color w:val="auto"/>
          <w:kern w:val="0"/>
          <w:szCs w:val="24"/>
          <w:highlight w:val="none"/>
        </w:rPr>
        <w:t>式</w:t>
      </w:r>
      <w:r>
        <w:rPr>
          <w:rFonts w:hint="eastAsia" w:ascii="宋体" w:hAnsi="宋体" w:eastAsia="宋体" w:cs="Times New Roman"/>
          <w:color w:val="auto"/>
          <w:kern w:val="0"/>
          <w:szCs w:val="24"/>
          <w:highlight w:val="none"/>
        </w:rPr>
        <w:t>（保险等）</w:t>
      </w:r>
      <w:r>
        <w:rPr>
          <w:rFonts w:ascii="宋体" w:hAnsi="宋体" w:eastAsia="宋体" w:cs="Times New Roman"/>
          <w:color w:val="auto"/>
          <w:kern w:val="0"/>
          <w:szCs w:val="24"/>
          <w:highlight w:val="none"/>
        </w:rPr>
        <w:t>。</w:t>
      </w:r>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除</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另有约定外，质量保证金</w:t>
      </w:r>
      <w:r>
        <w:rPr>
          <w:rFonts w:hint="eastAsia" w:ascii="宋体" w:hAnsi="宋体" w:eastAsia="宋体" w:cs="Times New Roman"/>
          <w:color w:val="auto"/>
          <w:kern w:val="0"/>
          <w:szCs w:val="24"/>
          <w:highlight w:val="none"/>
        </w:rPr>
        <w:t>原则上</w:t>
      </w:r>
      <w:r>
        <w:rPr>
          <w:rFonts w:ascii="宋体" w:hAnsi="宋体" w:eastAsia="宋体" w:cs="Times New Roman"/>
          <w:color w:val="auto"/>
          <w:kern w:val="0"/>
          <w:szCs w:val="24"/>
          <w:highlight w:val="none"/>
        </w:rPr>
        <w:t>采</w:t>
      </w:r>
      <w:r>
        <w:rPr>
          <w:rFonts w:hint="eastAsia" w:ascii="宋体" w:hAnsi="宋体" w:eastAsia="宋体" w:cs="Times New Roman"/>
          <w:color w:val="auto"/>
          <w:kern w:val="0"/>
          <w:szCs w:val="24"/>
          <w:highlight w:val="none"/>
        </w:rPr>
        <w:t>用上述</w:t>
      </w:r>
      <w:r>
        <w:rPr>
          <w:rFonts w:ascii="宋体" w:hAnsi="宋体" w:eastAsia="宋体" w:cs="Times New Roman"/>
          <w:color w:val="auto"/>
          <w:kern w:val="0"/>
          <w:szCs w:val="24"/>
          <w:highlight w:val="none"/>
        </w:rPr>
        <w:t>第</w:t>
      </w:r>
      <w:r>
        <w:rPr>
          <w:rFonts w:hint="eastAsia" w:ascii="宋体" w:hAnsi="宋体" w:eastAsia="宋体" w:cs="Times New Roman"/>
          <w:color w:val="auto"/>
          <w:kern w:val="0"/>
          <w:szCs w:val="24"/>
          <w:highlight w:val="none"/>
        </w:rPr>
        <w:t>①</w:t>
      </w:r>
      <w:r>
        <w:rPr>
          <w:rFonts w:ascii="宋体" w:hAnsi="宋体" w:eastAsia="宋体" w:cs="Times New Roman"/>
          <w:color w:val="auto"/>
          <w:kern w:val="0"/>
          <w:szCs w:val="24"/>
          <w:highlight w:val="none"/>
        </w:rPr>
        <w:t>种</w:t>
      </w:r>
      <w:r>
        <w:rPr>
          <w:rFonts w:hint="eastAsia" w:ascii="宋体" w:hAnsi="宋体" w:eastAsia="宋体" w:cs="Times New Roman"/>
          <w:color w:val="auto"/>
          <w:kern w:val="0"/>
          <w:szCs w:val="24"/>
          <w:highlight w:val="none"/>
        </w:rPr>
        <w:t>方式。</w:t>
      </w:r>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质量保证金</w:t>
      </w:r>
      <w:r>
        <w:rPr>
          <w:rFonts w:hint="eastAsia" w:ascii="宋体" w:hAnsi="宋体" w:eastAsia="宋体" w:cs="Times New Roman"/>
          <w:color w:val="auto"/>
          <w:kern w:val="0"/>
          <w:szCs w:val="24"/>
          <w:highlight w:val="none"/>
        </w:rPr>
        <w:t>的</w:t>
      </w:r>
      <w:r>
        <w:rPr>
          <w:rFonts w:ascii="宋体" w:hAnsi="宋体" w:eastAsia="宋体" w:cs="Times New Roman"/>
          <w:color w:val="auto"/>
          <w:kern w:val="0"/>
          <w:szCs w:val="24"/>
          <w:highlight w:val="none"/>
        </w:rPr>
        <w:t>扣留</w:t>
      </w:r>
      <w:r>
        <w:rPr>
          <w:rFonts w:hint="eastAsia" w:ascii="宋体" w:hAnsi="宋体" w:eastAsia="宋体" w:cs="Times New Roman"/>
          <w:color w:val="auto"/>
          <w:kern w:val="0"/>
          <w:szCs w:val="24"/>
          <w:highlight w:val="none"/>
        </w:rPr>
        <w:t>有</w:t>
      </w:r>
      <w:r>
        <w:rPr>
          <w:rFonts w:ascii="宋体" w:hAnsi="宋体" w:eastAsia="宋体" w:cs="Times New Roman"/>
          <w:color w:val="auto"/>
          <w:kern w:val="0"/>
          <w:szCs w:val="24"/>
          <w:highlight w:val="none"/>
        </w:rPr>
        <w:t>以下</w:t>
      </w:r>
      <w:r>
        <w:rPr>
          <w:rFonts w:hint="eastAsia" w:ascii="宋体" w:hAnsi="宋体" w:eastAsia="宋体" w:cs="Times New Roman"/>
          <w:color w:val="auto"/>
          <w:kern w:val="0"/>
          <w:szCs w:val="24"/>
          <w:highlight w:val="none"/>
        </w:rPr>
        <w:t>三</w:t>
      </w:r>
      <w:r>
        <w:rPr>
          <w:rFonts w:ascii="宋体" w:hAnsi="宋体" w:eastAsia="宋体" w:cs="Times New Roman"/>
          <w:color w:val="auto"/>
          <w:kern w:val="0"/>
          <w:szCs w:val="24"/>
          <w:highlight w:val="none"/>
        </w:rPr>
        <w:t>种</w:t>
      </w:r>
      <w:r>
        <w:rPr>
          <w:rFonts w:hint="eastAsia" w:ascii="宋体" w:hAnsi="宋体" w:eastAsia="宋体" w:cs="Times New Roman"/>
          <w:color w:val="auto"/>
          <w:kern w:val="0"/>
          <w:szCs w:val="24"/>
          <w:highlight w:val="none"/>
        </w:rPr>
        <w:t>方式</w:t>
      </w:r>
      <w:r>
        <w:rPr>
          <w:rFonts w:ascii="宋体" w:hAnsi="宋体" w:eastAsia="宋体" w:cs="Times New Roman"/>
          <w:color w:val="auto"/>
          <w:kern w:val="0"/>
          <w:szCs w:val="24"/>
          <w:highlight w:val="none"/>
        </w:rPr>
        <w:t>：</w:t>
      </w:r>
    </w:p>
    <w:p>
      <w:pPr>
        <w:tabs>
          <w:tab w:val="left" w:pos="1620"/>
          <w:tab w:val="left" w:pos="2340"/>
        </w:tabs>
        <w:ind w:left="1109" w:leftChars="528"/>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①</w:t>
      </w:r>
      <w:r>
        <w:rPr>
          <w:rFonts w:ascii="宋体" w:hAnsi="宋体" w:eastAsia="宋体" w:cs="Times New Roman"/>
          <w:color w:val="auto"/>
          <w:kern w:val="0"/>
          <w:szCs w:val="24"/>
          <w:highlight w:val="none"/>
        </w:rPr>
        <w:t>在支付工程进度款时逐次扣留，在此情形下，质量保证金的计算基数不包括预付款的支付、扣回以及价格调整的金额；</w:t>
      </w:r>
    </w:p>
    <w:p>
      <w:pPr>
        <w:tabs>
          <w:tab w:val="left" w:pos="1620"/>
          <w:tab w:val="left" w:pos="2340"/>
        </w:tabs>
        <w:ind w:left="1109" w:leftChars="528"/>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②</w:t>
      </w:r>
      <w:r>
        <w:rPr>
          <w:rFonts w:ascii="宋体" w:hAnsi="宋体" w:eastAsia="宋体" w:cs="Times New Roman"/>
          <w:color w:val="auto"/>
          <w:kern w:val="0"/>
          <w:szCs w:val="24"/>
          <w:highlight w:val="none"/>
        </w:rPr>
        <w:t>工</w:t>
      </w:r>
      <w:bookmarkStart w:id="2930" w:name="#go6"/>
      <w:bookmarkEnd w:id="2930"/>
      <w:r>
        <w:rPr>
          <w:rFonts w:ascii="宋体" w:hAnsi="宋体" w:eastAsia="宋体" w:cs="Times New Roman"/>
          <w:color w:val="auto"/>
          <w:kern w:val="0"/>
          <w:szCs w:val="24"/>
          <w:highlight w:val="none"/>
        </w:rPr>
        <w:t>程竣工结算时一次性扣留质量保证金；</w:t>
      </w:r>
    </w:p>
    <w:p>
      <w:pPr>
        <w:tabs>
          <w:tab w:val="left" w:pos="1620"/>
          <w:tab w:val="left" w:pos="2340"/>
        </w:tabs>
        <w:ind w:left="1109" w:leftChars="528"/>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③</w:t>
      </w:r>
      <w:r>
        <w:rPr>
          <w:rFonts w:ascii="宋体" w:hAnsi="宋体" w:eastAsia="宋体" w:cs="Times New Roman"/>
          <w:color w:val="auto"/>
          <w:kern w:val="0"/>
          <w:szCs w:val="24"/>
          <w:highlight w:val="none"/>
        </w:rPr>
        <w:t>双方约定的其他扣留方式。</w:t>
      </w:r>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除</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另有约定外，质量保证金</w:t>
      </w:r>
      <w:r>
        <w:rPr>
          <w:rFonts w:hint="eastAsia" w:ascii="宋体" w:hAnsi="宋体" w:eastAsia="宋体" w:cs="Times New Roman"/>
          <w:color w:val="auto"/>
          <w:kern w:val="0"/>
          <w:szCs w:val="24"/>
          <w:highlight w:val="none"/>
        </w:rPr>
        <w:t>的</w:t>
      </w:r>
      <w:r>
        <w:rPr>
          <w:rFonts w:ascii="宋体" w:hAnsi="宋体" w:eastAsia="宋体" w:cs="Times New Roman"/>
          <w:color w:val="auto"/>
          <w:kern w:val="0"/>
          <w:szCs w:val="24"/>
          <w:highlight w:val="none"/>
        </w:rPr>
        <w:t>扣留</w:t>
      </w:r>
      <w:r>
        <w:rPr>
          <w:rFonts w:hint="eastAsia" w:ascii="宋体" w:hAnsi="宋体" w:eastAsia="宋体" w:cs="Times New Roman"/>
          <w:color w:val="auto"/>
          <w:kern w:val="0"/>
          <w:szCs w:val="24"/>
          <w:highlight w:val="none"/>
        </w:rPr>
        <w:t>原则上</w:t>
      </w:r>
      <w:r>
        <w:rPr>
          <w:rFonts w:ascii="宋体" w:hAnsi="宋体" w:eastAsia="宋体" w:cs="Times New Roman"/>
          <w:color w:val="auto"/>
          <w:kern w:val="0"/>
          <w:szCs w:val="24"/>
          <w:highlight w:val="none"/>
        </w:rPr>
        <w:t>采</w:t>
      </w:r>
      <w:r>
        <w:rPr>
          <w:rFonts w:hint="eastAsia" w:ascii="宋体" w:hAnsi="宋体" w:eastAsia="宋体" w:cs="Times New Roman"/>
          <w:color w:val="auto"/>
          <w:kern w:val="0"/>
          <w:szCs w:val="24"/>
          <w:highlight w:val="none"/>
        </w:rPr>
        <w:t>用上述</w:t>
      </w:r>
      <w:r>
        <w:rPr>
          <w:rFonts w:ascii="宋体" w:hAnsi="宋体" w:eastAsia="宋体" w:cs="Times New Roman"/>
          <w:color w:val="auto"/>
          <w:kern w:val="0"/>
          <w:szCs w:val="24"/>
          <w:highlight w:val="none"/>
        </w:rPr>
        <w:t>第</w:t>
      </w:r>
      <w:r>
        <w:rPr>
          <w:rFonts w:hint="eastAsia" w:ascii="宋体" w:hAnsi="宋体" w:eastAsia="宋体" w:cs="Times New Roman"/>
          <w:color w:val="auto"/>
          <w:kern w:val="0"/>
          <w:szCs w:val="24"/>
          <w:highlight w:val="none"/>
        </w:rPr>
        <w:t>①</w:t>
      </w:r>
      <w:r>
        <w:rPr>
          <w:rFonts w:ascii="宋体" w:hAnsi="宋体" w:eastAsia="宋体" w:cs="Times New Roman"/>
          <w:color w:val="auto"/>
          <w:kern w:val="0"/>
          <w:szCs w:val="24"/>
          <w:highlight w:val="none"/>
        </w:rPr>
        <w:t>种方式</w:t>
      </w:r>
      <w:r>
        <w:rPr>
          <w:rFonts w:hint="eastAsia" w:ascii="宋体" w:hAnsi="宋体" w:eastAsia="宋体" w:cs="Times New Roman"/>
          <w:color w:val="auto"/>
          <w:kern w:val="0"/>
          <w:szCs w:val="24"/>
          <w:highlight w:val="none"/>
        </w:rPr>
        <w:t>。但在工程项目竣工前，承包人已提供履约担保的，发包人不得同时预留质量保证金。</w:t>
      </w:r>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发</w:t>
      </w:r>
      <w:bookmarkStart w:id="2931" w:name="#go4"/>
      <w:bookmarkEnd w:id="2931"/>
      <w:r>
        <w:rPr>
          <w:rFonts w:ascii="宋体" w:hAnsi="宋体" w:eastAsia="宋体" w:cs="Times New Roman"/>
          <w:color w:val="auto"/>
          <w:kern w:val="0"/>
          <w:szCs w:val="24"/>
          <w:highlight w:val="none"/>
        </w:rPr>
        <w:t>包人累计扣留的质量保证金不得超过结算合同价格的</w:t>
      </w:r>
      <w:r>
        <w:rPr>
          <w:rFonts w:hint="eastAsia" w:ascii="宋体" w:hAnsi="宋体" w:eastAsia="宋体" w:cs="Times New Roman"/>
          <w:color w:val="auto"/>
          <w:kern w:val="0"/>
          <w:szCs w:val="24"/>
          <w:highlight w:val="none"/>
        </w:rPr>
        <w:t>3</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以银行保函替代预留保证金的，保函金额不得超过结算合同价格的3%。如</w:t>
      </w:r>
      <w:r>
        <w:rPr>
          <w:rFonts w:ascii="宋体" w:hAnsi="宋体" w:eastAsia="宋体" w:cs="Times New Roman"/>
          <w:color w:val="auto"/>
          <w:kern w:val="0"/>
          <w:szCs w:val="24"/>
          <w:highlight w:val="none"/>
        </w:rPr>
        <w:t>承包人在发包人签发竣工付款证书后28天内提交质量保证金保函，发包人应同时退还扣留的作为质量保证金的工程价款。</w:t>
      </w:r>
    </w:p>
    <w:p>
      <w:pPr>
        <w:tabs>
          <w:tab w:val="left" w:pos="1620"/>
          <w:tab w:val="left" w:pos="2340"/>
        </w:tabs>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⑷发包人应</w:t>
      </w:r>
      <w:r>
        <w:rPr>
          <w:rFonts w:ascii="宋体" w:hAnsi="宋体" w:eastAsia="宋体" w:cs="Times New Roman"/>
          <w:color w:val="auto"/>
          <w:kern w:val="0"/>
          <w:szCs w:val="24"/>
          <w:highlight w:val="none"/>
        </w:rPr>
        <w:t>按</w:t>
      </w:r>
      <w:r>
        <w:rPr>
          <w:rFonts w:hint="eastAsia" w:ascii="宋体" w:hAnsi="宋体" w:eastAsia="宋体" w:cs="Times New Roman"/>
          <w:color w:val="auto"/>
          <w:kern w:val="0"/>
          <w:szCs w:val="24"/>
          <w:highlight w:val="none"/>
          <w:lang w:val="en-US" w:eastAsia="zh-CN"/>
        </w:rPr>
        <w:t>28</w:t>
      </w:r>
      <w:r>
        <w:rPr>
          <w:rFonts w:ascii="宋体" w:hAnsi="宋体" w:eastAsia="宋体" w:cs="Times New Roman"/>
          <w:color w:val="auto"/>
          <w:kern w:val="0"/>
          <w:szCs w:val="24"/>
          <w:highlight w:val="none"/>
        </w:rPr>
        <w:t>.</w:t>
      </w:r>
      <w:r>
        <w:rPr>
          <w:rFonts w:hint="eastAsia" w:ascii="宋体" w:hAnsi="宋体" w:eastAsia="宋体" w:cs="Times New Roman"/>
          <w:color w:val="auto"/>
          <w:kern w:val="0"/>
          <w:szCs w:val="24"/>
          <w:highlight w:val="none"/>
        </w:rPr>
        <w:t>8</w:t>
      </w:r>
      <w:r>
        <w:rPr>
          <w:rFonts w:ascii="宋体" w:hAnsi="宋体" w:eastAsia="宋体" w:cs="Times New Roman"/>
          <w:color w:val="auto"/>
          <w:kern w:val="0"/>
          <w:szCs w:val="24"/>
          <w:highlight w:val="none"/>
        </w:rPr>
        <w:t>款</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最终结清</w:t>
      </w:r>
      <w:r>
        <w:rPr>
          <w:rFonts w:hint="eastAsia" w:ascii="宋体" w:hAnsi="宋体" w:eastAsia="宋体" w:cs="Times New Roman"/>
          <w:color w:val="auto"/>
          <w:kern w:val="0"/>
          <w:szCs w:val="24"/>
          <w:highlight w:val="none"/>
        </w:rPr>
        <w:t>申请〕的</w:t>
      </w:r>
      <w:r>
        <w:rPr>
          <w:rFonts w:ascii="宋体" w:hAnsi="宋体" w:eastAsia="宋体" w:cs="Times New Roman"/>
          <w:color w:val="auto"/>
          <w:kern w:val="0"/>
          <w:szCs w:val="24"/>
          <w:highlight w:val="none"/>
        </w:rPr>
        <w:t>约定</w:t>
      </w:r>
      <w:r>
        <w:rPr>
          <w:rFonts w:hint="eastAsia" w:ascii="宋体" w:hAnsi="宋体" w:eastAsia="宋体" w:cs="Times New Roman"/>
          <w:color w:val="auto"/>
          <w:kern w:val="0"/>
          <w:szCs w:val="24"/>
          <w:highlight w:val="none"/>
        </w:rPr>
        <w:t>退还</w:t>
      </w:r>
      <w:r>
        <w:rPr>
          <w:rFonts w:ascii="宋体" w:hAnsi="宋体" w:eastAsia="宋体" w:cs="Times New Roman"/>
          <w:color w:val="auto"/>
          <w:kern w:val="0"/>
          <w:szCs w:val="24"/>
          <w:highlight w:val="none"/>
        </w:rPr>
        <w:t>质量保证金。</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932" w:name="_Toc27451"/>
      <w:bookmarkStart w:id="2933" w:name="_Toc30480"/>
      <w:bookmarkStart w:id="2934" w:name="_Toc26901"/>
      <w:bookmarkStart w:id="2935" w:name="_Toc26056"/>
      <w:bookmarkStart w:id="2936" w:name="_Toc20564"/>
      <w:bookmarkStart w:id="2937" w:name="_Toc18537"/>
      <w:bookmarkStart w:id="2938" w:name="_Toc22320"/>
      <w:bookmarkStart w:id="2939" w:name="_Toc11866"/>
      <w:bookmarkStart w:id="2940" w:name="_Toc2538"/>
      <w:r>
        <w:rPr>
          <w:rFonts w:ascii="宋体" w:hAnsi="宋体" w:eastAsia="宋体" w:cs="Times New Roman"/>
          <w:b/>
          <w:bCs/>
          <w:color w:val="auto"/>
          <w:kern w:val="0"/>
          <w:sz w:val="24"/>
          <w:szCs w:val="24"/>
          <w:highlight w:val="none"/>
          <w:lang w:val="en-US" w:eastAsia="zh-CN" w:bidi="ar-SA"/>
        </w:rPr>
        <w:t>保修责任</w:t>
      </w:r>
      <w:bookmarkEnd w:id="2932"/>
      <w:bookmarkEnd w:id="2933"/>
      <w:bookmarkEnd w:id="2934"/>
      <w:bookmarkEnd w:id="2935"/>
      <w:bookmarkEnd w:id="2936"/>
      <w:bookmarkEnd w:id="2937"/>
      <w:bookmarkEnd w:id="2938"/>
      <w:bookmarkEnd w:id="2939"/>
      <w:bookmarkEnd w:id="2940"/>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工程保修期从工程竣工验收合格之日起算，具体分部分项工程的保修期由</w:t>
      </w:r>
      <w:r>
        <w:rPr>
          <w:rFonts w:hint="eastAsia" w:ascii="宋体" w:hAnsi="宋体" w:eastAsia="宋体" w:cs="Times New Roman"/>
          <w:color w:val="auto"/>
          <w:kern w:val="0"/>
          <w:szCs w:val="24"/>
          <w:highlight w:val="none"/>
        </w:rPr>
        <w:t>承发包双方</w:t>
      </w:r>
      <w:r>
        <w:rPr>
          <w:rFonts w:ascii="宋体" w:hAnsi="宋体" w:eastAsia="宋体" w:cs="Times New Roman"/>
          <w:color w:val="auto"/>
          <w:kern w:val="0"/>
          <w:szCs w:val="24"/>
          <w:highlight w:val="none"/>
        </w:rPr>
        <w:t>在</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中约定，但不得低于法定最低保修年限。在工程保修期内，承包人应当根据有关法律规定以及合同约定承担保修责任。</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发包人未经竣工验收擅自使用工程的，保修期自转移占有之日起算。</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941" w:name="_Toc11075"/>
      <w:bookmarkStart w:id="2942" w:name="_Toc8773"/>
      <w:bookmarkStart w:id="2943" w:name="_Toc16103"/>
      <w:bookmarkStart w:id="2944" w:name="_Toc6129"/>
      <w:bookmarkStart w:id="2945" w:name="_Toc24540"/>
      <w:bookmarkStart w:id="2946" w:name="_Toc28219"/>
      <w:bookmarkStart w:id="2947" w:name="_Toc24455"/>
      <w:bookmarkStart w:id="2948" w:name="_Toc4852"/>
      <w:bookmarkStart w:id="2949" w:name="_Toc22342"/>
      <w:r>
        <w:rPr>
          <w:rFonts w:ascii="宋体" w:hAnsi="宋体" w:eastAsia="宋体" w:cs="Times New Roman"/>
          <w:b/>
          <w:bCs/>
          <w:color w:val="auto"/>
          <w:kern w:val="0"/>
          <w:sz w:val="24"/>
          <w:szCs w:val="24"/>
          <w:highlight w:val="none"/>
          <w:lang w:val="en-US" w:eastAsia="zh-CN" w:bidi="ar-SA"/>
        </w:rPr>
        <w:t>修复费用</w:t>
      </w:r>
      <w:bookmarkEnd w:id="2941"/>
      <w:bookmarkEnd w:id="2942"/>
      <w:bookmarkEnd w:id="2943"/>
      <w:bookmarkEnd w:id="2944"/>
      <w:bookmarkEnd w:id="2945"/>
      <w:bookmarkEnd w:id="2946"/>
      <w:bookmarkEnd w:id="2947"/>
      <w:bookmarkEnd w:id="2948"/>
      <w:bookmarkEnd w:id="2949"/>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保修期内，修复的费用按照以下约定处理：</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（1）保修期内，因承包人原因造成工程的缺陷、损坏，承包人应负责修复，并承担修复的费用以及因工程的缺陷、损坏造成的人身伤害和财产损失；</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（2）保修期内，因发包人使用不当造成工程的缺陷、损坏，可以委托承包人修复，但发包人应承担修复的费用，并支付承包人合理利润；</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（3）因其他原因造成工程的缺陷、损坏，可以委托承包人修复，发包人应承担修复的费用，并支付承包人合理的利润，因工程的缺陷、损坏造成的人身伤害和财产损失由责任方承担。</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950" w:name="_Toc2407"/>
      <w:bookmarkStart w:id="2951" w:name="_Toc32242"/>
      <w:bookmarkStart w:id="2952" w:name="_Toc9889"/>
      <w:bookmarkStart w:id="2953" w:name="_Toc3333"/>
      <w:bookmarkStart w:id="2954" w:name="_Toc22464"/>
      <w:bookmarkStart w:id="2955" w:name="_Toc30905"/>
      <w:bookmarkStart w:id="2956" w:name="_Toc1664"/>
      <w:bookmarkStart w:id="2957" w:name="_Toc9776"/>
      <w:bookmarkStart w:id="2958" w:name="_Toc17738"/>
      <w:r>
        <w:rPr>
          <w:rFonts w:ascii="宋体" w:hAnsi="宋体" w:eastAsia="宋体" w:cs="Times New Roman"/>
          <w:b/>
          <w:bCs/>
          <w:color w:val="auto"/>
          <w:kern w:val="0"/>
          <w:sz w:val="24"/>
          <w:szCs w:val="24"/>
          <w:highlight w:val="none"/>
          <w:lang w:val="en-US" w:eastAsia="zh-CN" w:bidi="ar-SA"/>
        </w:rPr>
        <w:t>修复通知</w:t>
      </w:r>
      <w:bookmarkEnd w:id="2950"/>
      <w:bookmarkEnd w:id="2951"/>
      <w:bookmarkEnd w:id="2952"/>
      <w:bookmarkEnd w:id="2953"/>
      <w:bookmarkEnd w:id="2954"/>
      <w:bookmarkEnd w:id="2955"/>
      <w:bookmarkEnd w:id="2956"/>
      <w:bookmarkEnd w:id="2957"/>
      <w:bookmarkEnd w:id="2958"/>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w:t>
      </w:r>
      <w:r>
        <w:rPr>
          <w:rFonts w:ascii="宋体" w:hAnsi="宋体" w:eastAsia="宋体" w:cs="Times New Roman"/>
          <w:b/>
          <w:i/>
          <w:color w:val="auto"/>
          <w:kern w:val="0"/>
          <w:szCs w:val="24"/>
          <w:highlight w:val="none"/>
        </w:rPr>
        <w:t>专用条款</w:t>
      </w:r>
      <w:r>
        <w:rPr>
          <w:rFonts w:ascii="宋体" w:hAnsi="宋体" w:eastAsia="宋体" w:cs="Times New Roman"/>
          <w:color w:val="auto"/>
          <w:kern w:val="0"/>
          <w:szCs w:val="24"/>
          <w:highlight w:val="none"/>
        </w:rPr>
        <w:t>约定的合理期限内到达工程现场并修复缺陷或损坏。</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959" w:name="_Toc20719"/>
      <w:bookmarkStart w:id="2960" w:name="_Toc29748"/>
      <w:bookmarkStart w:id="2961" w:name="_Toc12805"/>
      <w:bookmarkStart w:id="2962" w:name="_Toc31825"/>
      <w:bookmarkStart w:id="2963" w:name="_Toc7456"/>
      <w:bookmarkStart w:id="2964" w:name="_Toc17996"/>
      <w:bookmarkStart w:id="2965" w:name="_Toc18774"/>
      <w:bookmarkStart w:id="2966" w:name="_Toc18522"/>
      <w:bookmarkStart w:id="2967" w:name="_Toc1935"/>
      <w:r>
        <w:rPr>
          <w:rFonts w:ascii="宋体" w:hAnsi="宋体" w:eastAsia="宋体" w:cs="Times New Roman"/>
          <w:b/>
          <w:bCs/>
          <w:color w:val="auto"/>
          <w:kern w:val="0"/>
          <w:sz w:val="24"/>
          <w:szCs w:val="24"/>
          <w:highlight w:val="none"/>
          <w:lang w:val="en-US" w:eastAsia="zh-CN" w:bidi="ar-SA"/>
        </w:rPr>
        <w:t>未能修复</w:t>
      </w:r>
      <w:bookmarkEnd w:id="2959"/>
      <w:bookmarkEnd w:id="2960"/>
      <w:bookmarkEnd w:id="2961"/>
      <w:bookmarkEnd w:id="2962"/>
      <w:bookmarkEnd w:id="2963"/>
      <w:bookmarkEnd w:id="2964"/>
      <w:bookmarkEnd w:id="2965"/>
      <w:bookmarkEnd w:id="2966"/>
      <w:bookmarkEnd w:id="2967"/>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eastAsia="宋体" w:cs="Times New Roman"/>
          <w:color w:val="auto"/>
          <w:kern w:val="0"/>
          <w:szCs w:val="24"/>
          <w:highlight w:val="none"/>
        </w:rPr>
        <w:t>但修复范围超出缺陷或损坏范围的，超出范围部分的修复费用由发包人承担。</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968" w:name="_Toc12042"/>
      <w:bookmarkStart w:id="2969" w:name="_Toc4408"/>
      <w:bookmarkStart w:id="2970" w:name="_Toc30705"/>
      <w:bookmarkStart w:id="2971" w:name="_Toc28688"/>
      <w:bookmarkStart w:id="2972" w:name="_Toc23286"/>
      <w:bookmarkStart w:id="2973" w:name="_Toc16504"/>
      <w:bookmarkStart w:id="2974" w:name="_Toc837"/>
      <w:bookmarkStart w:id="2975" w:name="_Toc1247"/>
      <w:bookmarkStart w:id="2976" w:name="_Toc14258"/>
      <w:r>
        <w:rPr>
          <w:rFonts w:ascii="宋体" w:hAnsi="宋体" w:eastAsia="宋体" w:cs="Times New Roman"/>
          <w:b/>
          <w:bCs/>
          <w:color w:val="auto"/>
          <w:kern w:val="0"/>
          <w:sz w:val="24"/>
          <w:szCs w:val="24"/>
          <w:highlight w:val="none"/>
          <w:lang w:val="en-US" w:eastAsia="zh-CN" w:bidi="ar-SA"/>
        </w:rPr>
        <w:t>承包人出入权</w:t>
      </w:r>
      <w:bookmarkEnd w:id="2968"/>
      <w:bookmarkEnd w:id="2969"/>
      <w:bookmarkEnd w:id="2970"/>
      <w:bookmarkEnd w:id="2971"/>
      <w:bookmarkEnd w:id="2972"/>
      <w:bookmarkEnd w:id="2973"/>
      <w:bookmarkEnd w:id="2974"/>
      <w:bookmarkEnd w:id="2975"/>
      <w:bookmarkEnd w:id="2976"/>
    </w:p>
    <w:p>
      <w:pPr>
        <w:tabs>
          <w:tab w:val="left" w:pos="1620"/>
          <w:tab w:val="left" w:pos="2340"/>
        </w:tabs>
        <w:spacing w:after="156"/>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keepNext w:val="0"/>
        <w:keepLines w:val="0"/>
        <w:widowControl w:val="0"/>
        <w:numPr>
          <w:ilvl w:val="0"/>
          <w:numId w:val="1"/>
        </w:numPr>
        <w:tabs>
          <w:tab w:val="left" w:pos="720"/>
          <w:tab w:val="left" w:pos="1620"/>
          <w:tab w:val="left" w:pos="2340"/>
          <w:tab w:val="clear"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2977" w:name="_Toc23111"/>
      <w:bookmarkStart w:id="2978" w:name="_Toc35656506"/>
      <w:bookmarkStart w:id="2979" w:name="_Toc27558"/>
      <w:bookmarkStart w:id="2980" w:name="_Toc19927"/>
      <w:bookmarkStart w:id="2981" w:name="_Toc32123"/>
      <w:bookmarkStart w:id="2982" w:name="_Toc34909160"/>
      <w:bookmarkStart w:id="2983" w:name="_Toc35657008"/>
      <w:bookmarkStart w:id="2984" w:name="_Toc17360"/>
      <w:bookmarkStart w:id="2985" w:name="_Toc302635914"/>
      <w:bookmarkStart w:id="2986" w:name="_Toc5274"/>
      <w:bookmarkStart w:id="2987" w:name="_Toc305331410"/>
      <w:bookmarkStart w:id="2988" w:name="_Toc12412"/>
      <w:bookmarkStart w:id="2989" w:name="_Toc25858"/>
      <w:bookmarkStart w:id="2990" w:name="_Toc32224"/>
      <w:r>
        <w:rPr>
          <w:rFonts w:hint="eastAsia" w:ascii="华文细黑" w:hAnsi="宋体" w:eastAsia="宋体" w:cs="Times New Roman"/>
          <w:b/>
          <w:bCs/>
          <w:snapToGrid w:val="0"/>
          <w:color w:val="auto"/>
          <w:kern w:val="0"/>
          <w:sz w:val="28"/>
          <w:szCs w:val="44"/>
          <w:highlight w:val="none"/>
          <w:lang w:val="en-US" w:eastAsia="zh-CN" w:bidi="ar-SA"/>
        </w:rPr>
        <w:t>不可抗力</w:t>
      </w:r>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2991" w:name="_Toc25056"/>
      <w:bookmarkStart w:id="2992" w:name="_Toc9873"/>
      <w:bookmarkStart w:id="2993" w:name="_Toc28347"/>
      <w:bookmarkStart w:id="2994" w:name="_Toc20154"/>
      <w:bookmarkStart w:id="2995" w:name="_Toc18647"/>
      <w:bookmarkStart w:id="2996" w:name="_Toc302635915"/>
      <w:bookmarkStart w:id="2997" w:name="_Toc31463"/>
      <w:bookmarkStart w:id="2998" w:name="_Toc25209"/>
      <w:bookmarkStart w:id="2999" w:name="_Toc305331411"/>
      <w:bookmarkStart w:id="3000" w:name="_Toc23789"/>
      <w:bookmarkStart w:id="3001" w:name="_Toc28153"/>
      <w:bookmarkStart w:id="3002" w:name="_Toc34909161"/>
      <w:r>
        <w:rPr>
          <w:rFonts w:hint="eastAsia" w:ascii="宋体" w:hAnsi="宋体" w:eastAsia="宋体" w:cs="Times New Roman"/>
          <w:b/>
          <w:bCs/>
          <w:color w:val="auto"/>
          <w:kern w:val="0"/>
          <w:sz w:val="24"/>
          <w:szCs w:val="24"/>
          <w:highlight w:val="none"/>
          <w:lang w:val="en-US" w:eastAsia="zh-CN" w:bidi="ar-SA"/>
        </w:rPr>
        <w:t>不可抗力包括范围</w:t>
      </w:r>
      <w:bookmarkEnd w:id="2991"/>
      <w:bookmarkEnd w:id="2992"/>
      <w:bookmarkEnd w:id="2993"/>
      <w:bookmarkEnd w:id="2994"/>
      <w:bookmarkEnd w:id="2995"/>
      <w:bookmarkEnd w:id="2996"/>
      <w:bookmarkEnd w:id="2997"/>
      <w:bookmarkEnd w:id="2998"/>
      <w:bookmarkEnd w:id="2999"/>
      <w:bookmarkEnd w:id="3000"/>
      <w:bookmarkEnd w:id="3001"/>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Times New Roman" w:hAnsi="宋体" w:eastAsia="宋体" w:cs="Times New Roman"/>
          <w:color w:val="auto"/>
          <w:szCs w:val="24"/>
          <w:highlight w:val="none"/>
        </w:rPr>
        <w:t>不可抗力事件是指发包人和承包人在订立合同时无法预见，在合同履行过程中不可避免发生并不能克服的自然灾害和社会突发事件，</w:t>
      </w:r>
      <w:r>
        <w:rPr>
          <w:rFonts w:hint="eastAsia" w:ascii="宋体" w:hAnsi="宋体" w:eastAsia="宋体" w:cs="Times New Roman"/>
          <w:color w:val="auto"/>
          <w:kern w:val="0"/>
          <w:szCs w:val="24"/>
          <w:highlight w:val="none"/>
        </w:rPr>
        <w:t>包括战争、恐怖活动、动乱、瘟疫、空中飞行物体坠落或其他非发包人与承包人责任造成的爆炸、火灾，以及地震、洪涝和</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约定的大风、暴雨、高温等自然灾害</w:t>
      </w:r>
      <w:r>
        <w:rPr>
          <w:rFonts w:hint="eastAsia" w:ascii="Times New Roman" w:hAnsi="宋体" w:eastAsia="宋体" w:cs="Times New Roman"/>
          <w:color w:val="auto"/>
          <w:szCs w:val="24"/>
          <w:highlight w:val="none"/>
        </w:rPr>
        <w:t>，以至于本合同部分或全部不能继续履行</w:t>
      </w:r>
      <w:r>
        <w:rPr>
          <w:rFonts w:hint="eastAsia" w:ascii="宋体" w:hAnsi="宋体" w:eastAsia="宋体" w:cs="Times New Roman"/>
          <w:color w:val="auto"/>
          <w:kern w:val="0"/>
          <w:szCs w:val="24"/>
          <w:highlight w:val="none"/>
        </w:rPr>
        <w:t>。</w:t>
      </w:r>
      <w:bookmarkEnd w:id="3002"/>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3003" w:name="_Toc30977"/>
      <w:bookmarkStart w:id="3004" w:name="_Toc302635916"/>
      <w:bookmarkStart w:id="3005" w:name="_Toc30921"/>
      <w:bookmarkStart w:id="3006" w:name="_Toc23879"/>
      <w:bookmarkStart w:id="3007" w:name="_Toc29644"/>
      <w:bookmarkStart w:id="3008" w:name="_Toc21140"/>
      <w:bookmarkStart w:id="3009" w:name="_Toc23306"/>
      <w:bookmarkStart w:id="3010" w:name="_Toc28882"/>
      <w:bookmarkStart w:id="3011" w:name="_Toc16670"/>
      <w:bookmarkStart w:id="3012" w:name="_Toc4919"/>
      <w:bookmarkStart w:id="3013" w:name="_Toc305331412"/>
      <w:bookmarkStart w:id="3014" w:name="_Toc34909162"/>
      <w:r>
        <w:rPr>
          <w:rFonts w:hint="eastAsia" w:ascii="宋体" w:hAnsi="宋体" w:eastAsia="宋体" w:cs="Times New Roman"/>
          <w:b/>
          <w:bCs/>
          <w:color w:val="auto"/>
          <w:kern w:val="0"/>
          <w:sz w:val="24"/>
          <w:szCs w:val="24"/>
          <w:highlight w:val="none"/>
          <w:lang w:val="en-US" w:eastAsia="zh-CN" w:bidi="ar-SA"/>
        </w:rPr>
        <w:t>不可抗力的确认</w:t>
      </w:r>
      <w:bookmarkEnd w:id="3003"/>
      <w:bookmarkEnd w:id="3004"/>
      <w:bookmarkEnd w:id="3005"/>
      <w:bookmarkEnd w:id="3006"/>
      <w:bookmarkEnd w:id="3007"/>
      <w:bookmarkEnd w:id="3008"/>
      <w:bookmarkEnd w:id="3009"/>
      <w:bookmarkEnd w:id="3010"/>
      <w:bookmarkEnd w:id="3011"/>
      <w:bookmarkEnd w:id="3012"/>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不可抗力发生后，发包人和承包人应收集证明不可抗力发生及不可抗力造成损失的证据，并及时认真统计所造成的损失。承发包双方对是否属于不可抗力或其损失的意见不一致的，按第</w:t>
      </w:r>
      <w:r>
        <w:rPr>
          <w:rFonts w:hint="eastAsia" w:ascii="宋体" w:hAnsi="宋体" w:eastAsia="宋体" w:cs="Times New Roman"/>
          <w:color w:val="auto"/>
          <w:kern w:val="0"/>
          <w:szCs w:val="24"/>
          <w:highlight w:val="none"/>
          <w:lang w:val="en-US" w:eastAsia="zh-CN"/>
        </w:rPr>
        <w:t>31</w:t>
      </w:r>
      <w:r>
        <w:rPr>
          <w:rFonts w:ascii="宋体" w:hAnsi="宋体" w:eastAsia="宋体" w:cs="Times New Roman"/>
          <w:color w:val="auto"/>
          <w:kern w:val="0"/>
          <w:szCs w:val="24"/>
          <w:highlight w:val="none"/>
        </w:rPr>
        <w:t>条</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争议解决</w:t>
      </w:r>
      <w:r>
        <w:rPr>
          <w:rFonts w:hint="eastAsia" w:ascii="宋体" w:hAnsi="宋体" w:eastAsia="宋体" w:cs="Times New Roman"/>
          <w:color w:val="auto"/>
          <w:kern w:val="0"/>
          <w:szCs w:val="24"/>
          <w:highlight w:val="none"/>
        </w:rPr>
        <w:t>〕</w:t>
      </w:r>
      <w:r>
        <w:rPr>
          <w:rFonts w:ascii="宋体" w:hAnsi="宋体" w:eastAsia="宋体" w:cs="Times New Roman"/>
          <w:color w:val="auto"/>
          <w:kern w:val="0"/>
          <w:szCs w:val="24"/>
          <w:highlight w:val="none"/>
        </w:rPr>
        <w:t>的约定处理。</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3015" w:name="_Toc3707"/>
      <w:bookmarkStart w:id="3016" w:name="_Toc20061"/>
      <w:bookmarkStart w:id="3017" w:name="_Toc26982"/>
      <w:bookmarkStart w:id="3018" w:name="_Toc19777"/>
      <w:bookmarkStart w:id="3019" w:name="_Toc16067"/>
      <w:bookmarkStart w:id="3020" w:name="_Toc9268"/>
      <w:bookmarkStart w:id="3021" w:name="_Toc10369"/>
      <w:bookmarkStart w:id="3022" w:name="_Toc18568"/>
      <w:bookmarkStart w:id="3023" w:name="_Toc302635917"/>
      <w:bookmarkStart w:id="3024" w:name="_Toc3587"/>
      <w:r>
        <w:rPr>
          <w:rFonts w:hint="eastAsia" w:ascii="宋体" w:hAnsi="宋体" w:eastAsia="宋体" w:cs="Times New Roman"/>
          <w:b/>
          <w:bCs/>
          <w:color w:val="auto"/>
          <w:kern w:val="0"/>
          <w:sz w:val="24"/>
          <w:szCs w:val="24"/>
          <w:highlight w:val="none"/>
          <w:lang w:val="en-US" w:eastAsia="zh-CN" w:bidi="ar-SA"/>
        </w:rPr>
        <w:t>不可抗力处理程序</w:t>
      </w:r>
      <w:bookmarkEnd w:id="3013"/>
      <w:bookmarkEnd w:id="3015"/>
      <w:bookmarkEnd w:id="3016"/>
      <w:bookmarkEnd w:id="3017"/>
      <w:bookmarkEnd w:id="3018"/>
      <w:bookmarkEnd w:id="3019"/>
      <w:bookmarkEnd w:id="3020"/>
      <w:bookmarkEnd w:id="3021"/>
      <w:bookmarkEnd w:id="3022"/>
      <w:bookmarkEnd w:id="3023"/>
      <w:bookmarkEnd w:id="3024"/>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⑴不可抗力事件发生后，承包人应立即通知</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，并在力所能及的条件下迅速采取措施，尽力减少损失，发包人应协助承包人采取措施。</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认为应暂停施工的，承包人应暂停施工。不可抗力事件结束后48小时内承包人向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通报受害情况以及预计清理和修复的费用。不可抗力事件持续发生，承包人应每隔7天向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报告一次受害情况。不可抗力事件结束后14天内，承包人向</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提交清理和修复费用的正式报告及有关资料。</w:t>
      </w:r>
      <w:bookmarkEnd w:id="3014"/>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3025" w:name="_Toc34909163"/>
      <w:r>
        <w:rPr>
          <w:rFonts w:hint="eastAsia" w:ascii="宋体" w:hAnsi="宋体" w:eastAsia="宋体" w:cs="Times New Roman"/>
          <w:color w:val="auto"/>
          <w:kern w:val="0"/>
          <w:szCs w:val="24"/>
          <w:highlight w:val="none"/>
        </w:rPr>
        <w:t>⑵本工程的有关各方均应始终尽所有合理的努力，使不可抗力对本工程及履行本合同造成的损失减至最小。</w:t>
      </w:r>
      <w:bookmarkEnd w:id="3025"/>
      <w:bookmarkStart w:id="3026" w:name="_Toc34909165"/>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⑶因发包人和承包人一方迟延履行合同后发生不可抗力的，</w:t>
      </w:r>
      <w:bookmarkEnd w:id="3026"/>
      <w:r>
        <w:rPr>
          <w:rFonts w:hint="eastAsia" w:ascii="宋体" w:hAnsi="宋体" w:eastAsia="宋体" w:cs="Times New Roman"/>
          <w:color w:val="auto"/>
          <w:kern w:val="0"/>
          <w:szCs w:val="24"/>
          <w:highlight w:val="none"/>
        </w:rPr>
        <w:t>不能免除迟延履行方的迟延履行责任。</w:t>
      </w:r>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3027" w:name="_Toc20385"/>
      <w:bookmarkStart w:id="3028" w:name="_Toc31903"/>
      <w:bookmarkStart w:id="3029" w:name="_Toc30612"/>
      <w:bookmarkStart w:id="3030" w:name="_Toc31805"/>
      <w:bookmarkStart w:id="3031" w:name="_Toc302635918"/>
      <w:bookmarkStart w:id="3032" w:name="_Toc6246"/>
      <w:bookmarkStart w:id="3033" w:name="_Toc305331413"/>
      <w:bookmarkStart w:id="3034" w:name="_Toc2650"/>
      <w:bookmarkStart w:id="3035" w:name="_Toc5395"/>
      <w:bookmarkStart w:id="3036" w:name="_Toc21836"/>
      <w:bookmarkStart w:id="3037" w:name="_Toc28061"/>
      <w:bookmarkStart w:id="3038" w:name="_Toc34909164"/>
      <w:r>
        <w:rPr>
          <w:rFonts w:hint="eastAsia" w:ascii="宋体" w:hAnsi="宋体" w:eastAsia="宋体" w:cs="Times New Roman"/>
          <w:b/>
          <w:bCs/>
          <w:color w:val="auto"/>
          <w:kern w:val="0"/>
          <w:sz w:val="24"/>
          <w:szCs w:val="24"/>
          <w:highlight w:val="none"/>
          <w:lang w:val="en-US" w:eastAsia="zh-CN" w:bidi="ar-SA"/>
        </w:rPr>
        <w:t>不可抗力损失费用承担</w:t>
      </w:r>
      <w:bookmarkEnd w:id="3027"/>
      <w:bookmarkEnd w:id="3028"/>
      <w:bookmarkEnd w:id="3029"/>
      <w:bookmarkEnd w:id="3030"/>
      <w:bookmarkEnd w:id="3031"/>
      <w:bookmarkEnd w:id="3032"/>
      <w:bookmarkEnd w:id="3033"/>
      <w:bookmarkEnd w:id="3034"/>
      <w:bookmarkEnd w:id="3035"/>
      <w:bookmarkEnd w:id="3036"/>
      <w:bookmarkEnd w:id="3037"/>
    </w:p>
    <w:p>
      <w:pPr>
        <w:tabs>
          <w:tab w:val="left" w:pos="1620"/>
          <w:tab w:val="left" w:pos="2340"/>
        </w:tabs>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因不可抗力事件导致的费用及延误的工期由发包人和承包人按以下方法分别承担：</w:t>
      </w:r>
      <w:bookmarkEnd w:id="3038"/>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⑴</w:t>
      </w:r>
      <w:r>
        <w:rPr>
          <w:rFonts w:hint="eastAsia" w:ascii="宋体" w:hAnsi="宋体" w:eastAsia="宋体" w:cs="Times New Roman"/>
          <w:color w:val="auto"/>
          <w:kern w:val="0"/>
          <w:szCs w:val="24"/>
          <w:highlight w:val="none"/>
        </w:rPr>
        <w:t>工程本身的损害、因工程损害导致第三人人员伤亡和财产损失以及运至施工场地用于施工的材料和待安装的设备的损害，由发包人承担；</w:t>
      </w:r>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⑵</w:t>
      </w:r>
      <w:r>
        <w:rPr>
          <w:rFonts w:hint="eastAsia" w:ascii="宋体" w:hAnsi="宋体" w:eastAsia="宋体" w:cs="Times New Roman"/>
          <w:color w:val="auto"/>
          <w:kern w:val="0"/>
          <w:szCs w:val="24"/>
          <w:highlight w:val="none"/>
        </w:rPr>
        <w:t>发包人、承包人人员伤亡由其所在单位负责，并承担相应费用；</w:t>
      </w:r>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⑶</w:t>
      </w:r>
      <w:r>
        <w:rPr>
          <w:rFonts w:hint="eastAsia" w:ascii="宋体" w:hAnsi="宋体" w:eastAsia="宋体" w:cs="Times New Roman"/>
          <w:color w:val="auto"/>
          <w:kern w:val="0"/>
          <w:szCs w:val="24"/>
          <w:highlight w:val="none"/>
        </w:rPr>
        <w:t>承包人装备损坏、用于本工程的周转材料损坏及停工损失，由承包人承担；发包人提供的施工机械、设备发生损坏，由发包人承担；</w:t>
      </w:r>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⑷</w:t>
      </w:r>
      <w:r>
        <w:rPr>
          <w:rFonts w:hint="eastAsia" w:ascii="宋体" w:hAnsi="宋体" w:eastAsia="宋体" w:cs="Times New Roman"/>
          <w:color w:val="auto"/>
          <w:kern w:val="0"/>
          <w:szCs w:val="24"/>
          <w:highlight w:val="none"/>
        </w:rPr>
        <w:t>因不可抗力导致停工期间，承包人应发包人或</w:t>
      </w:r>
      <w:r>
        <w:rPr>
          <w:rFonts w:ascii="宋体" w:hAnsi="宋体" w:eastAsia="宋体" w:cs="Times New Roman"/>
          <w:color w:val="auto"/>
          <w:kern w:val="0"/>
          <w:szCs w:val="24"/>
          <w:highlight w:val="none"/>
        </w:rPr>
        <w:t>监理人</w:t>
      </w:r>
      <w:r>
        <w:rPr>
          <w:rFonts w:hint="eastAsia" w:ascii="宋体" w:hAnsi="宋体" w:eastAsia="宋体" w:cs="Times New Roman"/>
          <w:color w:val="auto"/>
          <w:kern w:val="0"/>
          <w:szCs w:val="24"/>
          <w:highlight w:val="none"/>
        </w:rPr>
        <w:t>要求留在施工场地的必要的管理人员及保卫人员的费用由发包人承担；</w:t>
      </w:r>
    </w:p>
    <w:p>
      <w:pPr>
        <w:tabs>
          <w:tab w:val="left" w:pos="1620"/>
          <w:tab w:val="left" w:pos="2340"/>
        </w:tabs>
        <w:ind w:left="899"/>
        <w:jc w:val="left"/>
        <w:rPr>
          <w:rFonts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⑸</w:t>
      </w:r>
      <w:r>
        <w:rPr>
          <w:rFonts w:hint="eastAsia" w:ascii="宋体" w:hAnsi="宋体" w:eastAsia="宋体" w:cs="Times New Roman"/>
          <w:color w:val="auto"/>
          <w:kern w:val="0"/>
          <w:szCs w:val="24"/>
          <w:highlight w:val="none"/>
        </w:rPr>
        <w:t>工程所需清理、修复费用，由发包人承担；</w:t>
      </w:r>
    </w:p>
    <w:p>
      <w:pPr>
        <w:tabs>
          <w:tab w:val="left" w:pos="1620"/>
          <w:tab w:val="left" w:pos="2340"/>
        </w:tabs>
        <w:ind w:left="899"/>
        <w:jc w:val="left"/>
        <w:rPr>
          <w:rFonts w:hint="eastAsia" w:ascii="宋体" w:hAnsi="宋体" w:eastAsia="宋体" w:cs="Times New Roman"/>
          <w:color w:val="auto"/>
          <w:kern w:val="0"/>
          <w:szCs w:val="24"/>
          <w:highlight w:val="none"/>
        </w:rPr>
      </w:pPr>
      <w:r>
        <w:rPr>
          <w:rFonts w:ascii="宋体" w:hAnsi="宋体" w:eastAsia="宋体" w:cs="Times New Roman"/>
          <w:color w:val="auto"/>
          <w:kern w:val="0"/>
          <w:szCs w:val="24"/>
          <w:highlight w:val="none"/>
        </w:rPr>
        <w:t>⑹</w:t>
      </w:r>
      <w:r>
        <w:rPr>
          <w:rFonts w:hint="eastAsia" w:ascii="宋体" w:hAnsi="宋体" w:eastAsia="宋体" w:cs="Times New Roman"/>
          <w:color w:val="auto"/>
          <w:kern w:val="0"/>
          <w:szCs w:val="24"/>
          <w:highlight w:val="none"/>
        </w:rPr>
        <w:t>延误的工期相应顺延。</w:t>
      </w:r>
    </w:p>
    <w:p>
      <w:pPr>
        <w:keepNext w:val="0"/>
        <w:keepLines w:val="0"/>
        <w:widowControl w:val="0"/>
        <w:numPr>
          <w:ilvl w:val="0"/>
          <w:numId w:val="1"/>
        </w:numPr>
        <w:tabs>
          <w:tab w:val="left" w:pos="720"/>
          <w:tab w:val="left" w:pos="1620"/>
          <w:tab w:val="left" w:pos="2340"/>
          <w:tab w:val="clear"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3039" w:name="_Toc302635920"/>
      <w:bookmarkStart w:id="3040" w:name="_Toc34909168"/>
      <w:bookmarkStart w:id="3041" w:name="_Toc35656508"/>
      <w:bookmarkStart w:id="3042" w:name="_Toc305331414"/>
      <w:bookmarkStart w:id="3043" w:name="_Toc20384"/>
      <w:bookmarkStart w:id="3044" w:name="_Toc35657010"/>
      <w:bookmarkStart w:id="3045" w:name="_Toc21308"/>
      <w:bookmarkStart w:id="3046" w:name="_Toc278"/>
      <w:bookmarkStart w:id="3047" w:name="_Toc20608"/>
      <w:bookmarkStart w:id="3048" w:name="_Toc17387"/>
      <w:bookmarkStart w:id="3049" w:name="_Toc10715"/>
      <w:bookmarkStart w:id="3050" w:name="_Toc11798"/>
      <w:bookmarkStart w:id="3051" w:name="_Toc16797"/>
      <w:bookmarkStart w:id="3052" w:name="_Toc14231"/>
      <w:r>
        <w:rPr>
          <w:rFonts w:hint="eastAsia" w:ascii="华文细黑" w:hAnsi="宋体" w:eastAsia="宋体" w:cs="Times New Roman"/>
          <w:b/>
          <w:bCs/>
          <w:snapToGrid w:val="0"/>
          <w:color w:val="auto"/>
          <w:kern w:val="0"/>
          <w:sz w:val="28"/>
          <w:szCs w:val="44"/>
          <w:highlight w:val="none"/>
          <w:lang w:val="en-US" w:eastAsia="zh-CN" w:bidi="ar-SA"/>
        </w:rPr>
        <w:t>保险</w:t>
      </w:r>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3053" w:name="_Toc1210"/>
      <w:bookmarkStart w:id="3054" w:name="_Toc1084"/>
      <w:bookmarkStart w:id="3055" w:name="_Toc302635921"/>
      <w:bookmarkStart w:id="3056" w:name="_Toc7100"/>
      <w:bookmarkStart w:id="3057" w:name="_Toc17682"/>
      <w:bookmarkStart w:id="3058" w:name="_Toc18394"/>
      <w:bookmarkStart w:id="3059" w:name="_Toc18509"/>
      <w:bookmarkStart w:id="3060" w:name="_Toc11307"/>
      <w:bookmarkStart w:id="3061" w:name="_Toc12447"/>
      <w:bookmarkStart w:id="3062" w:name="_Toc305331415"/>
      <w:bookmarkStart w:id="3063" w:name="_Toc26921"/>
      <w:bookmarkStart w:id="3064" w:name="_Toc34909169"/>
      <w:r>
        <w:rPr>
          <w:rFonts w:hint="eastAsia" w:ascii="宋体" w:hAnsi="宋体" w:eastAsia="宋体" w:cs="Times New Roman"/>
          <w:b/>
          <w:bCs/>
          <w:color w:val="auto"/>
          <w:kern w:val="0"/>
          <w:sz w:val="24"/>
          <w:szCs w:val="24"/>
          <w:highlight w:val="none"/>
          <w:lang w:val="en-US" w:eastAsia="zh-CN" w:bidi="ar-SA"/>
        </w:rPr>
        <w:t>发包人办理的保险</w:t>
      </w:r>
      <w:bookmarkEnd w:id="3053"/>
      <w:bookmarkEnd w:id="3054"/>
      <w:bookmarkEnd w:id="3055"/>
      <w:bookmarkEnd w:id="3056"/>
      <w:bookmarkEnd w:id="3057"/>
      <w:bookmarkEnd w:id="3058"/>
      <w:bookmarkEnd w:id="3059"/>
      <w:bookmarkEnd w:id="3060"/>
      <w:bookmarkEnd w:id="3061"/>
      <w:bookmarkEnd w:id="3062"/>
      <w:bookmarkEnd w:id="3063"/>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工程开工前，发包人应为本工程、施工场地内的自有人员、第三者人员生命财产、</w:t>
      </w:r>
      <w:r>
        <w:rPr>
          <w:rFonts w:hint="eastAsia" w:ascii="Times New Roman" w:hAnsi="宋体" w:eastAsia="宋体" w:cs="Times New Roman"/>
          <w:color w:val="auto"/>
          <w:szCs w:val="24"/>
          <w:highlight w:val="none"/>
        </w:rPr>
        <w:t>运至施工场地内用于永久工程的材料和待安装设备</w:t>
      </w:r>
      <w:r>
        <w:rPr>
          <w:rFonts w:hint="eastAsia" w:ascii="宋体" w:hAnsi="宋体" w:eastAsia="宋体" w:cs="Times New Roman"/>
          <w:color w:val="auto"/>
          <w:kern w:val="0"/>
          <w:szCs w:val="24"/>
          <w:highlight w:val="none"/>
        </w:rPr>
        <w:t>办理保险，支付保险费用。</w:t>
      </w:r>
      <w:r>
        <w:rPr>
          <w:rFonts w:hint="eastAsia" w:ascii="Times New Roman" w:hAnsi="宋体" w:eastAsia="宋体" w:cs="Times New Roman"/>
          <w:color w:val="auto"/>
          <w:szCs w:val="24"/>
          <w:highlight w:val="none"/>
        </w:rPr>
        <w:t>保险期从开工之日起至工程竣工验收合格之日止。</w:t>
      </w:r>
      <w:r>
        <w:rPr>
          <w:rFonts w:hint="eastAsia" w:ascii="宋体" w:hAnsi="宋体" w:eastAsia="宋体" w:cs="Times New Roman"/>
          <w:color w:val="auto"/>
          <w:kern w:val="0"/>
          <w:szCs w:val="24"/>
          <w:highlight w:val="none"/>
        </w:rPr>
        <w:t>发包人可以按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的约定将上述有关保险事项委托承包人办理，费用由发包人承担。</w:t>
      </w:r>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3065" w:name="_Toc9710"/>
      <w:bookmarkStart w:id="3066" w:name="_Toc30971"/>
      <w:bookmarkStart w:id="3067" w:name="_Toc302635922"/>
      <w:bookmarkStart w:id="3068" w:name="_Toc32438"/>
      <w:bookmarkStart w:id="3069" w:name="_Toc20296"/>
      <w:bookmarkStart w:id="3070" w:name="_Toc22445"/>
      <w:bookmarkStart w:id="3071" w:name="_Toc5431"/>
      <w:bookmarkStart w:id="3072" w:name="_Toc305331416"/>
      <w:bookmarkStart w:id="3073" w:name="_Toc16934"/>
      <w:bookmarkStart w:id="3074" w:name="_Toc4365"/>
      <w:bookmarkStart w:id="3075" w:name="_Toc32710"/>
      <w:r>
        <w:rPr>
          <w:rFonts w:hint="eastAsia" w:ascii="宋体" w:hAnsi="宋体" w:eastAsia="宋体" w:cs="Times New Roman"/>
          <w:b/>
          <w:bCs/>
          <w:color w:val="auto"/>
          <w:kern w:val="0"/>
          <w:sz w:val="24"/>
          <w:szCs w:val="24"/>
          <w:highlight w:val="none"/>
          <w:lang w:val="en-US" w:eastAsia="zh-CN" w:bidi="ar-SA"/>
        </w:rPr>
        <w:t>承包人办理的保险</w:t>
      </w:r>
      <w:bookmarkEnd w:id="3065"/>
      <w:bookmarkEnd w:id="3066"/>
      <w:bookmarkEnd w:id="3067"/>
      <w:bookmarkEnd w:id="3068"/>
      <w:bookmarkEnd w:id="3069"/>
      <w:bookmarkEnd w:id="3070"/>
      <w:bookmarkEnd w:id="3071"/>
      <w:bookmarkEnd w:id="3072"/>
      <w:bookmarkEnd w:id="3073"/>
      <w:bookmarkEnd w:id="3074"/>
      <w:bookmarkEnd w:id="3075"/>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承包人必须为从事危险作业的职工办理意外伤害保险，并为施工场地内的自有人员生命财产及施工机械设备办理保险，支付保险费用。</w:t>
      </w:r>
      <w:r>
        <w:rPr>
          <w:rFonts w:hint="eastAsia" w:ascii="Times New Roman" w:hAnsi="宋体" w:eastAsia="宋体" w:cs="Times New Roman"/>
          <w:color w:val="auto"/>
          <w:szCs w:val="24"/>
          <w:highlight w:val="none"/>
        </w:rPr>
        <w:t>保险期从开工之日起至工程竣工验收合格之日止。</w:t>
      </w:r>
      <w:r>
        <w:rPr>
          <w:rFonts w:ascii="宋体" w:hAnsi="宋体" w:eastAsia="宋体" w:cs="Times New Roman"/>
          <w:color w:val="auto"/>
          <w:kern w:val="0"/>
          <w:szCs w:val="24"/>
          <w:highlight w:val="none"/>
        </w:rPr>
        <w:t>承包人在保险投保时还必须符合深圳市</w:t>
      </w:r>
      <w:r>
        <w:rPr>
          <w:rFonts w:hint="eastAsia" w:ascii="宋体" w:hAnsi="宋体" w:eastAsia="宋体" w:cs="Times New Roman"/>
          <w:color w:val="auto"/>
          <w:kern w:val="0"/>
          <w:szCs w:val="24"/>
          <w:highlight w:val="none"/>
        </w:rPr>
        <w:t>有关员工和机械、设备保险办理规定。对于分包人的人员，此类保险应由分包人投保，但承包人应对其符合本条规定负责。</w:t>
      </w:r>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3076" w:name="_Toc10093"/>
      <w:bookmarkStart w:id="3077" w:name="_Toc16894"/>
      <w:bookmarkStart w:id="3078" w:name="_Toc9943"/>
      <w:bookmarkStart w:id="3079" w:name="_Toc798"/>
      <w:bookmarkStart w:id="3080" w:name="_Toc29465"/>
      <w:bookmarkStart w:id="3081" w:name="_Toc305331417"/>
      <w:bookmarkStart w:id="3082" w:name="_Toc302635923"/>
      <w:bookmarkStart w:id="3083" w:name="_Toc29288"/>
      <w:bookmarkStart w:id="3084" w:name="_Toc1902"/>
      <w:bookmarkStart w:id="3085" w:name="_Toc42"/>
      <w:bookmarkStart w:id="3086" w:name="_Toc3002"/>
      <w:r>
        <w:rPr>
          <w:rFonts w:hint="eastAsia" w:ascii="宋体" w:hAnsi="宋体" w:eastAsia="宋体" w:cs="Times New Roman"/>
          <w:b/>
          <w:bCs/>
          <w:color w:val="auto"/>
          <w:kern w:val="0"/>
          <w:sz w:val="24"/>
          <w:szCs w:val="24"/>
          <w:highlight w:val="none"/>
          <w:lang w:val="en-US" w:eastAsia="zh-CN" w:bidi="ar-SA"/>
        </w:rPr>
        <w:t>投保人责任</w:t>
      </w:r>
      <w:bookmarkEnd w:id="3076"/>
      <w:bookmarkEnd w:id="3077"/>
      <w:bookmarkEnd w:id="3078"/>
      <w:bookmarkEnd w:id="3079"/>
      <w:bookmarkEnd w:id="3080"/>
      <w:bookmarkEnd w:id="3081"/>
      <w:bookmarkEnd w:id="3082"/>
      <w:bookmarkEnd w:id="3083"/>
      <w:bookmarkEnd w:id="3084"/>
      <w:bookmarkEnd w:id="3085"/>
      <w:bookmarkEnd w:id="3086"/>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⑴发包人和承包人中一方应向另一方提供按本合同要求其投保的各项保险已经生效的证明。</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⑵当合同工程施工的性质、规模或工期以及人员发生变更时，被保险人应及时通知保险公司，并在合同履行期间按本合同保险条款的规定保证足够的保险额，因而造成的费用由责任人承担。</w:t>
      </w:r>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3087" w:name="_Toc23698"/>
      <w:bookmarkStart w:id="3088" w:name="_Toc8244"/>
      <w:bookmarkStart w:id="3089" w:name="_Toc305331418"/>
      <w:bookmarkStart w:id="3090" w:name="_Toc3742"/>
      <w:bookmarkStart w:id="3091" w:name="_Toc302635924"/>
      <w:bookmarkStart w:id="3092" w:name="_Toc26624"/>
      <w:bookmarkStart w:id="3093" w:name="_Toc22806"/>
      <w:bookmarkStart w:id="3094" w:name="_Toc1903"/>
      <w:bookmarkStart w:id="3095" w:name="_Toc2195"/>
      <w:bookmarkStart w:id="3096" w:name="_Toc20220"/>
      <w:bookmarkStart w:id="3097" w:name="_Toc21890"/>
      <w:r>
        <w:rPr>
          <w:rFonts w:hint="eastAsia" w:ascii="宋体" w:hAnsi="宋体" w:eastAsia="宋体" w:cs="Times New Roman"/>
          <w:b/>
          <w:bCs/>
          <w:color w:val="auto"/>
          <w:kern w:val="0"/>
          <w:sz w:val="24"/>
          <w:szCs w:val="24"/>
          <w:highlight w:val="none"/>
          <w:lang w:val="en-US" w:eastAsia="zh-CN" w:bidi="ar-SA"/>
        </w:rPr>
        <w:t>保险理赔</w:t>
      </w:r>
      <w:bookmarkEnd w:id="3087"/>
      <w:bookmarkEnd w:id="3088"/>
      <w:bookmarkEnd w:id="3089"/>
      <w:bookmarkEnd w:id="3090"/>
      <w:bookmarkEnd w:id="3091"/>
      <w:bookmarkEnd w:id="3092"/>
      <w:bookmarkEnd w:id="3093"/>
      <w:bookmarkEnd w:id="3094"/>
      <w:bookmarkEnd w:id="3095"/>
      <w:bookmarkEnd w:id="3096"/>
      <w:bookmarkEnd w:id="3097"/>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当发生本工程承保项目的损失或损害时，被保险人应在风险发生后及时向保险公司提供损失情况和估价报告，如损失继续发生，被保险人在递交第一次报告后每7天报告一次，直到损害结束。发包人和承包人中一方应协助另一方做好向保险公司的报告和索赔工作。</w:t>
      </w:r>
      <w:bookmarkEnd w:id="3064"/>
    </w:p>
    <w:p>
      <w:pPr>
        <w:tabs>
          <w:tab w:val="left" w:pos="1620"/>
          <w:tab w:val="left" w:pos="2340"/>
        </w:tabs>
        <w:spacing w:after="156"/>
        <w:ind w:left="899"/>
        <w:jc w:val="left"/>
        <w:rPr>
          <w:rFonts w:ascii="宋体" w:hAnsi="宋体" w:eastAsia="宋体" w:cs="Times New Roman"/>
          <w:color w:val="auto"/>
          <w:kern w:val="0"/>
          <w:szCs w:val="24"/>
          <w:highlight w:val="none"/>
        </w:rPr>
      </w:pPr>
      <w:bookmarkStart w:id="3098" w:name="_Toc34909177"/>
      <w:r>
        <w:rPr>
          <w:rFonts w:hint="eastAsia" w:ascii="宋体" w:hAnsi="宋体" w:eastAsia="宋体" w:cs="Times New Roman"/>
          <w:color w:val="auto"/>
          <w:kern w:val="0"/>
          <w:szCs w:val="24"/>
          <w:highlight w:val="none"/>
        </w:rPr>
        <w:t>⑵从保险公司收到的因合同工程本身损失或损坏的保险赔偿金,应专款用于修复合同工程这些损失或损坏，或作为对未能修复合同工程这些损失或损坏的补偿。</w:t>
      </w:r>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3099" w:name="_Toc20424"/>
      <w:bookmarkStart w:id="3100" w:name="_Toc302635925"/>
      <w:bookmarkStart w:id="3101" w:name="_Toc30750"/>
      <w:bookmarkStart w:id="3102" w:name="_Toc6525"/>
      <w:bookmarkStart w:id="3103" w:name="_Toc23176"/>
      <w:bookmarkStart w:id="3104" w:name="_Toc8751"/>
      <w:bookmarkStart w:id="3105" w:name="_Toc4535"/>
      <w:bookmarkStart w:id="3106" w:name="_Toc15246"/>
      <w:bookmarkStart w:id="3107" w:name="_Toc3370"/>
      <w:bookmarkStart w:id="3108" w:name="_Toc5474"/>
      <w:r>
        <w:rPr>
          <w:rFonts w:hint="eastAsia" w:ascii="宋体" w:hAnsi="宋体" w:eastAsia="宋体" w:cs="Times New Roman"/>
          <w:b/>
          <w:bCs/>
          <w:color w:val="auto"/>
          <w:kern w:val="0"/>
          <w:sz w:val="24"/>
          <w:szCs w:val="24"/>
          <w:highlight w:val="none"/>
          <w:lang w:val="en-US" w:eastAsia="zh-CN" w:bidi="ar-SA"/>
        </w:rPr>
        <w:t>未按约定投保的补救</w:t>
      </w:r>
      <w:bookmarkEnd w:id="3099"/>
      <w:bookmarkEnd w:id="3100"/>
      <w:bookmarkEnd w:id="3101"/>
      <w:bookmarkEnd w:id="3102"/>
      <w:bookmarkEnd w:id="3103"/>
      <w:bookmarkEnd w:id="3104"/>
      <w:bookmarkEnd w:id="3105"/>
      <w:bookmarkEnd w:id="3106"/>
      <w:bookmarkEnd w:id="3107"/>
      <w:bookmarkEnd w:id="3108"/>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w:t>
      </w:r>
      <w:r>
        <w:rPr>
          <w:rFonts w:ascii="宋体" w:hAnsi="宋体" w:eastAsia="宋体" w:cs="Times New Roman"/>
          <w:color w:val="auto"/>
          <w:kern w:val="0"/>
          <w:szCs w:val="24"/>
          <w:highlight w:val="none"/>
        </w:rPr>
        <w:t>发包人未按合同约定办理保险，或未能使保险持续有效的，则承包人可代为办理，所需费用由发包人承担。发包人未按合同约定办理保险，导致未能得到足额赔偿的，由发包人负责补足。</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w:t>
      </w:r>
      <w:r>
        <w:rPr>
          <w:rFonts w:ascii="宋体" w:hAnsi="宋体" w:eastAsia="宋体" w:cs="Times New Roman"/>
          <w:color w:val="auto"/>
          <w:kern w:val="0"/>
          <w:szCs w:val="24"/>
          <w:highlight w:val="none"/>
        </w:rPr>
        <w:t>承包人未按合同约定办理保险，或未能使保险持续有效的，则发包人可代为办理，所需费用由承包人承担。承包人未按合同约定办理保险，导致未能得到足额赔偿的，由承包人负责补足。</w:t>
      </w:r>
    </w:p>
    <w:bookmarkEnd w:id="3098"/>
    <w:p>
      <w:pPr>
        <w:keepNext w:val="0"/>
        <w:keepLines w:val="0"/>
        <w:widowControl w:val="0"/>
        <w:numPr>
          <w:ilvl w:val="0"/>
          <w:numId w:val="1"/>
        </w:numPr>
        <w:tabs>
          <w:tab w:val="left" w:pos="720"/>
          <w:tab w:val="left" w:pos="1620"/>
          <w:tab w:val="left" w:pos="2340"/>
          <w:tab w:val="clear"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3109" w:name="_Toc9562"/>
      <w:bookmarkStart w:id="3110" w:name="_Toc26916"/>
      <w:bookmarkStart w:id="3111" w:name="_Toc29429"/>
      <w:bookmarkStart w:id="3112" w:name="_Toc5051"/>
      <w:bookmarkStart w:id="3113" w:name="_Toc305331419"/>
      <w:bookmarkStart w:id="3114" w:name="_Toc7149"/>
      <w:bookmarkStart w:id="3115" w:name="_Toc35657011"/>
      <w:bookmarkStart w:id="3116" w:name="_Toc6112"/>
      <w:bookmarkStart w:id="3117" w:name="_Toc34909180"/>
      <w:bookmarkStart w:id="3118" w:name="_Toc35656509"/>
      <w:bookmarkStart w:id="3119" w:name="_Toc302635926"/>
      <w:bookmarkStart w:id="3120" w:name="_Toc24913"/>
      <w:bookmarkStart w:id="3121" w:name="_Toc2312"/>
      <w:bookmarkStart w:id="3122" w:name="_Toc16727"/>
      <w:r>
        <w:rPr>
          <w:rFonts w:hint="eastAsia" w:ascii="华文细黑" w:hAnsi="宋体" w:eastAsia="宋体" w:cs="Times New Roman"/>
          <w:b/>
          <w:bCs/>
          <w:snapToGrid w:val="0"/>
          <w:color w:val="auto"/>
          <w:kern w:val="0"/>
          <w:sz w:val="28"/>
          <w:szCs w:val="44"/>
          <w:highlight w:val="none"/>
          <w:lang w:val="en-US" w:eastAsia="zh-CN" w:bidi="ar-SA"/>
        </w:rPr>
        <w:t>工程担保</w:t>
      </w:r>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3123" w:name="_Toc30328"/>
      <w:bookmarkStart w:id="3124" w:name="_Toc1934"/>
      <w:bookmarkStart w:id="3125" w:name="_Toc19209"/>
      <w:bookmarkStart w:id="3126" w:name="_Toc18119"/>
      <w:bookmarkStart w:id="3127" w:name="_Toc305331420"/>
      <w:bookmarkStart w:id="3128" w:name="_Toc19948"/>
      <w:bookmarkStart w:id="3129" w:name="_Toc1534"/>
      <w:bookmarkStart w:id="3130" w:name="_Toc302635927"/>
      <w:bookmarkStart w:id="3131" w:name="_Toc15469"/>
      <w:bookmarkStart w:id="3132" w:name="_Toc18314"/>
      <w:bookmarkStart w:id="3133" w:name="_Toc9909"/>
      <w:bookmarkStart w:id="3134" w:name="_Toc34909181"/>
      <w:r>
        <w:rPr>
          <w:rFonts w:hint="eastAsia" w:ascii="宋体" w:hAnsi="宋体" w:eastAsia="宋体" w:cs="Times New Roman"/>
          <w:b/>
          <w:bCs/>
          <w:color w:val="auto"/>
          <w:kern w:val="0"/>
          <w:sz w:val="24"/>
          <w:szCs w:val="24"/>
          <w:highlight w:val="none"/>
          <w:lang w:val="en-US" w:eastAsia="zh-CN" w:bidi="ar-SA"/>
        </w:rPr>
        <w:t>履约担保</w:t>
      </w:r>
      <w:bookmarkEnd w:id="3123"/>
      <w:bookmarkEnd w:id="3124"/>
      <w:bookmarkEnd w:id="3125"/>
      <w:bookmarkEnd w:id="3126"/>
      <w:bookmarkEnd w:id="3127"/>
      <w:bookmarkEnd w:id="3128"/>
      <w:bookmarkEnd w:id="3129"/>
      <w:bookmarkEnd w:id="3130"/>
      <w:bookmarkEnd w:id="3131"/>
      <w:bookmarkEnd w:id="3132"/>
      <w:bookmarkEnd w:id="3133"/>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⑴承包人应按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约定的金额和方式向发包人提交履约担保，履约担保应由保证人(银行、保险公司、担保公司)出具。</w:t>
      </w:r>
      <w:bookmarkEnd w:id="3134"/>
    </w:p>
    <w:p>
      <w:pPr>
        <w:tabs>
          <w:tab w:val="left" w:pos="1620"/>
          <w:tab w:val="left" w:pos="2340"/>
        </w:tabs>
        <w:spacing w:after="156"/>
        <w:ind w:left="899"/>
        <w:jc w:val="left"/>
        <w:rPr>
          <w:rFonts w:hint="eastAsia" w:ascii="宋体" w:hAnsi="宋体" w:eastAsia="宋体" w:cs="Times New Roman"/>
          <w:color w:val="auto"/>
          <w:kern w:val="0"/>
          <w:szCs w:val="24"/>
          <w:highlight w:val="none"/>
        </w:rPr>
      </w:pPr>
      <w:bookmarkStart w:id="3135" w:name="_Toc34909184"/>
      <w:bookmarkStart w:id="3136" w:name="_Toc34909182"/>
      <w:r>
        <w:rPr>
          <w:rFonts w:hint="eastAsia" w:ascii="宋体" w:hAnsi="宋体" w:eastAsia="宋体" w:cs="Times New Roman"/>
          <w:color w:val="auto"/>
          <w:kern w:val="0"/>
          <w:szCs w:val="24"/>
          <w:highlight w:val="none"/>
        </w:rPr>
        <w:t>⑵履约担保的有效期应截止到本工程竣工验收合格之日。本工程实际竣工验收合格之日之前履约担保的有效期已过的，承包人应及时续保。发包人应在本工程实际竣工验收合格之日后14天内将履约担保退还给承包人。</w:t>
      </w:r>
      <w:bookmarkEnd w:id="3135"/>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3137" w:name="_Toc12505"/>
      <w:bookmarkStart w:id="3138" w:name="_Toc16388"/>
      <w:bookmarkStart w:id="3139" w:name="_Toc24642"/>
      <w:bookmarkStart w:id="3140" w:name="_Toc21257"/>
      <w:bookmarkStart w:id="3141" w:name="_Toc305331421"/>
      <w:bookmarkStart w:id="3142" w:name="_Toc302635928"/>
      <w:bookmarkStart w:id="3143" w:name="_Toc28845"/>
      <w:bookmarkStart w:id="3144" w:name="_Toc3546"/>
      <w:bookmarkStart w:id="3145" w:name="_Toc4644"/>
      <w:bookmarkStart w:id="3146" w:name="_Toc2984"/>
      <w:bookmarkStart w:id="3147" w:name="_Toc103"/>
      <w:r>
        <w:rPr>
          <w:rFonts w:hint="eastAsia" w:ascii="宋体" w:hAnsi="宋体" w:eastAsia="宋体" w:cs="Times New Roman"/>
          <w:b/>
          <w:bCs/>
          <w:color w:val="auto"/>
          <w:kern w:val="0"/>
          <w:sz w:val="24"/>
          <w:szCs w:val="24"/>
          <w:highlight w:val="none"/>
          <w:lang w:val="en-US" w:eastAsia="zh-CN" w:bidi="ar-SA"/>
        </w:rPr>
        <w:t>支付担保</w:t>
      </w:r>
      <w:bookmarkEnd w:id="3137"/>
      <w:bookmarkEnd w:id="3138"/>
      <w:bookmarkEnd w:id="3139"/>
      <w:bookmarkEnd w:id="3140"/>
      <w:bookmarkEnd w:id="3141"/>
      <w:bookmarkEnd w:id="3142"/>
      <w:bookmarkEnd w:id="3143"/>
      <w:bookmarkEnd w:id="3144"/>
      <w:bookmarkEnd w:id="3145"/>
      <w:bookmarkEnd w:id="3146"/>
      <w:bookmarkEnd w:id="3147"/>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⑴发包人和承包人在签订本合同的同时，发包人应按</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约定的金额和方式向承包人提交支付担保，支付担保应由保证人(银行、保险公司、担保公司)出具。</w:t>
      </w:r>
      <w:bookmarkEnd w:id="3136"/>
    </w:p>
    <w:p>
      <w:pPr>
        <w:tabs>
          <w:tab w:val="left" w:pos="1620"/>
          <w:tab w:val="left" w:pos="2340"/>
        </w:tabs>
        <w:spacing w:after="156"/>
        <w:ind w:left="899"/>
        <w:jc w:val="left"/>
        <w:rPr>
          <w:rFonts w:ascii="宋体" w:hAnsi="宋体" w:eastAsia="宋体" w:cs="Times New Roman"/>
          <w:color w:val="auto"/>
          <w:kern w:val="0"/>
          <w:szCs w:val="24"/>
          <w:highlight w:val="none"/>
        </w:rPr>
      </w:pPr>
      <w:bookmarkStart w:id="3148" w:name="_Toc34909185"/>
      <w:r>
        <w:rPr>
          <w:rFonts w:hint="eastAsia" w:ascii="宋体" w:hAnsi="宋体" w:eastAsia="宋体" w:cs="Times New Roman"/>
          <w:color w:val="auto"/>
          <w:kern w:val="0"/>
          <w:szCs w:val="24"/>
          <w:highlight w:val="none"/>
        </w:rPr>
        <w:t>⑵支付担保的有效期应截止到发包人根据本合同约定完成了除质量保证金以外的全部工程结算款项支付之日。上述款项实际完成支付之前支付担保的有效期已过的，发包人应及时续保。承包人应在上述款项实际完成支付之日后14天内将支付担保退还发包人。</w:t>
      </w:r>
      <w:bookmarkEnd w:id="3148"/>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3149" w:name="_Toc14720"/>
      <w:bookmarkStart w:id="3150" w:name="_Toc19252"/>
      <w:bookmarkStart w:id="3151" w:name="_Toc590"/>
      <w:bookmarkStart w:id="3152" w:name="_Toc276"/>
      <w:bookmarkStart w:id="3153" w:name="_Toc305331422"/>
      <w:bookmarkStart w:id="3154" w:name="_Toc4894"/>
      <w:bookmarkStart w:id="3155" w:name="_Toc22431"/>
      <w:bookmarkStart w:id="3156" w:name="_Toc302635929"/>
      <w:bookmarkStart w:id="3157" w:name="_Toc19420"/>
      <w:bookmarkStart w:id="3158" w:name="_Toc13917"/>
      <w:bookmarkStart w:id="3159" w:name="_Toc8704"/>
      <w:bookmarkStart w:id="3160" w:name="_Toc34909186"/>
      <w:r>
        <w:rPr>
          <w:rFonts w:hint="eastAsia" w:ascii="宋体" w:hAnsi="宋体" w:eastAsia="宋体" w:cs="Times New Roman"/>
          <w:b/>
          <w:bCs/>
          <w:color w:val="auto"/>
          <w:kern w:val="0"/>
          <w:sz w:val="24"/>
          <w:szCs w:val="24"/>
          <w:highlight w:val="none"/>
          <w:lang w:val="en-US" w:eastAsia="zh-CN" w:bidi="ar-SA"/>
        </w:rPr>
        <w:t>保证人支付索赔款项</w:t>
      </w:r>
      <w:bookmarkEnd w:id="3149"/>
      <w:bookmarkEnd w:id="3150"/>
      <w:bookmarkEnd w:id="3151"/>
      <w:bookmarkEnd w:id="3152"/>
      <w:bookmarkEnd w:id="3153"/>
      <w:bookmarkEnd w:id="3154"/>
      <w:bookmarkEnd w:id="3155"/>
      <w:bookmarkEnd w:id="3156"/>
      <w:bookmarkEnd w:id="3157"/>
      <w:bookmarkEnd w:id="3158"/>
      <w:bookmarkEnd w:id="3159"/>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如承包人在履行本合同中，由于资金、技术、质量或非不可抗力等原因给发包人造成损失时，在履约担保书的有效期内，发包人应书面通知承包人，说明导致索赔的原因，并及时向保证人提出索赔文件，保证人应无条件就担保金额向发包人支付索赔款项，无须征得承包人的同意。</w:t>
      </w:r>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如发包人在履行本合同中，由于资金不足或非不可抗力等原因给承包人造成损失时，在支付担保书的有效期内，承包人应书面通知发包人，说明导致索赔的原因，并及时向保证人提出索赔文件，保证人应无条件就担保金额向承包人支付索赔款项，无须征得发包人的同意。</w:t>
      </w:r>
    </w:p>
    <w:bookmarkEnd w:id="3160"/>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3161" w:name="_Toc21876"/>
      <w:bookmarkStart w:id="3162" w:name="_Toc15293"/>
      <w:bookmarkStart w:id="3163" w:name="_Toc302635930"/>
      <w:bookmarkStart w:id="3164" w:name="_Toc2263"/>
      <w:bookmarkStart w:id="3165" w:name="_Toc29679"/>
      <w:bookmarkStart w:id="3166" w:name="_Toc1246"/>
      <w:bookmarkStart w:id="3167" w:name="_Toc16390"/>
      <w:bookmarkStart w:id="3168" w:name="_Toc25441"/>
      <w:bookmarkStart w:id="3169" w:name="_Toc305331423"/>
      <w:bookmarkStart w:id="3170" w:name="_Toc23461"/>
      <w:bookmarkStart w:id="3171" w:name="_Toc11591"/>
      <w:r>
        <w:rPr>
          <w:rFonts w:hint="eastAsia" w:ascii="宋体" w:hAnsi="宋体" w:eastAsia="宋体" w:cs="Times New Roman"/>
          <w:b/>
          <w:bCs/>
          <w:color w:val="auto"/>
          <w:kern w:val="0"/>
          <w:sz w:val="24"/>
          <w:szCs w:val="24"/>
          <w:highlight w:val="none"/>
          <w:lang w:val="en-US" w:eastAsia="zh-CN" w:bidi="ar-SA"/>
        </w:rPr>
        <w:t>留置或追加支付担保</w:t>
      </w:r>
      <w:bookmarkEnd w:id="3161"/>
      <w:bookmarkEnd w:id="3162"/>
      <w:bookmarkEnd w:id="3163"/>
      <w:bookmarkEnd w:id="3164"/>
      <w:bookmarkEnd w:id="3165"/>
      <w:bookmarkEnd w:id="3166"/>
      <w:bookmarkEnd w:id="3167"/>
      <w:bookmarkEnd w:id="3168"/>
      <w:bookmarkEnd w:id="3169"/>
      <w:bookmarkEnd w:id="3170"/>
      <w:bookmarkEnd w:id="3171"/>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在工程竣工验收时，承包人可留置与预计未结算工程价款当的标的物，或者要求发包人提供追加支付担保。追加支付担保金额由应发包人和承包人根据预计未结算工程价款款额按3</w:t>
      </w:r>
      <w:r>
        <w:rPr>
          <w:rFonts w:hint="eastAsia" w:ascii="宋体" w:hAnsi="宋体" w:eastAsia="宋体" w:cs="Times New Roman"/>
          <w:color w:val="auto"/>
          <w:kern w:val="0"/>
          <w:szCs w:val="24"/>
          <w:highlight w:val="none"/>
          <w:lang w:val="en-US" w:eastAsia="zh-CN"/>
        </w:rPr>
        <w:t>5</w:t>
      </w:r>
      <w:r>
        <w:rPr>
          <w:rFonts w:hint="eastAsia" w:ascii="宋体" w:hAnsi="宋体" w:eastAsia="宋体" w:cs="Times New Roman"/>
          <w:color w:val="auto"/>
          <w:kern w:val="0"/>
          <w:szCs w:val="24"/>
          <w:highlight w:val="none"/>
        </w:rPr>
        <w:t>.2⑴款约定确定。追加支付担保的办理及索赔程序同支付担保。</w:t>
      </w:r>
    </w:p>
    <w:p>
      <w:pPr>
        <w:keepNext w:val="0"/>
        <w:keepLines w:val="0"/>
        <w:widowControl w:val="0"/>
        <w:numPr>
          <w:ilvl w:val="0"/>
          <w:numId w:val="1"/>
        </w:numPr>
        <w:tabs>
          <w:tab w:val="left" w:pos="720"/>
          <w:tab w:val="left" w:pos="1620"/>
          <w:tab w:val="left" w:pos="2340"/>
          <w:tab w:val="clear"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3172" w:name="_Toc35657012"/>
      <w:bookmarkStart w:id="3173" w:name="_Toc34909187"/>
      <w:bookmarkStart w:id="3174" w:name="_Toc11217"/>
      <w:bookmarkStart w:id="3175" w:name="_Toc35656510"/>
      <w:bookmarkStart w:id="3176" w:name="_Toc305331424"/>
      <w:bookmarkStart w:id="3177" w:name="_Toc26706"/>
      <w:bookmarkStart w:id="3178" w:name="_Toc30540"/>
      <w:bookmarkStart w:id="3179" w:name="_Toc12367"/>
      <w:bookmarkStart w:id="3180" w:name="_Toc19795"/>
      <w:bookmarkStart w:id="3181" w:name="_Toc29090"/>
      <w:bookmarkStart w:id="3182" w:name="_Toc302635931"/>
      <w:bookmarkStart w:id="3183" w:name="_Toc25208"/>
      <w:bookmarkStart w:id="3184" w:name="_Toc6239"/>
      <w:bookmarkStart w:id="3185" w:name="_Toc1947"/>
      <w:r>
        <w:rPr>
          <w:rFonts w:hint="eastAsia" w:ascii="华文细黑" w:hAnsi="宋体" w:eastAsia="宋体" w:cs="Times New Roman"/>
          <w:b/>
          <w:bCs/>
          <w:snapToGrid w:val="0"/>
          <w:color w:val="auto"/>
          <w:kern w:val="0"/>
          <w:sz w:val="28"/>
          <w:szCs w:val="44"/>
          <w:highlight w:val="none"/>
          <w:lang w:val="en-US" w:eastAsia="zh-CN" w:bidi="ar-SA"/>
        </w:rPr>
        <w:t>合同的生效、终止和解除</w:t>
      </w:r>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3186" w:name="_Toc1828"/>
      <w:bookmarkStart w:id="3187" w:name="_Toc15038"/>
      <w:bookmarkStart w:id="3188" w:name="_Toc305331425"/>
      <w:bookmarkStart w:id="3189" w:name="_Toc2242"/>
      <w:bookmarkStart w:id="3190" w:name="_Toc18669"/>
      <w:bookmarkStart w:id="3191" w:name="_Toc1332"/>
      <w:bookmarkStart w:id="3192" w:name="_Toc302635932"/>
      <w:bookmarkStart w:id="3193" w:name="_Toc8765"/>
      <w:bookmarkStart w:id="3194" w:name="_Toc2562"/>
      <w:bookmarkStart w:id="3195" w:name="_Toc1101"/>
      <w:bookmarkStart w:id="3196" w:name="_Toc19144"/>
      <w:bookmarkStart w:id="3197" w:name="_Toc34909189"/>
      <w:r>
        <w:rPr>
          <w:rFonts w:hint="eastAsia" w:ascii="宋体" w:hAnsi="宋体" w:eastAsia="宋体" w:cs="Times New Roman"/>
          <w:b/>
          <w:bCs/>
          <w:color w:val="auto"/>
          <w:kern w:val="0"/>
          <w:sz w:val="24"/>
          <w:szCs w:val="24"/>
          <w:highlight w:val="none"/>
          <w:lang w:val="en-US" w:eastAsia="zh-CN" w:bidi="ar-SA"/>
        </w:rPr>
        <w:t>合同的生效</w:t>
      </w:r>
      <w:bookmarkEnd w:id="3186"/>
      <w:bookmarkEnd w:id="3187"/>
      <w:bookmarkEnd w:id="3188"/>
      <w:bookmarkEnd w:id="3189"/>
      <w:bookmarkEnd w:id="3190"/>
      <w:bookmarkEnd w:id="3191"/>
      <w:bookmarkEnd w:id="3192"/>
      <w:bookmarkEnd w:id="3193"/>
      <w:bookmarkEnd w:id="3194"/>
      <w:bookmarkEnd w:id="3195"/>
      <w:bookmarkEnd w:id="3196"/>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发包人和承包人在协议书中约定本合同生效的方式。</w:t>
      </w:r>
      <w:bookmarkEnd w:id="3197"/>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3198" w:name="_Toc32516"/>
      <w:bookmarkStart w:id="3199" w:name="_Toc305331426"/>
      <w:bookmarkStart w:id="3200" w:name="_Toc15525"/>
      <w:bookmarkStart w:id="3201" w:name="_Toc302635933"/>
      <w:bookmarkStart w:id="3202" w:name="_Toc25923"/>
      <w:bookmarkStart w:id="3203" w:name="_Toc28252"/>
      <w:bookmarkStart w:id="3204" w:name="_Toc3863"/>
      <w:bookmarkStart w:id="3205" w:name="_Toc19164"/>
      <w:bookmarkStart w:id="3206" w:name="_Toc25996"/>
      <w:bookmarkStart w:id="3207" w:name="_Toc10979"/>
      <w:bookmarkStart w:id="3208" w:name="_Toc3280"/>
      <w:bookmarkStart w:id="3209" w:name="_Toc34909190"/>
      <w:r>
        <w:rPr>
          <w:rFonts w:hint="eastAsia" w:ascii="宋体" w:hAnsi="宋体" w:eastAsia="宋体" w:cs="Times New Roman"/>
          <w:b/>
          <w:bCs/>
          <w:color w:val="auto"/>
          <w:kern w:val="0"/>
          <w:sz w:val="24"/>
          <w:szCs w:val="24"/>
          <w:highlight w:val="none"/>
          <w:lang w:val="en-US" w:eastAsia="zh-CN" w:bidi="ar-SA"/>
        </w:rPr>
        <w:t>合同的终止</w:t>
      </w:r>
      <w:bookmarkEnd w:id="3198"/>
      <w:bookmarkEnd w:id="3199"/>
      <w:bookmarkEnd w:id="3200"/>
      <w:bookmarkEnd w:id="3201"/>
      <w:bookmarkEnd w:id="3202"/>
      <w:bookmarkEnd w:id="3203"/>
      <w:bookmarkEnd w:id="3204"/>
      <w:bookmarkEnd w:id="3205"/>
      <w:bookmarkEnd w:id="3206"/>
      <w:bookmarkEnd w:id="3207"/>
      <w:bookmarkEnd w:id="3208"/>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⑴除第</w:t>
      </w:r>
      <w:r>
        <w:rPr>
          <w:rFonts w:hint="eastAsia" w:ascii="宋体" w:hAnsi="宋体" w:eastAsia="宋体" w:cs="Times New Roman"/>
          <w:color w:val="auto"/>
          <w:kern w:val="0"/>
          <w:szCs w:val="24"/>
          <w:highlight w:val="none"/>
          <w:lang w:val="en-US" w:eastAsia="zh-CN"/>
        </w:rPr>
        <w:t>31</w:t>
      </w:r>
      <w:r>
        <w:rPr>
          <w:rFonts w:hint="eastAsia" w:ascii="宋体" w:hAnsi="宋体" w:eastAsia="宋体" w:cs="Times New Roman"/>
          <w:color w:val="auto"/>
          <w:kern w:val="0"/>
          <w:szCs w:val="24"/>
          <w:highlight w:val="none"/>
        </w:rPr>
        <w:t>条有关争议及第</w:t>
      </w:r>
      <w:r>
        <w:rPr>
          <w:rFonts w:hint="eastAsia" w:ascii="宋体" w:hAnsi="宋体" w:eastAsia="宋体" w:cs="Times New Roman"/>
          <w:color w:val="auto"/>
          <w:kern w:val="0"/>
          <w:szCs w:val="24"/>
          <w:highlight w:val="none"/>
          <w:lang w:val="en-US" w:eastAsia="zh-CN"/>
        </w:rPr>
        <w:t>32</w:t>
      </w:r>
      <w:r>
        <w:rPr>
          <w:rFonts w:hint="eastAsia" w:ascii="宋体" w:hAnsi="宋体" w:eastAsia="宋体" w:cs="Times New Roman"/>
          <w:color w:val="auto"/>
          <w:kern w:val="0"/>
          <w:szCs w:val="24"/>
          <w:highlight w:val="none"/>
        </w:rPr>
        <w:t>条有关缺陷责任外，发包人和承包人履行本合同全部义务，工程竣工交付完毕，工程竣工结算价款支付完毕，本合同即告终止。</w:t>
      </w:r>
      <w:bookmarkEnd w:id="3209"/>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⑵本合同的权利义务终止后，发包人和承包人应遵循诚实信用原则，履行通知、协助、保密等义务。</w:t>
      </w:r>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3210" w:name="_Toc4665"/>
      <w:bookmarkStart w:id="3211" w:name="_Toc305331427"/>
      <w:bookmarkStart w:id="3212" w:name="_Toc26795"/>
      <w:bookmarkStart w:id="3213" w:name="_Toc503"/>
      <w:bookmarkStart w:id="3214" w:name="_Toc13878"/>
      <w:bookmarkStart w:id="3215" w:name="_Toc26641"/>
      <w:bookmarkStart w:id="3216" w:name="_Toc28846"/>
      <w:bookmarkStart w:id="3217" w:name="_Toc24018"/>
      <w:bookmarkStart w:id="3218" w:name="_Toc302635934"/>
      <w:bookmarkStart w:id="3219" w:name="_Toc15621"/>
      <w:bookmarkStart w:id="3220" w:name="_Toc20419"/>
      <w:bookmarkStart w:id="3221" w:name="_Toc34909192"/>
      <w:r>
        <w:rPr>
          <w:rFonts w:hint="eastAsia" w:ascii="宋体" w:hAnsi="宋体" w:eastAsia="宋体" w:cs="Times New Roman"/>
          <w:b/>
          <w:bCs/>
          <w:color w:val="auto"/>
          <w:kern w:val="0"/>
          <w:sz w:val="24"/>
          <w:szCs w:val="24"/>
          <w:highlight w:val="none"/>
          <w:lang w:val="en-US" w:eastAsia="zh-CN" w:bidi="ar-SA"/>
        </w:rPr>
        <w:t>解除合同的情形</w:t>
      </w:r>
      <w:bookmarkEnd w:id="3210"/>
      <w:bookmarkEnd w:id="3211"/>
      <w:bookmarkEnd w:id="3212"/>
      <w:bookmarkEnd w:id="3213"/>
      <w:bookmarkEnd w:id="3214"/>
      <w:bookmarkEnd w:id="3215"/>
      <w:bookmarkEnd w:id="3216"/>
      <w:bookmarkEnd w:id="3217"/>
      <w:bookmarkEnd w:id="3218"/>
      <w:bookmarkEnd w:id="3219"/>
      <w:bookmarkEnd w:id="3220"/>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⑴发包人和承包人协商一致，可以解除合同。</w:t>
      </w:r>
      <w:bookmarkEnd w:id="3221"/>
    </w:p>
    <w:p>
      <w:pPr>
        <w:tabs>
          <w:tab w:val="left" w:pos="1620"/>
          <w:tab w:val="left" w:pos="2340"/>
        </w:tabs>
        <w:spacing w:after="156"/>
        <w:ind w:left="899"/>
        <w:jc w:val="left"/>
        <w:rPr>
          <w:rFonts w:ascii="宋体" w:hAnsi="宋体" w:eastAsia="宋体" w:cs="Times New Roman"/>
          <w:color w:val="auto"/>
          <w:kern w:val="0"/>
          <w:szCs w:val="24"/>
          <w:highlight w:val="none"/>
        </w:rPr>
      </w:pPr>
      <w:bookmarkStart w:id="3222" w:name="_Toc34909193"/>
      <w:r>
        <w:rPr>
          <w:rFonts w:hint="eastAsia" w:ascii="宋体" w:hAnsi="宋体" w:eastAsia="宋体" w:cs="Times New Roman"/>
          <w:color w:val="auto"/>
          <w:kern w:val="0"/>
          <w:szCs w:val="24"/>
          <w:highlight w:val="none"/>
        </w:rPr>
        <w:t>⑵发生第6.1款和第6.2款禁止的情况，承包人将其承包的全部工程或任何部分转让给他人，或者将其承包的全部工程肢解分包，发包人有权解除合同。</w:t>
      </w:r>
      <w:bookmarkEnd w:id="3222"/>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⑶</w:t>
      </w:r>
      <w:r>
        <w:rPr>
          <w:rFonts w:ascii="宋体" w:hAnsi="宋体" w:eastAsia="宋体" w:cs="Times New Roman"/>
          <w:color w:val="auto"/>
          <w:kern w:val="0"/>
          <w:szCs w:val="24"/>
          <w:highlight w:val="none"/>
        </w:rPr>
        <w:t>因不可抗力导致合同无法履行连续超过84天或累计超过140天的，发包人和承包人均有权解除合同</w:t>
      </w:r>
      <w:r>
        <w:rPr>
          <w:rFonts w:hint="eastAsia" w:ascii="宋体" w:hAnsi="宋体" w:eastAsia="宋体" w:cs="Times New Roman"/>
          <w:color w:val="auto"/>
          <w:kern w:val="0"/>
          <w:szCs w:val="24"/>
          <w:highlight w:val="none"/>
        </w:rPr>
        <w:t>；</w:t>
      </w:r>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⑷因一方违约(包括因发包人原因造成工程停建或缓建)致使合同无法履行，另一方可以解除合同。</w:t>
      </w:r>
    </w:p>
    <w:p>
      <w:pPr>
        <w:widowControl w:val="0"/>
        <w:numPr>
          <w:ilvl w:val="1"/>
          <w:numId w:val="1"/>
        </w:numPr>
        <w:tabs>
          <w:tab w:val="left" w:pos="540"/>
          <w:tab w:val="left" w:pos="900"/>
          <w:tab w:val="clear" w:pos="576"/>
        </w:tabs>
        <w:spacing w:before="120" w:after="156"/>
        <w:ind w:left="359" w:firstLine="0"/>
        <w:jc w:val="left"/>
        <w:outlineLvl w:val="1"/>
        <w:rPr>
          <w:rFonts w:hint="eastAsia" w:ascii="宋体" w:hAnsi="宋体" w:eastAsia="宋体" w:cs="Times New Roman"/>
          <w:b/>
          <w:bCs/>
          <w:color w:val="auto"/>
          <w:kern w:val="0"/>
          <w:sz w:val="24"/>
          <w:szCs w:val="24"/>
          <w:highlight w:val="none"/>
          <w:lang w:val="en-US" w:eastAsia="zh-CN" w:bidi="ar-SA"/>
        </w:rPr>
      </w:pPr>
      <w:bookmarkStart w:id="3223" w:name="_Toc305331428"/>
      <w:bookmarkStart w:id="3224" w:name="_Toc10619"/>
      <w:bookmarkStart w:id="3225" w:name="_Toc28741"/>
      <w:bookmarkStart w:id="3226" w:name="_Toc15785"/>
      <w:bookmarkStart w:id="3227" w:name="_Toc1639"/>
      <w:bookmarkStart w:id="3228" w:name="_Toc28843"/>
      <w:bookmarkStart w:id="3229" w:name="_Toc302635935"/>
      <w:bookmarkStart w:id="3230" w:name="_Toc25539"/>
      <w:bookmarkStart w:id="3231" w:name="_Toc6888"/>
      <w:bookmarkStart w:id="3232" w:name="_Toc24315"/>
      <w:bookmarkStart w:id="3233" w:name="_Toc24144"/>
      <w:bookmarkStart w:id="3234" w:name="_Toc34909195"/>
      <w:r>
        <w:rPr>
          <w:rFonts w:hint="eastAsia" w:ascii="宋体" w:hAnsi="宋体" w:eastAsia="宋体" w:cs="Times New Roman"/>
          <w:b/>
          <w:bCs/>
          <w:color w:val="auto"/>
          <w:kern w:val="0"/>
          <w:sz w:val="24"/>
          <w:szCs w:val="24"/>
          <w:highlight w:val="none"/>
          <w:lang w:val="en-US" w:eastAsia="zh-CN" w:bidi="ar-SA"/>
        </w:rPr>
        <w:t>解除合同的程序</w:t>
      </w:r>
      <w:bookmarkEnd w:id="3223"/>
      <w:bookmarkEnd w:id="3224"/>
      <w:bookmarkEnd w:id="3225"/>
      <w:bookmarkEnd w:id="3226"/>
      <w:bookmarkEnd w:id="3227"/>
      <w:bookmarkEnd w:id="3228"/>
      <w:bookmarkEnd w:id="3229"/>
      <w:bookmarkEnd w:id="3230"/>
      <w:bookmarkEnd w:id="3231"/>
      <w:bookmarkEnd w:id="3232"/>
      <w:bookmarkEnd w:id="3233"/>
    </w:p>
    <w:p>
      <w:pPr>
        <w:tabs>
          <w:tab w:val="left" w:pos="1620"/>
          <w:tab w:val="left" w:pos="2340"/>
        </w:tabs>
        <w:spacing w:after="156"/>
        <w:ind w:left="899"/>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⑴发包人和承包人一方按第</w:t>
      </w:r>
      <w:r>
        <w:rPr>
          <w:rFonts w:hint="eastAsia" w:ascii="宋体" w:hAnsi="宋体" w:eastAsia="宋体" w:cs="Times New Roman"/>
          <w:color w:val="auto"/>
          <w:kern w:val="0"/>
          <w:szCs w:val="24"/>
          <w:highlight w:val="none"/>
          <w:lang w:val="en-US" w:eastAsia="zh-CN"/>
        </w:rPr>
        <w:t>36</w:t>
      </w:r>
      <w:r>
        <w:rPr>
          <w:rFonts w:hint="eastAsia" w:ascii="宋体" w:hAnsi="宋体" w:eastAsia="宋体" w:cs="Times New Roman"/>
          <w:color w:val="auto"/>
          <w:kern w:val="0"/>
          <w:szCs w:val="24"/>
          <w:highlight w:val="none"/>
        </w:rPr>
        <w:t>.3款要求解除合同的，应以书面形式向对方发出解除合同的通知，双方签订解除合同协议后本合同解除。</w:t>
      </w:r>
      <w:bookmarkEnd w:id="3234"/>
      <w:bookmarkStart w:id="3235" w:name="_Toc34909196"/>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⑵合同解除后，承包人应妥善做好已完工程和已购材料、设备的保护和移交工作，按发包人要求将承包人装备和人员撤出施工场地。发包人应为承包人撤出提供必要条件，支付以上所发生的费用，并按合同约定支付已完工程价款。已经订货的材料、设备由订货方负责退货或解除订货合同，因未及时退货造成的损失由责任方承担。不能退还的货款和因退货、解除订货合同发生的费用，由责任方承担，但是因不可抗力造成合同解除的由发包人承担。除此之外，有过错的一方应赔偿因合同解除给对方造成的损失。</w:t>
      </w:r>
      <w:bookmarkEnd w:id="3235"/>
    </w:p>
    <w:p>
      <w:pPr>
        <w:tabs>
          <w:tab w:val="left" w:pos="1620"/>
          <w:tab w:val="left" w:pos="2340"/>
        </w:tabs>
        <w:spacing w:after="156"/>
        <w:ind w:left="899"/>
        <w:jc w:val="left"/>
        <w:rPr>
          <w:rFonts w:ascii="宋体" w:hAnsi="宋体" w:eastAsia="宋体" w:cs="Times New Roman"/>
          <w:color w:val="auto"/>
          <w:kern w:val="0"/>
          <w:szCs w:val="24"/>
          <w:highlight w:val="none"/>
        </w:rPr>
      </w:pPr>
      <w:bookmarkStart w:id="3236" w:name="_Toc34909197"/>
      <w:r>
        <w:rPr>
          <w:rFonts w:hint="eastAsia" w:ascii="宋体" w:hAnsi="宋体" w:eastAsia="宋体" w:cs="Times New Roman"/>
          <w:color w:val="auto"/>
          <w:kern w:val="0"/>
          <w:szCs w:val="24"/>
          <w:highlight w:val="none"/>
        </w:rPr>
        <w:t>⑶合同解除后，不影响发包人和承包人在合同中约定的结算和清理条款的效力。</w:t>
      </w:r>
      <w:bookmarkEnd w:id="3236"/>
    </w:p>
    <w:p>
      <w:pPr>
        <w:keepNext w:val="0"/>
        <w:keepLines w:val="0"/>
        <w:widowControl w:val="0"/>
        <w:numPr>
          <w:ilvl w:val="0"/>
          <w:numId w:val="1"/>
        </w:numPr>
        <w:tabs>
          <w:tab w:val="left" w:pos="720"/>
          <w:tab w:val="left" w:pos="1620"/>
          <w:tab w:val="left" w:pos="2340"/>
          <w:tab w:val="clear" w:pos="4032"/>
        </w:tabs>
        <w:spacing w:before="240" w:after="120"/>
        <w:ind w:left="178" w:firstLine="0"/>
        <w:jc w:val="left"/>
        <w:outlineLvl w:val="0"/>
        <w:rPr>
          <w:rFonts w:ascii="华文细黑" w:hAnsi="宋体" w:eastAsia="宋体" w:cs="Times New Roman"/>
          <w:b/>
          <w:bCs/>
          <w:snapToGrid w:val="0"/>
          <w:color w:val="auto"/>
          <w:kern w:val="0"/>
          <w:sz w:val="28"/>
          <w:szCs w:val="44"/>
          <w:highlight w:val="none"/>
          <w:lang w:val="en-US" w:eastAsia="zh-CN" w:bidi="ar-SA"/>
        </w:rPr>
      </w:pPr>
      <w:bookmarkStart w:id="3237" w:name="_Toc19892"/>
      <w:bookmarkStart w:id="3238" w:name="_Toc24640"/>
      <w:bookmarkStart w:id="3239" w:name="_Toc34909198"/>
      <w:bookmarkStart w:id="3240" w:name="_Toc3909"/>
      <w:bookmarkStart w:id="3241" w:name="_Toc12381"/>
      <w:bookmarkStart w:id="3242" w:name="_Toc7654"/>
      <w:bookmarkStart w:id="3243" w:name="_Toc305331429"/>
      <w:bookmarkStart w:id="3244" w:name="_Toc35656513"/>
      <w:bookmarkStart w:id="3245" w:name="_Toc9156"/>
      <w:bookmarkStart w:id="3246" w:name="_Toc24360"/>
      <w:bookmarkStart w:id="3247" w:name="_Toc20806"/>
      <w:bookmarkStart w:id="3248" w:name="_Toc35657015"/>
      <w:bookmarkStart w:id="3249" w:name="_Toc28426"/>
      <w:bookmarkStart w:id="3250" w:name="_Toc302635936"/>
      <w:r>
        <w:rPr>
          <w:rFonts w:hint="eastAsia" w:ascii="华文细黑" w:hAnsi="宋体" w:eastAsia="宋体" w:cs="Times New Roman"/>
          <w:b/>
          <w:bCs/>
          <w:snapToGrid w:val="0"/>
          <w:color w:val="auto"/>
          <w:kern w:val="0"/>
          <w:sz w:val="28"/>
          <w:szCs w:val="44"/>
          <w:highlight w:val="none"/>
          <w:lang w:val="en-US" w:eastAsia="zh-CN" w:bidi="ar-SA"/>
        </w:rPr>
        <w:t>合同份数</w:t>
      </w:r>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p>
    <w:p>
      <w:pPr>
        <w:widowControl w:val="0"/>
        <w:numPr>
          <w:ilvl w:val="1"/>
          <w:numId w:val="1"/>
        </w:numPr>
        <w:tabs>
          <w:tab w:val="left" w:pos="540"/>
          <w:tab w:val="left" w:pos="900"/>
          <w:tab w:val="clear" w:pos="576"/>
        </w:tabs>
        <w:spacing w:before="120" w:after="156"/>
        <w:ind w:left="359" w:firstLine="0"/>
        <w:jc w:val="left"/>
        <w:outlineLvl w:val="1"/>
        <w:rPr>
          <w:rFonts w:ascii="宋体" w:hAnsi="宋体" w:eastAsia="宋体" w:cs="Times New Roman"/>
          <w:b/>
          <w:bCs/>
          <w:color w:val="auto"/>
          <w:kern w:val="0"/>
          <w:sz w:val="24"/>
          <w:szCs w:val="24"/>
          <w:highlight w:val="none"/>
          <w:lang w:val="en-US" w:eastAsia="zh-CN" w:bidi="ar-SA"/>
        </w:rPr>
      </w:pPr>
      <w:bookmarkStart w:id="3251" w:name="_Toc4322"/>
      <w:bookmarkStart w:id="3252" w:name="_Toc24618"/>
      <w:bookmarkStart w:id="3253" w:name="_Toc302635937"/>
      <w:bookmarkStart w:id="3254" w:name="_Toc23147"/>
      <w:bookmarkStart w:id="3255" w:name="_Toc305331430"/>
      <w:bookmarkStart w:id="3256" w:name="_Toc30081"/>
      <w:bookmarkStart w:id="3257" w:name="_Toc19786"/>
      <w:bookmarkStart w:id="3258" w:name="_Toc12844"/>
      <w:bookmarkStart w:id="3259" w:name="_Toc18395"/>
      <w:bookmarkStart w:id="3260" w:name="_Toc7820"/>
      <w:bookmarkStart w:id="3261" w:name="_Toc5662"/>
      <w:bookmarkStart w:id="3262" w:name="_Toc34909199"/>
      <w:r>
        <w:rPr>
          <w:rFonts w:hint="eastAsia" w:ascii="宋体" w:hAnsi="宋体" w:eastAsia="宋体" w:cs="Times New Roman"/>
          <w:b/>
          <w:bCs/>
          <w:color w:val="auto"/>
          <w:kern w:val="0"/>
          <w:sz w:val="24"/>
          <w:szCs w:val="24"/>
          <w:highlight w:val="none"/>
          <w:lang w:val="en-US" w:eastAsia="zh-CN" w:bidi="ar-SA"/>
        </w:rPr>
        <w:t>合同份数</w:t>
      </w:r>
      <w:bookmarkEnd w:id="3251"/>
      <w:bookmarkEnd w:id="3252"/>
      <w:bookmarkEnd w:id="3253"/>
      <w:bookmarkEnd w:id="3254"/>
      <w:bookmarkEnd w:id="3255"/>
      <w:bookmarkEnd w:id="3256"/>
      <w:bookmarkEnd w:id="3257"/>
      <w:bookmarkEnd w:id="3258"/>
      <w:bookmarkEnd w:id="3259"/>
      <w:bookmarkEnd w:id="3260"/>
      <w:bookmarkEnd w:id="3261"/>
    </w:p>
    <w:p>
      <w:pPr>
        <w:tabs>
          <w:tab w:val="left" w:pos="1620"/>
          <w:tab w:val="left" w:pos="2340"/>
        </w:tabs>
        <w:spacing w:after="156"/>
        <w:ind w:left="899"/>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⑴本合同正本两份，由发包人和承包人分别保存一份。</w:t>
      </w:r>
      <w:bookmarkEnd w:id="3262"/>
    </w:p>
    <w:p>
      <w:pPr>
        <w:tabs>
          <w:tab w:val="left" w:pos="1620"/>
          <w:tab w:val="left" w:pos="2340"/>
        </w:tabs>
        <w:spacing w:after="156"/>
        <w:ind w:left="899"/>
        <w:jc w:val="left"/>
        <w:rPr>
          <w:rFonts w:ascii="宋体" w:hAnsi="宋体" w:eastAsia="宋体" w:cs="Times New Roman"/>
          <w:color w:val="auto"/>
          <w:kern w:val="0"/>
          <w:szCs w:val="24"/>
          <w:highlight w:val="none"/>
        </w:rPr>
      </w:pPr>
      <w:bookmarkStart w:id="3263" w:name="_Toc34909200"/>
      <w:r>
        <w:rPr>
          <w:rFonts w:hint="eastAsia" w:ascii="宋体" w:hAnsi="宋体" w:eastAsia="宋体" w:cs="Times New Roman"/>
          <w:color w:val="auto"/>
          <w:kern w:val="0"/>
          <w:szCs w:val="24"/>
          <w:highlight w:val="none"/>
        </w:rPr>
        <w:t>⑵发包人和承包人按有关规定在</w:t>
      </w:r>
      <w:r>
        <w:rPr>
          <w:rFonts w:hint="eastAsia" w:ascii="宋体" w:hAnsi="宋体" w:eastAsia="宋体" w:cs="Times New Roman"/>
          <w:b/>
          <w:i/>
          <w:color w:val="auto"/>
          <w:kern w:val="0"/>
          <w:szCs w:val="24"/>
          <w:highlight w:val="none"/>
        </w:rPr>
        <w:t>专用条款</w:t>
      </w:r>
      <w:r>
        <w:rPr>
          <w:rFonts w:hint="eastAsia" w:ascii="宋体" w:hAnsi="宋体" w:eastAsia="宋体" w:cs="Times New Roman"/>
          <w:color w:val="auto"/>
          <w:kern w:val="0"/>
          <w:szCs w:val="24"/>
          <w:highlight w:val="none"/>
        </w:rPr>
        <w:t>中约定本合同副本的份数及保存单位，本合同正副本均具有同等效力。</w:t>
      </w:r>
      <w:bookmarkEnd w:id="3263"/>
    </w:p>
    <w:bookmarkEnd w:id="233"/>
    <w:bookmarkEnd w:id="234"/>
    <w:bookmarkEnd w:id="235"/>
    <w:p>
      <w:pPr>
        <w:keepNext w:val="0"/>
        <w:keepLines w:val="0"/>
        <w:widowControl/>
        <w:numPr>
          <w:ilvl w:val="0"/>
          <w:numId w:val="0"/>
        </w:numPr>
        <w:spacing w:before="340" w:after="330"/>
        <w:jc w:val="center"/>
        <w:outlineLvl w:val="0"/>
        <w:rPr>
          <w:rFonts w:ascii="宋体" w:hAnsi="宋体" w:eastAsia="宋体" w:cs="Times New Roman"/>
          <w:b/>
          <w:bCs/>
          <w:snapToGrid w:val="0"/>
          <w:color w:val="auto"/>
          <w:kern w:val="0"/>
          <w:sz w:val="32"/>
          <w:szCs w:val="44"/>
          <w:highlight w:val="none"/>
          <w:lang w:val="en-US" w:eastAsia="zh-CN" w:bidi="ar-SA"/>
        </w:rPr>
      </w:pPr>
      <w:r>
        <w:rPr>
          <w:rFonts w:ascii="宋体" w:hAnsi="宋体" w:eastAsia="宋体" w:cs="Times New Roman"/>
          <w:b/>
          <w:bCs/>
          <w:snapToGrid w:val="0"/>
          <w:color w:val="auto"/>
          <w:kern w:val="0"/>
          <w:sz w:val="24"/>
          <w:szCs w:val="44"/>
          <w:highlight w:val="none"/>
          <w:lang w:val="en-US" w:eastAsia="zh-CN" w:bidi="ar-SA"/>
        </w:rPr>
        <w:br w:type="page"/>
      </w:r>
      <w:bookmarkStart w:id="3264" w:name="_Toc27881"/>
      <w:bookmarkStart w:id="3265" w:name="_Toc11060"/>
      <w:bookmarkStart w:id="3266" w:name="_Toc21915"/>
      <w:bookmarkStart w:id="3267" w:name="_Toc1785"/>
      <w:bookmarkStart w:id="3268" w:name="_Toc12709"/>
      <w:bookmarkStart w:id="3269" w:name="_Toc305331432"/>
      <w:bookmarkStart w:id="3270" w:name="_Toc31441"/>
      <w:bookmarkStart w:id="3271" w:name="_Toc22913"/>
      <w:bookmarkStart w:id="3272" w:name="_Toc302635939"/>
      <w:bookmarkStart w:id="3273" w:name="_Toc35656515"/>
      <w:bookmarkStart w:id="3274" w:name="_Toc4619"/>
      <w:bookmarkStart w:id="3275" w:name="_Toc16348"/>
      <w:r>
        <w:rPr>
          <w:rFonts w:hint="eastAsia" w:ascii="黑体" w:hAnsi="黑体" w:eastAsia="黑体" w:cs="黑体"/>
          <w:b/>
          <w:bCs w:val="0"/>
          <w:snapToGrid/>
          <w:color w:val="auto"/>
          <w:kern w:val="2"/>
          <w:sz w:val="32"/>
          <w:szCs w:val="32"/>
          <w:highlight w:val="none"/>
          <w:lang w:val="en-US" w:eastAsia="zh-CN" w:bidi="ar-SA"/>
        </w:rPr>
        <w:t>第三部分 专用条款</w:t>
      </w:r>
      <w:bookmarkEnd w:id="3264"/>
      <w:bookmarkEnd w:id="3265"/>
      <w:bookmarkEnd w:id="3266"/>
      <w:bookmarkEnd w:id="3267"/>
      <w:bookmarkEnd w:id="3268"/>
      <w:bookmarkEnd w:id="3269"/>
      <w:bookmarkEnd w:id="3270"/>
      <w:bookmarkEnd w:id="3271"/>
      <w:bookmarkEnd w:id="3272"/>
      <w:bookmarkEnd w:id="3273"/>
      <w:bookmarkEnd w:id="3274"/>
      <w:bookmarkEnd w:id="3275"/>
    </w:p>
    <w:p>
      <w:pPr>
        <w:keepNext w:val="0"/>
        <w:keepLines w:val="0"/>
        <w:widowControl/>
        <w:numPr>
          <w:ilvl w:val="0"/>
          <w:numId w:val="0"/>
        </w:numPr>
        <w:tabs>
          <w:tab w:val="left" w:pos="1620"/>
          <w:tab w:val="left" w:pos="2340"/>
        </w:tabs>
        <w:spacing w:before="120" w:after="120"/>
        <w:jc w:val="left"/>
        <w:outlineLvl w:val="0"/>
        <w:rPr>
          <w:rFonts w:hint="eastAsia" w:ascii="华文细黑" w:hAnsi="宋体" w:eastAsia="宋体" w:cs="Times New Roman"/>
          <w:b/>
          <w:bCs/>
          <w:snapToGrid w:val="0"/>
          <w:color w:val="auto"/>
          <w:kern w:val="0"/>
          <w:sz w:val="28"/>
          <w:szCs w:val="44"/>
          <w:highlight w:val="none"/>
          <w:lang w:val="en-US" w:eastAsia="zh-CN" w:bidi="ar-SA"/>
        </w:rPr>
      </w:pPr>
      <w:bookmarkStart w:id="3276" w:name="_Toc25729"/>
      <w:bookmarkStart w:id="3277" w:name="_Toc31515"/>
      <w:bookmarkStart w:id="3278" w:name="_Toc765"/>
      <w:bookmarkStart w:id="3279" w:name="_Toc24514"/>
      <w:bookmarkStart w:id="3280" w:name="_Toc302635940"/>
      <w:bookmarkStart w:id="3281" w:name="_Toc24750"/>
      <w:bookmarkStart w:id="3282" w:name="_Toc16738"/>
      <w:bookmarkStart w:id="3283" w:name="_Toc20273"/>
      <w:bookmarkStart w:id="3284" w:name="_Toc2617"/>
      <w:bookmarkStart w:id="3285" w:name="_Toc13673"/>
      <w:bookmarkStart w:id="3286" w:name="_Toc35656516"/>
      <w:bookmarkStart w:id="3287" w:name="_Toc305331433"/>
      <w:r>
        <w:rPr>
          <w:rFonts w:hint="eastAsia" w:ascii="华文细黑" w:hAnsi="宋体" w:eastAsia="宋体" w:cs="Times New Roman"/>
          <w:b/>
          <w:bCs/>
          <w:snapToGrid w:val="0"/>
          <w:color w:val="auto"/>
          <w:kern w:val="0"/>
          <w:sz w:val="28"/>
          <w:szCs w:val="44"/>
          <w:highlight w:val="none"/>
          <w:lang w:val="en-US" w:eastAsia="zh-CN" w:bidi="ar-SA"/>
        </w:rPr>
        <w:t>1词语定义</w:t>
      </w:r>
      <w:bookmarkEnd w:id="3276"/>
      <w:bookmarkEnd w:id="3277"/>
      <w:bookmarkEnd w:id="3278"/>
      <w:bookmarkEnd w:id="3279"/>
      <w:bookmarkEnd w:id="3280"/>
      <w:bookmarkEnd w:id="3281"/>
      <w:bookmarkEnd w:id="3282"/>
      <w:bookmarkEnd w:id="3283"/>
      <w:bookmarkEnd w:id="3284"/>
      <w:bookmarkEnd w:id="3285"/>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发包人和承包人另行约定的词语定义如下：</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288" w:name="_Toc19741"/>
      <w:bookmarkStart w:id="3289" w:name="_Toc6519"/>
      <w:bookmarkStart w:id="3290" w:name="_Toc28781"/>
      <w:bookmarkStart w:id="3291" w:name="_Toc302635941"/>
      <w:bookmarkStart w:id="3292" w:name="_Toc21146"/>
      <w:bookmarkStart w:id="3293" w:name="_Toc32417"/>
      <w:bookmarkStart w:id="3294" w:name="_Toc31216"/>
      <w:bookmarkStart w:id="3295" w:name="_Toc17503"/>
      <w:bookmarkStart w:id="3296" w:name="_Toc5865"/>
      <w:bookmarkStart w:id="3297" w:name="_Toc17453"/>
      <w:r>
        <w:rPr>
          <w:rFonts w:hint="eastAsia" w:ascii="宋体" w:hAnsi="宋体" w:eastAsia="宋体" w:cs="Times New Roman"/>
          <w:b/>
          <w:bCs/>
          <w:color w:val="auto"/>
          <w:kern w:val="0"/>
          <w:sz w:val="24"/>
          <w:szCs w:val="32"/>
          <w:highlight w:val="none"/>
          <w:lang w:val="en-US" w:eastAsia="zh-CN" w:bidi="ar-SA"/>
        </w:rPr>
        <w:t>1.2 合同文件</w:t>
      </w:r>
      <w:bookmarkEnd w:id="3288"/>
      <w:bookmarkEnd w:id="3289"/>
      <w:bookmarkEnd w:id="3290"/>
      <w:bookmarkEnd w:id="3291"/>
      <w:bookmarkEnd w:id="3292"/>
      <w:bookmarkEnd w:id="3293"/>
      <w:bookmarkEnd w:id="3294"/>
      <w:bookmarkEnd w:id="3295"/>
      <w:bookmarkEnd w:id="3296"/>
      <w:bookmarkEnd w:id="3297"/>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(6)其他合同文件包括：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298" w:name="_Toc19226"/>
      <w:bookmarkStart w:id="3299" w:name="_Toc12774"/>
      <w:bookmarkStart w:id="3300" w:name="_Toc12424"/>
      <w:bookmarkStart w:id="3301" w:name="_Toc13844"/>
      <w:bookmarkStart w:id="3302" w:name="_Toc24542"/>
      <w:bookmarkStart w:id="3303" w:name="_Toc20303"/>
      <w:bookmarkStart w:id="3304" w:name="_Toc129"/>
      <w:bookmarkStart w:id="3305" w:name="_Toc19602"/>
      <w:bookmarkStart w:id="3306" w:name="_Toc302635942"/>
      <w:bookmarkStart w:id="3307" w:name="_Toc1724"/>
      <w:r>
        <w:rPr>
          <w:rFonts w:hint="eastAsia" w:ascii="宋体" w:hAnsi="宋体" w:eastAsia="宋体" w:cs="Times New Roman"/>
          <w:b/>
          <w:bCs/>
          <w:color w:val="auto"/>
          <w:kern w:val="0"/>
          <w:sz w:val="24"/>
          <w:szCs w:val="32"/>
          <w:highlight w:val="none"/>
          <w:lang w:val="en-US" w:eastAsia="zh-CN" w:bidi="ar-SA"/>
        </w:rPr>
        <w:t>1.8 书面形式</w:t>
      </w:r>
      <w:bookmarkEnd w:id="3298"/>
      <w:bookmarkEnd w:id="3299"/>
      <w:bookmarkEnd w:id="3300"/>
      <w:bookmarkEnd w:id="3301"/>
      <w:bookmarkEnd w:id="3302"/>
      <w:bookmarkEnd w:id="3303"/>
      <w:bookmarkEnd w:id="3304"/>
      <w:bookmarkEnd w:id="3305"/>
      <w:bookmarkEnd w:id="3306"/>
      <w:bookmarkEnd w:id="3307"/>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（2）本合同全部或部分采用手写形式进行填写的，发包人和承包人共同指定的填写人的姓名：</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，身份证号码：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keepNext w:val="0"/>
        <w:keepLines w:val="0"/>
        <w:widowControl/>
        <w:numPr>
          <w:ilvl w:val="0"/>
          <w:numId w:val="0"/>
        </w:numPr>
        <w:tabs>
          <w:tab w:val="left" w:pos="1620"/>
          <w:tab w:val="left" w:pos="2340"/>
        </w:tabs>
        <w:spacing w:before="120" w:after="120"/>
        <w:jc w:val="left"/>
        <w:outlineLvl w:val="0"/>
        <w:rPr>
          <w:rFonts w:ascii="华文细黑" w:hAnsi="宋体" w:eastAsia="宋体" w:cs="Times New Roman"/>
          <w:b/>
          <w:bCs/>
          <w:snapToGrid w:val="0"/>
          <w:color w:val="auto"/>
          <w:kern w:val="0"/>
          <w:sz w:val="28"/>
          <w:szCs w:val="44"/>
          <w:highlight w:val="none"/>
          <w:lang w:val="en-US" w:eastAsia="zh-CN" w:bidi="ar-SA"/>
        </w:rPr>
      </w:pPr>
      <w:bookmarkStart w:id="3308" w:name="_Toc9942"/>
      <w:bookmarkStart w:id="3309" w:name="_Toc15047"/>
      <w:bookmarkStart w:id="3310" w:name="_Toc22741"/>
      <w:bookmarkStart w:id="3311" w:name="_Toc302635943"/>
      <w:bookmarkStart w:id="3312" w:name="_Toc2660"/>
      <w:bookmarkStart w:id="3313" w:name="_Toc21671"/>
      <w:bookmarkStart w:id="3314" w:name="_Toc24793"/>
      <w:bookmarkStart w:id="3315" w:name="_Toc18945"/>
      <w:bookmarkStart w:id="3316" w:name="_Toc1226"/>
      <w:bookmarkStart w:id="3317" w:name="_Toc7804"/>
      <w:r>
        <w:rPr>
          <w:rFonts w:hint="eastAsia" w:ascii="华文细黑" w:hAnsi="宋体" w:eastAsia="宋体" w:cs="Times New Roman"/>
          <w:b/>
          <w:bCs/>
          <w:snapToGrid w:val="0"/>
          <w:color w:val="auto"/>
          <w:kern w:val="0"/>
          <w:sz w:val="28"/>
          <w:szCs w:val="44"/>
          <w:highlight w:val="none"/>
          <w:lang w:val="en-US" w:eastAsia="zh-CN" w:bidi="ar-SA"/>
        </w:rPr>
        <w:t>2合同文件</w:t>
      </w:r>
      <w:bookmarkEnd w:id="3286"/>
      <w:bookmarkEnd w:id="3287"/>
      <w:bookmarkEnd w:id="3308"/>
      <w:bookmarkEnd w:id="3309"/>
      <w:bookmarkEnd w:id="3310"/>
      <w:bookmarkEnd w:id="3311"/>
      <w:bookmarkEnd w:id="3312"/>
      <w:bookmarkEnd w:id="3313"/>
      <w:bookmarkEnd w:id="3314"/>
      <w:bookmarkEnd w:id="3315"/>
      <w:bookmarkEnd w:id="3316"/>
      <w:bookmarkEnd w:id="3317"/>
    </w:p>
    <w:p>
      <w:pPr>
        <w:widowControl w:val="0"/>
        <w:numPr>
          <w:ilvl w:val="0"/>
          <w:numId w:val="0"/>
        </w:numPr>
        <w:tabs>
          <w:tab w:val="left" w:pos="540"/>
          <w:tab w:val="left" w:pos="2340"/>
        </w:tabs>
        <w:spacing w:before="120" w:after="156"/>
        <w:ind w:left="180"/>
        <w:jc w:val="left"/>
        <w:outlineLvl w:val="1"/>
        <w:rPr>
          <w:rFonts w:ascii="宋体" w:hAnsi="宋体" w:eastAsia="宋体" w:cs="Times New Roman"/>
          <w:b/>
          <w:bCs/>
          <w:color w:val="auto"/>
          <w:kern w:val="0"/>
          <w:sz w:val="24"/>
          <w:szCs w:val="24"/>
          <w:highlight w:val="none"/>
          <w:lang w:val="en-US" w:eastAsia="zh-CN" w:bidi="ar-SA"/>
        </w:rPr>
      </w:pPr>
      <w:bookmarkStart w:id="3318" w:name="_Toc16202"/>
      <w:bookmarkStart w:id="3319" w:name="_Toc302635944"/>
      <w:bookmarkStart w:id="3320" w:name="_Toc6830"/>
      <w:bookmarkStart w:id="3321" w:name="_Toc28336"/>
      <w:bookmarkStart w:id="3322" w:name="_Toc9948"/>
      <w:bookmarkStart w:id="3323" w:name="_Toc2481"/>
      <w:bookmarkStart w:id="3324" w:name="_Toc25473"/>
      <w:bookmarkStart w:id="3325" w:name="_Toc21603"/>
      <w:bookmarkStart w:id="3326" w:name="_Toc19323"/>
      <w:bookmarkStart w:id="3327" w:name="_Toc305331434"/>
      <w:bookmarkStart w:id="3328" w:name="_Toc31145"/>
      <w:r>
        <w:rPr>
          <w:rFonts w:hint="eastAsia" w:ascii="宋体" w:hAnsi="宋体" w:eastAsia="宋体" w:cs="Times New Roman"/>
          <w:b/>
          <w:bCs/>
          <w:color w:val="auto"/>
          <w:kern w:val="0"/>
          <w:sz w:val="24"/>
          <w:szCs w:val="32"/>
          <w:highlight w:val="none"/>
          <w:lang w:val="en-US" w:eastAsia="zh-CN" w:bidi="ar-SA"/>
        </w:rPr>
        <w:t xml:space="preserve">2.4 </w:t>
      </w:r>
      <w:r>
        <w:rPr>
          <w:rFonts w:hint="eastAsia" w:ascii="宋体" w:hAnsi="宋体" w:eastAsia="宋体" w:cs="Times New Roman"/>
          <w:b/>
          <w:bCs/>
          <w:color w:val="auto"/>
          <w:kern w:val="0"/>
          <w:sz w:val="24"/>
          <w:szCs w:val="24"/>
          <w:highlight w:val="none"/>
          <w:lang w:val="en-US" w:eastAsia="zh-CN" w:bidi="ar-SA"/>
        </w:rPr>
        <w:t>法律、法规和规章</w:t>
      </w:r>
      <w:bookmarkEnd w:id="3318"/>
      <w:bookmarkEnd w:id="3319"/>
      <w:bookmarkEnd w:id="3320"/>
      <w:bookmarkEnd w:id="3321"/>
      <w:bookmarkEnd w:id="3322"/>
      <w:bookmarkEnd w:id="3323"/>
      <w:bookmarkEnd w:id="3324"/>
      <w:bookmarkEnd w:id="3325"/>
      <w:bookmarkEnd w:id="3326"/>
      <w:bookmarkEnd w:id="3327"/>
      <w:bookmarkEnd w:id="3328"/>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需要明示的法律、法规、规章：</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2340"/>
          <w:tab w:val="left" w:pos="4032"/>
        </w:tabs>
        <w:spacing w:before="120" w:after="156"/>
        <w:ind w:left="180"/>
        <w:jc w:val="left"/>
        <w:outlineLvl w:val="1"/>
        <w:rPr>
          <w:rFonts w:ascii="宋体" w:hAnsi="宋体" w:eastAsia="宋体" w:cs="Times New Roman"/>
          <w:b/>
          <w:bCs/>
          <w:color w:val="auto"/>
          <w:kern w:val="0"/>
          <w:sz w:val="24"/>
          <w:szCs w:val="32"/>
          <w:highlight w:val="none"/>
          <w:lang w:val="en-US" w:eastAsia="zh-CN" w:bidi="ar-SA"/>
        </w:rPr>
      </w:pPr>
      <w:bookmarkStart w:id="3329" w:name="_Toc6847"/>
      <w:bookmarkStart w:id="3330" w:name="_Toc27206"/>
      <w:bookmarkStart w:id="3331" w:name="_Toc22854"/>
      <w:bookmarkStart w:id="3332" w:name="_Toc19230"/>
      <w:bookmarkStart w:id="3333" w:name="_Toc4783"/>
      <w:bookmarkStart w:id="3334" w:name="_Toc302635945"/>
      <w:bookmarkStart w:id="3335" w:name="_Toc1094"/>
      <w:bookmarkStart w:id="3336" w:name="_Toc25351"/>
      <w:bookmarkStart w:id="3337" w:name="_Toc31726"/>
      <w:bookmarkStart w:id="3338" w:name="_Toc305331435"/>
      <w:bookmarkStart w:id="3339" w:name="_Toc6265"/>
      <w:bookmarkStart w:id="3340" w:name="_Toc35656521"/>
      <w:r>
        <w:rPr>
          <w:rFonts w:hint="eastAsia" w:ascii="宋体" w:hAnsi="宋体" w:eastAsia="宋体" w:cs="Times New Roman"/>
          <w:b/>
          <w:bCs/>
          <w:color w:val="auto"/>
          <w:kern w:val="0"/>
          <w:sz w:val="24"/>
          <w:szCs w:val="32"/>
          <w:highlight w:val="none"/>
          <w:lang w:val="en-US" w:eastAsia="zh-CN" w:bidi="ar-SA"/>
        </w:rPr>
        <w:t>2.5标准、规范</w:t>
      </w:r>
      <w:bookmarkEnd w:id="3329"/>
      <w:bookmarkEnd w:id="3330"/>
      <w:bookmarkEnd w:id="3331"/>
      <w:bookmarkEnd w:id="3332"/>
      <w:bookmarkEnd w:id="3333"/>
      <w:bookmarkEnd w:id="3334"/>
      <w:bookmarkEnd w:id="3335"/>
      <w:bookmarkEnd w:id="3336"/>
      <w:bookmarkEnd w:id="3337"/>
      <w:bookmarkEnd w:id="3338"/>
      <w:bookmarkEnd w:id="3339"/>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 xml:space="preserve">(2)技术标准、功能要求高于现行国家、行业或地方标准的约定： </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(4)用于本工程的标准、规范的提供方式：</w:t>
      </w:r>
    </w:p>
    <w:p>
      <w:pPr>
        <w:spacing w:line="360" w:lineRule="auto"/>
        <w:ind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102" name="图片 4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2" name="图片 48"/>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由发包人在本合同签订后</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天内向承包人提供</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套标准、规范；</w:t>
      </w:r>
    </w:p>
    <w:p>
      <w:pPr>
        <w:spacing w:line="360" w:lineRule="auto"/>
        <w:ind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103" name="图片 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3" name="图片 49"/>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由承包人自备。</w:t>
      </w:r>
    </w:p>
    <w:p>
      <w:pPr>
        <w:widowControl w:val="0"/>
        <w:numPr>
          <w:ilvl w:val="0"/>
          <w:numId w:val="0"/>
        </w:numPr>
        <w:tabs>
          <w:tab w:val="left" w:pos="540"/>
          <w:tab w:val="left" w:pos="2340"/>
          <w:tab w:val="left" w:pos="4032"/>
        </w:tabs>
        <w:spacing w:before="120" w:after="156"/>
        <w:ind w:left="180"/>
        <w:jc w:val="left"/>
        <w:outlineLvl w:val="1"/>
        <w:rPr>
          <w:rFonts w:ascii="宋体" w:hAnsi="宋体" w:eastAsia="宋体" w:cs="Times New Roman"/>
          <w:b/>
          <w:bCs/>
          <w:color w:val="auto"/>
          <w:kern w:val="0"/>
          <w:sz w:val="24"/>
          <w:szCs w:val="32"/>
          <w:highlight w:val="none"/>
          <w:lang w:val="en-US" w:eastAsia="zh-CN" w:bidi="ar-SA"/>
        </w:rPr>
      </w:pPr>
      <w:bookmarkStart w:id="3341" w:name="_Toc19973"/>
      <w:bookmarkStart w:id="3342" w:name="_Toc2386"/>
      <w:bookmarkStart w:id="3343" w:name="_Toc17306"/>
      <w:bookmarkStart w:id="3344" w:name="_Toc26616"/>
      <w:bookmarkStart w:id="3345" w:name="_Toc302635946"/>
      <w:bookmarkStart w:id="3346" w:name="_Toc20689"/>
      <w:bookmarkStart w:id="3347" w:name="_Toc305331436"/>
      <w:bookmarkStart w:id="3348" w:name="_Toc12927"/>
      <w:bookmarkStart w:id="3349" w:name="_Toc18041"/>
      <w:bookmarkStart w:id="3350" w:name="_Toc26202"/>
      <w:bookmarkStart w:id="3351" w:name="_Toc4591"/>
      <w:r>
        <w:rPr>
          <w:rFonts w:hint="eastAsia" w:ascii="宋体" w:hAnsi="宋体" w:eastAsia="宋体" w:cs="Times New Roman"/>
          <w:b/>
          <w:bCs/>
          <w:color w:val="auto"/>
          <w:kern w:val="0"/>
          <w:sz w:val="24"/>
          <w:szCs w:val="32"/>
          <w:highlight w:val="none"/>
          <w:lang w:val="en-US" w:eastAsia="zh-CN" w:bidi="ar-SA"/>
        </w:rPr>
        <w:t>2.6图纸和技术资料的提供</w:t>
      </w:r>
      <w:bookmarkEnd w:id="3341"/>
      <w:bookmarkEnd w:id="3342"/>
      <w:bookmarkEnd w:id="3343"/>
      <w:bookmarkEnd w:id="3344"/>
      <w:bookmarkEnd w:id="3345"/>
      <w:bookmarkEnd w:id="3346"/>
      <w:bookmarkEnd w:id="3347"/>
      <w:bookmarkEnd w:id="3348"/>
      <w:bookmarkEnd w:id="3349"/>
      <w:bookmarkEnd w:id="3350"/>
      <w:bookmarkEnd w:id="3351"/>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(1)发包人应在本合同签订后</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天内向承包人提供</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套完整的施工图和其它技术资料。</w:t>
      </w:r>
    </w:p>
    <w:p>
      <w:pPr>
        <w:spacing w:line="360" w:lineRule="auto"/>
        <w:ind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承包人发现发包人提供的图纸存在差错、遗漏或缺陷的，应在</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天内通知</w:t>
      </w:r>
      <w:r>
        <w:rPr>
          <w:rFonts w:ascii="宋体" w:hAnsi="宋体" w:eastAsia="宋体" w:cs="Times New Roman"/>
          <w:color w:val="auto"/>
          <w:sz w:val="24"/>
          <w:szCs w:val="24"/>
          <w:highlight w:val="none"/>
        </w:rPr>
        <w:t>监理人</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监理人</w:t>
      </w:r>
      <w:r>
        <w:rPr>
          <w:rFonts w:hint="eastAsia" w:ascii="宋体" w:hAnsi="宋体" w:eastAsia="宋体" w:cs="Times New Roman"/>
          <w:color w:val="auto"/>
          <w:sz w:val="24"/>
          <w:szCs w:val="24"/>
          <w:highlight w:val="none"/>
        </w:rPr>
        <w:t>应附具相关意见并在</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天内报送发包人，发包人应在收到</w:t>
      </w:r>
      <w:r>
        <w:rPr>
          <w:rFonts w:ascii="宋体" w:hAnsi="宋体" w:eastAsia="宋体" w:cs="Times New Roman"/>
          <w:color w:val="auto"/>
          <w:sz w:val="24"/>
          <w:szCs w:val="24"/>
          <w:highlight w:val="none"/>
        </w:rPr>
        <w:t>监理人</w:t>
      </w:r>
      <w:r>
        <w:rPr>
          <w:rFonts w:hint="eastAsia" w:ascii="宋体" w:hAnsi="宋体" w:eastAsia="宋体" w:cs="Times New Roman"/>
          <w:color w:val="auto"/>
          <w:sz w:val="24"/>
          <w:szCs w:val="24"/>
          <w:highlight w:val="none"/>
        </w:rPr>
        <w:t>报送的通知后在</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天内作出决定。</w:t>
      </w:r>
    </w:p>
    <w:p>
      <w:pPr>
        <w:widowControl w:val="0"/>
        <w:numPr>
          <w:ilvl w:val="0"/>
          <w:numId w:val="0"/>
        </w:numPr>
        <w:tabs>
          <w:tab w:val="left" w:pos="540"/>
          <w:tab w:val="left" w:pos="2340"/>
          <w:tab w:val="left" w:pos="4032"/>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352" w:name="_Toc302635947"/>
      <w:bookmarkStart w:id="3353" w:name="_Toc421"/>
      <w:bookmarkStart w:id="3354" w:name="_Toc25125"/>
      <w:bookmarkStart w:id="3355" w:name="_Toc2974"/>
      <w:bookmarkStart w:id="3356" w:name="_Toc7832"/>
      <w:bookmarkStart w:id="3357" w:name="_Toc445"/>
      <w:bookmarkStart w:id="3358" w:name="_Toc9087"/>
      <w:bookmarkStart w:id="3359" w:name="_Toc6707"/>
      <w:bookmarkStart w:id="3360" w:name="_Toc1330"/>
      <w:bookmarkStart w:id="3361" w:name="_Toc7041"/>
      <w:r>
        <w:rPr>
          <w:rFonts w:hint="eastAsia" w:ascii="宋体" w:hAnsi="宋体" w:eastAsia="宋体" w:cs="Times New Roman"/>
          <w:b/>
          <w:bCs/>
          <w:color w:val="auto"/>
          <w:kern w:val="0"/>
          <w:sz w:val="24"/>
          <w:szCs w:val="32"/>
          <w:highlight w:val="none"/>
          <w:lang w:val="en-US" w:eastAsia="zh-CN" w:bidi="ar-SA"/>
        </w:rPr>
        <w:t>2.8补充图纸和资料</w:t>
      </w:r>
      <w:bookmarkEnd w:id="3352"/>
      <w:bookmarkEnd w:id="3353"/>
      <w:bookmarkEnd w:id="3354"/>
      <w:bookmarkEnd w:id="3355"/>
      <w:bookmarkEnd w:id="3356"/>
      <w:bookmarkEnd w:id="3357"/>
      <w:bookmarkEnd w:id="3358"/>
      <w:bookmarkEnd w:id="3359"/>
      <w:bookmarkEnd w:id="3360"/>
      <w:bookmarkEnd w:id="3361"/>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发包人应在工程施工前</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日内向承包人提供</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套该部分工程的补充施工图(含深化设计图纸)和其它技术资料。</w:t>
      </w:r>
    </w:p>
    <w:p>
      <w:pPr>
        <w:widowControl w:val="0"/>
        <w:numPr>
          <w:ilvl w:val="0"/>
          <w:numId w:val="0"/>
        </w:numPr>
        <w:tabs>
          <w:tab w:val="left" w:pos="540"/>
          <w:tab w:val="left" w:pos="2340"/>
          <w:tab w:val="left" w:pos="4032"/>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362" w:name="_Toc22117"/>
      <w:bookmarkStart w:id="3363" w:name="_Toc22581"/>
      <w:bookmarkStart w:id="3364" w:name="_Toc6894"/>
      <w:bookmarkStart w:id="3365" w:name="_Toc2485"/>
      <w:bookmarkStart w:id="3366" w:name="_Toc13186"/>
      <w:bookmarkStart w:id="3367" w:name="_Toc23943"/>
      <w:bookmarkStart w:id="3368" w:name="_Toc205"/>
      <w:bookmarkStart w:id="3369" w:name="_Toc12194"/>
      <w:bookmarkStart w:id="3370" w:name="_Toc13856"/>
      <w:r>
        <w:rPr>
          <w:rFonts w:hint="eastAsia" w:ascii="宋体" w:hAnsi="宋体" w:eastAsia="宋体" w:cs="Times New Roman"/>
          <w:b/>
          <w:bCs/>
          <w:color w:val="auto"/>
          <w:kern w:val="0"/>
          <w:sz w:val="24"/>
          <w:szCs w:val="32"/>
          <w:highlight w:val="none"/>
          <w:lang w:val="en-US" w:eastAsia="zh-CN" w:bidi="ar-SA"/>
        </w:rPr>
        <w:t>2.10 竣工图</w:t>
      </w:r>
      <w:bookmarkEnd w:id="3362"/>
      <w:bookmarkEnd w:id="3363"/>
      <w:bookmarkEnd w:id="3364"/>
      <w:bookmarkEnd w:id="3365"/>
      <w:bookmarkEnd w:id="3366"/>
      <w:bookmarkEnd w:id="3367"/>
      <w:bookmarkEnd w:id="3368"/>
      <w:bookmarkEnd w:id="3369"/>
      <w:bookmarkEnd w:id="3370"/>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(1)关于竣工图编制的约定：</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widowControl w:val="0"/>
        <w:numPr>
          <w:ilvl w:val="0"/>
          <w:numId w:val="0"/>
        </w:numPr>
        <w:tabs>
          <w:tab w:val="left" w:pos="540"/>
          <w:tab w:val="left" w:pos="2340"/>
        </w:tabs>
        <w:spacing w:before="120" w:after="156"/>
        <w:ind w:left="180"/>
        <w:jc w:val="left"/>
        <w:outlineLvl w:val="1"/>
        <w:rPr>
          <w:rFonts w:ascii="宋体" w:hAnsi="宋体" w:eastAsia="宋体" w:cs="Times New Roman"/>
          <w:b/>
          <w:bCs/>
          <w:color w:val="auto"/>
          <w:kern w:val="0"/>
          <w:sz w:val="24"/>
          <w:szCs w:val="32"/>
          <w:highlight w:val="none"/>
          <w:lang w:val="en-US" w:eastAsia="zh-CN" w:bidi="ar-SA"/>
        </w:rPr>
      </w:pPr>
      <w:bookmarkStart w:id="3371" w:name="_Toc22405"/>
      <w:bookmarkStart w:id="3372" w:name="_Toc5980"/>
      <w:bookmarkStart w:id="3373" w:name="_Toc14101"/>
      <w:bookmarkStart w:id="3374" w:name="_Toc7856"/>
      <w:bookmarkStart w:id="3375" w:name="_Toc2165"/>
      <w:bookmarkStart w:id="3376" w:name="_Toc302635948"/>
      <w:bookmarkStart w:id="3377" w:name="_Toc15834"/>
      <w:bookmarkStart w:id="3378" w:name="_Toc9951"/>
      <w:bookmarkStart w:id="3379" w:name="_Toc3320"/>
      <w:bookmarkStart w:id="3380" w:name="_Toc305331437"/>
      <w:bookmarkStart w:id="3381" w:name="_Toc24160"/>
      <w:r>
        <w:rPr>
          <w:rFonts w:hint="eastAsia" w:ascii="宋体" w:hAnsi="宋体" w:eastAsia="宋体" w:cs="Times New Roman"/>
          <w:b/>
          <w:bCs/>
          <w:color w:val="auto"/>
          <w:kern w:val="0"/>
          <w:sz w:val="24"/>
          <w:szCs w:val="32"/>
          <w:highlight w:val="none"/>
          <w:lang w:val="en-US" w:eastAsia="zh-CN" w:bidi="ar-SA"/>
        </w:rPr>
        <w:t>2.11 通知</w:t>
      </w:r>
      <w:bookmarkEnd w:id="3340"/>
      <w:bookmarkEnd w:id="3371"/>
      <w:bookmarkEnd w:id="3372"/>
      <w:bookmarkEnd w:id="3373"/>
      <w:bookmarkEnd w:id="3374"/>
      <w:bookmarkEnd w:id="3375"/>
      <w:bookmarkEnd w:id="3376"/>
      <w:bookmarkEnd w:id="3377"/>
      <w:bookmarkEnd w:id="3378"/>
      <w:bookmarkEnd w:id="3379"/>
      <w:bookmarkEnd w:id="3380"/>
      <w:bookmarkEnd w:id="3381"/>
    </w:p>
    <w:p>
      <w:pPr>
        <w:spacing w:line="360" w:lineRule="auto"/>
        <w:ind w:firstLine="480"/>
        <w:rPr>
          <w:rFonts w:ascii="宋体" w:hAnsi="宋体" w:eastAsia="宋体" w:cs="Times New Roman"/>
          <w:bCs/>
          <w:i/>
          <w:iCs/>
          <w:color w:val="auto"/>
          <w:sz w:val="24"/>
          <w:szCs w:val="24"/>
          <w:highlight w:val="none"/>
          <w:u w:val="single"/>
        </w:rPr>
      </w:pPr>
      <w:r>
        <w:rPr>
          <w:rFonts w:hint="eastAsia" w:ascii="宋体" w:hAnsi="宋体" w:eastAsia="宋体" w:cs="Times New Roman"/>
          <w:color w:val="auto"/>
          <w:sz w:val="24"/>
          <w:szCs w:val="24"/>
          <w:highlight w:val="none"/>
        </w:rPr>
        <w:t>(1)承包人的地址：</w:t>
      </w:r>
      <w:r>
        <w:rPr>
          <w:rFonts w:hint="eastAsia" w:ascii="方正书宋简体" w:hAnsi="宋体" w:eastAsia="方正书宋简体" w:cs="宋体"/>
          <w:bCs/>
          <w:color w:val="auto"/>
          <w:sz w:val="24"/>
          <w:szCs w:val="24"/>
          <w:highlight w:val="none"/>
          <w:u w:val="single"/>
        </w:rPr>
        <w:t xml:space="preserve">                                   </w:t>
      </w:r>
      <w:r>
        <w:rPr>
          <w:rFonts w:hint="eastAsia" w:ascii="宋体" w:hAnsi="宋体" w:eastAsia="宋体" w:cs="Times New Roman"/>
          <w:bCs/>
          <w:color w:val="auto"/>
          <w:sz w:val="24"/>
          <w:szCs w:val="24"/>
          <w:highlight w:val="none"/>
        </w:rPr>
        <w:t>邮编：</w:t>
      </w:r>
      <w:r>
        <w:rPr>
          <w:rFonts w:hint="eastAsia" w:ascii="宋体" w:hAnsi="宋体" w:eastAsia="宋体" w:cs="Times New Roman"/>
          <w:bCs/>
          <w:color w:val="auto"/>
          <w:sz w:val="24"/>
          <w:szCs w:val="24"/>
          <w:highlight w:val="none"/>
          <w:u w:val="single"/>
        </w:rPr>
        <w:t xml:space="preserve">              </w:t>
      </w:r>
    </w:p>
    <w:p>
      <w:pPr>
        <w:spacing w:line="360" w:lineRule="auto"/>
        <w:ind w:firstLine="480"/>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rPr>
        <w:t>(2)发包人的地址：</w:t>
      </w:r>
      <w:r>
        <w:rPr>
          <w:rFonts w:hint="eastAsia" w:ascii="方正书宋简体" w:hAnsi="宋体" w:eastAsia="方正书宋简体" w:cs="宋体"/>
          <w:bCs/>
          <w:color w:val="auto"/>
          <w:sz w:val="24"/>
          <w:szCs w:val="24"/>
          <w:highlight w:val="none"/>
          <w:u w:val="single"/>
        </w:rPr>
        <w:t xml:space="preserve">                                   </w:t>
      </w:r>
      <w:r>
        <w:rPr>
          <w:rFonts w:hint="eastAsia" w:ascii="宋体" w:hAnsi="宋体" w:eastAsia="宋体" w:cs="Times New Roman"/>
          <w:bCs/>
          <w:color w:val="auto"/>
          <w:sz w:val="24"/>
          <w:szCs w:val="24"/>
          <w:highlight w:val="none"/>
        </w:rPr>
        <w:t>邮编：</w:t>
      </w:r>
      <w:r>
        <w:rPr>
          <w:rFonts w:hint="eastAsia" w:ascii="宋体" w:hAnsi="宋体" w:eastAsia="宋体" w:cs="Times New Roman"/>
          <w:bCs/>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 xml:space="preserve">   监理人的地址：</w:t>
      </w:r>
      <w:bookmarkStart w:id="3382" w:name="_Toc35656522"/>
      <w:r>
        <w:rPr>
          <w:rFonts w:hint="eastAsia" w:ascii="方正书宋简体" w:hAnsi="宋体" w:eastAsia="方正书宋简体" w:cs="宋体"/>
          <w:bCs/>
          <w:color w:val="auto"/>
          <w:sz w:val="24"/>
          <w:szCs w:val="24"/>
          <w:highlight w:val="none"/>
          <w:u w:val="single"/>
        </w:rPr>
        <w:t xml:space="preserve">                                   </w:t>
      </w:r>
      <w:r>
        <w:rPr>
          <w:rFonts w:hint="eastAsia" w:ascii="宋体" w:hAnsi="宋体" w:eastAsia="宋体" w:cs="Times New Roman"/>
          <w:bCs/>
          <w:color w:val="auto"/>
          <w:sz w:val="24"/>
          <w:szCs w:val="24"/>
          <w:highlight w:val="none"/>
        </w:rPr>
        <w:t>邮编：</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383" w:name="_Toc30916"/>
      <w:bookmarkStart w:id="3384" w:name="_Toc22018"/>
      <w:bookmarkStart w:id="3385" w:name="_Toc32082"/>
      <w:bookmarkStart w:id="3386" w:name="_Toc22042"/>
      <w:bookmarkStart w:id="3387" w:name="_Toc302635949"/>
      <w:bookmarkStart w:id="3388" w:name="_Toc29069"/>
      <w:bookmarkStart w:id="3389" w:name="_Toc7066"/>
      <w:bookmarkStart w:id="3390" w:name="_Toc15645"/>
      <w:bookmarkStart w:id="3391" w:name="_Toc2421"/>
      <w:bookmarkStart w:id="3392" w:name="_Toc6685"/>
      <w:r>
        <w:rPr>
          <w:rFonts w:hint="eastAsia" w:ascii="宋体" w:hAnsi="宋体" w:eastAsia="宋体" w:cs="Times New Roman"/>
          <w:b/>
          <w:bCs/>
          <w:color w:val="auto"/>
          <w:kern w:val="0"/>
          <w:sz w:val="24"/>
          <w:szCs w:val="32"/>
          <w:highlight w:val="none"/>
          <w:lang w:val="en-US" w:eastAsia="zh-CN" w:bidi="ar-SA"/>
        </w:rPr>
        <w:t>2.13 交通运输</w:t>
      </w:r>
      <w:bookmarkEnd w:id="3383"/>
      <w:bookmarkEnd w:id="3384"/>
      <w:bookmarkEnd w:id="3385"/>
      <w:bookmarkEnd w:id="3386"/>
      <w:bookmarkEnd w:id="3387"/>
      <w:bookmarkEnd w:id="3388"/>
      <w:bookmarkEnd w:id="3389"/>
      <w:bookmarkEnd w:id="3390"/>
      <w:bookmarkEnd w:id="3391"/>
      <w:bookmarkEnd w:id="3392"/>
      <w:r>
        <w:rPr>
          <w:rFonts w:hint="eastAsia" w:ascii="宋体" w:hAnsi="宋体" w:eastAsia="宋体" w:cs="Times New Roman"/>
          <w:b/>
          <w:bCs/>
          <w:color w:val="auto"/>
          <w:kern w:val="0"/>
          <w:sz w:val="24"/>
          <w:szCs w:val="32"/>
          <w:highlight w:val="none"/>
          <w:lang w:val="en-US" w:eastAsia="zh-CN" w:bidi="ar-SA"/>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（1）出入现场的权利</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关于出入现场的权利的约定：</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（3）场内交通</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关于场外交通和场内交通的边界的约定：</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关于发包人向承包人免费提供满足工程施工需要的场内道路和交通设施的约定：</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（4）超大件和超重件的运输</w:t>
      </w:r>
    </w:p>
    <w:p>
      <w:pPr>
        <w:spacing w:line="360" w:lineRule="auto"/>
        <w:ind w:firstLine="48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运输超大件或超重件所需道路和桥梁临时加固费用和其他费用由</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承担。</w:t>
      </w:r>
    </w:p>
    <w:p>
      <w:pPr>
        <w:spacing w:line="360" w:lineRule="auto"/>
        <w:ind w:firstLine="480"/>
        <w:jc w:val="left"/>
        <w:outlineLvl w:val="1"/>
        <w:rPr>
          <w:rFonts w:hint="eastAsia" w:ascii="宋体" w:hAnsi="宋体" w:eastAsia="宋体" w:cs="Times New Roman"/>
          <w:b/>
          <w:bCs/>
          <w:color w:val="auto"/>
          <w:kern w:val="0"/>
          <w:sz w:val="24"/>
          <w:szCs w:val="32"/>
          <w:highlight w:val="none"/>
          <w:lang w:val="en-US" w:eastAsia="zh-CN" w:bidi="ar-SA"/>
        </w:rPr>
      </w:pPr>
      <w:bookmarkStart w:id="3393" w:name="_Toc21309"/>
      <w:bookmarkStart w:id="3394" w:name="_Toc7468"/>
      <w:bookmarkStart w:id="3395" w:name="_Toc5823"/>
      <w:bookmarkStart w:id="3396" w:name="_Toc21458"/>
      <w:bookmarkStart w:id="3397" w:name="_Toc5293"/>
      <w:bookmarkStart w:id="3398" w:name="_Toc4332"/>
      <w:bookmarkStart w:id="3399" w:name="_Toc162"/>
      <w:bookmarkStart w:id="3400" w:name="_Toc27721"/>
      <w:bookmarkStart w:id="3401" w:name="_Toc25280"/>
      <w:r>
        <w:rPr>
          <w:rFonts w:hint="eastAsia" w:ascii="宋体" w:hAnsi="宋体" w:eastAsia="宋体" w:cs="Times New Roman"/>
          <w:b/>
          <w:bCs/>
          <w:color w:val="auto"/>
          <w:kern w:val="0"/>
          <w:sz w:val="24"/>
          <w:szCs w:val="32"/>
          <w:highlight w:val="none"/>
          <w:lang w:val="en-US" w:eastAsia="zh-CN" w:bidi="ar-SA"/>
        </w:rPr>
        <w:t>2.15 BIM实施应用</w:t>
      </w:r>
      <w:bookmarkEnd w:id="3393"/>
      <w:bookmarkEnd w:id="3394"/>
      <w:bookmarkEnd w:id="3395"/>
      <w:bookmarkEnd w:id="3396"/>
      <w:bookmarkEnd w:id="3397"/>
      <w:bookmarkEnd w:id="3398"/>
      <w:bookmarkEnd w:id="3399"/>
      <w:bookmarkEnd w:id="3400"/>
      <w:bookmarkEnd w:id="3401"/>
    </w:p>
    <w:p>
      <w:pPr>
        <w:spacing w:line="360" w:lineRule="auto"/>
        <w:ind w:firstLine="48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⑴BIM实施范围</w:t>
      </w:r>
    </w:p>
    <w:p>
      <w:pPr>
        <w:spacing w:line="360" w:lineRule="auto"/>
        <w:ind w:firstLine="48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关于BIM实施内容的约定：</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w:t>
      </w:r>
    </w:p>
    <w:p>
      <w:pPr>
        <w:spacing w:line="360" w:lineRule="auto"/>
        <w:ind w:firstLine="48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⑵BIM实施内容和要求</w:t>
      </w:r>
    </w:p>
    <w:p>
      <w:pPr>
        <w:spacing w:line="360" w:lineRule="auto"/>
        <w:ind w:firstLine="48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关于深化设计、施工过程和竣工验收阶段BIM技术和管理应用要求的约定：</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w:t>
      </w:r>
    </w:p>
    <w:p>
      <w:pPr>
        <w:spacing w:line="360" w:lineRule="auto"/>
        <w:ind w:firstLine="48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BIM模型精细度的标准要求：</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 xml:space="preserve">。     </w:t>
      </w:r>
    </w:p>
    <w:p>
      <w:pPr>
        <w:spacing w:line="360" w:lineRule="auto"/>
        <w:ind w:firstLine="48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⑶BIM成果的归档和移交</w:t>
      </w:r>
    </w:p>
    <w:p>
      <w:pPr>
        <w:spacing w:line="360" w:lineRule="auto"/>
        <w:ind w:firstLine="48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关于BIM成果交付标准的约定：</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w:t>
      </w:r>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402" w:name="_Toc18034"/>
      <w:bookmarkStart w:id="3403" w:name="_Toc13525"/>
      <w:bookmarkStart w:id="3404" w:name="_Toc302635950"/>
      <w:bookmarkStart w:id="3405" w:name="_Toc28397"/>
      <w:bookmarkStart w:id="3406" w:name="_Toc12752"/>
      <w:bookmarkStart w:id="3407" w:name="_Toc22791"/>
      <w:bookmarkStart w:id="3408" w:name="_Toc26773"/>
      <w:bookmarkStart w:id="3409" w:name="_Toc27294"/>
      <w:bookmarkStart w:id="3410" w:name="_Toc18898"/>
      <w:bookmarkStart w:id="3411" w:name="_Toc28644"/>
      <w:r>
        <w:rPr>
          <w:rFonts w:hint="eastAsia" w:ascii="宋体" w:hAnsi="宋体" w:eastAsia="宋体" w:cs="Times New Roman"/>
          <w:b/>
          <w:bCs/>
          <w:color w:val="auto"/>
          <w:kern w:val="0"/>
          <w:sz w:val="24"/>
          <w:szCs w:val="32"/>
          <w:highlight w:val="none"/>
          <w:lang w:val="en-US" w:eastAsia="zh-CN" w:bidi="ar-SA"/>
        </w:rPr>
        <w:t>2.16 知识产权</w:t>
      </w:r>
      <w:bookmarkEnd w:id="3402"/>
      <w:bookmarkEnd w:id="3403"/>
      <w:bookmarkEnd w:id="3404"/>
      <w:bookmarkEnd w:id="3405"/>
      <w:bookmarkEnd w:id="3406"/>
      <w:bookmarkEnd w:id="3407"/>
      <w:bookmarkEnd w:id="3408"/>
      <w:bookmarkEnd w:id="3409"/>
      <w:bookmarkEnd w:id="3410"/>
      <w:bookmarkEnd w:id="3411"/>
    </w:p>
    <w:p>
      <w:pPr>
        <w:spacing w:line="360" w:lineRule="auto"/>
        <w:ind w:firstLine="480" w:firstLineChars="200"/>
        <w:rPr>
          <w:rFonts w:hint="eastAsia" w:ascii="Times New Roman" w:hAnsi="Times New Roman" w:eastAsia="仿宋_GB2312" w:cs="Times New Roman"/>
          <w:color w:val="auto"/>
          <w:sz w:val="30"/>
          <w:szCs w:val="32"/>
          <w:highlight w:val="none"/>
          <w:u w:val="single"/>
        </w:rPr>
      </w:pP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关于发包人提供给承包人的图纸、发包人为实施工程自行编制或委托编制的技术规范以及反映发包人关于合同要求或其他类似性质的文件的著作权的归属：</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p>
    <w:p>
      <w:pPr>
        <w:spacing w:line="360" w:lineRule="auto"/>
        <w:rPr>
          <w:rFonts w:hint="eastAsia" w:ascii="Times New Roman" w:hAnsi="Times New Roman" w:eastAsia="仿宋_GB2312" w:cs="Times New Roman"/>
          <w:color w:val="auto"/>
          <w:sz w:val="30"/>
          <w:szCs w:val="32"/>
          <w:highlight w:val="none"/>
        </w:rPr>
      </w:pP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rPr>
        <w:t>。</w:t>
      </w:r>
    </w:p>
    <w:p>
      <w:pPr>
        <w:spacing w:line="360" w:lineRule="auto"/>
        <w:ind w:firstLine="480"/>
        <w:jc w:val="left"/>
        <w:rPr>
          <w:rFonts w:hint="eastAsia" w:ascii="Times New Roman" w:hAnsi="Times New Roman" w:eastAsia="仿宋_GB2312" w:cs="Times New Roman"/>
          <w:color w:val="auto"/>
          <w:sz w:val="30"/>
          <w:szCs w:val="32"/>
          <w:highlight w:val="none"/>
        </w:rPr>
      </w:pPr>
      <w:r>
        <w:rPr>
          <w:rFonts w:ascii="宋体" w:hAnsi="宋体" w:eastAsia="宋体" w:cs="Times New Roman"/>
          <w:color w:val="auto"/>
          <w:sz w:val="24"/>
          <w:szCs w:val="24"/>
          <w:highlight w:val="none"/>
        </w:rPr>
        <w:t>关于发包人提供的上述文件的使用限制的要求：</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p>
    <w:p>
      <w:pPr>
        <w:spacing w:line="360" w:lineRule="auto"/>
        <w:rPr>
          <w:rFonts w:ascii="Times New Roman" w:hAnsi="Times New Roman" w:eastAsia="仿宋_GB2312" w:cs="Times New Roman"/>
          <w:color w:val="auto"/>
          <w:sz w:val="30"/>
          <w:szCs w:val="32"/>
          <w:highlight w:val="none"/>
        </w:rPr>
      </w:pP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rPr>
        <w:t>。</w:t>
      </w:r>
    </w:p>
    <w:p>
      <w:pPr>
        <w:spacing w:line="360" w:lineRule="auto"/>
        <w:ind w:firstLine="480"/>
        <w:jc w:val="left"/>
        <w:rPr>
          <w:rFonts w:hint="eastAsia" w:ascii="Times New Roman" w:hAnsi="Times New Roman" w:eastAsia="仿宋_GB2312" w:cs="Times New Roman"/>
          <w:color w:val="auto"/>
          <w:sz w:val="30"/>
          <w:szCs w:val="32"/>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关于承包人为实施工程所编制文件的著作权的归属：</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p>
    <w:p>
      <w:pPr>
        <w:spacing w:line="360" w:lineRule="auto"/>
        <w:rPr>
          <w:rFonts w:ascii="Times New Roman" w:hAnsi="Times New Roman" w:eastAsia="仿宋_GB2312" w:cs="Times New Roman"/>
          <w:color w:val="auto"/>
          <w:sz w:val="30"/>
          <w:szCs w:val="32"/>
          <w:highlight w:val="none"/>
        </w:rPr>
      </w:pP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rPr>
        <w:t>。</w:t>
      </w:r>
    </w:p>
    <w:p>
      <w:pPr>
        <w:spacing w:line="360" w:lineRule="auto"/>
        <w:ind w:firstLine="480" w:firstLineChars="200"/>
        <w:rPr>
          <w:rFonts w:hint="eastAsia" w:ascii="Times New Roman" w:hAnsi="Times New Roman" w:eastAsia="仿宋_GB2312" w:cs="Times New Roman"/>
          <w:color w:val="auto"/>
          <w:sz w:val="30"/>
          <w:szCs w:val="32"/>
          <w:highlight w:val="none"/>
          <w:u w:val="single"/>
        </w:rPr>
      </w:pPr>
      <w:r>
        <w:rPr>
          <w:rFonts w:ascii="宋体" w:hAnsi="宋体" w:eastAsia="宋体" w:cs="Times New Roman"/>
          <w:color w:val="auto"/>
          <w:sz w:val="24"/>
          <w:szCs w:val="24"/>
          <w:highlight w:val="none"/>
        </w:rPr>
        <w:t>关于承包人提供的上述文件的使用限制的要求：</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p>
    <w:p>
      <w:pPr>
        <w:spacing w:line="360" w:lineRule="auto"/>
        <w:rPr>
          <w:rFonts w:ascii="Times New Roman" w:hAnsi="Times New Roman" w:eastAsia="仿宋_GB2312" w:cs="Times New Roman"/>
          <w:color w:val="auto"/>
          <w:sz w:val="30"/>
          <w:szCs w:val="32"/>
          <w:highlight w:val="none"/>
        </w:rPr>
      </w:pP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rPr>
        <w:t>。</w:t>
      </w:r>
    </w:p>
    <w:p>
      <w:pPr>
        <w:spacing w:line="360" w:lineRule="auto"/>
        <w:ind w:firstLine="480" w:firstLineChars="200"/>
        <w:rPr>
          <w:rFonts w:ascii="Times New Roman" w:hAnsi="Times New Roman" w:eastAsia="仿宋_GB2312" w:cs="Times New Roman"/>
          <w:color w:val="auto"/>
          <w:kern w:val="0"/>
          <w:sz w:val="30"/>
          <w:szCs w:val="32"/>
          <w:highlight w:val="none"/>
        </w:rPr>
      </w:pP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承包人在施工过程中所采用的专利、专有技术、技术秘密的使用费的承担方式：</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kern w:val="0"/>
          <w:sz w:val="30"/>
          <w:szCs w:val="32"/>
          <w:highlight w:val="none"/>
        </w:rPr>
        <w:t>。</w:t>
      </w:r>
    </w:p>
    <w:bookmarkEnd w:id="3382"/>
    <w:p>
      <w:pPr>
        <w:keepNext w:val="0"/>
        <w:keepLines w:val="0"/>
        <w:widowControl/>
        <w:numPr>
          <w:ilvl w:val="0"/>
          <w:numId w:val="0"/>
        </w:numPr>
        <w:tabs>
          <w:tab w:val="left" w:pos="1620"/>
          <w:tab w:val="left" w:pos="2340"/>
        </w:tabs>
        <w:spacing w:before="120" w:after="120"/>
        <w:jc w:val="left"/>
        <w:outlineLvl w:val="0"/>
        <w:rPr>
          <w:rFonts w:ascii="华文细黑" w:hAnsi="宋体" w:eastAsia="宋体" w:cs="Times New Roman"/>
          <w:b/>
          <w:bCs/>
          <w:snapToGrid w:val="0"/>
          <w:color w:val="auto"/>
          <w:kern w:val="0"/>
          <w:sz w:val="28"/>
          <w:szCs w:val="44"/>
          <w:highlight w:val="none"/>
          <w:lang w:val="en-US" w:eastAsia="zh-CN" w:bidi="ar-SA"/>
        </w:rPr>
      </w:pPr>
      <w:bookmarkStart w:id="3412" w:name="_Toc28990"/>
      <w:bookmarkStart w:id="3413" w:name="_Toc35656523"/>
      <w:bookmarkStart w:id="3414" w:name="_Toc21719"/>
      <w:bookmarkStart w:id="3415" w:name="_Toc10096"/>
      <w:bookmarkStart w:id="3416" w:name="_Toc21850"/>
      <w:bookmarkStart w:id="3417" w:name="_Toc305331438"/>
      <w:bookmarkStart w:id="3418" w:name="_Toc4867"/>
      <w:bookmarkStart w:id="3419" w:name="_Toc302635952"/>
      <w:bookmarkStart w:id="3420" w:name="_Toc24572"/>
      <w:bookmarkStart w:id="3421" w:name="_Toc6288"/>
      <w:bookmarkStart w:id="3422" w:name="_Toc8763"/>
      <w:bookmarkStart w:id="3423" w:name="_Toc12046"/>
      <w:r>
        <w:rPr>
          <w:rFonts w:hint="eastAsia" w:ascii="华文细黑" w:hAnsi="宋体" w:eastAsia="宋体" w:cs="Times New Roman"/>
          <w:b/>
          <w:bCs/>
          <w:snapToGrid w:val="0"/>
          <w:color w:val="auto"/>
          <w:kern w:val="0"/>
          <w:sz w:val="28"/>
          <w:szCs w:val="44"/>
          <w:highlight w:val="none"/>
          <w:lang w:val="en-US" w:eastAsia="zh-CN" w:bidi="ar-SA"/>
        </w:rPr>
        <w:t>3 发包人</w:t>
      </w:r>
      <w:bookmarkEnd w:id="3412"/>
      <w:bookmarkEnd w:id="3413"/>
      <w:bookmarkEnd w:id="3414"/>
      <w:bookmarkEnd w:id="3415"/>
      <w:bookmarkEnd w:id="3416"/>
      <w:bookmarkEnd w:id="3417"/>
      <w:bookmarkEnd w:id="3418"/>
      <w:bookmarkEnd w:id="3419"/>
      <w:bookmarkEnd w:id="3420"/>
      <w:bookmarkEnd w:id="3421"/>
      <w:bookmarkEnd w:id="3422"/>
      <w:bookmarkEnd w:id="3423"/>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424" w:name="_Toc24501"/>
      <w:bookmarkStart w:id="3425" w:name="_Toc305331439"/>
      <w:bookmarkStart w:id="3426" w:name="_Toc302635953"/>
      <w:bookmarkStart w:id="3427" w:name="_Toc3708"/>
      <w:bookmarkStart w:id="3428" w:name="_Toc21394"/>
      <w:bookmarkStart w:id="3429" w:name="_Toc3039"/>
      <w:bookmarkStart w:id="3430" w:name="_Toc28355"/>
      <w:bookmarkStart w:id="3431" w:name="_Toc12359"/>
      <w:bookmarkStart w:id="3432" w:name="_Toc11837"/>
      <w:bookmarkStart w:id="3433" w:name="_Toc29881"/>
      <w:bookmarkStart w:id="3434" w:name="_Toc16465"/>
      <w:r>
        <w:rPr>
          <w:rFonts w:hint="eastAsia" w:ascii="宋体" w:hAnsi="宋体" w:eastAsia="宋体" w:cs="Times New Roman"/>
          <w:b/>
          <w:bCs/>
          <w:color w:val="auto"/>
          <w:kern w:val="0"/>
          <w:sz w:val="24"/>
          <w:szCs w:val="32"/>
          <w:highlight w:val="none"/>
          <w:lang w:val="en-US" w:eastAsia="zh-CN" w:bidi="ar-SA"/>
        </w:rPr>
        <w:t>3.1 发包人代表</w:t>
      </w:r>
      <w:bookmarkEnd w:id="3424"/>
      <w:bookmarkEnd w:id="3425"/>
      <w:bookmarkEnd w:id="3426"/>
      <w:bookmarkEnd w:id="3427"/>
      <w:bookmarkEnd w:id="3428"/>
      <w:bookmarkEnd w:id="3429"/>
      <w:bookmarkEnd w:id="3430"/>
      <w:bookmarkEnd w:id="3431"/>
      <w:bookmarkEnd w:id="3432"/>
      <w:bookmarkEnd w:id="3433"/>
      <w:bookmarkEnd w:id="3434"/>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发包人代表的姓名：</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435" w:name="_Toc13269"/>
      <w:bookmarkStart w:id="3436" w:name="_Toc17714"/>
      <w:bookmarkStart w:id="3437" w:name="_Toc827"/>
      <w:bookmarkStart w:id="3438" w:name="_Toc3479"/>
      <w:bookmarkStart w:id="3439" w:name="_Toc9979"/>
      <w:bookmarkStart w:id="3440" w:name="_Toc305331440"/>
      <w:bookmarkStart w:id="3441" w:name="_Toc302635954"/>
      <w:bookmarkStart w:id="3442" w:name="_Toc29619"/>
      <w:bookmarkStart w:id="3443" w:name="_Toc28912"/>
      <w:bookmarkStart w:id="3444" w:name="_Toc7826"/>
      <w:bookmarkStart w:id="3445" w:name="_Toc18449"/>
      <w:r>
        <w:rPr>
          <w:rFonts w:hint="eastAsia" w:ascii="宋体" w:hAnsi="宋体" w:eastAsia="宋体" w:cs="Times New Roman"/>
          <w:b/>
          <w:bCs/>
          <w:color w:val="auto"/>
          <w:kern w:val="0"/>
          <w:sz w:val="24"/>
          <w:szCs w:val="32"/>
          <w:highlight w:val="none"/>
          <w:lang w:val="en-US" w:eastAsia="zh-CN" w:bidi="ar-SA"/>
        </w:rPr>
        <w:t>3.4 发包人的工作</w:t>
      </w:r>
      <w:bookmarkEnd w:id="3435"/>
      <w:bookmarkEnd w:id="3436"/>
      <w:bookmarkEnd w:id="3437"/>
      <w:bookmarkEnd w:id="3438"/>
      <w:bookmarkEnd w:id="3439"/>
      <w:bookmarkEnd w:id="3440"/>
      <w:bookmarkEnd w:id="3441"/>
      <w:bookmarkEnd w:id="3442"/>
      <w:bookmarkEnd w:id="3443"/>
      <w:bookmarkEnd w:id="3444"/>
      <w:bookmarkEnd w:id="3445"/>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(1)发包人完成工作的要求：</w:t>
      </w:r>
    </w:p>
    <w:p>
      <w:pPr>
        <w:spacing w:line="360" w:lineRule="auto"/>
        <w:ind w:firstLine="480"/>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rPr>
        <w:t>②施工场地内施工所需用水、用电、通讯的接驳地点：</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⑦发包人组织图纸会审和设计交底的时间：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⑨发包人应做的其他工作和要求：</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446" w:name="_Toc18144"/>
      <w:bookmarkStart w:id="3447" w:name="_Toc9389"/>
      <w:bookmarkStart w:id="3448" w:name="_Toc11865"/>
      <w:bookmarkStart w:id="3449" w:name="_Toc3944"/>
      <w:bookmarkStart w:id="3450" w:name="_Toc302635955"/>
      <w:bookmarkStart w:id="3451" w:name="_Toc18988"/>
      <w:bookmarkStart w:id="3452" w:name="_Toc23268"/>
      <w:bookmarkStart w:id="3453" w:name="_Toc11022"/>
      <w:bookmarkStart w:id="3454" w:name="_Toc20319"/>
      <w:bookmarkStart w:id="3455" w:name="_Toc11262"/>
      <w:bookmarkStart w:id="3456" w:name="_Toc305331441"/>
      <w:r>
        <w:rPr>
          <w:rFonts w:hint="eastAsia" w:ascii="宋体" w:hAnsi="宋体" w:eastAsia="宋体" w:cs="Times New Roman"/>
          <w:b/>
          <w:bCs/>
          <w:color w:val="auto"/>
          <w:kern w:val="0"/>
          <w:sz w:val="24"/>
          <w:szCs w:val="32"/>
          <w:highlight w:val="none"/>
          <w:lang w:val="en-US" w:eastAsia="zh-CN" w:bidi="ar-SA"/>
        </w:rPr>
        <w:t>3.5 发包人委托</w:t>
      </w:r>
      <w:bookmarkEnd w:id="3446"/>
      <w:bookmarkEnd w:id="3447"/>
      <w:bookmarkEnd w:id="3448"/>
      <w:bookmarkEnd w:id="3449"/>
      <w:bookmarkEnd w:id="3450"/>
      <w:bookmarkEnd w:id="3451"/>
      <w:bookmarkEnd w:id="3452"/>
      <w:bookmarkEnd w:id="3453"/>
      <w:bookmarkEnd w:id="3454"/>
      <w:bookmarkEnd w:id="3455"/>
      <w:bookmarkEnd w:id="3456"/>
    </w:p>
    <w:p>
      <w:pPr>
        <w:spacing w:line="360" w:lineRule="auto"/>
        <w:ind w:firstLine="480"/>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rPr>
        <w:t>发包人委托承包人办理的工作：</w:t>
      </w:r>
      <w:bookmarkStart w:id="3457" w:name="_Toc35656524"/>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keepNext w:val="0"/>
        <w:keepLines w:val="0"/>
        <w:widowControl/>
        <w:numPr>
          <w:ilvl w:val="0"/>
          <w:numId w:val="0"/>
        </w:numPr>
        <w:tabs>
          <w:tab w:val="left" w:pos="1620"/>
          <w:tab w:val="left" w:pos="2340"/>
        </w:tabs>
        <w:spacing w:before="120" w:after="120"/>
        <w:jc w:val="left"/>
        <w:outlineLvl w:val="0"/>
        <w:rPr>
          <w:rFonts w:ascii="华文细黑" w:hAnsi="宋体" w:eastAsia="宋体" w:cs="Times New Roman"/>
          <w:b/>
          <w:bCs/>
          <w:snapToGrid w:val="0"/>
          <w:color w:val="auto"/>
          <w:kern w:val="0"/>
          <w:sz w:val="28"/>
          <w:szCs w:val="44"/>
          <w:highlight w:val="none"/>
          <w:lang w:val="en-US" w:eastAsia="zh-CN" w:bidi="ar-SA"/>
        </w:rPr>
      </w:pPr>
      <w:bookmarkStart w:id="3458" w:name="_Toc16857"/>
      <w:bookmarkStart w:id="3459" w:name="_Toc28228"/>
      <w:bookmarkStart w:id="3460" w:name="_Toc32085"/>
      <w:bookmarkStart w:id="3461" w:name="_Toc28798"/>
      <w:bookmarkStart w:id="3462" w:name="_Toc302635956"/>
      <w:bookmarkStart w:id="3463" w:name="_Toc7107"/>
      <w:bookmarkStart w:id="3464" w:name="_Toc305331442"/>
      <w:bookmarkStart w:id="3465" w:name="_Toc30258"/>
      <w:bookmarkStart w:id="3466" w:name="_Toc18284"/>
      <w:bookmarkStart w:id="3467" w:name="_Toc14808"/>
      <w:bookmarkStart w:id="3468" w:name="_Toc1816"/>
      <w:r>
        <w:rPr>
          <w:rFonts w:hint="eastAsia" w:ascii="华文细黑" w:hAnsi="宋体" w:eastAsia="宋体" w:cs="Times New Roman"/>
          <w:b/>
          <w:bCs/>
          <w:snapToGrid w:val="0"/>
          <w:color w:val="auto"/>
          <w:kern w:val="0"/>
          <w:sz w:val="28"/>
          <w:szCs w:val="44"/>
          <w:highlight w:val="none"/>
          <w:lang w:val="en-US" w:eastAsia="zh-CN" w:bidi="ar-SA"/>
        </w:rPr>
        <w:t>4 承包人</w:t>
      </w:r>
      <w:bookmarkEnd w:id="3457"/>
      <w:bookmarkEnd w:id="3458"/>
      <w:bookmarkEnd w:id="3459"/>
      <w:bookmarkEnd w:id="3460"/>
      <w:bookmarkEnd w:id="3461"/>
      <w:bookmarkEnd w:id="3462"/>
      <w:bookmarkEnd w:id="3463"/>
      <w:bookmarkEnd w:id="3464"/>
      <w:bookmarkEnd w:id="3465"/>
      <w:bookmarkEnd w:id="3466"/>
      <w:bookmarkEnd w:id="3467"/>
      <w:bookmarkEnd w:id="3468"/>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469" w:name="_Toc10471"/>
      <w:bookmarkStart w:id="3470" w:name="_Toc25779"/>
      <w:bookmarkStart w:id="3471" w:name="_Toc302635957"/>
      <w:bookmarkStart w:id="3472" w:name="_Toc28927"/>
      <w:bookmarkStart w:id="3473" w:name="_Toc29447"/>
      <w:bookmarkStart w:id="3474" w:name="_Toc20886"/>
      <w:bookmarkStart w:id="3475" w:name="_Toc18205"/>
      <w:bookmarkStart w:id="3476" w:name="_Toc24327"/>
      <w:bookmarkStart w:id="3477" w:name="_Toc12949"/>
      <w:bookmarkStart w:id="3478" w:name="_Toc305331443"/>
      <w:bookmarkStart w:id="3479" w:name="_Toc15137"/>
      <w:r>
        <w:rPr>
          <w:rFonts w:hint="eastAsia" w:ascii="宋体" w:hAnsi="宋体" w:eastAsia="宋体" w:cs="Times New Roman"/>
          <w:b/>
          <w:bCs/>
          <w:color w:val="auto"/>
          <w:kern w:val="0"/>
          <w:sz w:val="24"/>
          <w:szCs w:val="32"/>
          <w:highlight w:val="none"/>
          <w:lang w:val="en-US" w:eastAsia="zh-CN" w:bidi="ar-SA"/>
        </w:rPr>
        <w:t>4.2 承包人的工作</w:t>
      </w:r>
      <w:bookmarkEnd w:id="3469"/>
      <w:bookmarkEnd w:id="3470"/>
      <w:bookmarkEnd w:id="3471"/>
      <w:bookmarkEnd w:id="3472"/>
      <w:bookmarkEnd w:id="3473"/>
      <w:bookmarkEnd w:id="3474"/>
      <w:bookmarkEnd w:id="3475"/>
      <w:bookmarkEnd w:id="3476"/>
      <w:bookmarkEnd w:id="3477"/>
      <w:bookmarkEnd w:id="3478"/>
      <w:bookmarkEnd w:id="3479"/>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(1)承包人完成工作的要求：</w:t>
      </w:r>
    </w:p>
    <w:p>
      <w:pPr>
        <w:spacing w:line="360" w:lineRule="auto"/>
        <w:ind w:firstLine="480"/>
        <w:rPr>
          <w:rFonts w:hint="eastAsia" w:ascii="宋体" w:hAnsi="宋体" w:eastAsia="宋体" w:cs="Times New Roman"/>
          <w:color w:val="auto"/>
          <w:sz w:val="24"/>
          <w:szCs w:val="24"/>
          <w:highlight w:val="none"/>
          <w:u w:val="single"/>
        </w:rPr>
      </w:pPr>
      <w:bookmarkStart w:id="3480" w:name="_Toc35656527"/>
      <w:bookmarkStart w:id="3481" w:name="_Toc35656525"/>
      <w:r>
        <w:rPr>
          <w:rFonts w:hint="eastAsia" w:ascii="宋体" w:hAnsi="宋体" w:eastAsia="宋体" w:cs="Times New Roman"/>
          <w:color w:val="auto"/>
          <w:sz w:val="24"/>
          <w:szCs w:val="24"/>
          <w:highlight w:val="none"/>
        </w:rPr>
        <w:t>③承包人向发包人提供施工场地办公和生活的房屋及设施，费用承担方式为：</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⑧承包人应在</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前向发包人提交</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套竣工资料。</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⑨约定承包人应做的其他工作：</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pPr>
        <w:widowControl w:val="0"/>
        <w:numPr>
          <w:ilvl w:val="0"/>
          <w:numId w:val="0"/>
        </w:numPr>
        <w:tabs>
          <w:tab w:val="left" w:pos="540"/>
          <w:tab w:val="left" w:pos="2340"/>
        </w:tabs>
        <w:spacing w:before="120" w:after="156"/>
        <w:ind w:left="180"/>
        <w:jc w:val="left"/>
        <w:outlineLvl w:val="1"/>
        <w:rPr>
          <w:rFonts w:ascii="宋体" w:hAnsi="宋体" w:eastAsia="宋体" w:cs="Times New Roman"/>
          <w:b/>
          <w:bCs/>
          <w:color w:val="auto"/>
          <w:kern w:val="0"/>
          <w:sz w:val="24"/>
          <w:szCs w:val="32"/>
          <w:highlight w:val="none"/>
          <w:lang w:val="en-US" w:eastAsia="zh-CN" w:bidi="ar-SA"/>
        </w:rPr>
      </w:pPr>
      <w:bookmarkStart w:id="3482" w:name="_Toc13209"/>
      <w:bookmarkStart w:id="3483" w:name="_Toc6884"/>
      <w:bookmarkStart w:id="3484" w:name="_Toc18206"/>
      <w:bookmarkStart w:id="3485" w:name="_Toc3658"/>
      <w:bookmarkStart w:id="3486" w:name="_Toc8960"/>
      <w:bookmarkStart w:id="3487" w:name="_Toc302635958"/>
      <w:bookmarkStart w:id="3488" w:name="_Toc23429"/>
      <w:bookmarkStart w:id="3489" w:name="_Toc305331444"/>
      <w:bookmarkStart w:id="3490" w:name="_Toc8361"/>
      <w:bookmarkStart w:id="3491" w:name="_Toc1111"/>
      <w:bookmarkStart w:id="3492" w:name="_Toc20209"/>
      <w:r>
        <w:rPr>
          <w:rFonts w:hint="eastAsia" w:ascii="宋体" w:hAnsi="宋体" w:eastAsia="宋体" w:cs="Times New Roman"/>
          <w:b/>
          <w:bCs/>
          <w:color w:val="auto"/>
          <w:kern w:val="0"/>
          <w:sz w:val="24"/>
          <w:szCs w:val="32"/>
          <w:highlight w:val="none"/>
          <w:lang w:val="en-US" w:eastAsia="zh-CN" w:bidi="ar-SA"/>
        </w:rPr>
        <w:t>4.3</w:t>
      </w:r>
      <w:bookmarkEnd w:id="3480"/>
      <w:r>
        <w:rPr>
          <w:rFonts w:hint="eastAsia" w:ascii="宋体" w:hAnsi="宋体" w:eastAsia="宋体" w:cs="Times New Roman"/>
          <w:b/>
          <w:bCs/>
          <w:color w:val="auto"/>
          <w:kern w:val="0"/>
          <w:sz w:val="24"/>
          <w:szCs w:val="32"/>
          <w:highlight w:val="none"/>
          <w:lang w:val="en-US" w:eastAsia="zh-CN" w:bidi="ar-SA"/>
        </w:rPr>
        <w:t>项目经理的任命</w:t>
      </w:r>
      <w:bookmarkEnd w:id="3482"/>
      <w:bookmarkEnd w:id="3483"/>
      <w:bookmarkEnd w:id="3484"/>
      <w:bookmarkEnd w:id="3485"/>
      <w:bookmarkEnd w:id="3486"/>
      <w:bookmarkEnd w:id="3487"/>
      <w:bookmarkEnd w:id="3488"/>
      <w:bookmarkEnd w:id="3489"/>
      <w:bookmarkEnd w:id="3490"/>
      <w:bookmarkEnd w:id="3491"/>
      <w:bookmarkEnd w:id="3492"/>
    </w:p>
    <w:p>
      <w:pPr>
        <w:spacing w:line="360" w:lineRule="auto"/>
        <w:ind w:left="2"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(2)承包人任命的项目经理姓名：</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，资格证书号：</w:t>
      </w:r>
      <w:r>
        <w:rPr>
          <w:rFonts w:hint="eastAsia" w:ascii="宋体" w:hAnsi="宋体" w:eastAsia="宋体" w:cs="Times New Roman"/>
          <w:color w:val="auto"/>
          <w:sz w:val="24"/>
          <w:szCs w:val="24"/>
          <w:highlight w:val="none"/>
          <w:u w:val="single"/>
        </w:rPr>
        <w:t xml:space="preserve">                  </w:t>
      </w:r>
    </w:p>
    <w:p>
      <w:pPr>
        <w:spacing w:line="360" w:lineRule="auto"/>
        <w:ind w:left="2"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(3)承包人的项目经理与投标文件的承诺不一致，或项目经理未及时到位，或同时兼任承包人</w:t>
      </w:r>
      <w:r>
        <w:rPr>
          <w:rFonts w:ascii="宋体" w:hAnsi="宋体" w:eastAsia="宋体" w:cs="Times New Roman"/>
          <w:color w:val="auto"/>
          <w:sz w:val="24"/>
          <w:szCs w:val="24"/>
          <w:highlight w:val="none"/>
        </w:rPr>
        <w:t>其它</w:t>
      </w:r>
      <w:r>
        <w:rPr>
          <w:rFonts w:hint="eastAsia" w:ascii="宋体" w:hAnsi="宋体" w:eastAsia="宋体" w:cs="Times New Roman"/>
          <w:color w:val="auto"/>
          <w:sz w:val="24"/>
          <w:szCs w:val="24"/>
          <w:highlight w:val="none"/>
        </w:rPr>
        <w:t>工程</w:t>
      </w:r>
      <w:r>
        <w:rPr>
          <w:rFonts w:ascii="宋体" w:hAnsi="宋体" w:eastAsia="宋体" w:cs="Times New Roman"/>
          <w:color w:val="auto"/>
          <w:sz w:val="24"/>
          <w:szCs w:val="24"/>
          <w:highlight w:val="none"/>
        </w:rPr>
        <w:t>项目的</w:t>
      </w:r>
      <w:r>
        <w:rPr>
          <w:rFonts w:hint="eastAsia" w:ascii="宋体" w:hAnsi="宋体" w:eastAsia="宋体" w:cs="Times New Roman"/>
          <w:color w:val="auto"/>
          <w:sz w:val="24"/>
          <w:szCs w:val="24"/>
          <w:highlight w:val="none"/>
        </w:rPr>
        <w:t>项目经理的，承包人应向发包人支付违约金每次</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493" w:name="_Toc19082"/>
      <w:bookmarkStart w:id="3494" w:name="_Toc27786"/>
      <w:bookmarkStart w:id="3495" w:name="_Toc28066"/>
      <w:bookmarkStart w:id="3496" w:name="_Toc23011"/>
      <w:bookmarkStart w:id="3497" w:name="_Toc30736"/>
      <w:bookmarkStart w:id="3498" w:name="_Toc7161"/>
      <w:bookmarkStart w:id="3499" w:name="_Toc305331445"/>
      <w:bookmarkStart w:id="3500" w:name="_Toc302635959"/>
      <w:bookmarkStart w:id="3501" w:name="_Toc14516"/>
      <w:bookmarkStart w:id="3502" w:name="_Toc2142"/>
      <w:bookmarkStart w:id="3503" w:name="_Toc6901"/>
      <w:r>
        <w:rPr>
          <w:rFonts w:hint="eastAsia" w:ascii="宋体" w:hAnsi="宋体" w:eastAsia="宋体" w:cs="Times New Roman"/>
          <w:b/>
          <w:bCs/>
          <w:color w:val="auto"/>
          <w:kern w:val="0"/>
          <w:sz w:val="24"/>
          <w:szCs w:val="32"/>
          <w:highlight w:val="none"/>
          <w:lang w:val="en-US" w:eastAsia="zh-CN" w:bidi="ar-SA"/>
        </w:rPr>
        <w:t>4.4 项目经理的更换</w:t>
      </w:r>
      <w:bookmarkEnd w:id="3493"/>
      <w:bookmarkEnd w:id="3494"/>
      <w:bookmarkEnd w:id="3495"/>
      <w:bookmarkEnd w:id="3496"/>
      <w:bookmarkEnd w:id="3497"/>
      <w:bookmarkEnd w:id="3498"/>
      <w:bookmarkEnd w:id="3499"/>
      <w:bookmarkEnd w:id="3500"/>
      <w:bookmarkEnd w:id="3501"/>
      <w:bookmarkEnd w:id="3502"/>
      <w:bookmarkEnd w:id="3503"/>
    </w:p>
    <w:p>
      <w:pPr>
        <w:spacing w:line="360" w:lineRule="auto"/>
        <w:ind w:left="2"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(2)承包人未经监理工程师及发包人同意更换项目经理的，承包人应向发包人支付违约金</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元／次。</w:t>
      </w:r>
    </w:p>
    <w:p>
      <w:pPr>
        <w:spacing w:line="360" w:lineRule="auto"/>
        <w:ind w:left="2" w:firstLine="480"/>
        <w:rPr>
          <w:rFonts w:hint="eastAsia"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承包人无正当理由拒绝更换项目经理的违约责任：</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rPr>
      </w:pPr>
      <w:bookmarkStart w:id="3504" w:name="_Toc305331446"/>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505" w:name="_Toc30913"/>
      <w:bookmarkStart w:id="3506" w:name="_Toc2480"/>
      <w:bookmarkStart w:id="3507" w:name="_Toc22307"/>
      <w:bookmarkStart w:id="3508" w:name="_Toc302635960"/>
      <w:bookmarkStart w:id="3509" w:name="_Toc28733"/>
      <w:bookmarkStart w:id="3510" w:name="_Toc413"/>
      <w:bookmarkStart w:id="3511" w:name="_Toc9675"/>
      <w:bookmarkStart w:id="3512" w:name="_Toc3999"/>
      <w:bookmarkStart w:id="3513" w:name="_Toc22489"/>
      <w:bookmarkStart w:id="3514" w:name="_Toc20500"/>
      <w:r>
        <w:rPr>
          <w:rFonts w:hint="eastAsia" w:ascii="宋体" w:hAnsi="宋体" w:eastAsia="宋体" w:cs="Times New Roman"/>
          <w:b/>
          <w:bCs/>
          <w:color w:val="auto"/>
          <w:kern w:val="0"/>
          <w:sz w:val="24"/>
          <w:szCs w:val="32"/>
          <w:highlight w:val="none"/>
          <w:lang w:val="en-US" w:eastAsia="zh-CN" w:bidi="ar-SA"/>
        </w:rPr>
        <w:t>4.6 施工管理人员</w:t>
      </w:r>
      <w:bookmarkEnd w:id="3504"/>
      <w:bookmarkEnd w:id="3505"/>
      <w:bookmarkEnd w:id="3506"/>
      <w:bookmarkEnd w:id="3507"/>
      <w:bookmarkEnd w:id="3508"/>
      <w:bookmarkEnd w:id="3509"/>
      <w:bookmarkEnd w:id="3510"/>
      <w:bookmarkEnd w:id="3511"/>
      <w:bookmarkEnd w:id="3512"/>
      <w:bookmarkEnd w:id="3513"/>
      <w:bookmarkEnd w:id="3514"/>
    </w:p>
    <w:p>
      <w:pPr>
        <w:spacing w:line="360" w:lineRule="auto"/>
        <w:ind w:left="2"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)属于承包人主要施工管理人员的其他人员包括</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spacing w:line="360" w:lineRule="auto"/>
        <w:ind w:firstLine="480" w:firstLineChars="20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(3)承包人主要施工管理人员离开施工现场的批准要求：</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left="2"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承包人的</w:t>
      </w:r>
      <w:r>
        <w:rPr>
          <w:rFonts w:hint="eastAsia" w:ascii="宋体" w:hAnsi="宋体" w:eastAsia="宋体" w:cs="Times New Roman"/>
          <w:color w:val="auto"/>
          <w:sz w:val="24"/>
          <w:szCs w:val="24"/>
          <w:highlight w:val="none"/>
        </w:rPr>
        <w:t>管理人员</w:t>
      </w:r>
      <w:r>
        <w:rPr>
          <w:rFonts w:ascii="宋体" w:hAnsi="宋体" w:eastAsia="宋体" w:cs="Times New Roman"/>
          <w:color w:val="auto"/>
          <w:sz w:val="24"/>
          <w:szCs w:val="24"/>
          <w:highlight w:val="none"/>
        </w:rPr>
        <w:t>在</w:t>
      </w:r>
      <w:r>
        <w:rPr>
          <w:rFonts w:hint="eastAsia" w:ascii="宋体" w:hAnsi="宋体" w:eastAsia="宋体" w:cs="Times New Roman"/>
          <w:color w:val="auto"/>
          <w:sz w:val="24"/>
          <w:szCs w:val="24"/>
          <w:highlight w:val="none"/>
        </w:rPr>
        <w:t>施工</w:t>
      </w:r>
      <w:r>
        <w:rPr>
          <w:rFonts w:ascii="宋体" w:hAnsi="宋体" w:eastAsia="宋体" w:cs="Times New Roman"/>
          <w:color w:val="auto"/>
          <w:sz w:val="24"/>
          <w:szCs w:val="24"/>
          <w:highlight w:val="none"/>
        </w:rPr>
        <w:t>期间出现以下情况</w:t>
      </w:r>
      <w:r>
        <w:rPr>
          <w:rFonts w:hint="eastAsia" w:ascii="宋体" w:hAnsi="宋体" w:eastAsia="宋体" w:cs="Times New Roman"/>
          <w:color w:val="auto"/>
          <w:sz w:val="24"/>
          <w:szCs w:val="24"/>
          <w:highlight w:val="none"/>
        </w:rPr>
        <w:t>，应承担的违约责任</w:t>
      </w:r>
      <w:r>
        <w:rPr>
          <w:rFonts w:ascii="宋体" w:hAnsi="宋体" w:eastAsia="宋体" w:cs="Times New Roman"/>
          <w:color w:val="auto"/>
          <w:sz w:val="24"/>
          <w:szCs w:val="24"/>
          <w:highlight w:val="none"/>
        </w:rPr>
        <w:t>：</w:t>
      </w:r>
    </w:p>
    <w:p>
      <w:pPr>
        <w:spacing w:line="360" w:lineRule="auto"/>
        <w:ind w:left="2"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w:t>
      </w:r>
      <w:r>
        <w:rPr>
          <w:rFonts w:ascii="宋体" w:hAnsi="宋体" w:eastAsia="宋体" w:cs="Times New Roman"/>
          <w:color w:val="auto"/>
          <w:sz w:val="24"/>
          <w:szCs w:val="24"/>
          <w:highlight w:val="none"/>
        </w:rPr>
        <w:t>承包人的项目</w:t>
      </w:r>
      <w:r>
        <w:rPr>
          <w:rFonts w:hint="eastAsia" w:ascii="宋体" w:hAnsi="宋体" w:eastAsia="宋体" w:cs="Times New Roman"/>
          <w:color w:val="auto"/>
          <w:sz w:val="24"/>
          <w:szCs w:val="24"/>
          <w:highlight w:val="none"/>
        </w:rPr>
        <w:t>管理</w:t>
      </w:r>
      <w:r>
        <w:rPr>
          <w:rFonts w:ascii="宋体" w:hAnsi="宋体" w:eastAsia="宋体" w:cs="Times New Roman"/>
          <w:color w:val="auto"/>
          <w:sz w:val="24"/>
          <w:szCs w:val="24"/>
          <w:highlight w:val="none"/>
        </w:rPr>
        <w:t>机构设置与</w:t>
      </w:r>
      <w:r>
        <w:rPr>
          <w:rFonts w:hint="eastAsia" w:ascii="宋体" w:hAnsi="宋体" w:eastAsia="宋体" w:cs="Times New Roman"/>
          <w:color w:val="auto"/>
          <w:sz w:val="24"/>
          <w:szCs w:val="24"/>
          <w:highlight w:val="none"/>
        </w:rPr>
        <w:t>投标文件</w:t>
      </w:r>
      <w:r>
        <w:rPr>
          <w:rFonts w:ascii="宋体" w:hAnsi="宋体" w:eastAsia="宋体" w:cs="Times New Roman"/>
          <w:color w:val="auto"/>
          <w:sz w:val="24"/>
          <w:szCs w:val="24"/>
          <w:highlight w:val="none"/>
        </w:rPr>
        <w:t>的承诺不一致</w:t>
      </w:r>
      <w:r>
        <w:rPr>
          <w:rFonts w:hint="eastAsia" w:ascii="宋体" w:hAnsi="宋体" w:eastAsia="宋体" w:cs="Times New Roman"/>
          <w:color w:val="auto"/>
          <w:sz w:val="24"/>
          <w:szCs w:val="24"/>
          <w:highlight w:val="none"/>
        </w:rPr>
        <w:t>的，承包人应向发包人支付违约金</w:t>
      </w:r>
      <w:r>
        <w:rPr>
          <w:rFonts w:hint="eastAsia" w:ascii="宋体" w:hAnsi="宋体" w:eastAsia="宋体" w:cs="Times New Roman"/>
          <w:b/>
          <w:color w:val="auto"/>
          <w:sz w:val="24"/>
          <w:szCs w:val="24"/>
          <w:highlight w:val="none"/>
          <w:u w:val="single"/>
        </w:rPr>
        <w:t xml:space="preserve">          </w:t>
      </w:r>
      <w:r>
        <w:rPr>
          <w:rFonts w:ascii="宋体" w:hAnsi="宋体" w:eastAsia="宋体" w:cs="Times New Roman"/>
          <w:color w:val="auto"/>
          <w:sz w:val="24"/>
          <w:szCs w:val="24"/>
          <w:highlight w:val="none"/>
        </w:rPr>
        <w:t xml:space="preserve">； </w:t>
      </w:r>
    </w:p>
    <w:p>
      <w:pPr>
        <w:spacing w:line="360" w:lineRule="auto"/>
        <w:ind w:left="2"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②承包人的</w:t>
      </w:r>
      <w:r>
        <w:rPr>
          <w:rFonts w:ascii="宋体" w:hAnsi="宋体" w:eastAsia="宋体" w:cs="Times New Roman"/>
          <w:color w:val="auto"/>
          <w:sz w:val="24"/>
          <w:szCs w:val="24"/>
          <w:highlight w:val="none"/>
        </w:rPr>
        <w:t>主要</w:t>
      </w:r>
      <w:r>
        <w:rPr>
          <w:rFonts w:hint="eastAsia" w:ascii="宋体" w:hAnsi="宋体" w:eastAsia="宋体" w:cs="Times New Roman"/>
          <w:color w:val="auto"/>
          <w:sz w:val="24"/>
          <w:szCs w:val="24"/>
          <w:highlight w:val="none"/>
        </w:rPr>
        <w:t>施工管理</w:t>
      </w:r>
      <w:r>
        <w:rPr>
          <w:rFonts w:ascii="宋体" w:hAnsi="宋体" w:eastAsia="宋体" w:cs="Times New Roman"/>
          <w:color w:val="auto"/>
          <w:sz w:val="24"/>
          <w:szCs w:val="24"/>
          <w:highlight w:val="none"/>
        </w:rPr>
        <w:t>人员不到位</w:t>
      </w:r>
      <w:r>
        <w:rPr>
          <w:rFonts w:hint="eastAsia" w:ascii="宋体" w:hAnsi="宋体" w:eastAsia="宋体" w:cs="Times New Roman"/>
          <w:color w:val="auto"/>
          <w:sz w:val="24"/>
          <w:szCs w:val="24"/>
          <w:highlight w:val="none"/>
        </w:rPr>
        <w:t>的，承包人应向发包人支付违约金</w:t>
      </w:r>
      <w:r>
        <w:rPr>
          <w:rFonts w:hint="eastAsia" w:ascii="宋体" w:hAnsi="宋体" w:eastAsia="宋体" w:cs="Times New Roman"/>
          <w:b/>
          <w:color w:val="auto"/>
          <w:sz w:val="24"/>
          <w:szCs w:val="24"/>
          <w:highlight w:val="none"/>
          <w:u w:val="single"/>
        </w:rPr>
        <w:t xml:space="preserve">          </w:t>
      </w:r>
      <w:r>
        <w:rPr>
          <w:rFonts w:hint="eastAsia" w:ascii="宋体" w:hAnsi="宋体" w:eastAsia="宋体" w:cs="Times New Roman"/>
          <w:color w:val="auto"/>
          <w:sz w:val="24"/>
          <w:szCs w:val="24"/>
          <w:highlight w:val="none"/>
        </w:rPr>
        <w:t>元／人次</w:t>
      </w:r>
      <w:r>
        <w:rPr>
          <w:rFonts w:ascii="宋体" w:hAnsi="宋体" w:eastAsia="宋体" w:cs="Times New Roman"/>
          <w:color w:val="auto"/>
          <w:sz w:val="24"/>
          <w:szCs w:val="24"/>
          <w:highlight w:val="none"/>
        </w:rPr>
        <w:t xml:space="preserve">； </w:t>
      </w:r>
    </w:p>
    <w:p>
      <w:pPr>
        <w:spacing w:line="360" w:lineRule="auto"/>
        <w:ind w:left="2"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③</w:t>
      </w:r>
      <w:r>
        <w:rPr>
          <w:rFonts w:ascii="宋体" w:hAnsi="宋体" w:eastAsia="宋体" w:cs="Times New Roman"/>
          <w:color w:val="auto"/>
          <w:sz w:val="24"/>
          <w:szCs w:val="24"/>
          <w:highlight w:val="none"/>
        </w:rPr>
        <w:t>未经发包人</w:t>
      </w:r>
      <w:r>
        <w:rPr>
          <w:rFonts w:hint="eastAsia" w:ascii="宋体" w:hAnsi="宋体" w:eastAsia="宋体" w:cs="Times New Roman"/>
          <w:color w:val="auto"/>
          <w:sz w:val="24"/>
          <w:szCs w:val="24"/>
          <w:highlight w:val="none"/>
        </w:rPr>
        <w:t>同意</w:t>
      </w:r>
      <w:r>
        <w:rPr>
          <w:rFonts w:ascii="宋体" w:hAnsi="宋体" w:eastAsia="宋体" w:cs="Times New Roman"/>
          <w:color w:val="auto"/>
          <w:sz w:val="24"/>
          <w:szCs w:val="24"/>
          <w:highlight w:val="none"/>
        </w:rPr>
        <w:t>，承包人擅自更换主要</w:t>
      </w:r>
      <w:r>
        <w:rPr>
          <w:rFonts w:hint="eastAsia" w:ascii="宋体" w:hAnsi="宋体" w:eastAsia="宋体" w:cs="Times New Roman"/>
          <w:color w:val="auto"/>
          <w:sz w:val="24"/>
          <w:szCs w:val="24"/>
          <w:highlight w:val="none"/>
        </w:rPr>
        <w:t>施工</w:t>
      </w:r>
      <w:r>
        <w:rPr>
          <w:rFonts w:ascii="宋体" w:hAnsi="宋体" w:eastAsia="宋体" w:cs="Times New Roman"/>
          <w:color w:val="auto"/>
          <w:sz w:val="24"/>
          <w:szCs w:val="24"/>
          <w:highlight w:val="none"/>
        </w:rPr>
        <w:t>管理人员</w:t>
      </w:r>
      <w:r>
        <w:rPr>
          <w:rFonts w:hint="eastAsia" w:ascii="宋体" w:hAnsi="宋体" w:eastAsia="宋体" w:cs="Times New Roman"/>
          <w:color w:val="auto"/>
          <w:sz w:val="24"/>
          <w:szCs w:val="24"/>
          <w:highlight w:val="none"/>
        </w:rPr>
        <w:t>的，承包人应向发包人支付违约金</w:t>
      </w:r>
      <w:r>
        <w:rPr>
          <w:rFonts w:hint="eastAsia" w:ascii="宋体" w:hAnsi="宋体" w:eastAsia="宋体" w:cs="Times New Roman"/>
          <w:b/>
          <w:color w:val="auto"/>
          <w:sz w:val="24"/>
          <w:szCs w:val="24"/>
          <w:highlight w:val="none"/>
          <w:u w:val="single"/>
        </w:rPr>
        <w:t xml:space="preserve">          </w:t>
      </w:r>
      <w:r>
        <w:rPr>
          <w:rFonts w:hint="eastAsia" w:ascii="宋体" w:hAnsi="宋体" w:eastAsia="宋体" w:cs="Times New Roman"/>
          <w:color w:val="auto"/>
          <w:sz w:val="24"/>
          <w:szCs w:val="24"/>
          <w:highlight w:val="none"/>
        </w:rPr>
        <w:t>元／人次；</w:t>
      </w:r>
    </w:p>
    <w:p>
      <w:pPr>
        <w:spacing w:line="360" w:lineRule="auto"/>
        <w:ind w:left="2"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④承包人的主要施工管理人员未经监理人或发包人同意擅自离开施工现场的，承包人应向发包人支付违约金</w:t>
      </w:r>
      <w:r>
        <w:rPr>
          <w:rFonts w:hint="eastAsia" w:ascii="宋体" w:hAnsi="宋体" w:eastAsia="宋体" w:cs="Times New Roman"/>
          <w:b/>
          <w:color w:val="auto"/>
          <w:sz w:val="24"/>
          <w:szCs w:val="24"/>
          <w:highlight w:val="none"/>
          <w:u w:val="single"/>
        </w:rPr>
        <w:t xml:space="preserve">          </w:t>
      </w:r>
      <w:r>
        <w:rPr>
          <w:rFonts w:hint="eastAsia" w:ascii="宋体" w:hAnsi="宋体" w:eastAsia="宋体" w:cs="Times New Roman"/>
          <w:color w:val="auto"/>
          <w:sz w:val="24"/>
          <w:szCs w:val="24"/>
          <w:highlight w:val="none"/>
        </w:rPr>
        <w:t>元／人次；</w:t>
      </w:r>
    </w:p>
    <w:p>
      <w:pPr>
        <w:spacing w:line="360" w:lineRule="auto"/>
        <w:ind w:left="2"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⑤</w:t>
      </w:r>
      <w:r>
        <w:rPr>
          <w:rFonts w:ascii="宋体" w:hAnsi="宋体" w:eastAsia="宋体" w:cs="Times New Roman"/>
          <w:color w:val="auto"/>
          <w:sz w:val="24"/>
          <w:szCs w:val="24"/>
          <w:highlight w:val="none"/>
        </w:rPr>
        <w:t>承包人的主要</w:t>
      </w:r>
      <w:r>
        <w:rPr>
          <w:rFonts w:hint="eastAsia" w:ascii="宋体" w:hAnsi="宋体" w:eastAsia="宋体" w:cs="Times New Roman"/>
          <w:color w:val="auto"/>
          <w:sz w:val="24"/>
          <w:szCs w:val="24"/>
          <w:highlight w:val="none"/>
        </w:rPr>
        <w:t>施工管理</w:t>
      </w:r>
      <w:r>
        <w:rPr>
          <w:rFonts w:ascii="宋体" w:hAnsi="宋体" w:eastAsia="宋体" w:cs="Times New Roman"/>
          <w:color w:val="auto"/>
          <w:sz w:val="24"/>
          <w:szCs w:val="24"/>
          <w:highlight w:val="none"/>
        </w:rPr>
        <w:t>人员</w:t>
      </w:r>
      <w:r>
        <w:rPr>
          <w:rFonts w:hint="eastAsia" w:ascii="宋体" w:hAnsi="宋体" w:eastAsia="宋体" w:cs="Times New Roman"/>
          <w:color w:val="auto"/>
          <w:sz w:val="24"/>
          <w:szCs w:val="24"/>
          <w:highlight w:val="none"/>
        </w:rPr>
        <w:t>同时</w:t>
      </w:r>
      <w:r>
        <w:rPr>
          <w:rFonts w:ascii="宋体" w:hAnsi="宋体" w:eastAsia="宋体" w:cs="Times New Roman"/>
          <w:color w:val="auto"/>
          <w:sz w:val="24"/>
          <w:szCs w:val="24"/>
          <w:highlight w:val="none"/>
        </w:rPr>
        <w:t>兼任承包人其它</w:t>
      </w:r>
      <w:r>
        <w:rPr>
          <w:rFonts w:hint="eastAsia" w:ascii="宋体" w:hAnsi="宋体" w:eastAsia="宋体" w:cs="Times New Roman"/>
          <w:color w:val="auto"/>
          <w:sz w:val="24"/>
          <w:szCs w:val="24"/>
          <w:highlight w:val="none"/>
        </w:rPr>
        <w:t>工程</w:t>
      </w:r>
      <w:r>
        <w:rPr>
          <w:rFonts w:ascii="宋体" w:hAnsi="宋体" w:eastAsia="宋体" w:cs="Times New Roman"/>
          <w:color w:val="auto"/>
          <w:sz w:val="24"/>
          <w:szCs w:val="24"/>
          <w:highlight w:val="none"/>
        </w:rPr>
        <w:t>项目的任何职务</w:t>
      </w:r>
      <w:r>
        <w:rPr>
          <w:rFonts w:hint="eastAsia" w:ascii="宋体" w:hAnsi="宋体" w:eastAsia="宋体" w:cs="Times New Roman"/>
          <w:color w:val="auto"/>
          <w:sz w:val="24"/>
          <w:szCs w:val="24"/>
          <w:highlight w:val="none"/>
        </w:rPr>
        <w:t>的，承包人应向发包人支付违约金</w:t>
      </w:r>
      <w:r>
        <w:rPr>
          <w:rFonts w:hint="eastAsia" w:ascii="宋体" w:hAnsi="宋体" w:eastAsia="宋体" w:cs="Times New Roman"/>
          <w:b/>
          <w:color w:val="auto"/>
          <w:sz w:val="24"/>
          <w:szCs w:val="24"/>
          <w:highlight w:val="none"/>
          <w:u w:val="single"/>
        </w:rPr>
        <w:t xml:space="preserve">          </w:t>
      </w:r>
      <w:r>
        <w:rPr>
          <w:rFonts w:hint="eastAsia" w:ascii="宋体" w:hAnsi="宋体" w:eastAsia="宋体" w:cs="Times New Roman"/>
          <w:color w:val="auto"/>
          <w:sz w:val="24"/>
          <w:szCs w:val="24"/>
          <w:highlight w:val="none"/>
        </w:rPr>
        <w:t>元／人次；</w:t>
      </w:r>
    </w:p>
    <w:p>
      <w:pPr>
        <w:spacing w:line="360" w:lineRule="auto"/>
        <w:ind w:left="2"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(6)承包人无正当理由拒绝撤换的，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bookmarkEnd w:id="3481"/>
    <w:p>
      <w:pPr>
        <w:keepNext w:val="0"/>
        <w:keepLines w:val="0"/>
        <w:widowControl/>
        <w:numPr>
          <w:ilvl w:val="0"/>
          <w:numId w:val="0"/>
        </w:numPr>
        <w:tabs>
          <w:tab w:val="left" w:pos="1620"/>
          <w:tab w:val="left" w:pos="2340"/>
        </w:tabs>
        <w:spacing w:before="120" w:after="120"/>
        <w:jc w:val="left"/>
        <w:outlineLvl w:val="0"/>
        <w:rPr>
          <w:rFonts w:ascii="华文细黑" w:hAnsi="宋体" w:eastAsia="宋体" w:cs="Times New Roman"/>
          <w:b/>
          <w:bCs/>
          <w:snapToGrid w:val="0"/>
          <w:color w:val="auto"/>
          <w:kern w:val="0"/>
          <w:sz w:val="28"/>
          <w:szCs w:val="44"/>
          <w:highlight w:val="none"/>
          <w:lang w:val="en-US" w:eastAsia="zh-CN" w:bidi="ar-SA"/>
        </w:rPr>
      </w:pPr>
      <w:bookmarkStart w:id="3515" w:name="_Toc302635961"/>
      <w:bookmarkStart w:id="3516" w:name="_Toc35656526"/>
      <w:bookmarkStart w:id="3517" w:name="_Toc305331447"/>
      <w:bookmarkStart w:id="3518" w:name="_Toc23135"/>
      <w:bookmarkStart w:id="3519" w:name="_Toc20509"/>
      <w:bookmarkStart w:id="3520" w:name="_Toc11664"/>
      <w:bookmarkStart w:id="3521" w:name="_Toc31499"/>
      <w:bookmarkStart w:id="3522" w:name="_Toc11143"/>
      <w:bookmarkStart w:id="3523" w:name="_Toc32384"/>
      <w:bookmarkStart w:id="3524" w:name="_Toc15672"/>
      <w:bookmarkStart w:id="3525" w:name="_Toc25939"/>
      <w:bookmarkStart w:id="3526" w:name="_Toc32732"/>
      <w:r>
        <w:rPr>
          <w:rFonts w:hint="eastAsia" w:ascii="华文细黑" w:hAnsi="宋体" w:eastAsia="宋体" w:cs="Times New Roman"/>
          <w:b/>
          <w:bCs/>
          <w:snapToGrid w:val="0"/>
          <w:color w:val="auto"/>
          <w:kern w:val="0"/>
          <w:sz w:val="28"/>
          <w:szCs w:val="44"/>
          <w:highlight w:val="none"/>
          <w:lang w:val="en-US" w:eastAsia="zh-CN" w:bidi="ar-SA"/>
        </w:rPr>
        <w:t>5 监理</w:t>
      </w:r>
      <w:bookmarkEnd w:id="3515"/>
      <w:bookmarkEnd w:id="3516"/>
      <w:bookmarkEnd w:id="3517"/>
      <w:r>
        <w:rPr>
          <w:rFonts w:hint="eastAsia" w:ascii="华文细黑" w:hAnsi="宋体" w:eastAsia="宋体" w:cs="Times New Roman"/>
          <w:b/>
          <w:bCs/>
          <w:snapToGrid w:val="0"/>
          <w:color w:val="auto"/>
          <w:kern w:val="0"/>
          <w:sz w:val="28"/>
          <w:szCs w:val="44"/>
          <w:highlight w:val="none"/>
          <w:lang w:val="en-US" w:eastAsia="zh-CN" w:bidi="ar-SA"/>
        </w:rPr>
        <w:t>人</w:t>
      </w:r>
      <w:bookmarkEnd w:id="3518"/>
      <w:bookmarkEnd w:id="3519"/>
      <w:bookmarkEnd w:id="3520"/>
      <w:bookmarkEnd w:id="3521"/>
      <w:bookmarkEnd w:id="3522"/>
      <w:bookmarkEnd w:id="3523"/>
      <w:bookmarkEnd w:id="3524"/>
      <w:bookmarkEnd w:id="3525"/>
      <w:bookmarkEnd w:id="3526"/>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527" w:name="_Toc302635962"/>
      <w:bookmarkStart w:id="3528" w:name="_Toc305331448"/>
      <w:bookmarkStart w:id="3529" w:name="_Toc14669"/>
      <w:bookmarkStart w:id="3530" w:name="_Toc19138"/>
      <w:bookmarkStart w:id="3531" w:name="_Toc11138"/>
      <w:bookmarkStart w:id="3532" w:name="_Toc26497"/>
      <w:bookmarkStart w:id="3533" w:name="_Toc24329"/>
      <w:bookmarkStart w:id="3534" w:name="_Toc29201"/>
      <w:bookmarkStart w:id="3535" w:name="_Toc19146"/>
      <w:bookmarkStart w:id="3536" w:name="_Toc10681"/>
      <w:bookmarkStart w:id="3537" w:name="_Toc8133"/>
      <w:r>
        <w:rPr>
          <w:rFonts w:hint="eastAsia" w:ascii="宋体" w:hAnsi="宋体" w:eastAsia="宋体" w:cs="Times New Roman"/>
          <w:b/>
          <w:bCs/>
          <w:color w:val="auto"/>
          <w:kern w:val="0"/>
          <w:sz w:val="24"/>
          <w:szCs w:val="32"/>
          <w:highlight w:val="none"/>
          <w:lang w:val="en-US" w:eastAsia="zh-CN" w:bidi="ar-SA"/>
        </w:rPr>
        <w:t>5.1 监理人的</w:t>
      </w:r>
      <w:bookmarkEnd w:id="3527"/>
      <w:bookmarkEnd w:id="3528"/>
      <w:r>
        <w:rPr>
          <w:rFonts w:hint="eastAsia" w:ascii="宋体" w:hAnsi="宋体" w:eastAsia="宋体" w:cs="Times New Roman"/>
          <w:b/>
          <w:bCs/>
          <w:color w:val="auto"/>
          <w:kern w:val="0"/>
          <w:sz w:val="24"/>
          <w:szCs w:val="32"/>
          <w:highlight w:val="none"/>
          <w:lang w:val="en-US" w:eastAsia="zh-CN" w:bidi="ar-SA"/>
        </w:rPr>
        <w:t>通知</w:t>
      </w:r>
      <w:bookmarkEnd w:id="3529"/>
      <w:bookmarkEnd w:id="3530"/>
      <w:bookmarkEnd w:id="3531"/>
      <w:bookmarkEnd w:id="3532"/>
      <w:bookmarkEnd w:id="3533"/>
      <w:bookmarkEnd w:id="3534"/>
      <w:bookmarkEnd w:id="3535"/>
      <w:bookmarkEnd w:id="3536"/>
      <w:bookmarkEnd w:id="3537"/>
    </w:p>
    <w:p>
      <w:pPr>
        <w:spacing w:line="360" w:lineRule="auto"/>
        <w:ind w:firstLine="72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监理人名称：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spacing w:line="360" w:lineRule="auto"/>
        <w:ind w:firstLine="72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总监理工程师姓名：</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，资格证书号：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538" w:name="_Toc305331449"/>
      <w:bookmarkStart w:id="3539" w:name="_Toc32763"/>
      <w:bookmarkStart w:id="3540" w:name="_Toc10956"/>
      <w:bookmarkStart w:id="3541" w:name="_Toc16079"/>
      <w:bookmarkStart w:id="3542" w:name="_Toc302635963"/>
      <w:bookmarkStart w:id="3543" w:name="_Toc19281"/>
      <w:bookmarkStart w:id="3544" w:name="_Toc8941"/>
      <w:bookmarkStart w:id="3545" w:name="_Toc13398"/>
      <w:bookmarkStart w:id="3546" w:name="_Toc8138"/>
      <w:bookmarkStart w:id="3547" w:name="_Toc20478"/>
      <w:bookmarkStart w:id="3548" w:name="_Toc26548"/>
      <w:r>
        <w:rPr>
          <w:rFonts w:hint="eastAsia" w:ascii="宋体" w:hAnsi="宋体" w:eastAsia="宋体" w:cs="Times New Roman"/>
          <w:b/>
          <w:bCs/>
          <w:color w:val="auto"/>
          <w:kern w:val="0"/>
          <w:sz w:val="24"/>
          <w:szCs w:val="32"/>
          <w:highlight w:val="none"/>
          <w:lang w:val="en-US" w:eastAsia="zh-CN" w:bidi="ar-SA"/>
        </w:rPr>
        <w:t>5.3监理人权力的限制</w:t>
      </w:r>
      <w:bookmarkEnd w:id="3538"/>
      <w:bookmarkEnd w:id="3539"/>
      <w:bookmarkEnd w:id="3540"/>
      <w:bookmarkEnd w:id="3541"/>
      <w:bookmarkEnd w:id="3542"/>
      <w:bookmarkEnd w:id="3543"/>
      <w:bookmarkEnd w:id="3544"/>
      <w:bookmarkEnd w:id="3545"/>
      <w:bookmarkEnd w:id="3546"/>
      <w:bookmarkEnd w:id="3547"/>
      <w:bookmarkEnd w:id="3548"/>
    </w:p>
    <w:p>
      <w:pPr>
        <w:spacing w:line="360" w:lineRule="auto"/>
        <w:ind w:firstLine="72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(1)⑧监理人行使的其他需要取得发包人批准的权力：</w:t>
      </w:r>
      <w:bookmarkStart w:id="3549" w:name="_Toc35656528"/>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keepNext w:val="0"/>
        <w:keepLines w:val="0"/>
        <w:widowControl/>
        <w:numPr>
          <w:ilvl w:val="0"/>
          <w:numId w:val="0"/>
        </w:numPr>
        <w:tabs>
          <w:tab w:val="left" w:pos="1620"/>
          <w:tab w:val="left" w:pos="2340"/>
        </w:tabs>
        <w:spacing w:before="120" w:after="120"/>
        <w:jc w:val="left"/>
        <w:outlineLvl w:val="0"/>
        <w:rPr>
          <w:rFonts w:ascii="华文细黑" w:hAnsi="宋体" w:eastAsia="宋体" w:cs="Times New Roman"/>
          <w:b/>
          <w:bCs/>
          <w:snapToGrid w:val="0"/>
          <w:color w:val="auto"/>
          <w:kern w:val="0"/>
          <w:sz w:val="28"/>
          <w:szCs w:val="44"/>
          <w:highlight w:val="none"/>
          <w:lang w:val="en-US" w:eastAsia="zh-CN" w:bidi="ar-SA"/>
        </w:rPr>
      </w:pPr>
      <w:bookmarkStart w:id="3550" w:name="_Toc27551"/>
      <w:bookmarkStart w:id="3551" w:name="_Toc32722"/>
      <w:bookmarkStart w:id="3552" w:name="_Toc305331450"/>
      <w:bookmarkStart w:id="3553" w:name="_Toc3852"/>
      <w:bookmarkStart w:id="3554" w:name="_Toc13264"/>
      <w:bookmarkStart w:id="3555" w:name="_Toc21779"/>
      <w:bookmarkStart w:id="3556" w:name="_Toc11157"/>
      <w:bookmarkStart w:id="3557" w:name="_Toc32549"/>
      <w:bookmarkStart w:id="3558" w:name="_Toc30299"/>
      <w:bookmarkStart w:id="3559" w:name="_Toc63"/>
      <w:bookmarkStart w:id="3560" w:name="_Toc302635964"/>
      <w:r>
        <w:rPr>
          <w:rFonts w:hint="eastAsia" w:ascii="华文细黑" w:hAnsi="宋体" w:eastAsia="宋体" w:cs="Times New Roman"/>
          <w:b/>
          <w:bCs/>
          <w:snapToGrid w:val="0"/>
          <w:color w:val="auto"/>
          <w:kern w:val="0"/>
          <w:sz w:val="28"/>
          <w:szCs w:val="44"/>
          <w:highlight w:val="none"/>
          <w:lang w:val="en-US" w:eastAsia="zh-CN" w:bidi="ar-SA"/>
        </w:rPr>
        <w:t>6 转让、分包</w:t>
      </w:r>
      <w:bookmarkEnd w:id="3549"/>
      <w:bookmarkEnd w:id="3550"/>
      <w:bookmarkEnd w:id="3551"/>
      <w:bookmarkEnd w:id="3552"/>
      <w:bookmarkEnd w:id="3553"/>
      <w:bookmarkEnd w:id="3554"/>
      <w:bookmarkEnd w:id="3555"/>
      <w:bookmarkEnd w:id="3556"/>
      <w:bookmarkEnd w:id="3557"/>
      <w:bookmarkEnd w:id="3558"/>
      <w:bookmarkEnd w:id="3559"/>
      <w:bookmarkEnd w:id="3560"/>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561" w:name="_Toc22138"/>
      <w:bookmarkStart w:id="3562" w:name="_Toc2533"/>
      <w:bookmarkStart w:id="3563" w:name="_Toc26721"/>
      <w:bookmarkStart w:id="3564" w:name="_Toc11858"/>
      <w:bookmarkStart w:id="3565" w:name="_Toc9202"/>
      <w:bookmarkStart w:id="3566" w:name="_Toc21434"/>
      <w:bookmarkStart w:id="3567" w:name="_Toc8510"/>
      <w:bookmarkStart w:id="3568" w:name="_Toc18478"/>
      <w:bookmarkStart w:id="3569" w:name="_Toc302635965"/>
      <w:bookmarkStart w:id="3570" w:name="_Toc305331451"/>
      <w:bookmarkStart w:id="3571" w:name="_Toc4968"/>
      <w:bookmarkStart w:id="3572" w:name="_Toc35656529"/>
      <w:r>
        <w:rPr>
          <w:rFonts w:hint="eastAsia" w:ascii="宋体" w:hAnsi="宋体" w:eastAsia="宋体" w:cs="Times New Roman"/>
          <w:b/>
          <w:bCs/>
          <w:color w:val="auto"/>
          <w:kern w:val="0"/>
          <w:sz w:val="24"/>
          <w:szCs w:val="32"/>
          <w:highlight w:val="none"/>
          <w:lang w:val="en-US" w:eastAsia="zh-CN" w:bidi="ar-SA"/>
        </w:rPr>
        <w:t>6.1 转让</w:t>
      </w:r>
      <w:bookmarkEnd w:id="3561"/>
      <w:bookmarkEnd w:id="3562"/>
      <w:bookmarkEnd w:id="3563"/>
      <w:bookmarkEnd w:id="3564"/>
      <w:bookmarkEnd w:id="3565"/>
      <w:bookmarkEnd w:id="3566"/>
      <w:bookmarkEnd w:id="3567"/>
      <w:bookmarkEnd w:id="3568"/>
      <w:bookmarkEnd w:id="3569"/>
      <w:bookmarkEnd w:id="3570"/>
      <w:bookmarkEnd w:id="3571"/>
    </w:p>
    <w:p>
      <w:pPr>
        <w:spacing w:line="360" w:lineRule="auto"/>
        <w:ind w:firstLine="6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如承包人有转让行为，应向发包人支付违约金</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元/次。</w:t>
      </w:r>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573" w:name="_Toc302635966"/>
      <w:bookmarkStart w:id="3574" w:name="_Toc7362"/>
      <w:bookmarkStart w:id="3575" w:name="_Toc804"/>
      <w:bookmarkStart w:id="3576" w:name="_Toc7887"/>
      <w:bookmarkStart w:id="3577" w:name="_Toc12814"/>
      <w:bookmarkStart w:id="3578" w:name="_Toc16090"/>
      <w:bookmarkStart w:id="3579" w:name="_Toc2609"/>
      <w:bookmarkStart w:id="3580" w:name="_Toc10856"/>
      <w:bookmarkStart w:id="3581" w:name="_Toc706"/>
      <w:bookmarkStart w:id="3582" w:name="_Toc2074"/>
      <w:bookmarkStart w:id="3583" w:name="_Toc305331452"/>
      <w:r>
        <w:rPr>
          <w:rFonts w:hint="eastAsia" w:ascii="宋体" w:hAnsi="宋体" w:eastAsia="宋体" w:cs="Times New Roman"/>
          <w:b/>
          <w:bCs/>
          <w:color w:val="auto"/>
          <w:kern w:val="0"/>
          <w:sz w:val="24"/>
          <w:szCs w:val="32"/>
          <w:highlight w:val="none"/>
          <w:lang w:val="en-US" w:eastAsia="zh-CN" w:bidi="ar-SA"/>
        </w:rPr>
        <w:t>6.2 分包</w:t>
      </w:r>
      <w:bookmarkEnd w:id="3573"/>
      <w:bookmarkEnd w:id="3574"/>
      <w:bookmarkEnd w:id="3575"/>
      <w:bookmarkEnd w:id="3576"/>
      <w:bookmarkEnd w:id="3577"/>
      <w:bookmarkEnd w:id="3578"/>
      <w:bookmarkEnd w:id="3579"/>
      <w:bookmarkEnd w:id="3580"/>
      <w:bookmarkEnd w:id="3581"/>
      <w:bookmarkEnd w:id="3582"/>
      <w:bookmarkEnd w:id="3583"/>
    </w:p>
    <w:p>
      <w:pPr>
        <w:spacing w:line="360" w:lineRule="auto"/>
        <w:ind w:left="2" w:firstLine="480"/>
        <w:rPr>
          <w:rFonts w:hint="eastAsia"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承包人不得分包的主体结构、关键性工作范围包括：</w:t>
      </w:r>
      <w:r>
        <w:rPr>
          <w:rFonts w:hint="eastAsia" w:ascii="宋体" w:hAnsi="宋体" w:eastAsia="宋体" w:cs="Times New Roman"/>
          <w:color w:val="auto"/>
          <w:sz w:val="24"/>
          <w:szCs w:val="24"/>
          <w:highlight w:val="none"/>
          <w:u w:val="single"/>
        </w:rPr>
        <w:t xml:space="preserve">                       </w:t>
      </w:r>
    </w:p>
    <w:p>
      <w:pPr>
        <w:spacing w:line="360" w:lineRule="auto"/>
        <w:ind w:left="2" w:hanging="2"/>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p>
    <w:p>
      <w:pPr>
        <w:spacing w:line="360" w:lineRule="auto"/>
        <w:ind w:firstLine="48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(3)如出现承包人未经监理人审查和发包人同意的分包行为，承包人应向发包人支付违约金</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元/次。</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(4)如出现分包人将分包工程的任何部分再分包的行为，承包人应向发包人支付违约金</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元/次。</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(5)如承包人有将其承包范围内全部工程肢解分包的行为，应向发包人支付违约金</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元/次。</w:t>
      </w:r>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584" w:name="_Toc17086"/>
      <w:bookmarkStart w:id="3585" w:name="_Toc302635967"/>
      <w:bookmarkStart w:id="3586" w:name="_Toc305331453"/>
      <w:bookmarkStart w:id="3587" w:name="_Toc19161"/>
      <w:bookmarkStart w:id="3588" w:name="_Toc23607"/>
      <w:bookmarkStart w:id="3589" w:name="_Toc30559"/>
      <w:bookmarkStart w:id="3590" w:name="_Toc19283"/>
      <w:bookmarkStart w:id="3591" w:name="_Toc31990"/>
      <w:bookmarkStart w:id="3592" w:name="_Toc5328"/>
      <w:bookmarkStart w:id="3593" w:name="_Toc30784"/>
      <w:bookmarkStart w:id="3594" w:name="_Toc812"/>
      <w:r>
        <w:rPr>
          <w:rFonts w:hint="eastAsia" w:ascii="宋体" w:hAnsi="宋体" w:eastAsia="宋体" w:cs="Times New Roman"/>
          <w:b/>
          <w:bCs/>
          <w:color w:val="auto"/>
          <w:kern w:val="0"/>
          <w:sz w:val="24"/>
          <w:szCs w:val="32"/>
          <w:highlight w:val="none"/>
          <w:lang w:val="en-US" w:eastAsia="zh-CN" w:bidi="ar-SA"/>
        </w:rPr>
        <w:t>6.3 分包人的确定</w:t>
      </w:r>
      <w:bookmarkEnd w:id="3584"/>
      <w:bookmarkEnd w:id="3585"/>
      <w:bookmarkEnd w:id="3586"/>
      <w:bookmarkEnd w:id="3587"/>
      <w:bookmarkEnd w:id="3588"/>
      <w:bookmarkEnd w:id="3589"/>
      <w:bookmarkEnd w:id="3590"/>
      <w:bookmarkEnd w:id="3591"/>
      <w:bookmarkEnd w:id="3592"/>
      <w:bookmarkEnd w:id="3593"/>
      <w:bookmarkEnd w:id="3594"/>
    </w:p>
    <w:p>
      <w:pPr>
        <w:spacing w:line="360" w:lineRule="auto"/>
        <w:ind w:left="2"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(1)分包人应符合的条件：</w:t>
      </w:r>
      <w:r>
        <w:rPr>
          <w:rFonts w:hint="eastAsia" w:ascii="宋体" w:hAnsi="宋体" w:eastAsia="宋体" w:cs="Times New Roman"/>
          <w:color w:val="auto"/>
          <w:sz w:val="24"/>
          <w:szCs w:val="24"/>
          <w:highlight w:val="none"/>
          <w:u w:val="single"/>
        </w:rPr>
        <w:t xml:space="preserve">                                                 </w:t>
      </w:r>
    </w:p>
    <w:p>
      <w:pPr>
        <w:spacing w:line="360" w:lineRule="auto"/>
        <w:ind w:left="2" w:hanging="2"/>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left="2" w:hanging="2"/>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keepNext w:val="0"/>
        <w:keepLines w:val="0"/>
        <w:widowControl/>
        <w:numPr>
          <w:ilvl w:val="0"/>
          <w:numId w:val="0"/>
        </w:numPr>
        <w:tabs>
          <w:tab w:val="left" w:pos="1620"/>
          <w:tab w:val="left" w:pos="2340"/>
        </w:tabs>
        <w:spacing w:before="120" w:after="120"/>
        <w:jc w:val="left"/>
        <w:outlineLvl w:val="0"/>
        <w:rPr>
          <w:rFonts w:ascii="华文细黑" w:hAnsi="宋体" w:eastAsia="宋体" w:cs="Times New Roman"/>
          <w:b/>
          <w:bCs/>
          <w:snapToGrid w:val="0"/>
          <w:color w:val="auto"/>
          <w:kern w:val="0"/>
          <w:sz w:val="28"/>
          <w:szCs w:val="44"/>
          <w:highlight w:val="none"/>
          <w:lang w:val="en-US" w:eastAsia="zh-CN" w:bidi="ar-SA"/>
        </w:rPr>
      </w:pPr>
      <w:bookmarkStart w:id="3595" w:name="_Toc19471"/>
      <w:bookmarkStart w:id="3596" w:name="_Toc16805"/>
      <w:bookmarkStart w:id="3597" w:name="_Toc11631"/>
      <w:bookmarkStart w:id="3598" w:name="_Toc6618"/>
      <w:bookmarkStart w:id="3599" w:name="_Toc7314"/>
      <w:bookmarkStart w:id="3600" w:name="_Toc26908"/>
      <w:bookmarkStart w:id="3601" w:name="_Toc4279"/>
      <w:bookmarkStart w:id="3602" w:name="_Toc12531"/>
      <w:bookmarkStart w:id="3603" w:name="_Toc305331454"/>
      <w:bookmarkStart w:id="3604" w:name="_Toc302635968"/>
      <w:bookmarkStart w:id="3605" w:name="_Toc15026"/>
      <w:r>
        <w:rPr>
          <w:rFonts w:hint="eastAsia" w:ascii="华文细黑" w:hAnsi="宋体" w:eastAsia="宋体" w:cs="Times New Roman"/>
          <w:b/>
          <w:bCs/>
          <w:snapToGrid w:val="0"/>
          <w:color w:val="auto"/>
          <w:kern w:val="0"/>
          <w:sz w:val="28"/>
          <w:szCs w:val="44"/>
          <w:highlight w:val="none"/>
          <w:lang w:val="en-US" w:eastAsia="zh-CN" w:bidi="ar-SA"/>
        </w:rPr>
        <w:t>7 专业工程发包</w:t>
      </w:r>
      <w:bookmarkEnd w:id="3595"/>
      <w:bookmarkEnd w:id="3596"/>
      <w:bookmarkEnd w:id="3597"/>
      <w:bookmarkEnd w:id="3598"/>
      <w:bookmarkEnd w:id="3599"/>
      <w:bookmarkEnd w:id="3600"/>
      <w:bookmarkEnd w:id="3601"/>
      <w:bookmarkEnd w:id="3602"/>
      <w:bookmarkEnd w:id="3603"/>
      <w:bookmarkEnd w:id="3604"/>
      <w:bookmarkEnd w:id="3605"/>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606" w:name="_Toc30250"/>
      <w:bookmarkStart w:id="3607" w:name="_Toc5763"/>
      <w:bookmarkStart w:id="3608" w:name="_Toc2013"/>
      <w:bookmarkStart w:id="3609" w:name="_Toc31880"/>
      <w:bookmarkStart w:id="3610" w:name="_Toc908"/>
      <w:bookmarkStart w:id="3611" w:name="_Toc7405"/>
      <w:bookmarkStart w:id="3612" w:name="_Toc27513"/>
      <w:bookmarkStart w:id="3613" w:name="_Toc23324"/>
      <w:bookmarkStart w:id="3614" w:name="_Toc22507"/>
      <w:bookmarkStart w:id="3615" w:name="_Toc302635969"/>
      <w:bookmarkStart w:id="3616" w:name="_Toc305331455"/>
      <w:r>
        <w:rPr>
          <w:rFonts w:hint="eastAsia" w:ascii="宋体" w:hAnsi="宋体" w:eastAsia="宋体" w:cs="Times New Roman"/>
          <w:b/>
          <w:bCs/>
          <w:color w:val="auto"/>
          <w:kern w:val="0"/>
          <w:sz w:val="24"/>
          <w:szCs w:val="32"/>
          <w:highlight w:val="none"/>
          <w:lang w:val="en-US" w:eastAsia="zh-CN" w:bidi="ar-SA"/>
        </w:rPr>
        <w:t>7.1 专业工程承包人</w:t>
      </w:r>
      <w:bookmarkEnd w:id="3606"/>
      <w:bookmarkEnd w:id="3607"/>
      <w:bookmarkEnd w:id="3608"/>
      <w:bookmarkEnd w:id="3609"/>
      <w:bookmarkEnd w:id="3610"/>
      <w:bookmarkEnd w:id="3611"/>
      <w:bookmarkEnd w:id="3612"/>
      <w:bookmarkEnd w:id="3613"/>
      <w:bookmarkEnd w:id="3614"/>
      <w:bookmarkEnd w:id="3615"/>
      <w:bookmarkEnd w:id="3616"/>
      <w:r>
        <w:rPr>
          <w:rFonts w:ascii="宋体" w:hAnsi="宋体" w:eastAsia="宋体" w:cs="Times New Roman"/>
          <w:b/>
          <w:bCs/>
          <w:color w:val="auto"/>
          <w:kern w:val="0"/>
          <w:sz w:val="24"/>
          <w:szCs w:val="32"/>
          <w:highlight w:val="none"/>
          <w:lang w:val="en-US" w:eastAsia="zh-CN" w:bidi="ar-SA"/>
        </w:rPr>
        <w:tab/>
      </w:r>
    </w:p>
    <w:p>
      <w:pPr>
        <w:rPr>
          <w:rFonts w:ascii="宋体" w:hAnsi="宋体" w:eastAsia="宋体" w:cs="Times New Roman"/>
          <w:bCs/>
          <w:color w:val="auto"/>
          <w:sz w:val="24"/>
          <w:szCs w:val="24"/>
          <w:highlight w:val="none"/>
        </w:rPr>
      </w:pPr>
      <w:bookmarkStart w:id="3617" w:name="_Toc448841233"/>
      <w:bookmarkStart w:id="3618" w:name="_Toc453616565"/>
      <w:bookmarkStart w:id="3619" w:name="_Toc448494238"/>
      <w:r>
        <w:rPr>
          <w:rFonts w:hint="eastAsia" w:ascii="宋体" w:hAnsi="宋体" w:eastAsia="宋体" w:cs="Times New Roman"/>
          <w:bCs/>
          <w:color w:val="auto"/>
          <w:sz w:val="24"/>
          <w:szCs w:val="24"/>
          <w:highlight w:val="none"/>
        </w:rPr>
        <w:t>（1）</w:t>
      </w:r>
    </w:p>
    <w:tbl>
      <w:tblPr>
        <w:tblStyle w:val="40"/>
        <w:tblpPr w:leftFromText="180" w:rightFromText="180" w:vertAnchor="text" w:horzAnchor="margin" w:tblpXSpec="right" w:tblpY="2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55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15" w:type="dxa"/>
            <w:noWrap w:val="0"/>
            <w:vAlign w:val="center"/>
          </w:tcPr>
          <w:p>
            <w:pPr>
              <w:ind w:left="-57" w:right="-105"/>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2552" w:type="dxa"/>
            <w:noWrap w:val="0"/>
            <w:vAlign w:val="center"/>
          </w:tcPr>
          <w:p>
            <w:pPr>
              <w:ind w:left="-57" w:right="-10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专业工程名称</w:t>
            </w:r>
          </w:p>
        </w:tc>
        <w:tc>
          <w:tcPr>
            <w:tcW w:w="4252" w:type="dxa"/>
            <w:noWrap w:val="0"/>
            <w:vAlign w:val="center"/>
          </w:tcPr>
          <w:p>
            <w:pPr>
              <w:ind w:left="-57" w:right="-10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专业工程承包人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15" w:type="dxa"/>
            <w:noWrap w:val="0"/>
            <w:vAlign w:val="center"/>
          </w:tcPr>
          <w:p>
            <w:pPr>
              <w:spacing w:line="360" w:lineRule="auto"/>
              <w:ind w:left="-57" w:right="-105"/>
              <w:jc w:val="center"/>
              <w:rPr>
                <w:rFonts w:hint="eastAsia" w:ascii="宋体" w:hAnsi="宋体" w:eastAsia="宋体" w:cs="Times New Roman"/>
                <w:color w:val="auto"/>
                <w:sz w:val="24"/>
                <w:szCs w:val="24"/>
                <w:highlight w:val="none"/>
              </w:rPr>
            </w:pPr>
          </w:p>
        </w:tc>
        <w:tc>
          <w:tcPr>
            <w:tcW w:w="2552" w:type="dxa"/>
            <w:noWrap w:val="0"/>
            <w:vAlign w:val="bottom"/>
          </w:tcPr>
          <w:p>
            <w:pPr>
              <w:spacing w:line="360" w:lineRule="auto"/>
              <w:ind w:left="-57" w:right="-105"/>
              <w:jc w:val="center"/>
              <w:rPr>
                <w:rFonts w:hint="eastAsia" w:ascii="宋体" w:hAnsi="宋体" w:eastAsia="宋体" w:cs="Times New Roman"/>
                <w:color w:val="auto"/>
                <w:sz w:val="24"/>
                <w:szCs w:val="24"/>
                <w:highlight w:val="none"/>
              </w:rPr>
            </w:pPr>
          </w:p>
        </w:tc>
        <w:tc>
          <w:tcPr>
            <w:tcW w:w="4252" w:type="dxa"/>
            <w:noWrap w:val="0"/>
            <w:vAlign w:val="bottom"/>
          </w:tcPr>
          <w:p>
            <w:pPr>
              <w:spacing w:line="360" w:lineRule="auto"/>
              <w:ind w:left="-57" w:right="-105"/>
              <w:jc w:val="center"/>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15" w:type="dxa"/>
            <w:noWrap w:val="0"/>
            <w:vAlign w:val="center"/>
          </w:tcPr>
          <w:p>
            <w:pPr>
              <w:spacing w:line="360" w:lineRule="auto"/>
              <w:ind w:left="-57" w:right="-105"/>
              <w:jc w:val="center"/>
              <w:rPr>
                <w:rFonts w:hint="eastAsia" w:ascii="宋体" w:hAnsi="宋体" w:eastAsia="宋体" w:cs="Times New Roman"/>
                <w:color w:val="auto"/>
                <w:sz w:val="24"/>
                <w:szCs w:val="24"/>
                <w:highlight w:val="none"/>
              </w:rPr>
            </w:pPr>
          </w:p>
        </w:tc>
        <w:tc>
          <w:tcPr>
            <w:tcW w:w="2552" w:type="dxa"/>
            <w:noWrap w:val="0"/>
            <w:vAlign w:val="bottom"/>
          </w:tcPr>
          <w:p>
            <w:pPr>
              <w:spacing w:line="360" w:lineRule="auto"/>
              <w:ind w:left="-57" w:right="-105"/>
              <w:jc w:val="center"/>
              <w:rPr>
                <w:rFonts w:ascii="宋体" w:hAnsi="宋体" w:eastAsia="宋体" w:cs="Times New Roman"/>
                <w:color w:val="auto"/>
                <w:sz w:val="24"/>
                <w:szCs w:val="24"/>
                <w:highlight w:val="none"/>
              </w:rPr>
            </w:pPr>
          </w:p>
        </w:tc>
        <w:tc>
          <w:tcPr>
            <w:tcW w:w="4252" w:type="dxa"/>
            <w:noWrap w:val="0"/>
            <w:vAlign w:val="bottom"/>
          </w:tcPr>
          <w:p>
            <w:pPr>
              <w:spacing w:line="360" w:lineRule="auto"/>
              <w:ind w:left="-57" w:right="-105"/>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15" w:type="dxa"/>
            <w:noWrap w:val="0"/>
            <w:vAlign w:val="center"/>
          </w:tcPr>
          <w:p>
            <w:pPr>
              <w:spacing w:line="360" w:lineRule="auto"/>
              <w:ind w:left="-57" w:right="-105"/>
              <w:jc w:val="center"/>
              <w:rPr>
                <w:rFonts w:hint="eastAsia" w:ascii="宋体" w:hAnsi="宋体" w:eastAsia="宋体" w:cs="Times New Roman"/>
                <w:color w:val="auto"/>
                <w:sz w:val="24"/>
                <w:szCs w:val="24"/>
                <w:highlight w:val="none"/>
              </w:rPr>
            </w:pPr>
          </w:p>
        </w:tc>
        <w:tc>
          <w:tcPr>
            <w:tcW w:w="2552" w:type="dxa"/>
            <w:noWrap w:val="0"/>
            <w:vAlign w:val="bottom"/>
          </w:tcPr>
          <w:p>
            <w:pPr>
              <w:spacing w:line="360" w:lineRule="auto"/>
              <w:ind w:left="-57" w:right="-105"/>
              <w:rPr>
                <w:rFonts w:ascii="宋体" w:hAnsi="宋体" w:eastAsia="宋体" w:cs="Times New Roman"/>
                <w:color w:val="auto"/>
                <w:sz w:val="24"/>
                <w:szCs w:val="24"/>
                <w:highlight w:val="none"/>
              </w:rPr>
            </w:pPr>
          </w:p>
        </w:tc>
        <w:tc>
          <w:tcPr>
            <w:tcW w:w="4252" w:type="dxa"/>
            <w:noWrap w:val="0"/>
            <w:vAlign w:val="bottom"/>
          </w:tcPr>
          <w:p>
            <w:pPr>
              <w:spacing w:line="360" w:lineRule="auto"/>
              <w:ind w:left="-57" w:right="-105"/>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15" w:type="dxa"/>
            <w:noWrap w:val="0"/>
            <w:vAlign w:val="center"/>
          </w:tcPr>
          <w:p>
            <w:pPr>
              <w:spacing w:line="360" w:lineRule="auto"/>
              <w:ind w:left="-57" w:right="-105"/>
              <w:jc w:val="center"/>
              <w:rPr>
                <w:rFonts w:hint="eastAsia" w:ascii="宋体" w:hAnsi="宋体" w:eastAsia="宋体" w:cs="Times New Roman"/>
                <w:color w:val="auto"/>
                <w:sz w:val="24"/>
                <w:szCs w:val="24"/>
                <w:highlight w:val="none"/>
              </w:rPr>
            </w:pPr>
          </w:p>
        </w:tc>
        <w:tc>
          <w:tcPr>
            <w:tcW w:w="2552" w:type="dxa"/>
            <w:noWrap w:val="0"/>
            <w:vAlign w:val="bottom"/>
          </w:tcPr>
          <w:p>
            <w:pPr>
              <w:spacing w:line="360" w:lineRule="auto"/>
              <w:ind w:left="-57" w:right="-105"/>
              <w:rPr>
                <w:rFonts w:ascii="宋体" w:hAnsi="宋体" w:eastAsia="宋体" w:cs="Times New Roman"/>
                <w:color w:val="auto"/>
                <w:sz w:val="24"/>
                <w:szCs w:val="24"/>
                <w:highlight w:val="none"/>
              </w:rPr>
            </w:pPr>
          </w:p>
        </w:tc>
        <w:tc>
          <w:tcPr>
            <w:tcW w:w="4252" w:type="dxa"/>
            <w:noWrap w:val="0"/>
            <w:vAlign w:val="bottom"/>
          </w:tcPr>
          <w:p>
            <w:pPr>
              <w:spacing w:line="360" w:lineRule="auto"/>
              <w:ind w:left="-57" w:right="-105"/>
              <w:rPr>
                <w:rFonts w:ascii="宋体" w:hAnsi="宋体" w:eastAsia="宋体" w:cs="Times New Roman"/>
                <w:color w:val="auto"/>
                <w:sz w:val="24"/>
                <w:szCs w:val="24"/>
                <w:highlight w:val="none"/>
              </w:rPr>
            </w:pPr>
          </w:p>
        </w:tc>
      </w:tr>
    </w:tbl>
    <w:p>
      <w:pPr>
        <w:rPr>
          <w:rFonts w:hint="eastAsia"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 xml:space="preserve"> </w:t>
      </w:r>
    </w:p>
    <w:p>
      <w:pPr>
        <w:rPr>
          <w:rFonts w:hint="eastAsia" w:ascii="宋体" w:hAnsi="宋体" w:eastAsia="宋体" w:cs="Times New Roman"/>
          <w:b/>
          <w:bCs/>
          <w:color w:val="auto"/>
          <w:sz w:val="24"/>
          <w:szCs w:val="24"/>
          <w:highlight w:val="none"/>
        </w:rPr>
      </w:pPr>
    </w:p>
    <w:p>
      <w:pPr>
        <w:rPr>
          <w:rFonts w:hint="eastAsia" w:ascii="宋体" w:hAnsi="宋体" w:eastAsia="宋体" w:cs="Times New Roman"/>
          <w:b/>
          <w:bCs/>
          <w:color w:val="auto"/>
          <w:sz w:val="24"/>
          <w:szCs w:val="24"/>
          <w:highlight w:val="none"/>
        </w:rPr>
      </w:pPr>
    </w:p>
    <w:p>
      <w:pPr>
        <w:rPr>
          <w:rFonts w:hint="eastAsia" w:ascii="宋体" w:hAnsi="宋体" w:eastAsia="宋体" w:cs="Times New Roman"/>
          <w:b/>
          <w:bCs/>
          <w:color w:val="auto"/>
          <w:sz w:val="24"/>
          <w:szCs w:val="24"/>
          <w:highlight w:val="none"/>
        </w:rPr>
      </w:pPr>
    </w:p>
    <w:p>
      <w:pPr>
        <w:rPr>
          <w:rFonts w:hint="eastAsia" w:ascii="宋体" w:hAnsi="宋体" w:eastAsia="宋体" w:cs="Times New Roman"/>
          <w:b/>
          <w:bCs/>
          <w:color w:val="auto"/>
          <w:sz w:val="24"/>
          <w:szCs w:val="24"/>
          <w:highlight w:val="none"/>
        </w:rPr>
      </w:pPr>
    </w:p>
    <w:p>
      <w:pPr>
        <w:rPr>
          <w:rFonts w:hint="eastAsia" w:ascii="宋体" w:hAnsi="宋体" w:eastAsia="宋体" w:cs="Times New Roman"/>
          <w:b/>
          <w:bCs/>
          <w:color w:val="auto"/>
          <w:sz w:val="24"/>
          <w:szCs w:val="24"/>
          <w:highlight w:val="none"/>
        </w:rPr>
      </w:pPr>
    </w:p>
    <w:p>
      <w:pPr>
        <w:rPr>
          <w:rFonts w:hint="eastAsia" w:ascii="宋体" w:hAnsi="宋体" w:eastAsia="宋体" w:cs="Times New Roman"/>
          <w:b/>
          <w:bCs/>
          <w:color w:val="auto"/>
          <w:sz w:val="24"/>
          <w:szCs w:val="24"/>
          <w:highlight w:val="none"/>
        </w:rPr>
      </w:pPr>
    </w:p>
    <w:p>
      <w:pPr>
        <w:rPr>
          <w:rFonts w:hint="eastAsia" w:ascii="宋体" w:hAnsi="宋体" w:eastAsia="宋体" w:cs="Times New Roman"/>
          <w:b/>
          <w:bCs/>
          <w:color w:val="auto"/>
          <w:sz w:val="24"/>
          <w:szCs w:val="24"/>
          <w:highlight w:val="none"/>
        </w:rPr>
      </w:pPr>
    </w:p>
    <w:p>
      <w:pPr>
        <w:rPr>
          <w:rFonts w:hint="eastAsia" w:ascii="宋体" w:hAnsi="宋体" w:eastAsia="宋体" w:cs="Times New Roman"/>
          <w:b/>
          <w:bCs/>
          <w:color w:val="auto"/>
          <w:sz w:val="24"/>
          <w:szCs w:val="24"/>
          <w:highlight w:val="none"/>
        </w:rPr>
      </w:pPr>
    </w:p>
    <w:bookmarkEnd w:id="3617"/>
    <w:bookmarkEnd w:id="3618"/>
    <w:bookmarkEnd w:id="3619"/>
    <w:p>
      <w:pPr>
        <w:rPr>
          <w:rFonts w:hint="eastAsia" w:ascii="宋体" w:hAnsi="宋体" w:eastAsia="宋体" w:cs="Times New Roman"/>
          <w:color w:val="auto"/>
          <w:sz w:val="24"/>
          <w:szCs w:val="24"/>
          <w:highlight w:val="none"/>
        </w:rPr>
      </w:pPr>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620" w:name="_Toc8427"/>
      <w:bookmarkStart w:id="3621" w:name="_Toc2959"/>
      <w:bookmarkStart w:id="3622" w:name="_Toc5121"/>
      <w:bookmarkStart w:id="3623" w:name="_Toc7580"/>
      <w:bookmarkStart w:id="3624" w:name="_Toc2676"/>
      <w:bookmarkStart w:id="3625" w:name="_Toc464"/>
      <w:bookmarkStart w:id="3626" w:name="_Toc400"/>
      <w:bookmarkStart w:id="3627" w:name="_Toc29894"/>
      <w:bookmarkStart w:id="3628" w:name="_Toc8654"/>
      <w:r>
        <w:rPr>
          <w:rFonts w:hint="eastAsia" w:ascii="宋体" w:hAnsi="宋体" w:eastAsia="宋体" w:cs="Times New Roman"/>
          <w:b/>
          <w:bCs/>
          <w:color w:val="auto"/>
          <w:kern w:val="0"/>
          <w:sz w:val="24"/>
          <w:szCs w:val="32"/>
          <w:highlight w:val="none"/>
          <w:lang w:val="en-US" w:eastAsia="zh-CN" w:bidi="ar-SA"/>
        </w:rPr>
        <w:t>7.2 总承包服务费</w:t>
      </w:r>
      <w:bookmarkEnd w:id="3620"/>
      <w:bookmarkEnd w:id="3621"/>
      <w:bookmarkEnd w:id="3622"/>
      <w:bookmarkEnd w:id="3623"/>
      <w:bookmarkEnd w:id="3624"/>
      <w:bookmarkEnd w:id="3625"/>
      <w:bookmarkEnd w:id="3626"/>
      <w:bookmarkEnd w:id="3627"/>
      <w:bookmarkEnd w:id="3628"/>
    </w:p>
    <w:bookmarkEnd w:id="3572"/>
    <w:p>
      <w:pPr>
        <w:spacing w:line="360" w:lineRule="auto"/>
        <w:ind w:firstLine="480"/>
        <w:rPr>
          <w:rFonts w:hint="eastAsia" w:ascii="宋体" w:hAnsi="宋体" w:eastAsia="宋体" w:cs="Times New Roman"/>
          <w:color w:val="auto"/>
          <w:sz w:val="24"/>
          <w:szCs w:val="24"/>
          <w:highlight w:val="none"/>
          <w:u w:val="single"/>
        </w:rPr>
      </w:pPr>
      <w:bookmarkStart w:id="3629" w:name="_Toc305331458"/>
      <w:bookmarkStart w:id="3630" w:name="_Toc35656531"/>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u w:val="single"/>
        </w:rPr>
        <w:t xml:space="preserve">                                                                      </w:t>
      </w:r>
    </w:p>
    <w:p>
      <w:pPr>
        <w:spacing w:line="360" w:lineRule="auto"/>
        <w:ind w:firstLine="480" w:firstLineChars="20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631" w:name="_Toc27109"/>
      <w:bookmarkStart w:id="3632" w:name="_Toc16246"/>
      <w:bookmarkStart w:id="3633" w:name="_Toc302635972"/>
      <w:bookmarkStart w:id="3634" w:name="_Toc132"/>
      <w:bookmarkStart w:id="3635" w:name="_Toc22545"/>
      <w:bookmarkStart w:id="3636" w:name="_Toc19508"/>
      <w:bookmarkStart w:id="3637" w:name="_Toc2124"/>
      <w:bookmarkStart w:id="3638" w:name="_Toc11718"/>
      <w:bookmarkStart w:id="3639" w:name="_Toc31688"/>
      <w:bookmarkStart w:id="3640" w:name="_Toc575"/>
      <w:r>
        <w:rPr>
          <w:rFonts w:hint="eastAsia" w:ascii="宋体" w:hAnsi="宋体" w:eastAsia="宋体" w:cs="Times New Roman"/>
          <w:b/>
          <w:bCs/>
          <w:color w:val="auto"/>
          <w:kern w:val="0"/>
          <w:sz w:val="24"/>
          <w:szCs w:val="32"/>
          <w:highlight w:val="none"/>
          <w:lang w:val="en-US" w:eastAsia="zh-CN" w:bidi="ar-SA"/>
        </w:rPr>
        <w:t>7.3 工作界面协调</w:t>
      </w:r>
      <w:bookmarkEnd w:id="3629"/>
      <w:bookmarkEnd w:id="3631"/>
      <w:bookmarkEnd w:id="3632"/>
      <w:bookmarkEnd w:id="3633"/>
      <w:bookmarkEnd w:id="3634"/>
      <w:bookmarkEnd w:id="3635"/>
      <w:bookmarkEnd w:id="3636"/>
      <w:bookmarkEnd w:id="3637"/>
      <w:bookmarkEnd w:id="3638"/>
      <w:bookmarkEnd w:id="3639"/>
      <w:bookmarkEnd w:id="3640"/>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w:t>
      </w:r>
      <w:r>
        <w:rPr>
          <w:rFonts w:hint="eastAsia" w:ascii="宋体" w:hAnsi="宋体" w:eastAsia="宋体" w:cs="Times New Roman"/>
          <w:color w:val="auto"/>
          <w:kern w:val="0"/>
          <w:sz w:val="24"/>
          <w:szCs w:val="24"/>
          <w:highlight w:val="none"/>
        </w:rPr>
        <w:t>由</w:t>
      </w:r>
      <w:r>
        <w:rPr>
          <w:rFonts w:ascii="宋体" w:hAnsi="宋体" w:eastAsia="宋体" w:cs="Times New Roman"/>
          <w:color w:val="auto"/>
          <w:kern w:val="0"/>
          <w:sz w:val="24"/>
          <w:szCs w:val="24"/>
          <w:highlight w:val="none"/>
        </w:rPr>
        <w:t>于承包人未能及时对工程接口问题进行协调或未及时实施</w:t>
      </w:r>
      <w:r>
        <w:rPr>
          <w:rFonts w:hint="eastAsia" w:ascii="宋体" w:hAnsi="宋体" w:eastAsia="宋体" w:cs="Times New Roman"/>
          <w:color w:val="auto"/>
          <w:kern w:val="0"/>
          <w:sz w:val="24"/>
          <w:szCs w:val="24"/>
          <w:highlight w:val="none"/>
        </w:rPr>
        <w:t>监理人</w:t>
      </w:r>
      <w:r>
        <w:rPr>
          <w:rFonts w:ascii="宋体" w:hAnsi="宋体" w:eastAsia="宋体" w:cs="Times New Roman"/>
          <w:color w:val="auto"/>
          <w:kern w:val="0"/>
          <w:sz w:val="24"/>
          <w:szCs w:val="24"/>
          <w:highlight w:val="none"/>
        </w:rPr>
        <w:t>接口指令而造成损失</w:t>
      </w:r>
      <w:r>
        <w:rPr>
          <w:rFonts w:hint="eastAsia" w:ascii="宋体" w:hAnsi="宋体" w:eastAsia="宋体" w:cs="Times New Roman"/>
          <w:color w:val="auto"/>
          <w:kern w:val="0"/>
          <w:sz w:val="24"/>
          <w:szCs w:val="24"/>
          <w:highlight w:val="none"/>
        </w:rPr>
        <w:t>的</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承包人应</w:t>
      </w:r>
      <w:r>
        <w:rPr>
          <w:rFonts w:hint="eastAsia" w:ascii="宋体" w:hAnsi="宋体" w:eastAsia="宋体" w:cs="Times New Roman"/>
          <w:color w:val="auto"/>
          <w:sz w:val="24"/>
          <w:szCs w:val="24"/>
          <w:highlight w:val="none"/>
        </w:rPr>
        <w:t>向发包人支付上述损失的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的违约金。</w:t>
      </w:r>
    </w:p>
    <w:p>
      <w:pPr>
        <w:keepNext w:val="0"/>
        <w:keepLines w:val="0"/>
        <w:widowControl/>
        <w:numPr>
          <w:ilvl w:val="0"/>
          <w:numId w:val="0"/>
        </w:numPr>
        <w:tabs>
          <w:tab w:val="left" w:pos="1620"/>
          <w:tab w:val="left" w:pos="2340"/>
        </w:tabs>
        <w:spacing w:before="120" w:after="120"/>
        <w:jc w:val="left"/>
        <w:outlineLvl w:val="0"/>
        <w:rPr>
          <w:rFonts w:hint="eastAsia" w:ascii="华文细黑" w:hAnsi="宋体" w:eastAsia="宋体" w:cs="Times New Roman"/>
          <w:b/>
          <w:bCs/>
          <w:snapToGrid w:val="0"/>
          <w:color w:val="auto"/>
          <w:kern w:val="0"/>
          <w:sz w:val="28"/>
          <w:szCs w:val="44"/>
          <w:highlight w:val="none"/>
          <w:lang w:val="en-US" w:eastAsia="zh-CN" w:bidi="ar-SA"/>
        </w:rPr>
      </w:pPr>
      <w:bookmarkStart w:id="3641" w:name="_Toc26961"/>
      <w:bookmarkStart w:id="3642" w:name="_Toc305331459"/>
      <w:bookmarkStart w:id="3643" w:name="_Toc29998"/>
      <w:bookmarkStart w:id="3644" w:name="_Toc12942"/>
      <w:bookmarkStart w:id="3645" w:name="_Toc302635973"/>
      <w:bookmarkStart w:id="3646" w:name="_Toc10182"/>
      <w:bookmarkStart w:id="3647" w:name="_Toc15212"/>
      <w:bookmarkStart w:id="3648" w:name="_Toc17165"/>
      <w:bookmarkStart w:id="3649" w:name="_Toc2162"/>
      <w:bookmarkStart w:id="3650" w:name="_Toc27267"/>
      <w:bookmarkStart w:id="3651" w:name="_Toc12119"/>
      <w:r>
        <w:rPr>
          <w:rFonts w:hint="eastAsia" w:ascii="华文细黑" w:hAnsi="宋体" w:eastAsia="宋体" w:cs="Times New Roman"/>
          <w:b/>
          <w:bCs/>
          <w:snapToGrid w:val="0"/>
          <w:color w:val="auto"/>
          <w:kern w:val="0"/>
          <w:sz w:val="28"/>
          <w:szCs w:val="44"/>
          <w:highlight w:val="none"/>
          <w:lang w:val="en-US" w:eastAsia="zh-CN" w:bidi="ar-SA"/>
        </w:rPr>
        <w:t>8 用工和劳务</w:t>
      </w:r>
      <w:bookmarkEnd w:id="3641"/>
      <w:bookmarkEnd w:id="3642"/>
      <w:bookmarkEnd w:id="3643"/>
      <w:bookmarkEnd w:id="3644"/>
      <w:bookmarkEnd w:id="3645"/>
      <w:bookmarkEnd w:id="3646"/>
      <w:bookmarkEnd w:id="3647"/>
      <w:bookmarkEnd w:id="3648"/>
      <w:bookmarkEnd w:id="3649"/>
      <w:bookmarkEnd w:id="3650"/>
      <w:bookmarkEnd w:id="3651"/>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652" w:name="_Toc302635974"/>
      <w:bookmarkStart w:id="3653" w:name="_Toc8569"/>
      <w:bookmarkStart w:id="3654" w:name="_Toc521"/>
      <w:bookmarkStart w:id="3655" w:name="_Toc29200"/>
      <w:bookmarkStart w:id="3656" w:name="_Toc7309"/>
      <w:bookmarkStart w:id="3657" w:name="_Toc8695"/>
      <w:bookmarkStart w:id="3658" w:name="_Toc16487"/>
      <w:bookmarkStart w:id="3659" w:name="_Toc21343"/>
      <w:bookmarkStart w:id="3660" w:name="_Toc28583"/>
      <w:bookmarkStart w:id="3661" w:name="_Toc8081"/>
      <w:bookmarkStart w:id="3662" w:name="_Toc305331460"/>
      <w:r>
        <w:rPr>
          <w:rFonts w:hint="eastAsia" w:ascii="宋体" w:hAnsi="宋体" w:eastAsia="宋体" w:cs="Times New Roman"/>
          <w:b/>
          <w:bCs/>
          <w:color w:val="auto"/>
          <w:kern w:val="0"/>
          <w:sz w:val="24"/>
          <w:szCs w:val="32"/>
          <w:highlight w:val="none"/>
          <w:lang w:val="en-US" w:eastAsia="zh-CN" w:bidi="ar-SA"/>
        </w:rPr>
        <w:t>8.1 劳动合同</w:t>
      </w:r>
      <w:bookmarkEnd w:id="3652"/>
      <w:bookmarkEnd w:id="3653"/>
      <w:bookmarkEnd w:id="3654"/>
      <w:bookmarkEnd w:id="3655"/>
      <w:bookmarkEnd w:id="3656"/>
      <w:bookmarkEnd w:id="3657"/>
      <w:bookmarkEnd w:id="3658"/>
      <w:bookmarkEnd w:id="3659"/>
      <w:bookmarkEnd w:id="3660"/>
      <w:bookmarkEnd w:id="3661"/>
    </w:p>
    <w:p>
      <w:pPr>
        <w:spacing w:line="360" w:lineRule="auto"/>
        <w:ind w:left="2"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(3)若发包人或监理人发现有未签订劳动合同的工人在现场施工，承包人应向发包人支付违约金</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人</w:t>
      </w:r>
      <w:r>
        <w:rPr>
          <w:rFonts w:ascii="宋体" w:hAnsi="宋体" w:eastAsia="宋体" w:cs="Times New Roman"/>
          <w:color w:val="auto"/>
          <w:sz w:val="24"/>
          <w:szCs w:val="24"/>
          <w:highlight w:val="none"/>
        </w:rPr>
        <w:t>次。</w:t>
      </w:r>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663" w:name="_Toc23645"/>
      <w:bookmarkStart w:id="3664" w:name="_Toc21235"/>
      <w:bookmarkStart w:id="3665" w:name="_Toc302635975"/>
      <w:bookmarkStart w:id="3666" w:name="_Toc20262"/>
      <w:bookmarkStart w:id="3667" w:name="_Toc7090"/>
      <w:bookmarkStart w:id="3668" w:name="_Toc10338"/>
      <w:bookmarkStart w:id="3669" w:name="_Toc27660"/>
      <w:bookmarkStart w:id="3670" w:name="_Toc30200"/>
      <w:bookmarkStart w:id="3671" w:name="_Toc10743"/>
      <w:bookmarkStart w:id="3672" w:name="_Toc29032"/>
      <w:r>
        <w:rPr>
          <w:rFonts w:hint="eastAsia" w:ascii="宋体" w:hAnsi="宋体" w:eastAsia="宋体" w:cs="Times New Roman"/>
          <w:b/>
          <w:bCs/>
          <w:color w:val="auto"/>
          <w:kern w:val="0"/>
          <w:sz w:val="24"/>
          <w:szCs w:val="32"/>
          <w:highlight w:val="none"/>
          <w:lang w:val="en-US" w:eastAsia="zh-CN" w:bidi="ar-SA"/>
        </w:rPr>
        <w:t>8.2 劳务分包</w:t>
      </w:r>
      <w:bookmarkEnd w:id="3662"/>
      <w:bookmarkEnd w:id="3663"/>
      <w:bookmarkEnd w:id="3664"/>
      <w:bookmarkEnd w:id="3665"/>
      <w:bookmarkEnd w:id="3666"/>
      <w:bookmarkEnd w:id="3667"/>
      <w:bookmarkEnd w:id="3668"/>
      <w:bookmarkEnd w:id="3669"/>
      <w:bookmarkEnd w:id="3670"/>
      <w:bookmarkEnd w:id="3671"/>
      <w:bookmarkEnd w:id="3672"/>
    </w:p>
    <w:p>
      <w:pPr>
        <w:spacing w:line="360" w:lineRule="auto"/>
        <w:ind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劳务分包企业对所有派遣工人购买意外伤害险和工伤保险的保险金额不得低于：</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widowControl w:val="0"/>
        <w:numPr>
          <w:ilvl w:val="0"/>
          <w:numId w:val="0"/>
        </w:numPr>
        <w:tabs>
          <w:tab w:val="left" w:pos="540"/>
          <w:tab w:val="left" w:pos="2340"/>
        </w:tabs>
        <w:spacing w:before="120" w:after="156"/>
        <w:ind w:left="180"/>
        <w:jc w:val="left"/>
        <w:outlineLvl w:val="1"/>
        <w:rPr>
          <w:rFonts w:hint="eastAsia" w:ascii="宋体" w:hAnsi="宋体" w:eastAsia="宋体" w:cs="Times New Roman"/>
          <w:b/>
          <w:bCs/>
          <w:color w:val="auto"/>
          <w:kern w:val="0"/>
          <w:sz w:val="24"/>
          <w:szCs w:val="32"/>
          <w:highlight w:val="none"/>
          <w:lang w:val="en-US" w:eastAsia="zh-CN" w:bidi="ar-SA"/>
        </w:rPr>
      </w:pPr>
      <w:bookmarkStart w:id="3673" w:name="_Toc13988"/>
      <w:bookmarkStart w:id="3674" w:name="_Toc30699"/>
      <w:bookmarkStart w:id="3675" w:name="_Toc15888"/>
      <w:bookmarkStart w:id="3676" w:name="_Toc28711"/>
      <w:bookmarkStart w:id="3677" w:name="_Toc302635976"/>
      <w:bookmarkStart w:id="3678" w:name="_Toc4010"/>
      <w:bookmarkStart w:id="3679" w:name="_Toc305331461"/>
      <w:bookmarkStart w:id="3680" w:name="_Toc10720"/>
      <w:bookmarkStart w:id="3681" w:name="_Toc1632"/>
      <w:bookmarkStart w:id="3682" w:name="_Toc16484"/>
      <w:bookmarkStart w:id="3683" w:name="_Toc28333"/>
      <w:r>
        <w:rPr>
          <w:rFonts w:hint="eastAsia" w:ascii="宋体" w:hAnsi="宋体" w:eastAsia="宋体" w:cs="Times New Roman"/>
          <w:b/>
          <w:bCs/>
          <w:color w:val="auto"/>
          <w:kern w:val="0"/>
          <w:sz w:val="24"/>
          <w:szCs w:val="32"/>
          <w:highlight w:val="none"/>
          <w:lang w:val="en-US" w:eastAsia="zh-CN" w:bidi="ar-SA"/>
        </w:rPr>
        <w:t>8.3 劳务分包合同</w:t>
      </w:r>
      <w:bookmarkEnd w:id="3673"/>
      <w:bookmarkEnd w:id="3674"/>
      <w:bookmarkEnd w:id="3675"/>
      <w:bookmarkEnd w:id="3676"/>
      <w:bookmarkEnd w:id="3677"/>
      <w:bookmarkEnd w:id="3678"/>
      <w:bookmarkEnd w:id="3679"/>
      <w:bookmarkEnd w:id="3680"/>
      <w:bookmarkEnd w:id="3681"/>
      <w:bookmarkEnd w:id="3682"/>
      <w:bookmarkEnd w:id="3683"/>
    </w:p>
    <w:p>
      <w:pPr>
        <w:spacing w:line="360" w:lineRule="auto"/>
        <w:ind w:left="2" w:hanging="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(3)若发包人或监理人发现工地上有未签订劳务分包合同的劳务企业人员在现场施工，承包人应向发包人支付违约金</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人</w:t>
      </w:r>
      <w:r>
        <w:rPr>
          <w:rFonts w:ascii="宋体" w:hAnsi="宋体" w:eastAsia="宋体" w:cs="Times New Roman"/>
          <w:color w:val="auto"/>
          <w:sz w:val="24"/>
          <w:szCs w:val="24"/>
          <w:highlight w:val="none"/>
        </w:rPr>
        <w:t>次。</w:t>
      </w:r>
    </w:p>
    <w:p>
      <w:pPr>
        <w:keepNext w:val="0"/>
        <w:keepLines w:val="0"/>
        <w:widowControl/>
        <w:numPr>
          <w:ilvl w:val="0"/>
          <w:numId w:val="0"/>
        </w:numPr>
        <w:tabs>
          <w:tab w:val="left" w:pos="1620"/>
          <w:tab w:val="left" w:pos="2340"/>
        </w:tabs>
        <w:spacing w:before="120" w:after="120"/>
        <w:jc w:val="left"/>
        <w:outlineLvl w:val="0"/>
        <w:rPr>
          <w:rFonts w:ascii="华文细黑" w:hAnsi="宋体" w:eastAsia="宋体" w:cs="Times New Roman"/>
          <w:b/>
          <w:bCs/>
          <w:snapToGrid w:val="0"/>
          <w:color w:val="auto"/>
          <w:kern w:val="0"/>
          <w:sz w:val="28"/>
          <w:szCs w:val="44"/>
          <w:highlight w:val="none"/>
          <w:lang w:val="en-US" w:eastAsia="zh-CN" w:bidi="ar-SA"/>
        </w:rPr>
      </w:pPr>
      <w:bookmarkStart w:id="3684" w:name="_Toc23474"/>
      <w:bookmarkStart w:id="3685" w:name="_Toc12312"/>
      <w:bookmarkStart w:id="3686" w:name="_Toc15357"/>
      <w:bookmarkStart w:id="3687" w:name="_Toc14834"/>
      <w:bookmarkStart w:id="3688" w:name="_Toc11320"/>
      <w:bookmarkStart w:id="3689" w:name="_Toc16171"/>
      <w:bookmarkStart w:id="3690" w:name="_Toc30301"/>
      <w:bookmarkStart w:id="3691" w:name="_Toc5057"/>
      <w:bookmarkStart w:id="3692" w:name="_Toc894"/>
      <w:bookmarkStart w:id="3693" w:name="_Toc305331462"/>
      <w:bookmarkStart w:id="3694" w:name="_Toc302635977"/>
      <w:r>
        <w:rPr>
          <w:rFonts w:hint="eastAsia" w:ascii="华文细黑" w:hAnsi="宋体" w:eastAsia="宋体" w:cs="Times New Roman"/>
          <w:b/>
          <w:bCs/>
          <w:snapToGrid w:val="0"/>
          <w:color w:val="auto"/>
          <w:kern w:val="0"/>
          <w:sz w:val="28"/>
          <w:szCs w:val="44"/>
          <w:highlight w:val="none"/>
          <w:lang w:val="en-US" w:eastAsia="zh-CN" w:bidi="ar-SA"/>
        </w:rPr>
        <w:t>9 施工组织设计和进度计划</w:t>
      </w:r>
      <w:bookmarkEnd w:id="3630"/>
      <w:bookmarkEnd w:id="3684"/>
      <w:bookmarkEnd w:id="3685"/>
      <w:bookmarkEnd w:id="3686"/>
      <w:bookmarkEnd w:id="3687"/>
      <w:bookmarkEnd w:id="3688"/>
      <w:bookmarkEnd w:id="3689"/>
      <w:bookmarkEnd w:id="3690"/>
      <w:bookmarkEnd w:id="3691"/>
      <w:bookmarkEnd w:id="3692"/>
      <w:bookmarkEnd w:id="3693"/>
      <w:bookmarkEnd w:id="3694"/>
    </w:p>
    <w:p>
      <w:pPr>
        <w:widowControl w:val="0"/>
        <w:numPr>
          <w:ilvl w:val="0"/>
          <w:numId w:val="0"/>
        </w:numPr>
        <w:tabs>
          <w:tab w:val="left" w:pos="540"/>
          <w:tab w:val="left" w:pos="900"/>
          <w:tab w:val="left" w:pos="2340"/>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3695" w:name="_Toc305331463"/>
      <w:bookmarkStart w:id="3696" w:name="_Toc5307"/>
      <w:bookmarkStart w:id="3697" w:name="_Toc12453"/>
      <w:bookmarkStart w:id="3698" w:name="_Toc14048"/>
      <w:bookmarkStart w:id="3699" w:name="_Toc23302"/>
      <w:bookmarkStart w:id="3700" w:name="_Toc3635"/>
      <w:bookmarkStart w:id="3701" w:name="_Toc19318"/>
      <w:bookmarkStart w:id="3702" w:name="_Toc25921"/>
      <w:bookmarkStart w:id="3703" w:name="_Toc302635978"/>
      <w:bookmarkStart w:id="3704" w:name="_Toc22395"/>
      <w:bookmarkStart w:id="3705" w:name="_Toc20510"/>
      <w:r>
        <w:rPr>
          <w:rFonts w:hint="eastAsia" w:ascii="宋体" w:hAnsi="宋体" w:eastAsia="宋体" w:cs="Times New Roman"/>
          <w:b/>
          <w:bCs/>
          <w:color w:val="auto"/>
          <w:kern w:val="0"/>
          <w:sz w:val="24"/>
          <w:szCs w:val="32"/>
          <w:highlight w:val="none"/>
          <w:lang w:val="en-US" w:eastAsia="zh-CN" w:bidi="ar-SA"/>
        </w:rPr>
        <w:t>9.1 施工组织设计和进度计划的编制与提交</w:t>
      </w:r>
      <w:bookmarkEnd w:id="3695"/>
      <w:bookmarkEnd w:id="3696"/>
      <w:bookmarkEnd w:id="3697"/>
      <w:bookmarkEnd w:id="3698"/>
      <w:bookmarkEnd w:id="3699"/>
      <w:bookmarkEnd w:id="3700"/>
      <w:bookmarkEnd w:id="3701"/>
      <w:bookmarkEnd w:id="3702"/>
      <w:bookmarkEnd w:id="3703"/>
      <w:bookmarkEnd w:id="3704"/>
      <w:bookmarkEnd w:id="3705"/>
    </w:p>
    <w:p>
      <w:pPr>
        <w:spacing w:line="360" w:lineRule="auto"/>
        <w:ind w:left="-57" w:right="-105"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(1)承包人应提供单项施工组织设计和工程进度计划的单项工程名称：</w:t>
      </w:r>
      <w:r>
        <w:rPr>
          <w:rFonts w:hint="eastAsia" w:ascii="宋体" w:hAnsi="宋体" w:eastAsia="宋体" w:cs="Times New Roman"/>
          <w:color w:val="auto"/>
          <w:sz w:val="24"/>
          <w:szCs w:val="24"/>
          <w:highlight w:val="none"/>
          <w:u w:val="single"/>
        </w:rPr>
        <w:t xml:space="preserve">           </w:t>
      </w:r>
    </w:p>
    <w:p>
      <w:pPr>
        <w:spacing w:line="360" w:lineRule="auto"/>
        <w:ind w:left="2" w:hanging="2"/>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left="2" w:hanging="2"/>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firstLine="360"/>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rPr>
        <w:t xml:space="preserve"> (2)承包人提供施工组织设计和工程进度计划的时间和要求：</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left="2" w:hanging="2"/>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left="2" w:hanging="2"/>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监理人确认的时间：</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rPr>
        <w:t>承包人根据监理人的合理意见提交修改后的施工组织设计和工程进度计划的时间和要求：</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3706" w:name="_Toc14984"/>
      <w:bookmarkStart w:id="3707" w:name="_Toc25178"/>
      <w:bookmarkStart w:id="3708" w:name="_Toc29192"/>
      <w:bookmarkStart w:id="3709" w:name="_Toc12837"/>
      <w:bookmarkStart w:id="3710" w:name="_Toc305331464"/>
      <w:bookmarkStart w:id="3711" w:name="_Toc302635979"/>
      <w:bookmarkStart w:id="3712" w:name="_Toc17022"/>
      <w:bookmarkStart w:id="3713" w:name="_Toc12083"/>
      <w:bookmarkStart w:id="3714" w:name="_Toc17641"/>
      <w:bookmarkStart w:id="3715" w:name="_Toc16490"/>
      <w:bookmarkStart w:id="3716" w:name="_Toc25556"/>
      <w:r>
        <w:rPr>
          <w:rFonts w:hint="eastAsia" w:ascii="宋体" w:hAnsi="宋体" w:eastAsia="宋体" w:cs="Times New Roman"/>
          <w:b/>
          <w:bCs/>
          <w:color w:val="auto"/>
          <w:kern w:val="0"/>
          <w:sz w:val="24"/>
          <w:szCs w:val="32"/>
          <w:highlight w:val="none"/>
          <w:lang w:val="en-US" w:eastAsia="zh-CN" w:bidi="ar-SA"/>
        </w:rPr>
        <w:t>9.4 工程用款计划</w:t>
      </w:r>
      <w:bookmarkEnd w:id="3706"/>
      <w:bookmarkEnd w:id="3707"/>
      <w:bookmarkEnd w:id="3708"/>
      <w:bookmarkEnd w:id="3709"/>
      <w:bookmarkEnd w:id="3710"/>
      <w:bookmarkEnd w:id="3711"/>
      <w:bookmarkEnd w:id="3712"/>
      <w:bookmarkEnd w:id="3713"/>
      <w:bookmarkEnd w:id="3714"/>
      <w:bookmarkEnd w:id="3715"/>
      <w:bookmarkEnd w:id="3716"/>
    </w:p>
    <w:p>
      <w:pPr>
        <w:spacing w:line="360" w:lineRule="auto"/>
        <w:ind w:firstLine="440"/>
        <w:rPr>
          <w:rFonts w:ascii="宋体" w:hAnsi="宋体" w:eastAsia="宋体" w:cs="Times New Roman"/>
          <w:color w:val="auto"/>
          <w:sz w:val="24"/>
          <w:szCs w:val="24"/>
          <w:highlight w:val="none"/>
          <w:u w:val="single"/>
        </w:rPr>
      </w:pPr>
      <w:r>
        <w:rPr>
          <w:rFonts w:hint="eastAsia" w:ascii="宋体" w:hAnsi="宋体" w:eastAsia="宋体" w:cs="Times New Roman"/>
          <w:bCs/>
          <w:color w:val="auto"/>
          <w:spacing w:val="-10"/>
          <w:sz w:val="24"/>
          <w:szCs w:val="24"/>
          <w:highlight w:val="none"/>
        </w:rPr>
        <w:t>承包人提交工程用款计划的要求：</w:t>
      </w:r>
      <w:r>
        <w:rPr>
          <w:rFonts w:hint="eastAsia" w:ascii="宋体" w:hAnsi="宋体" w:eastAsia="宋体" w:cs="Times New Roman"/>
          <w:bCs/>
          <w:color w:val="auto"/>
          <w:spacing w:val="-10"/>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bookmarkStart w:id="3717" w:name="_Toc35656532"/>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keepNext w:val="0"/>
        <w:keepLines w:val="0"/>
        <w:widowControl/>
        <w:numPr>
          <w:ilvl w:val="0"/>
          <w:numId w:val="0"/>
        </w:numPr>
        <w:tabs>
          <w:tab w:val="left" w:pos="1620"/>
          <w:tab w:val="left" w:pos="2340"/>
        </w:tabs>
        <w:spacing w:before="120" w:after="120"/>
        <w:jc w:val="left"/>
        <w:outlineLvl w:val="0"/>
        <w:rPr>
          <w:rFonts w:ascii="华文细黑" w:hAnsi="宋体" w:eastAsia="宋体" w:cs="Times New Roman"/>
          <w:b/>
          <w:bCs/>
          <w:snapToGrid w:val="0"/>
          <w:color w:val="auto"/>
          <w:kern w:val="0"/>
          <w:sz w:val="28"/>
          <w:szCs w:val="44"/>
          <w:highlight w:val="none"/>
          <w:lang w:val="en-US" w:eastAsia="zh-CN" w:bidi="ar-SA"/>
        </w:rPr>
      </w:pPr>
      <w:bookmarkStart w:id="3718" w:name="_Toc20525"/>
      <w:bookmarkStart w:id="3719" w:name="_Toc302635980"/>
      <w:bookmarkStart w:id="3720" w:name="_Toc11756"/>
      <w:bookmarkStart w:id="3721" w:name="_Toc21486"/>
      <w:bookmarkStart w:id="3722" w:name="_Toc24761"/>
      <w:bookmarkStart w:id="3723" w:name="_Toc305331465"/>
      <w:bookmarkStart w:id="3724" w:name="_Toc31402"/>
      <w:bookmarkStart w:id="3725" w:name="_Toc6805"/>
      <w:bookmarkStart w:id="3726" w:name="_Toc10502"/>
      <w:bookmarkStart w:id="3727" w:name="_Toc23230"/>
      <w:bookmarkStart w:id="3728" w:name="_Toc12519"/>
      <w:r>
        <w:rPr>
          <w:rFonts w:hint="eastAsia" w:ascii="华文细黑" w:hAnsi="宋体" w:eastAsia="宋体" w:cs="Times New Roman"/>
          <w:b/>
          <w:bCs/>
          <w:snapToGrid w:val="0"/>
          <w:color w:val="auto"/>
          <w:kern w:val="0"/>
          <w:sz w:val="28"/>
          <w:szCs w:val="44"/>
          <w:highlight w:val="none"/>
          <w:lang w:val="en-US" w:eastAsia="zh-CN" w:bidi="ar-SA"/>
        </w:rPr>
        <w:t>10 施工准备</w:t>
      </w:r>
      <w:bookmarkEnd w:id="3717"/>
      <w:bookmarkEnd w:id="3718"/>
      <w:bookmarkEnd w:id="3719"/>
      <w:bookmarkEnd w:id="3720"/>
      <w:bookmarkEnd w:id="3721"/>
      <w:bookmarkEnd w:id="3722"/>
      <w:bookmarkEnd w:id="3723"/>
      <w:bookmarkEnd w:id="3724"/>
      <w:bookmarkEnd w:id="3725"/>
      <w:bookmarkEnd w:id="3726"/>
      <w:bookmarkEnd w:id="3727"/>
      <w:bookmarkEnd w:id="3728"/>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3729" w:name="_Toc30321"/>
      <w:bookmarkStart w:id="3730" w:name="_Toc302635981"/>
      <w:bookmarkStart w:id="3731" w:name="_Toc7600"/>
      <w:bookmarkStart w:id="3732" w:name="_Toc7228"/>
      <w:bookmarkStart w:id="3733" w:name="_Toc4117"/>
      <w:bookmarkStart w:id="3734" w:name="_Toc14274"/>
      <w:bookmarkStart w:id="3735" w:name="_Toc9200"/>
      <w:bookmarkStart w:id="3736" w:name="_Toc305331466"/>
      <w:bookmarkStart w:id="3737" w:name="_Toc24268"/>
      <w:bookmarkStart w:id="3738" w:name="_Toc19123"/>
      <w:bookmarkStart w:id="3739" w:name="_Toc5624"/>
      <w:r>
        <w:rPr>
          <w:rFonts w:hint="eastAsia" w:ascii="宋体" w:hAnsi="宋体" w:eastAsia="宋体" w:cs="Times New Roman"/>
          <w:b/>
          <w:bCs/>
          <w:color w:val="auto"/>
          <w:kern w:val="0"/>
          <w:sz w:val="24"/>
          <w:szCs w:val="32"/>
          <w:highlight w:val="none"/>
          <w:lang w:val="en-US" w:eastAsia="zh-CN" w:bidi="ar-SA"/>
        </w:rPr>
        <w:t>10.2 施工场地提供</w:t>
      </w:r>
      <w:bookmarkEnd w:id="3729"/>
      <w:bookmarkEnd w:id="3730"/>
      <w:bookmarkEnd w:id="3731"/>
      <w:bookmarkEnd w:id="3732"/>
      <w:bookmarkEnd w:id="3733"/>
      <w:bookmarkEnd w:id="3734"/>
      <w:bookmarkEnd w:id="3735"/>
      <w:bookmarkEnd w:id="3736"/>
      <w:bookmarkEnd w:id="3737"/>
      <w:bookmarkEnd w:id="3738"/>
      <w:bookmarkEnd w:id="3739"/>
    </w:p>
    <w:p>
      <w:pPr>
        <w:spacing w:line="360" w:lineRule="auto"/>
        <w:ind w:firstLine="480"/>
        <w:rPr>
          <w:rFonts w:ascii="黑体" w:hAnsi="黑体" w:eastAsia="黑体" w:cs="Times New Roman"/>
          <w:b/>
          <w:color w:val="auto"/>
          <w:sz w:val="24"/>
          <w:szCs w:val="24"/>
          <w:highlight w:val="none"/>
          <w:u w:val="single"/>
        </w:rPr>
      </w:pPr>
      <w:r>
        <w:rPr>
          <w:rFonts w:hint="eastAsia" w:ascii="宋体" w:hAnsi="宋体" w:eastAsia="宋体" w:cs="Times New Roman"/>
          <w:color w:val="auto"/>
          <w:sz w:val="24"/>
          <w:szCs w:val="24"/>
          <w:highlight w:val="none"/>
        </w:rPr>
        <w:t>(1)发包人提供给承包人的工地范围、时间及次序约定：</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(3)红线外临时占地租用费用承担约定：</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3740" w:name="_Toc302635982"/>
      <w:bookmarkStart w:id="3741" w:name="_Toc14001"/>
      <w:bookmarkStart w:id="3742" w:name="_Toc10050"/>
      <w:bookmarkStart w:id="3743" w:name="_Toc1248"/>
      <w:bookmarkStart w:id="3744" w:name="_Toc5690"/>
      <w:bookmarkStart w:id="3745" w:name="_Toc7884"/>
      <w:bookmarkStart w:id="3746" w:name="_Toc14670"/>
      <w:bookmarkStart w:id="3747" w:name="_Toc12659"/>
      <w:bookmarkStart w:id="3748" w:name="_Toc9080"/>
      <w:bookmarkStart w:id="3749" w:name="_Toc305331467"/>
      <w:bookmarkStart w:id="3750" w:name="_Toc25333"/>
      <w:r>
        <w:rPr>
          <w:rFonts w:hint="eastAsia" w:ascii="宋体" w:hAnsi="宋体" w:eastAsia="宋体" w:cs="Times New Roman"/>
          <w:b/>
          <w:bCs/>
          <w:color w:val="auto"/>
          <w:kern w:val="0"/>
          <w:sz w:val="24"/>
          <w:szCs w:val="32"/>
          <w:highlight w:val="none"/>
          <w:lang w:val="en-US" w:eastAsia="zh-CN" w:bidi="ar-SA"/>
        </w:rPr>
        <w:t>10.6 不利的外界障碍或条件</w:t>
      </w:r>
      <w:bookmarkEnd w:id="3740"/>
      <w:bookmarkEnd w:id="3741"/>
      <w:bookmarkEnd w:id="3742"/>
      <w:bookmarkEnd w:id="3743"/>
      <w:bookmarkEnd w:id="3744"/>
      <w:bookmarkEnd w:id="3745"/>
      <w:bookmarkEnd w:id="3746"/>
      <w:bookmarkEnd w:id="3747"/>
      <w:bookmarkEnd w:id="3748"/>
      <w:bookmarkEnd w:id="3749"/>
      <w:bookmarkEnd w:id="3750"/>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(3)本合同可能产生的不利的外界障碍或条件为：</w:t>
      </w:r>
    </w:p>
    <w:p>
      <w:pPr>
        <w:spacing w:line="360" w:lineRule="auto"/>
        <w:ind w:firstLine="6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101" name="图片 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 name="图片 50"/>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施工现场地形、地质的改变；</w:t>
      </w:r>
    </w:p>
    <w:p>
      <w:pPr>
        <w:spacing w:line="360" w:lineRule="auto"/>
        <w:ind w:firstLine="6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104" name="图片 5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4" name="图片 51"/>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政府政策性停工；</w:t>
      </w:r>
    </w:p>
    <w:p>
      <w:pPr>
        <w:spacing w:line="360" w:lineRule="auto"/>
        <w:ind w:firstLine="600"/>
        <w:rPr>
          <w:rFonts w:hint="eastAsia"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drawing>
          <wp:inline distT="0" distB="0" distL="114300" distR="114300">
            <wp:extent cx="152400" cy="142875"/>
            <wp:effectExtent l="0" t="0" r="0" b="9525"/>
            <wp:docPr id="105" name="图片 5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5" name="图片 52"/>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其他：</w:t>
      </w:r>
      <w:r>
        <w:rPr>
          <w:rFonts w:hint="eastAsia" w:ascii="宋体" w:hAnsi="宋体" w:eastAsia="宋体" w:cs="Times New Roman"/>
          <w:color w:val="auto"/>
          <w:sz w:val="24"/>
          <w:szCs w:val="24"/>
          <w:highlight w:val="none"/>
          <w:u w:val="single"/>
        </w:rPr>
        <w:t xml:space="preserve">                                                               </w:t>
      </w:r>
    </w:p>
    <w:p>
      <w:pPr>
        <w:keepNext w:val="0"/>
        <w:keepLines w:val="0"/>
        <w:widowControl/>
        <w:numPr>
          <w:ilvl w:val="0"/>
          <w:numId w:val="0"/>
        </w:numPr>
        <w:tabs>
          <w:tab w:val="left" w:pos="54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3751" w:name="_Toc27437"/>
      <w:bookmarkStart w:id="3752" w:name="_Toc28085"/>
      <w:bookmarkStart w:id="3753" w:name="_Toc12452"/>
      <w:bookmarkStart w:id="3754" w:name="_Toc31080"/>
      <w:bookmarkStart w:id="3755" w:name="_Toc10534"/>
      <w:bookmarkStart w:id="3756" w:name="_Toc28215"/>
      <w:bookmarkStart w:id="3757" w:name="_Toc7040"/>
      <w:bookmarkStart w:id="3758" w:name="_Toc12015"/>
      <w:bookmarkStart w:id="3759" w:name="_Toc19913"/>
      <w:bookmarkStart w:id="3760" w:name="_Toc302635983"/>
      <w:bookmarkStart w:id="3761" w:name="_Toc305331468"/>
      <w:r>
        <w:rPr>
          <w:rFonts w:hint="eastAsia" w:ascii="华文细黑" w:hAnsi="宋体" w:eastAsia="宋体" w:cs="Times New Roman"/>
          <w:b/>
          <w:bCs/>
          <w:snapToGrid w:val="0"/>
          <w:color w:val="auto"/>
          <w:kern w:val="0"/>
          <w:sz w:val="28"/>
          <w:szCs w:val="44"/>
          <w:highlight w:val="none"/>
          <w:lang w:val="en-US" w:eastAsia="zh-CN" w:bidi="ar-SA"/>
        </w:rPr>
        <w:t>12 暂停施工和恢复施工</w:t>
      </w:r>
      <w:bookmarkEnd w:id="3751"/>
      <w:bookmarkEnd w:id="3752"/>
      <w:bookmarkEnd w:id="3753"/>
      <w:bookmarkEnd w:id="3754"/>
      <w:bookmarkEnd w:id="3755"/>
      <w:bookmarkEnd w:id="3756"/>
      <w:bookmarkEnd w:id="3757"/>
      <w:bookmarkEnd w:id="3758"/>
      <w:bookmarkEnd w:id="3759"/>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3762" w:name="_Toc17185"/>
      <w:bookmarkStart w:id="3763" w:name="_Toc11856"/>
      <w:bookmarkStart w:id="3764" w:name="_Toc13119"/>
      <w:bookmarkStart w:id="3765" w:name="_Toc2925"/>
      <w:bookmarkStart w:id="3766" w:name="_Toc3058"/>
      <w:bookmarkStart w:id="3767" w:name="_Toc22065"/>
      <w:bookmarkStart w:id="3768" w:name="_Toc2573"/>
      <w:bookmarkStart w:id="3769" w:name="_Toc12307"/>
      <w:bookmarkStart w:id="3770" w:name="_Toc24065"/>
      <w:r>
        <w:rPr>
          <w:rFonts w:hint="eastAsia" w:ascii="宋体" w:hAnsi="宋体" w:eastAsia="宋体" w:cs="Times New Roman"/>
          <w:b/>
          <w:bCs/>
          <w:color w:val="auto"/>
          <w:kern w:val="0"/>
          <w:sz w:val="24"/>
          <w:szCs w:val="32"/>
          <w:highlight w:val="none"/>
          <w:lang w:val="en-US" w:eastAsia="zh-CN" w:bidi="ar-SA"/>
        </w:rPr>
        <w:t>12.2 承包人原因引起的暂停施工</w:t>
      </w:r>
      <w:bookmarkEnd w:id="3762"/>
      <w:bookmarkEnd w:id="3763"/>
      <w:bookmarkEnd w:id="3764"/>
      <w:bookmarkEnd w:id="3765"/>
      <w:bookmarkEnd w:id="3766"/>
      <w:bookmarkEnd w:id="3767"/>
      <w:bookmarkEnd w:id="3768"/>
      <w:bookmarkEnd w:id="3769"/>
      <w:bookmarkEnd w:id="3770"/>
    </w:p>
    <w:p>
      <w:pPr>
        <w:spacing w:line="360" w:lineRule="auto"/>
        <w:ind w:firstLine="480"/>
        <w:rPr>
          <w:rFonts w:hint="eastAsia"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因承包人原因引起的暂停施工，承包人在收到监理人复工指示后复工的</w:t>
      </w:r>
      <w:r>
        <w:rPr>
          <w:rFonts w:hint="eastAsia" w:ascii="宋体" w:hAnsi="宋体" w:eastAsia="宋体" w:cs="Times New Roman"/>
          <w:color w:val="auto"/>
          <w:sz w:val="24"/>
          <w:szCs w:val="24"/>
          <w:highlight w:val="none"/>
        </w:rPr>
        <w:t>期限为：</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keepNext w:val="0"/>
        <w:keepLines w:val="0"/>
        <w:widowControl/>
        <w:numPr>
          <w:ilvl w:val="0"/>
          <w:numId w:val="0"/>
        </w:numPr>
        <w:tabs>
          <w:tab w:val="left" w:pos="54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3771" w:name="_Toc23177"/>
      <w:bookmarkStart w:id="3772" w:name="_Toc5164"/>
      <w:bookmarkStart w:id="3773" w:name="_Toc4502"/>
      <w:bookmarkStart w:id="3774" w:name="_Toc13547"/>
      <w:bookmarkStart w:id="3775" w:name="_Toc26099"/>
      <w:bookmarkStart w:id="3776" w:name="_Toc9236"/>
      <w:bookmarkStart w:id="3777" w:name="_Toc28294"/>
      <w:bookmarkStart w:id="3778" w:name="_Toc12345"/>
      <w:bookmarkStart w:id="3779" w:name="_Toc10523"/>
      <w:r>
        <w:rPr>
          <w:rFonts w:hint="eastAsia" w:ascii="华文细黑" w:hAnsi="宋体" w:eastAsia="宋体" w:cs="Times New Roman"/>
          <w:b/>
          <w:bCs/>
          <w:snapToGrid w:val="0"/>
          <w:color w:val="auto"/>
          <w:kern w:val="0"/>
          <w:sz w:val="28"/>
          <w:szCs w:val="44"/>
          <w:highlight w:val="none"/>
          <w:lang w:val="en-US" w:eastAsia="zh-CN" w:bidi="ar-SA"/>
        </w:rPr>
        <w:t>13 工期及延误</w:t>
      </w:r>
      <w:bookmarkEnd w:id="3760"/>
      <w:bookmarkEnd w:id="3761"/>
      <w:bookmarkEnd w:id="3771"/>
      <w:bookmarkEnd w:id="3772"/>
      <w:bookmarkEnd w:id="3773"/>
      <w:bookmarkEnd w:id="3774"/>
      <w:bookmarkEnd w:id="3775"/>
      <w:bookmarkEnd w:id="3776"/>
      <w:bookmarkEnd w:id="3777"/>
      <w:bookmarkEnd w:id="3778"/>
      <w:bookmarkEnd w:id="3779"/>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3780" w:name="_Toc23785"/>
      <w:bookmarkStart w:id="3781" w:name="_Toc13216"/>
      <w:bookmarkStart w:id="3782" w:name="_Toc15323"/>
      <w:bookmarkStart w:id="3783" w:name="_Toc302635984"/>
      <w:bookmarkStart w:id="3784" w:name="_Toc24613"/>
      <w:bookmarkStart w:id="3785" w:name="_Toc305331469"/>
      <w:bookmarkStart w:id="3786" w:name="_Toc8636"/>
      <w:bookmarkStart w:id="3787" w:name="_Toc16855"/>
      <w:bookmarkStart w:id="3788" w:name="_Toc3898"/>
      <w:bookmarkStart w:id="3789" w:name="_Toc18"/>
      <w:bookmarkStart w:id="3790" w:name="_Toc16722"/>
      <w:r>
        <w:rPr>
          <w:rFonts w:hint="eastAsia" w:ascii="宋体" w:hAnsi="宋体" w:eastAsia="宋体" w:cs="Times New Roman"/>
          <w:b/>
          <w:bCs/>
          <w:color w:val="auto"/>
          <w:kern w:val="0"/>
          <w:sz w:val="24"/>
          <w:szCs w:val="32"/>
          <w:highlight w:val="none"/>
          <w:lang w:val="en-US" w:eastAsia="zh-CN" w:bidi="ar-SA"/>
        </w:rPr>
        <w:t>13.1 工期</w:t>
      </w:r>
      <w:bookmarkEnd w:id="3780"/>
      <w:bookmarkEnd w:id="3781"/>
      <w:bookmarkEnd w:id="3782"/>
      <w:bookmarkEnd w:id="3783"/>
      <w:bookmarkEnd w:id="3784"/>
      <w:bookmarkEnd w:id="3785"/>
      <w:bookmarkEnd w:id="3786"/>
      <w:bookmarkEnd w:id="3787"/>
      <w:bookmarkEnd w:id="3788"/>
      <w:bookmarkEnd w:id="3789"/>
      <w:bookmarkEnd w:id="3790"/>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本工程单项工程的工期约定：</w:t>
      </w:r>
    </w:p>
    <w:tbl>
      <w:tblPr>
        <w:tblStyle w:val="40"/>
        <w:tblW w:w="841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84"/>
        <w:gridCol w:w="2297"/>
        <w:gridCol w:w="2239"/>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noWrap w:val="0"/>
            <w:vAlign w:val="center"/>
          </w:tcPr>
          <w:p>
            <w:pPr>
              <w:ind w:left="-57" w:right="-105"/>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1984" w:type="dxa"/>
            <w:noWrap w:val="0"/>
            <w:vAlign w:val="center"/>
          </w:tcPr>
          <w:p>
            <w:pPr>
              <w:ind w:left="-57" w:right="-10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单项工程名称</w:t>
            </w:r>
          </w:p>
        </w:tc>
        <w:tc>
          <w:tcPr>
            <w:tcW w:w="2297" w:type="dxa"/>
            <w:noWrap w:val="0"/>
            <w:vAlign w:val="center"/>
          </w:tcPr>
          <w:p>
            <w:pPr>
              <w:ind w:left="-57" w:right="-10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开工日期</w:t>
            </w:r>
          </w:p>
        </w:tc>
        <w:tc>
          <w:tcPr>
            <w:tcW w:w="2239" w:type="dxa"/>
            <w:noWrap w:val="0"/>
            <w:vAlign w:val="center"/>
          </w:tcPr>
          <w:p>
            <w:pPr>
              <w:ind w:left="-108" w:right="-10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竣工日期</w:t>
            </w:r>
          </w:p>
        </w:tc>
        <w:tc>
          <w:tcPr>
            <w:tcW w:w="1181" w:type="dxa"/>
            <w:noWrap w:val="0"/>
            <w:vAlign w:val="center"/>
          </w:tcPr>
          <w:p>
            <w:pPr>
              <w:ind w:left="-108" w:right="-105"/>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工期</w:t>
            </w:r>
          </w:p>
          <w:p>
            <w:pPr>
              <w:ind w:left="-108" w:right="-10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noWrap w:val="0"/>
            <w:vAlign w:val="center"/>
          </w:tcPr>
          <w:p>
            <w:pPr>
              <w:spacing w:line="360" w:lineRule="auto"/>
              <w:ind w:left="-57" w:right="-105"/>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p>
        </w:tc>
        <w:tc>
          <w:tcPr>
            <w:tcW w:w="1984" w:type="dxa"/>
            <w:noWrap w:val="0"/>
            <w:vAlign w:val="bottom"/>
          </w:tcPr>
          <w:p>
            <w:pPr>
              <w:spacing w:line="360" w:lineRule="auto"/>
              <w:ind w:left="-57" w:right="-105"/>
              <w:rPr>
                <w:rFonts w:ascii="宋体" w:hAnsi="宋体" w:eastAsia="宋体" w:cs="Times New Roman"/>
                <w:color w:val="auto"/>
                <w:sz w:val="24"/>
                <w:szCs w:val="24"/>
                <w:highlight w:val="none"/>
              </w:rPr>
            </w:pPr>
          </w:p>
        </w:tc>
        <w:tc>
          <w:tcPr>
            <w:tcW w:w="2297" w:type="dxa"/>
            <w:noWrap w:val="0"/>
            <w:vAlign w:val="bottom"/>
          </w:tcPr>
          <w:p>
            <w:pPr>
              <w:spacing w:line="360" w:lineRule="auto"/>
              <w:ind w:left="-57" w:right="-105"/>
              <w:rPr>
                <w:rFonts w:hint="eastAsia" w:ascii="宋体" w:hAnsi="宋体" w:eastAsia="宋体" w:cs="Times New Roman"/>
                <w:color w:val="auto"/>
                <w:sz w:val="24"/>
                <w:szCs w:val="24"/>
                <w:highlight w:val="none"/>
              </w:rPr>
            </w:pPr>
          </w:p>
        </w:tc>
        <w:tc>
          <w:tcPr>
            <w:tcW w:w="2239" w:type="dxa"/>
            <w:noWrap w:val="0"/>
            <w:vAlign w:val="bottom"/>
          </w:tcPr>
          <w:p>
            <w:pPr>
              <w:spacing w:line="360" w:lineRule="auto"/>
              <w:ind w:left="-57" w:right="-105"/>
              <w:rPr>
                <w:rFonts w:hint="eastAsia" w:ascii="宋体" w:hAnsi="宋体" w:eastAsia="宋体" w:cs="Times New Roman"/>
                <w:color w:val="auto"/>
                <w:sz w:val="24"/>
                <w:szCs w:val="24"/>
                <w:highlight w:val="none"/>
              </w:rPr>
            </w:pPr>
          </w:p>
        </w:tc>
        <w:tc>
          <w:tcPr>
            <w:tcW w:w="1181" w:type="dxa"/>
            <w:noWrap w:val="0"/>
            <w:vAlign w:val="bottom"/>
          </w:tcPr>
          <w:p>
            <w:pPr>
              <w:spacing w:line="360" w:lineRule="auto"/>
              <w:ind w:left="-57" w:right="-105"/>
              <w:rPr>
                <w:rFonts w:ascii="宋体" w:hAnsi="宋体" w:eastAsia="宋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noWrap w:val="0"/>
            <w:vAlign w:val="center"/>
          </w:tcPr>
          <w:p>
            <w:pPr>
              <w:spacing w:line="360" w:lineRule="auto"/>
              <w:ind w:left="-57" w:right="-105"/>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p>
        </w:tc>
        <w:tc>
          <w:tcPr>
            <w:tcW w:w="1984" w:type="dxa"/>
            <w:noWrap w:val="0"/>
            <w:vAlign w:val="bottom"/>
          </w:tcPr>
          <w:p>
            <w:pPr>
              <w:spacing w:line="360" w:lineRule="auto"/>
              <w:ind w:left="-57" w:right="-105"/>
              <w:rPr>
                <w:rFonts w:ascii="宋体" w:hAnsi="宋体" w:eastAsia="宋体" w:cs="Times New Roman"/>
                <w:color w:val="auto"/>
                <w:sz w:val="24"/>
                <w:szCs w:val="24"/>
                <w:highlight w:val="none"/>
              </w:rPr>
            </w:pPr>
          </w:p>
        </w:tc>
        <w:tc>
          <w:tcPr>
            <w:tcW w:w="2297" w:type="dxa"/>
            <w:noWrap w:val="0"/>
            <w:vAlign w:val="bottom"/>
          </w:tcPr>
          <w:p>
            <w:pPr>
              <w:spacing w:line="360" w:lineRule="auto"/>
              <w:ind w:left="-57" w:right="-105"/>
              <w:rPr>
                <w:rFonts w:hint="eastAsia" w:ascii="宋体" w:hAnsi="宋体" w:eastAsia="宋体" w:cs="Times New Roman"/>
                <w:color w:val="auto"/>
                <w:sz w:val="24"/>
                <w:szCs w:val="24"/>
                <w:highlight w:val="none"/>
              </w:rPr>
            </w:pPr>
          </w:p>
        </w:tc>
        <w:tc>
          <w:tcPr>
            <w:tcW w:w="2239" w:type="dxa"/>
            <w:noWrap w:val="0"/>
            <w:vAlign w:val="bottom"/>
          </w:tcPr>
          <w:p>
            <w:pPr>
              <w:spacing w:line="360" w:lineRule="auto"/>
              <w:ind w:left="-57" w:right="-105"/>
              <w:rPr>
                <w:rFonts w:hint="eastAsia" w:ascii="宋体" w:hAnsi="宋体" w:eastAsia="宋体" w:cs="Times New Roman"/>
                <w:color w:val="auto"/>
                <w:sz w:val="24"/>
                <w:szCs w:val="24"/>
                <w:highlight w:val="none"/>
              </w:rPr>
            </w:pPr>
          </w:p>
        </w:tc>
        <w:tc>
          <w:tcPr>
            <w:tcW w:w="1181" w:type="dxa"/>
            <w:noWrap w:val="0"/>
            <w:vAlign w:val="bottom"/>
          </w:tcPr>
          <w:p>
            <w:pPr>
              <w:spacing w:line="360" w:lineRule="auto"/>
              <w:ind w:left="-57" w:right="-105"/>
              <w:rPr>
                <w:rFonts w:ascii="宋体" w:hAnsi="宋体" w:eastAsia="宋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noWrap w:val="0"/>
            <w:vAlign w:val="center"/>
          </w:tcPr>
          <w:p>
            <w:pPr>
              <w:spacing w:line="360" w:lineRule="auto"/>
              <w:ind w:left="-57" w:right="-105"/>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1984" w:type="dxa"/>
            <w:noWrap w:val="0"/>
            <w:vAlign w:val="bottom"/>
          </w:tcPr>
          <w:p>
            <w:pPr>
              <w:spacing w:line="360" w:lineRule="auto"/>
              <w:ind w:left="-57" w:right="-105"/>
              <w:rPr>
                <w:rFonts w:ascii="宋体" w:hAnsi="宋体" w:eastAsia="宋体" w:cs="Times New Roman"/>
                <w:color w:val="auto"/>
                <w:sz w:val="24"/>
                <w:szCs w:val="24"/>
                <w:highlight w:val="none"/>
              </w:rPr>
            </w:pPr>
          </w:p>
        </w:tc>
        <w:tc>
          <w:tcPr>
            <w:tcW w:w="2297" w:type="dxa"/>
            <w:noWrap w:val="0"/>
            <w:vAlign w:val="bottom"/>
          </w:tcPr>
          <w:p>
            <w:pPr>
              <w:spacing w:line="360" w:lineRule="auto"/>
              <w:ind w:left="-57" w:right="-105"/>
              <w:rPr>
                <w:rFonts w:hint="eastAsia" w:ascii="宋体" w:hAnsi="宋体" w:eastAsia="宋体" w:cs="Times New Roman"/>
                <w:color w:val="auto"/>
                <w:sz w:val="24"/>
                <w:szCs w:val="24"/>
                <w:highlight w:val="none"/>
              </w:rPr>
            </w:pPr>
          </w:p>
        </w:tc>
        <w:tc>
          <w:tcPr>
            <w:tcW w:w="2239" w:type="dxa"/>
            <w:noWrap w:val="0"/>
            <w:vAlign w:val="bottom"/>
          </w:tcPr>
          <w:p>
            <w:pPr>
              <w:spacing w:line="360" w:lineRule="auto"/>
              <w:ind w:left="-57" w:right="-105"/>
              <w:rPr>
                <w:rFonts w:hint="eastAsia" w:ascii="宋体" w:hAnsi="宋体" w:eastAsia="宋体" w:cs="Times New Roman"/>
                <w:color w:val="auto"/>
                <w:sz w:val="24"/>
                <w:szCs w:val="24"/>
                <w:highlight w:val="none"/>
              </w:rPr>
            </w:pPr>
          </w:p>
        </w:tc>
        <w:tc>
          <w:tcPr>
            <w:tcW w:w="1181" w:type="dxa"/>
            <w:noWrap w:val="0"/>
            <w:vAlign w:val="bottom"/>
          </w:tcPr>
          <w:p>
            <w:pPr>
              <w:spacing w:line="360" w:lineRule="auto"/>
              <w:ind w:left="-57" w:right="-105"/>
              <w:rPr>
                <w:rFonts w:ascii="宋体" w:hAnsi="宋体" w:eastAsia="宋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noWrap w:val="0"/>
            <w:vAlign w:val="center"/>
          </w:tcPr>
          <w:p>
            <w:pPr>
              <w:spacing w:line="360" w:lineRule="auto"/>
              <w:ind w:left="-57" w:right="-105"/>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w:t>
            </w:r>
          </w:p>
        </w:tc>
        <w:tc>
          <w:tcPr>
            <w:tcW w:w="1984" w:type="dxa"/>
            <w:noWrap w:val="0"/>
            <w:vAlign w:val="bottom"/>
          </w:tcPr>
          <w:p>
            <w:pPr>
              <w:spacing w:line="360" w:lineRule="auto"/>
              <w:ind w:left="-57" w:right="-105"/>
              <w:rPr>
                <w:rFonts w:ascii="宋体" w:hAnsi="宋体" w:eastAsia="宋体" w:cs="Times New Roman"/>
                <w:color w:val="auto"/>
                <w:sz w:val="24"/>
                <w:szCs w:val="24"/>
                <w:highlight w:val="none"/>
              </w:rPr>
            </w:pPr>
          </w:p>
        </w:tc>
        <w:tc>
          <w:tcPr>
            <w:tcW w:w="2297" w:type="dxa"/>
            <w:noWrap w:val="0"/>
            <w:vAlign w:val="bottom"/>
          </w:tcPr>
          <w:p>
            <w:pPr>
              <w:spacing w:line="360" w:lineRule="auto"/>
              <w:ind w:left="-57" w:right="-105"/>
              <w:rPr>
                <w:rFonts w:hint="eastAsia" w:ascii="宋体" w:hAnsi="宋体" w:eastAsia="宋体" w:cs="Times New Roman"/>
                <w:color w:val="auto"/>
                <w:sz w:val="24"/>
                <w:szCs w:val="24"/>
                <w:highlight w:val="none"/>
              </w:rPr>
            </w:pPr>
          </w:p>
        </w:tc>
        <w:tc>
          <w:tcPr>
            <w:tcW w:w="2239" w:type="dxa"/>
            <w:noWrap w:val="0"/>
            <w:vAlign w:val="bottom"/>
          </w:tcPr>
          <w:p>
            <w:pPr>
              <w:spacing w:line="360" w:lineRule="auto"/>
              <w:ind w:left="-57" w:right="-105"/>
              <w:rPr>
                <w:rFonts w:hint="eastAsia" w:ascii="宋体" w:hAnsi="宋体" w:eastAsia="宋体" w:cs="Times New Roman"/>
                <w:color w:val="auto"/>
                <w:sz w:val="24"/>
                <w:szCs w:val="24"/>
                <w:highlight w:val="none"/>
              </w:rPr>
            </w:pPr>
          </w:p>
        </w:tc>
        <w:tc>
          <w:tcPr>
            <w:tcW w:w="1181" w:type="dxa"/>
            <w:noWrap w:val="0"/>
            <w:vAlign w:val="bottom"/>
          </w:tcPr>
          <w:p>
            <w:pPr>
              <w:spacing w:line="360" w:lineRule="auto"/>
              <w:ind w:left="-57" w:right="-105"/>
              <w:rPr>
                <w:rFonts w:ascii="宋体" w:hAnsi="宋体" w:eastAsia="宋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noWrap w:val="0"/>
            <w:vAlign w:val="center"/>
          </w:tcPr>
          <w:p>
            <w:pPr>
              <w:spacing w:line="360" w:lineRule="auto"/>
              <w:ind w:left="-57" w:right="-105"/>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p>
        </w:tc>
        <w:tc>
          <w:tcPr>
            <w:tcW w:w="1984" w:type="dxa"/>
            <w:noWrap w:val="0"/>
            <w:vAlign w:val="bottom"/>
          </w:tcPr>
          <w:p>
            <w:pPr>
              <w:spacing w:line="360" w:lineRule="auto"/>
              <w:ind w:left="-57" w:right="-105"/>
              <w:rPr>
                <w:rFonts w:ascii="宋体" w:hAnsi="宋体" w:eastAsia="宋体" w:cs="Times New Roman"/>
                <w:color w:val="auto"/>
                <w:sz w:val="24"/>
                <w:szCs w:val="24"/>
                <w:highlight w:val="none"/>
              </w:rPr>
            </w:pPr>
          </w:p>
        </w:tc>
        <w:tc>
          <w:tcPr>
            <w:tcW w:w="2297" w:type="dxa"/>
            <w:noWrap w:val="0"/>
            <w:vAlign w:val="bottom"/>
          </w:tcPr>
          <w:p>
            <w:pPr>
              <w:spacing w:line="360" w:lineRule="auto"/>
              <w:ind w:left="-57" w:right="-105"/>
              <w:rPr>
                <w:rFonts w:ascii="宋体" w:hAnsi="宋体" w:eastAsia="宋体" w:cs="Times New Roman"/>
                <w:color w:val="auto"/>
                <w:sz w:val="24"/>
                <w:szCs w:val="24"/>
                <w:highlight w:val="none"/>
              </w:rPr>
            </w:pPr>
          </w:p>
        </w:tc>
        <w:tc>
          <w:tcPr>
            <w:tcW w:w="2239" w:type="dxa"/>
            <w:noWrap w:val="0"/>
            <w:vAlign w:val="center"/>
          </w:tcPr>
          <w:p>
            <w:pPr>
              <w:spacing w:line="360" w:lineRule="auto"/>
              <w:ind w:left="-57" w:right="-105"/>
              <w:jc w:val="center"/>
              <w:rPr>
                <w:rFonts w:ascii="宋体" w:hAnsi="宋体" w:eastAsia="宋体" w:cs="Times New Roman"/>
                <w:color w:val="auto"/>
                <w:sz w:val="24"/>
                <w:szCs w:val="24"/>
                <w:highlight w:val="none"/>
                <w:u w:val="single"/>
              </w:rPr>
            </w:pPr>
          </w:p>
        </w:tc>
        <w:tc>
          <w:tcPr>
            <w:tcW w:w="1181" w:type="dxa"/>
            <w:noWrap w:val="0"/>
            <w:vAlign w:val="center"/>
          </w:tcPr>
          <w:p>
            <w:pPr>
              <w:spacing w:line="360" w:lineRule="auto"/>
              <w:ind w:left="-57" w:right="-105"/>
              <w:jc w:val="center"/>
              <w:rPr>
                <w:rFonts w:ascii="宋体" w:hAnsi="宋体" w:eastAsia="宋体" w:cs="Times New Roman"/>
                <w:color w:val="auto"/>
                <w:sz w:val="24"/>
                <w:szCs w:val="24"/>
                <w:highlight w:val="none"/>
                <w:u w:val="single"/>
              </w:rPr>
            </w:pPr>
          </w:p>
        </w:tc>
      </w:tr>
    </w:tbl>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3791" w:name="_Toc27029"/>
      <w:bookmarkStart w:id="3792" w:name="_Toc30140"/>
      <w:bookmarkStart w:id="3793" w:name="_Toc17839"/>
      <w:bookmarkStart w:id="3794" w:name="_Toc23262"/>
      <w:bookmarkStart w:id="3795" w:name="_Toc17234"/>
      <w:bookmarkStart w:id="3796" w:name="_Toc5693"/>
      <w:bookmarkStart w:id="3797" w:name="_Toc30627"/>
      <w:bookmarkStart w:id="3798" w:name="_Toc3877"/>
      <w:bookmarkStart w:id="3799" w:name="_Toc4050"/>
      <w:bookmarkStart w:id="3800" w:name="_Toc302635985"/>
      <w:bookmarkStart w:id="3801" w:name="_Toc305331470"/>
      <w:r>
        <w:rPr>
          <w:rFonts w:hint="eastAsia" w:ascii="宋体" w:hAnsi="宋体" w:eastAsia="宋体" w:cs="Times New Roman"/>
          <w:b/>
          <w:bCs/>
          <w:color w:val="auto"/>
          <w:kern w:val="0"/>
          <w:sz w:val="24"/>
          <w:szCs w:val="32"/>
          <w:highlight w:val="none"/>
          <w:lang w:val="en-US" w:eastAsia="zh-CN" w:bidi="ar-SA"/>
        </w:rPr>
        <w:t>13.2 因发包人原因导致工期延误</w:t>
      </w:r>
      <w:bookmarkEnd w:id="3791"/>
      <w:bookmarkEnd w:id="3792"/>
      <w:bookmarkEnd w:id="3793"/>
      <w:bookmarkEnd w:id="3794"/>
      <w:bookmarkEnd w:id="3795"/>
      <w:bookmarkEnd w:id="3796"/>
      <w:bookmarkEnd w:id="3797"/>
      <w:bookmarkEnd w:id="3798"/>
      <w:bookmarkEnd w:id="3799"/>
      <w:bookmarkEnd w:id="3800"/>
    </w:p>
    <w:p>
      <w:pPr>
        <w:spacing w:line="360" w:lineRule="auto"/>
        <w:ind w:firstLine="480"/>
        <w:rPr>
          <w:rFonts w:hint="eastAsia"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因发包人原因导致工期延误的其他情形：</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3802" w:name="_Toc3847"/>
      <w:bookmarkStart w:id="3803" w:name="_Toc18982"/>
      <w:bookmarkStart w:id="3804" w:name="_Toc6554"/>
      <w:bookmarkStart w:id="3805" w:name="_Toc3095"/>
      <w:bookmarkStart w:id="3806" w:name="_Toc28053"/>
      <w:bookmarkStart w:id="3807" w:name="_Toc31019"/>
      <w:bookmarkStart w:id="3808" w:name="_Toc175"/>
      <w:bookmarkStart w:id="3809" w:name="_Toc20980"/>
      <w:bookmarkStart w:id="3810" w:name="_Toc5945"/>
      <w:r>
        <w:rPr>
          <w:rFonts w:hint="eastAsia" w:ascii="宋体" w:hAnsi="宋体" w:eastAsia="宋体" w:cs="Times New Roman"/>
          <w:b/>
          <w:bCs/>
          <w:color w:val="auto"/>
          <w:kern w:val="0"/>
          <w:sz w:val="24"/>
          <w:szCs w:val="32"/>
          <w:highlight w:val="none"/>
          <w:lang w:val="en-US" w:eastAsia="zh-CN" w:bidi="ar-SA"/>
        </w:rPr>
        <w:t>13.3 因承包人原因导致工期延误</w:t>
      </w:r>
      <w:bookmarkEnd w:id="3802"/>
      <w:bookmarkEnd w:id="3803"/>
      <w:bookmarkEnd w:id="3804"/>
      <w:bookmarkEnd w:id="3805"/>
      <w:bookmarkEnd w:id="3806"/>
      <w:bookmarkEnd w:id="3807"/>
      <w:bookmarkEnd w:id="3808"/>
      <w:bookmarkEnd w:id="3809"/>
      <w:bookmarkEnd w:id="3810"/>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逾期竣工违约金计算方法：</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bookmarkStart w:id="3811" w:name="_Toc302635986"/>
      <w:r>
        <w:rPr>
          <w:rFonts w:hint="eastAsia" w:ascii="宋体" w:hAnsi="宋体" w:eastAsia="宋体" w:cs="Times New Roman"/>
          <w:color w:val="auto"/>
          <w:sz w:val="24"/>
          <w:szCs w:val="24"/>
          <w:highlight w:val="none"/>
        </w:rPr>
        <w:t>逾期竣工违约金的上限：</w:t>
      </w: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3812" w:name="_Toc28014"/>
      <w:bookmarkStart w:id="3813" w:name="_Toc22670"/>
      <w:bookmarkStart w:id="3814" w:name="_Toc26016"/>
      <w:bookmarkStart w:id="3815" w:name="_Toc5334"/>
      <w:bookmarkStart w:id="3816" w:name="_Toc27311"/>
      <w:bookmarkStart w:id="3817" w:name="_Toc14505"/>
      <w:bookmarkStart w:id="3818" w:name="_Toc17285"/>
      <w:bookmarkStart w:id="3819" w:name="_Toc29779"/>
      <w:bookmarkStart w:id="3820" w:name="_Toc31453"/>
      <w:r>
        <w:rPr>
          <w:rFonts w:hint="eastAsia" w:ascii="宋体" w:hAnsi="宋体" w:eastAsia="宋体" w:cs="Times New Roman"/>
          <w:b/>
          <w:bCs/>
          <w:color w:val="auto"/>
          <w:kern w:val="0"/>
          <w:sz w:val="24"/>
          <w:szCs w:val="32"/>
          <w:highlight w:val="none"/>
          <w:lang w:val="en-US" w:eastAsia="zh-CN" w:bidi="ar-SA"/>
        </w:rPr>
        <w:t>13.4 提前竣工</w:t>
      </w:r>
      <w:bookmarkEnd w:id="3801"/>
      <w:bookmarkEnd w:id="3811"/>
      <w:bookmarkEnd w:id="3812"/>
      <w:bookmarkEnd w:id="3813"/>
      <w:bookmarkEnd w:id="3814"/>
      <w:bookmarkEnd w:id="3815"/>
      <w:bookmarkEnd w:id="3816"/>
      <w:bookmarkEnd w:id="3817"/>
      <w:bookmarkEnd w:id="3818"/>
      <w:bookmarkEnd w:id="3819"/>
      <w:bookmarkEnd w:id="3820"/>
    </w:p>
    <w:p>
      <w:pPr>
        <w:spacing w:line="360" w:lineRule="auto"/>
        <w:ind w:firstLine="48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(3)提前竣工奖励费及限额约定：承包人每提前一天竣工奖励</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；奖励总额不超过签约合同价的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(建议10%)。</w:t>
      </w:r>
    </w:p>
    <w:p>
      <w:pPr>
        <w:spacing w:line="360" w:lineRule="auto"/>
        <w:ind w:firstLine="48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(4)《深圳市建设工程施工工期定额》缺项的专业工程压缩工期补偿费用计算方法：</w:t>
      </w:r>
      <w:r>
        <w:rPr>
          <w:rFonts w:hint="eastAsia" w:ascii="宋体" w:hAnsi="宋体" w:eastAsia="宋体" w:cs="Times New Roman"/>
          <w:color w:val="auto"/>
          <w:sz w:val="24"/>
          <w:szCs w:val="24"/>
          <w:highlight w:val="none"/>
          <w:u w:val="single"/>
        </w:rPr>
        <w:t xml:space="preserve">                            </w:t>
      </w:r>
    </w:p>
    <w:p>
      <w:pPr>
        <w:spacing w:line="360" w:lineRule="auto"/>
        <w:ind w:firstLine="48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需采取特殊措施以缩短工期的专业工程及压缩工期补偿费用计算方法：</w:t>
      </w:r>
    </w:p>
    <w:p>
      <w:pPr>
        <w:spacing w:line="360" w:lineRule="auto"/>
        <w:rPr>
          <w:rFonts w:hint="eastAsia" w:ascii="宋体" w:hAnsi="宋体" w:eastAsia="宋体" w:cs="Times New Roman"/>
          <w:bCs/>
          <w:color w:val="auto"/>
          <w:sz w:val="24"/>
          <w:szCs w:val="24"/>
          <w:highlight w:val="none"/>
          <w:u w:val="single"/>
        </w:rPr>
      </w:pPr>
      <w:bookmarkStart w:id="3821" w:name="_Toc305331471"/>
      <w:bookmarkStart w:id="3822" w:name="_Toc302635987"/>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bookmarkEnd w:id="3821"/>
    <w:bookmarkEnd w:id="3822"/>
    <w:p>
      <w:pPr>
        <w:keepNext w:val="0"/>
        <w:keepLines w:val="0"/>
        <w:widowControl/>
        <w:numPr>
          <w:ilvl w:val="0"/>
          <w:numId w:val="0"/>
        </w:numPr>
        <w:tabs>
          <w:tab w:val="left" w:pos="540"/>
          <w:tab w:val="left" w:pos="1620"/>
          <w:tab w:val="left" w:pos="2340"/>
        </w:tabs>
        <w:spacing w:before="120" w:after="120"/>
        <w:ind w:left="178"/>
        <w:jc w:val="left"/>
        <w:outlineLvl w:val="0"/>
        <w:rPr>
          <w:rFonts w:hint="eastAsia" w:ascii="华文细黑" w:hAnsi="宋体" w:eastAsia="宋体" w:cs="Times New Roman"/>
          <w:b/>
          <w:bCs/>
          <w:snapToGrid w:val="0"/>
          <w:color w:val="auto"/>
          <w:kern w:val="0"/>
          <w:sz w:val="28"/>
          <w:szCs w:val="44"/>
          <w:highlight w:val="none"/>
          <w:lang w:val="en-US" w:eastAsia="zh-CN" w:bidi="ar-SA"/>
        </w:rPr>
      </w:pPr>
      <w:bookmarkStart w:id="3823" w:name="_Toc13359"/>
      <w:bookmarkStart w:id="3824" w:name="_Toc32482"/>
      <w:bookmarkStart w:id="3825" w:name="_Toc6123"/>
      <w:bookmarkStart w:id="3826" w:name="_Toc305331472"/>
      <w:bookmarkStart w:id="3827" w:name="_Toc23416"/>
      <w:bookmarkStart w:id="3828" w:name="_Toc4924"/>
      <w:bookmarkStart w:id="3829" w:name="_Toc31468"/>
      <w:bookmarkStart w:id="3830" w:name="_Toc1793"/>
      <w:bookmarkStart w:id="3831" w:name="_Toc13356"/>
      <w:bookmarkStart w:id="3832" w:name="_Toc29856"/>
      <w:bookmarkStart w:id="3833" w:name="_Toc302635989"/>
      <w:r>
        <w:rPr>
          <w:rFonts w:hint="eastAsia" w:ascii="华文细黑" w:hAnsi="宋体" w:eastAsia="宋体" w:cs="Times New Roman"/>
          <w:b/>
          <w:bCs/>
          <w:snapToGrid w:val="0"/>
          <w:color w:val="auto"/>
          <w:kern w:val="0"/>
          <w:sz w:val="28"/>
          <w:szCs w:val="44"/>
          <w:highlight w:val="none"/>
          <w:lang w:val="en-US" w:eastAsia="zh-CN" w:bidi="ar-SA"/>
        </w:rPr>
        <w:t>14 材料设备的供应和检测</w:t>
      </w:r>
      <w:bookmarkEnd w:id="3823"/>
      <w:bookmarkEnd w:id="3824"/>
      <w:bookmarkEnd w:id="3825"/>
      <w:bookmarkEnd w:id="3826"/>
      <w:bookmarkEnd w:id="3827"/>
      <w:bookmarkEnd w:id="3828"/>
      <w:bookmarkEnd w:id="3829"/>
      <w:bookmarkEnd w:id="3830"/>
      <w:bookmarkEnd w:id="3831"/>
      <w:bookmarkEnd w:id="3832"/>
      <w:bookmarkEnd w:id="3833"/>
    </w:p>
    <w:p>
      <w:pPr>
        <w:widowControl w:val="0"/>
        <w:numPr>
          <w:ilvl w:val="0"/>
          <w:numId w:val="0"/>
        </w:numPr>
        <w:tabs>
          <w:tab w:val="left" w:pos="540"/>
          <w:tab w:val="left" w:pos="900"/>
          <w:tab w:val="left" w:pos="2340"/>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3834" w:name="_Toc2509"/>
      <w:bookmarkStart w:id="3835" w:name="_Toc430"/>
      <w:bookmarkStart w:id="3836" w:name="_Toc9206"/>
      <w:bookmarkStart w:id="3837" w:name="_Toc305331473"/>
      <w:bookmarkStart w:id="3838" w:name="_Toc31822"/>
      <w:bookmarkStart w:id="3839" w:name="_Toc11112"/>
      <w:bookmarkStart w:id="3840" w:name="_Toc26984"/>
      <w:bookmarkStart w:id="3841" w:name="_Toc21661"/>
      <w:bookmarkStart w:id="3842" w:name="_Toc17872"/>
      <w:bookmarkStart w:id="3843" w:name="_Toc5120"/>
      <w:bookmarkStart w:id="3844" w:name="_Toc302635990"/>
      <w:r>
        <w:rPr>
          <w:rFonts w:hint="eastAsia" w:ascii="宋体" w:hAnsi="宋体" w:eastAsia="宋体" w:cs="Times New Roman"/>
          <w:b/>
          <w:bCs/>
          <w:color w:val="auto"/>
          <w:kern w:val="0"/>
          <w:sz w:val="24"/>
          <w:szCs w:val="32"/>
          <w:highlight w:val="none"/>
          <w:lang w:val="en-US" w:eastAsia="zh-CN" w:bidi="ar-SA"/>
        </w:rPr>
        <w:t>14.1 发包人供应材料设备</w:t>
      </w:r>
      <w:bookmarkEnd w:id="3834"/>
      <w:bookmarkEnd w:id="3835"/>
      <w:bookmarkEnd w:id="3836"/>
      <w:bookmarkEnd w:id="3837"/>
      <w:bookmarkEnd w:id="3838"/>
      <w:bookmarkEnd w:id="3839"/>
      <w:bookmarkEnd w:id="3840"/>
      <w:bookmarkEnd w:id="3841"/>
      <w:bookmarkEnd w:id="3842"/>
      <w:bookmarkEnd w:id="3843"/>
      <w:bookmarkEnd w:id="3844"/>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(1)发包人供应材料设备清单：</w:t>
      </w:r>
    </w:p>
    <w:p>
      <w:pPr>
        <w:spacing w:line="360" w:lineRule="auto"/>
        <w:jc w:val="center"/>
        <w:rPr>
          <w:rFonts w:hint="eastAsia" w:ascii="宋体" w:hAnsi="宋体" w:eastAsia="宋体" w:cs="Times New Roman"/>
          <w:b/>
          <w:bCs/>
          <w:color w:val="auto"/>
          <w:sz w:val="24"/>
          <w:szCs w:val="24"/>
          <w:highlight w:val="none"/>
        </w:rPr>
      </w:pPr>
      <w:r>
        <w:rPr>
          <w:rFonts w:hint="eastAsia" w:ascii="宋体" w:hAnsi="宋体" w:eastAsia="宋体" w:cs="Times New Roman"/>
          <w:b/>
          <w:color w:val="auto"/>
          <w:sz w:val="24"/>
          <w:szCs w:val="24"/>
          <w:highlight w:val="none"/>
        </w:rPr>
        <w:t>发包人供应材料设备清单</w:t>
      </w:r>
    </w:p>
    <w:tbl>
      <w:tblPr>
        <w:tblStyle w:val="40"/>
        <w:tblW w:w="8804" w:type="dxa"/>
        <w:tblInd w:w="9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206"/>
        <w:gridCol w:w="851"/>
        <w:gridCol w:w="1276"/>
        <w:gridCol w:w="850"/>
        <w:gridCol w:w="851"/>
        <w:gridCol w:w="850"/>
        <w:gridCol w:w="851"/>
        <w:gridCol w:w="850"/>
        <w:gridCol w:w="7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10" w:type="dxa"/>
            <w:noWrap/>
            <w:vAlign w:val="center"/>
          </w:tcPr>
          <w:p>
            <w:pPr>
              <w:widowControl/>
              <w:ind w:left="-105" w:right="-105"/>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w:t>
            </w:r>
          </w:p>
          <w:p>
            <w:pPr>
              <w:widowControl/>
              <w:ind w:left="-105" w:right="-105"/>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号</w:t>
            </w:r>
          </w:p>
        </w:tc>
        <w:tc>
          <w:tcPr>
            <w:tcW w:w="1206" w:type="dxa"/>
            <w:noWrap/>
            <w:vAlign w:val="center"/>
          </w:tcPr>
          <w:p>
            <w:pPr>
              <w:widowControl/>
              <w:ind w:left="-105" w:right="-105"/>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材料设备</w:t>
            </w:r>
          </w:p>
          <w:p>
            <w:pPr>
              <w:widowControl/>
              <w:ind w:left="-105" w:right="-105"/>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851" w:type="dxa"/>
            <w:noWrap/>
            <w:vAlign w:val="center"/>
          </w:tcPr>
          <w:p>
            <w:pPr>
              <w:widowControl/>
              <w:ind w:left="-105" w:right="-105"/>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规格</w:t>
            </w:r>
          </w:p>
          <w:p>
            <w:pPr>
              <w:widowControl/>
              <w:ind w:left="-105" w:right="-105"/>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型号</w:t>
            </w:r>
          </w:p>
        </w:tc>
        <w:tc>
          <w:tcPr>
            <w:tcW w:w="1276" w:type="dxa"/>
            <w:noWrap/>
            <w:vAlign w:val="center"/>
          </w:tcPr>
          <w:p>
            <w:pPr>
              <w:widowControl/>
              <w:ind w:left="-105" w:right="-105"/>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生产厂家</w:t>
            </w:r>
          </w:p>
        </w:tc>
        <w:tc>
          <w:tcPr>
            <w:tcW w:w="850" w:type="dxa"/>
            <w:noWrap/>
            <w:vAlign w:val="center"/>
          </w:tcPr>
          <w:p>
            <w:pPr>
              <w:widowControl/>
              <w:ind w:left="-105" w:right="-105"/>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851" w:type="dxa"/>
            <w:noWrap/>
            <w:vAlign w:val="center"/>
          </w:tcPr>
          <w:p>
            <w:pPr>
              <w:widowControl/>
              <w:ind w:left="-105" w:right="-105"/>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850" w:type="dxa"/>
            <w:noWrap/>
            <w:vAlign w:val="center"/>
          </w:tcPr>
          <w:p>
            <w:pPr>
              <w:widowControl/>
              <w:ind w:left="-105" w:right="-105"/>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w:t>
            </w:r>
          </w:p>
          <w:p>
            <w:pPr>
              <w:widowControl/>
              <w:ind w:left="-105" w:right="-105"/>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(元)</w:t>
            </w:r>
          </w:p>
        </w:tc>
        <w:tc>
          <w:tcPr>
            <w:tcW w:w="851" w:type="dxa"/>
            <w:noWrap/>
            <w:vAlign w:val="center"/>
          </w:tcPr>
          <w:p>
            <w:pPr>
              <w:widowControl/>
              <w:ind w:left="-105" w:right="-105"/>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w:t>
            </w:r>
          </w:p>
          <w:p>
            <w:pPr>
              <w:widowControl/>
              <w:ind w:left="-105" w:right="-105"/>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(元)</w:t>
            </w:r>
          </w:p>
        </w:tc>
        <w:tc>
          <w:tcPr>
            <w:tcW w:w="850" w:type="dxa"/>
            <w:noWrap/>
            <w:vAlign w:val="center"/>
          </w:tcPr>
          <w:p>
            <w:pPr>
              <w:widowControl/>
              <w:ind w:left="-105" w:right="-105"/>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w:t>
            </w:r>
          </w:p>
          <w:p>
            <w:pPr>
              <w:widowControl/>
              <w:ind w:left="-105" w:right="-105"/>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等级</w:t>
            </w:r>
          </w:p>
        </w:tc>
        <w:tc>
          <w:tcPr>
            <w:tcW w:w="709" w:type="dxa"/>
            <w:noWrap/>
            <w:vAlign w:val="center"/>
          </w:tcPr>
          <w:p>
            <w:pPr>
              <w:widowControl/>
              <w:ind w:left="-105" w:right="-105"/>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时间</w:t>
            </w:r>
          </w:p>
          <w:p>
            <w:pPr>
              <w:widowControl/>
              <w:ind w:left="-105" w:right="-105"/>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1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1206"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1276"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709" w:type="dxa"/>
            <w:noWrap/>
            <w:vAlign w:val="bottom"/>
          </w:tcPr>
          <w:p>
            <w:pPr>
              <w:widowControl/>
              <w:spacing w:line="360" w:lineRule="auto"/>
              <w:jc w:val="left"/>
              <w:rPr>
                <w:rFonts w:ascii="宋体" w:hAnsi="宋体" w:eastAsia="宋体" w:cs="宋体"/>
                <w:color w:val="auto"/>
                <w:kern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1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1206"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1276"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709" w:type="dxa"/>
            <w:noWrap/>
            <w:vAlign w:val="bottom"/>
          </w:tcPr>
          <w:p>
            <w:pPr>
              <w:widowControl/>
              <w:spacing w:line="360" w:lineRule="auto"/>
              <w:jc w:val="left"/>
              <w:rPr>
                <w:rFonts w:ascii="宋体" w:hAnsi="宋体" w:eastAsia="宋体" w:cs="宋体"/>
                <w:color w:val="auto"/>
                <w:kern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1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1206"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1276"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709" w:type="dxa"/>
            <w:noWrap/>
            <w:vAlign w:val="bottom"/>
          </w:tcPr>
          <w:p>
            <w:pPr>
              <w:widowControl/>
              <w:spacing w:line="360" w:lineRule="auto"/>
              <w:jc w:val="left"/>
              <w:rPr>
                <w:rFonts w:ascii="宋体" w:hAnsi="宋体" w:eastAsia="宋体" w:cs="宋体"/>
                <w:color w:val="auto"/>
                <w:kern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1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1206"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1276"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709" w:type="dxa"/>
            <w:noWrap/>
            <w:vAlign w:val="bottom"/>
          </w:tcPr>
          <w:p>
            <w:pPr>
              <w:widowControl/>
              <w:spacing w:line="360" w:lineRule="auto"/>
              <w:jc w:val="left"/>
              <w:rPr>
                <w:rFonts w:ascii="宋体" w:hAnsi="宋体" w:eastAsia="宋体" w:cs="宋体"/>
                <w:color w:val="auto"/>
                <w:kern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1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1206"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1276"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709" w:type="dxa"/>
            <w:noWrap/>
            <w:vAlign w:val="bottom"/>
          </w:tcPr>
          <w:p>
            <w:pPr>
              <w:widowControl/>
              <w:spacing w:line="360" w:lineRule="auto"/>
              <w:jc w:val="left"/>
              <w:rPr>
                <w:rFonts w:ascii="宋体" w:hAnsi="宋体" w:eastAsia="宋体" w:cs="宋体"/>
                <w:color w:val="auto"/>
                <w:kern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1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1206"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1276"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709" w:type="dxa"/>
            <w:noWrap/>
            <w:vAlign w:val="bottom"/>
          </w:tcPr>
          <w:p>
            <w:pPr>
              <w:widowControl/>
              <w:spacing w:line="360" w:lineRule="auto"/>
              <w:jc w:val="left"/>
              <w:rPr>
                <w:rFonts w:ascii="宋体" w:hAnsi="宋体" w:eastAsia="宋体" w:cs="宋体"/>
                <w:color w:val="auto"/>
                <w:kern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1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1206"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1276"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1"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850" w:type="dxa"/>
            <w:noWrap/>
            <w:vAlign w:val="bottom"/>
          </w:tcPr>
          <w:p>
            <w:pPr>
              <w:widowControl/>
              <w:spacing w:line="360" w:lineRule="auto"/>
              <w:jc w:val="left"/>
              <w:rPr>
                <w:rFonts w:ascii="宋体" w:hAnsi="宋体" w:eastAsia="宋体" w:cs="宋体"/>
                <w:color w:val="auto"/>
                <w:kern w:val="0"/>
                <w:sz w:val="24"/>
                <w:szCs w:val="24"/>
                <w:highlight w:val="none"/>
              </w:rPr>
            </w:pPr>
          </w:p>
        </w:tc>
        <w:tc>
          <w:tcPr>
            <w:tcW w:w="709" w:type="dxa"/>
            <w:noWrap/>
            <w:vAlign w:val="bottom"/>
          </w:tcPr>
          <w:p>
            <w:pPr>
              <w:widowControl/>
              <w:spacing w:line="360" w:lineRule="auto"/>
              <w:jc w:val="left"/>
              <w:rPr>
                <w:rFonts w:ascii="宋体" w:hAnsi="宋体" w:eastAsia="宋体" w:cs="宋体"/>
                <w:color w:val="auto"/>
                <w:kern w:val="0"/>
                <w:sz w:val="24"/>
                <w:szCs w:val="24"/>
                <w:highlight w:val="none"/>
              </w:rPr>
            </w:pPr>
          </w:p>
        </w:tc>
      </w:tr>
    </w:tbl>
    <w:p>
      <w:pPr>
        <w:spacing w:line="360" w:lineRule="auto"/>
        <w:ind w:firstLine="480"/>
        <w:rPr>
          <w:rFonts w:hint="eastAsia" w:ascii="宋体" w:hAnsi="宋体" w:eastAsia="宋体" w:cs="Times New Roman"/>
          <w:color w:val="auto"/>
          <w:sz w:val="24"/>
          <w:szCs w:val="24"/>
          <w:highlight w:val="none"/>
          <w:u w:val="single"/>
        </w:rPr>
      </w:pP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(3)发包人供应材料设备保管费(包括装卸费)的费率为：</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sz w:val="24"/>
          <w:szCs w:val="24"/>
          <w:highlight w:val="none"/>
        </w:rPr>
        <w:t xml:space="preserve">             </w:t>
      </w:r>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3845" w:name="_Toc21734"/>
      <w:bookmarkStart w:id="3846" w:name="_Toc305331474"/>
      <w:bookmarkStart w:id="3847" w:name="_Toc13481"/>
      <w:bookmarkStart w:id="3848" w:name="_Toc21134"/>
      <w:bookmarkStart w:id="3849" w:name="_Toc15473"/>
      <w:bookmarkStart w:id="3850" w:name="_Toc16993"/>
      <w:bookmarkStart w:id="3851" w:name="_Toc302635991"/>
      <w:bookmarkStart w:id="3852" w:name="_Toc9387"/>
      <w:bookmarkStart w:id="3853" w:name="_Toc15386"/>
      <w:bookmarkStart w:id="3854" w:name="_Toc2885"/>
      <w:bookmarkStart w:id="3855" w:name="_Toc16692"/>
      <w:r>
        <w:rPr>
          <w:rFonts w:hint="eastAsia" w:ascii="宋体" w:hAnsi="宋体" w:eastAsia="宋体" w:cs="Times New Roman"/>
          <w:b/>
          <w:bCs/>
          <w:color w:val="auto"/>
          <w:kern w:val="0"/>
          <w:sz w:val="24"/>
          <w:szCs w:val="32"/>
          <w:highlight w:val="none"/>
          <w:lang w:val="en-US" w:eastAsia="zh-CN" w:bidi="ar-SA"/>
        </w:rPr>
        <w:t>14.2 发包人供应材料设备的结算</w:t>
      </w:r>
      <w:bookmarkEnd w:id="3845"/>
      <w:bookmarkEnd w:id="3846"/>
      <w:bookmarkEnd w:id="3847"/>
      <w:bookmarkEnd w:id="3848"/>
      <w:bookmarkEnd w:id="3849"/>
      <w:bookmarkEnd w:id="3850"/>
      <w:bookmarkEnd w:id="3851"/>
      <w:bookmarkEnd w:id="3852"/>
      <w:bookmarkEnd w:id="3853"/>
      <w:bookmarkEnd w:id="3854"/>
      <w:bookmarkEnd w:id="3855"/>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发包人供应材料设备的结算</w:t>
      </w:r>
      <w:r>
        <w:rPr>
          <w:rFonts w:hint="eastAsia" w:ascii="宋体" w:hAnsi="宋体" w:eastAsia="宋体" w:cs="Times New Roman"/>
          <w:bCs/>
          <w:color w:val="auto"/>
          <w:sz w:val="24"/>
          <w:szCs w:val="24"/>
          <w:highlight w:val="none"/>
        </w:rPr>
        <w:t>方式</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 xml:space="preserve"> (3)承包人实际使用量小于合理数量时节约的费用分配方式：</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widowControl w:val="0"/>
        <w:numPr>
          <w:ilvl w:val="0"/>
          <w:numId w:val="0"/>
        </w:numPr>
        <w:tabs>
          <w:tab w:val="left" w:pos="540"/>
          <w:tab w:val="left" w:pos="900"/>
          <w:tab w:val="left" w:pos="2340"/>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3856" w:name="_Toc2830"/>
      <w:bookmarkStart w:id="3857" w:name="_Toc20537"/>
      <w:bookmarkStart w:id="3858" w:name="_Toc32428"/>
      <w:bookmarkStart w:id="3859" w:name="_Toc14692"/>
      <w:bookmarkStart w:id="3860" w:name="_Toc9737"/>
      <w:bookmarkStart w:id="3861" w:name="_Toc302635992"/>
      <w:bookmarkStart w:id="3862" w:name="_Toc305331475"/>
      <w:bookmarkStart w:id="3863" w:name="_Toc14128"/>
      <w:bookmarkStart w:id="3864" w:name="_Toc1662"/>
      <w:bookmarkStart w:id="3865" w:name="_Toc29316"/>
      <w:bookmarkStart w:id="3866" w:name="_Toc27079"/>
      <w:r>
        <w:rPr>
          <w:rFonts w:hint="eastAsia" w:ascii="宋体" w:hAnsi="宋体" w:eastAsia="宋体" w:cs="Times New Roman"/>
          <w:b/>
          <w:bCs/>
          <w:color w:val="auto"/>
          <w:kern w:val="0"/>
          <w:sz w:val="24"/>
          <w:szCs w:val="32"/>
          <w:highlight w:val="none"/>
          <w:lang w:val="en-US" w:eastAsia="zh-CN" w:bidi="ar-SA"/>
        </w:rPr>
        <w:t>14.4 承包人采购材料设备</w:t>
      </w:r>
      <w:bookmarkEnd w:id="3856"/>
      <w:bookmarkEnd w:id="3857"/>
      <w:bookmarkEnd w:id="3858"/>
      <w:bookmarkEnd w:id="3859"/>
      <w:bookmarkEnd w:id="3860"/>
      <w:bookmarkEnd w:id="3861"/>
      <w:bookmarkEnd w:id="3862"/>
      <w:bookmarkEnd w:id="3863"/>
      <w:bookmarkEnd w:id="3864"/>
      <w:bookmarkEnd w:id="3865"/>
      <w:bookmarkEnd w:id="3866"/>
    </w:p>
    <w:p>
      <w:pPr>
        <w:spacing w:line="360" w:lineRule="auto"/>
        <w:ind w:firstLine="48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承包人采购材料设备的约定：</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jc w:val="center"/>
        <w:rPr>
          <w:rFonts w:hint="eastAsia" w:ascii="宋体" w:hAnsi="宋体" w:eastAsia="宋体" w:cs="Times New Roman"/>
          <w:b/>
          <w:bCs/>
          <w:color w:val="auto"/>
          <w:sz w:val="24"/>
          <w:szCs w:val="24"/>
          <w:highlight w:val="none"/>
        </w:rPr>
      </w:pPr>
      <w:r>
        <w:rPr>
          <w:rFonts w:hint="eastAsia" w:ascii="宋体" w:hAnsi="宋体" w:eastAsia="宋体" w:cs="Times New Roman"/>
          <w:b/>
          <w:color w:val="auto"/>
          <w:sz w:val="24"/>
          <w:szCs w:val="24"/>
          <w:highlight w:val="none"/>
        </w:rPr>
        <w:t>主要材料</w:t>
      </w:r>
      <w:r>
        <w:rPr>
          <w:rFonts w:hint="eastAsia" w:ascii="宋体" w:hAnsi="宋体" w:eastAsia="宋体" w:cs="Times New Roman"/>
          <w:b/>
          <w:bCs/>
          <w:color w:val="auto"/>
          <w:sz w:val="24"/>
          <w:szCs w:val="24"/>
          <w:highlight w:val="none"/>
        </w:rPr>
        <w:t>设备限定品牌范围表</w:t>
      </w:r>
    </w:p>
    <w:tbl>
      <w:tblPr>
        <w:tblStyle w:val="40"/>
        <w:tblW w:w="0" w:type="auto"/>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0"/>
        <w:gridCol w:w="2160"/>
        <w:gridCol w:w="57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主要材料设备名称</w:t>
            </w:r>
          </w:p>
        </w:tc>
        <w:tc>
          <w:tcPr>
            <w:tcW w:w="57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限定品牌范围(不少于三个)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p>
        </w:tc>
        <w:tc>
          <w:tcPr>
            <w:tcW w:w="216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571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p>
        </w:tc>
        <w:tc>
          <w:tcPr>
            <w:tcW w:w="216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571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216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571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p>
        </w:tc>
        <w:tc>
          <w:tcPr>
            <w:tcW w:w="216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571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w:t>
            </w:r>
          </w:p>
        </w:tc>
        <w:tc>
          <w:tcPr>
            <w:tcW w:w="216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571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p>
        </w:tc>
        <w:tc>
          <w:tcPr>
            <w:tcW w:w="216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宋体" w:hAnsi="宋体" w:eastAsia="宋体" w:cs="Times New Roman"/>
                <w:color w:val="auto"/>
                <w:sz w:val="24"/>
                <w:szCs w:val="24"/>
                <w:highlight w:val="none"/>
              </w:rPr>
            </w:pPr>
          </w:p>
        </w:tc>
        <w:tc>
          <w:tcPr>
            <w:tcW w:w="571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宋体" w:hAnsi="宋体" w:eastAsia="宋体" w:cs="Times New Roman"/>
                <w:color w:val="auto"/>
                <w:sz w:val="24"/>
                <w:szCs w:val="24"/>
                <w:highlight w:val="none"/>
              </w:rPr>
            </w:pPr>
          </w:p>
        </w:tc>
      </w:tr>
    </w:tbl>
    <w:p>
      <w:pPr>
        <w:widowControl w:val="0"/>
        <w:numPr>
          <w:ilvl w:val="0"/>
          <w:numId w:val="0"/>
        </w:numPr>
        <w:tabs>
          <w:tab w:val="left" w:pos="540"/>
          <w:tab w:val="left" w:pos="900"/>
          <w:tab w:val="left" w:pos="2340"/>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3867" w:name="_Toc6572"/>
      <w:bookmarkStart w:id="3868" w:name="_Toc26563"/>
      <w:bookmarkStart w:id="3869" w:name="_Toc17778"/>
      <w:bookmarkStart w:id="3870" w:name="_Toc12919"/>
      <w:bookmarkStart w:id="3871" w:name="_Toc32390"/>
      <w:bookmarkStart w:id="3872" w:name="_Toc32466"/>
      <w:bookmarkStart w:id="3873" w:name="_Toc16995"/>
      <w:bookmarkStart w:id="3874" w:name="_Toc25773"/>
      <w:bookmarkStart w:id="3875" w:name="_Toc21840"/>
      <w:bookmarkStart w:id="3876" w:name="_Toc302635993"/>
      <w:bookmarkStart w:id="3877" w:name="_Toc305331476"/>
      <w:r>
        <w:rPr>
          <w:rFonts w:hint="eastAsia" w:ascii="宋体" w:hAnsi="宋体" w:eastAsia="宋体" w:cs="Times New Roman"/>
          <w:b/>
          <w:bCs/>
          <w:color w:val="auto"/>
          <w:kern w:val="0"/>
          <w:sz w:val="24"/>
          <w:szCs w:val="32"/>
          <w:highlight w:val="none"/>
          <w:lang w:val="en-US" w:eastAsia="zh-CN" w:bidi="ar-SA"/>
        </w:rPr>
        <w:t>14.6 材料和工程设备的替代</w:t>
      </w:r>
      <w:bookmarkEnd w:id="3867"/>
      <w:bookmarkEnd w:id="3868"/>
      <w:bookmarkEnd w:id="3869"/>
      <w:bookmarkEnd w:id="3870"/>
      <w:bookmarkEnd w:id="3871"/>
      <w:bookmarkEnd w:id="3872"/>
      <w:bookmarkEnd w:id="3873"/>
      <w:bookmarkEnd w:id="3874"/>
      <w:bookmarkEnd w:id="3875"/>
    </w:p>
    <w:p>
      <w:pPr>
        <w:spacing w:line="360" w:lineRule="auto"/>
        <w:ind w:firstLine="480"/>
        <w:jc w:val="lef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(2)承包人需使用替代材料设备应向监理人提出申请的时限：</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，监理人应发出书面指示的时限：</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使用替代材料设备增减合同价格和产生费用的承担方式：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widowControl w:val="0"/>
        <w:numPr>
          <w:ilvl w:val="0"/>
          <w:numId w:val="0"/>
        </w:numPr>
        <w:tabs>
          <w:tab w:val="left" w:pos="540"/>
          <w:tab w:val="left" w:pos="900"/>
          <w:tab w:val="left" w:pos="2340"/>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3878" w:name="_Toc22589"/>
      <w:bookmarkStart w:id="3879" w:name="_Toc6361"/>
      <w:bookmarkStart w:id="3880" w:name="_Toc8867"/>
      <w:bookmarkStart w:id="3881" w:name="_Toc6364"/>
      <w:bookmarkStart w:id="3882" w:name="_Toc7087"/>
      <w:bookmarkStart w:id="3883" w:name="_Toc19946"/>
      <w:bookmarkStart w:id="3884" w:name="_Toc11388"/>
      <w:bookmarkStart w:id="3885" w:name="_Toc14586"/>
      <w:bookmarkStart w:id="3886" w:name="_Toc27211"/>
      <w:r>
        <w:rPr>
          <w:rFonts w:hint="eastAsia" w:ascii="宋体" w:hAnsi="宋体" w:eastAsia="宋体" w:cs="Times New Roman"/>
          <w:b/>
          <w:bCs/>
          <w:color w:val="auto"/>
          <w:kern w:val="0"/>
          <w:sz w:val="24"/>
          <w:szCs w:val="32"/>
          <w:highlight w:val="none"/>
          <w:lang w:val="en-US" w:eastAsia="zh-CN" w:bidi="ar-SA"/>
        </w:rPr>
        <w:t>14.7 材料设备的检验</w:t>
      </w:r>
      <w:bookmarkEnd w:id="3876"/>
      <w:bookmarkEnd w:id="3877"/>
      <w:bookmarkEnd w:id="3878"/>
      <w:bookmarkEnd w:id="3879"/>
      <w:bookmarkEnd w:id="3880"/>
      <w:bookmarkEnd w:id="3881"/>
      <w:bookmarkEnd w:id="3882"/>
      <w:bookmarkEnd w:id="3883"/>
      <w:bookmarkEnd w:id="3884"/>
      <w:bookmarkEnd w:id="3885"/>
      <w:bookmarkEnd w:id="3886"/>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(1)用于本工程的材料设备的检验要求：</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本工程的材料设备检验机构为：</w:t>
      </w:r>
      <w:r>
        <w:rPr>
          <w:rFonts w:hint="eastAsia" w:ascii="宋体" w:hAnsi="宋体" w:eastAsia="宋体" w:cs="Times New Roman"/>
          <w:color w:val="auto"/>
          <w:sz w:val="24"/>
          <w:szCs w:val="24"/>
          <w:highlight w:val="none"/>
          <w:u w:val="single"/>
        </w:rPr>
        <w:t xml:space="preserve">                                            </w:t>
      </w:r>
    </w:p>
    <w:p>
      <w:pPr>
        <w:keepNext w:val="0"/>
        <w:keepLines w:val="0"/>
        <w:widowControl/>
        <w:numPr>
          <w:ilvl w:val="0"/>
          <w:numId w:val="0"/>
        </w:numPr>
        <w:tabs>
          <w:tab w:val="left" w:pos="54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3887" w:name="_Toc305331477"/>
      <w:bookmarkStart w:id="3888" w:name="_Toc17436"/>
      <w:bookmarkStart w:id="3889" w:name="_Toc7686"/>
      <w:bookmarkStart w:id="3890" w:name="_Toc25987"/>
      <w:bookmarkStart w:id="3891" w:name="_Toc14612"/>
      <w:bookmarkStart w:id="3892" w:name="_Toc17001"/>
      <w:bookmarkStart w:id="3893" w:name="_Toc20892"/>
      <w:bookmarkStart w:id="3894" w:name="_Toc5981"/>
      <w:bookmarkStart w:id="3895" w:name="_Toc302635994"/>
      <w:bookmarkStart w:id="3896" w:name="_Toc2017"/>
      <w:bookmarkStart w:id="3897" w:name="_Toc2222"/>
      <w:r>
        <w:rPr>
          <w:rFonts w:hint="eastAsia" w:ascii="华文细黑" w:hAnsi="宋体" w:eastAsia="宋体" w:cs="Times New Roman"/>
          <w:b/>
          <w:bCs/>
          <w:snapToGrid w:val="0"/>
          <w:color w:val="auto"/>
          <w:kern w:val="0"/>
          <w:sz w:val="28"/>
          <w:szCs w:val="44"/>
          <w:highlight w:val="none"/>
          <w:lang w:val="en-US" w:eastAsia="zh-CN" w:bidi="ar-SA"/>
        </w:rPr>
        <w:t>15 工程质量和检测</w:t>
      </w:r>
      <w:bookmarkEnd w:id="3887"/>
      <w:bookmarkEnd w:id="3888"/>
      <w:bookmarkEnd w:id="3889"/>
      <w:bookmarkEnd w:id="3890"/>
      <w:bookmarkEnd w:id="3891"/>
      <w:bookmarkEnd w:id="3892"/>
      <w:bookmarkEnd w:id="3893"/>
      <w:bookmarkEnd w:id="3894"/>
      <w:bookmarkEnd w:id="3895"/>
      <w:bookmarkEnd w:id="3896"/>
      <w:bookmarkEnd w:id="3897"/>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3898" w:name="_Toc305331478"/>
      <w:bookmarkStart w:id="3899" w:name="_Toc302635995"/>
      <w:bookmarkStart w:id="3900" w:name="_Toc2634"/>
      <w:bookmarkStart w:id="3901" w:name="_Toc27517"/>
      <w:bookmarkStart w:id="3902" w:name="_Toc28114"/>
      <w:bookmarkStart w:id="3903" w:name="_Toc11797"/>
      <w:bookmarkStart w:id="3904" w:name="_Toc1473"/>
      <w:bookmarkStart w:id="3905" w:name="_Toc14221"/>
      <w:bookmarkStart w:id="3906" w:name="_Toc32336"/>
      <w:bookmarkStart w:id="3907" w:name="_Toc7866"/>
      <w:bookmarkStart w:id="3908" w:name="_Toc19571"/>
      <w:r>
        <w:rPr>
          <w:rFonts w:hint="eastAsia" w:ascii="宋体" w:hAnsi="宋体" w:eastAsia="宋体" w:cs="Times New Roman"/>
          <w:b/>
          <w:bCs/>
          <w:color w:val="auto"/>
          <w:kern w:val="0"/>
          <w:sz w:val="24"/>
          <w:szCs w:val="32"/>
          <w:highlight w:val="none"/>
          <w:lang w:val="en-US" w:eastAsia="zh-CN" w:bidi="ar-SA"/>
        </w:rPr>
        <w:t>15.7 工程质量</w:t>
      </w:r>
      <w:bookmarkEnd w:id="3898"/>
      <w:bookmarkEnd w:id="3899"/>
      <w:r>
        <w:rPr>
          <w:rFonts w:hint="eastAsia" w:ascii="宋体" w:hAnsi="宋体" w:eastAsia="宋体" w:cs="Times New Roman"/>
          <w:b/>
          <w:bCs/>
          <w:color w:val="auto"/>
          <w:kern w:val="0"/>
          <w:sz w:val="24"/>
          <w:szCs w:val="32"/>
          <w:highlight w:val="none"/>
          <w:lang w:val="en-US" w:eastAsia="zh-CN" w:bidi="ar-SA"/>
        </w:rPr>
        <w:t>检测费用</w:t>
      </w:r>
      <w:bookmarkEnd w:id="3900"/>
      <w:bookmarkEnd w:id="3901"/>
      <w:bookmarkEnd w:id="3902"/>
      <w:bookmarkEnd w:id="3903"/>
      <w:bookmarkEnd w:id="3904"/>
      <w:bookmarkEnd w:id="3905"/>
      <w:bookmarkEnd w:id="3906"/>
      <w:bookmarkEnd w:id="3907"/>
      <w:bookmarkEnd w:id="3908"/>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本工程质量检验检测项目包括：</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keepNext w:val="0"/>
        <w:keepLines w:val="0"/>
        <w:widowControl/>
        <w:numPr>
          <w:ilvl w:val="0"/>
          <w:numId w:val="0"/>
        </w:numPr>
        <w:tabs>
          <w:tab w:val="left" w:pos="54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3909" w:name="_Toc17420"/>
      <w:bookmarkStart w:id="3910" w:name="_Toc302635996"/>
      <w:bookmarkStart w:id="3911" w:name="_Toc21326"/>
      <w:bookmarkStart w:id="3912" w:name="_Toc12910"/>
      <w:bookmarkStart w:id="3913" w:name="_Toc23859"/>
      <w:bookmarkStart w:id="3914" w:name="_Toc7311"/>
      <w:bookmarkStart w:id="3915" w:name="_Toc10385"/>
      <w:bookmarkStart w:id="3916" w:name="_Toc11133"/>
      <w:bookmarkStart w:id="3917" w:name="_Toc31693"/>
      <w:bookmarkStart w:id="3918" w:name="_Toc305331479"/>
      <w:bookmarkStart w:id="3919" w:name="_Toc1049"/>
      <w:r>
        <w:rPr>
          <w:rFonts w:hint="eastAsia" w:ascii="华文细黑" w:hAnsi="宋体" w:eastAsia="宋体" w:cs="Times New Roman"/>
          <w:b/>
          <w:bCs/>
          <w:snapToGrid w:val="0"/>
          <w:color w:val="auto"/>
          <w:kern w:val="0"/>
          <w:sz w:val="28"/>
          <w:szCs w:val="44"/>
          <w:highlight w:val="none"/>
          <w:lang w:val="en-US" w:eastAsia="zh-CN" w:bidi="ar-SA"/>
        </w:rPr>
        <w:t>16 工程试运行</w:t>
      </w:r>
      <w:bookmarkEnd w:id="3909"/>
      <w:bookmarkEnd w:id="3910"/>
      <w:bookmarkEnd w:id="3911"/>
      <w:bookmarkEnd w:id="3912"/>
      <w:bookmarkEnd w:id="3913"/>
      <w:bookmarkEnd w:id="3914"/>
      <w:bookmarkEnd w:id="3915"/>
      <w:bookmarkEnd w:id="3916"/>
      <w:bookmarkEnd w:id="3917"/>
      <w:bookmarkEnd w:id="3918"/>
      <w:bookmarkEnd w:id="3919"/>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3920" w:name="_Toc24347"/>
      <w:bookmarkStart w:id="3921" w:name="_Toc18253"/>
      <w:bookmarkStart w:id="3922" w:name="_Toc25634"/>
      <w:bookmarkStart w:id="3923" w:name="_Toc22767"/>
      <w:bookmarkStart w:id="3924" w:name="_Toc21873"/>
      <w:bookmarkStart w:id="3925" w:name="_Toc305331480"/>
      <w:bookmarkStart w:id="3926" w:name="_Toc18618"/>
      <w:bookmarkStart w:id="3927" w:name="_Toc8330"/>
      <w:bookmarkStart w:id="3928" w:name="_Toc302635997"/>
      <w:bookmarkStart w:id="3929" w:name="_Toc6124"/>
      <w:bookmarkStart w:id="3930" w:name="_Toc2134"/>
      <w:r>
        <w:rPr>
          <w:rFonts w:hint="eastAsia" w:ascii="宋体" w:hAnsi="宋体" w:eastAsia="宋体" w:cs="Times New Roman"/>
          <w:b/>
          <w:bCs/>
          <w:color w:val="auto"/>
          <w:kern w:val="0"/>
          <w:sz w:val="24"/>
          <w:szCs w:val="32"/>
          <w:highlight w:val="none"/>
          <w:lang w:val="en-US" w:eastAsia="zh-CN" w:bidi="ar-SA"/>
        </w:rPr>
        <w:t>16.1 工程试运行内容和程序</w:t>
      </w:r>
      <w:bookmarkEnd w:id="3920"/>
      <w:bookmarkEnd w:id="3921"/>
      <w:bookmarkEnd w:id="3922"/>
      <w:bookmarkEnd w:id="3923"/>
      <w:bookmarkEnd w:id="3924"/>
      <w:bookmarkEnd w:id="3925"/>
      <w:bookmarkEnd w:id="3926"/>
      <w:bookmarkEnd w:id="3927"/>
      <w:bookmarkEnd w:id="3928"/>
      <w:bookmarkEnd w:id="3929"/>
      <w:bookmarkEnd w:id="3930"/>
    </w:p>
    <w:p>
      <w:pPr>
        <w:spacing w:line="360" w:lineRule="auto"/>
        <w:ind w:firstLine="48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工程试运行的内容及其费用承担方式：</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keepNext w:val="0"/>
        <w:keepLines w:val="0"/>
        <w:widowControl/>
        <w:numPr>
          <w:ilvl w:val="0"/>
          <w:numId w:val="0"/>
        </w:numPr>
        <w:tabs>
          <w:tab w:val="left" w:pos="54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3931" w:name="_Toc29786"/>
      <w:bookmarkStart w:id="3932" w:name="_Toc1469"/>
      <w:bookmarkStart w:id="3933" w:name="_Toc37"/>
      <w:bookmarkStart w:id="3934" w:name="_Toc12142"/>
      <w:bookmarkStart w:id="3935" w:name="_Toc15766"/>
      <w:bookmarkStart w:id="3936" w:name="_Toc10774"/>
      <w:bookmarkStart w:id="3937" w:name="_Toc22076"/>
      <w:bookmarkStart w:id="3938" w:name="_Toc3223"/>
      <w:bookmarkStart w:id="3939" w:name="_Toc5211"/>
      <w:bookmarkStart w:id="3940" w:name="_Toc305331481"/>
      <w:bookmarkStart w:id="3941" w:name="_Toc302635998"/>
      <w:r>
        <w:rPr>
          <w:rFonts w:hint="eastAsia" w:ascii="华文细黑" w:hAnsi="宋体" w:eastAsia="宋体" w:cs="Times New Roman"/>
          <w:b/>
          <w:bCs/>
          <w:snapToGrid w:val="0"/>
          <w:color w:val="auto"/>
          <w:kern w:val="0"/>
          <w:sz w:val="28"/>
          <w:szCs w:val="44"/>
          <w:highlight w:val="none"/>
          <w:lang w:val="en-US" w:eastAsia="zh-CN" w:bidi="ar-SA"/>
        </w:rPr>
        <w:t>17 安全文明施工</w:t>
      </w:r>
      <w:bookmarkEnd w:id="3931"/>
      <w:bookmarkEnd w:id="3932"/>
      <w:bookmarkEnd w:id="3933"/>
      <w:bookmarkEnd w:id="3934"/>
      <w:bookmarkEnd w:id="3935"/>
      <w:bookmarkEnd w:id="3936"/>
      <w:bookmarkEnd w:id="3937"/>
      <w:bookmarkEnd w:id="3938"/>
      <w:bookmarkEnd w:id="3939"/>
      <w:bookmarkEnd w:id="3940"/>
      <w:bookmarkEnd w:id="3941"/>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3942" w:name="_Toc20805"/>
      <w:bookmarkStart w:id="3943" w:name="_Toc24573"/>
      <w:bookmarkStart w:id="3944" w:name="_Toc10128"/>
      <w:bookmarkStart w:id="3945" w:name="_Toc28804"/>
      <w:bookmarkStart w:id="3946" w:name="_Toc25832"/>
      <w:bookmarkStart w:id="3947" w:name="_Toc12954"/>
      <w:bookmarkStart w:id="3948" w:name="_Toc13756"/>
      <w:bookmarkStart w:id="3949" w:name="_Toc30654"/>
      <w:bookmarkStart w:id="3950" w:name="_Toc16868"/>
      <w:bookmarkStart w:id="3951" w:name="_Toc305331482"/>
      <w:bookmarkStart w:id="3952" w:name="_Toc302635999"/>
      <w:r>
        <w:rPr>
          <w:rFonts w:hint="eastAsia" w:ascii="宋体" w:hAnsi="宋体" w:eastAsia="宋体" w:cs="Times New Roman"/>
          <w:b/>
          <w:bCs/>
          <w:color w:val="auto"/>
          <w:kern w:val="0"/>
          <w:sz w:val="24"/>
          <w:szCs w:val="32"/>
          <w:highlight w:val="none"/>
          <w:lang w:val="en-US" w:eastAsia="zh-CN" w:bidi="ar-SA"/>
        </w:rPr>
        <w:t>17.1发包人的安全文明施工责任</w:t>
      </w:r>
      <w:bookmarkEnd w:id="3942"/>
      <w:bookmarkEnd w:id="3943"/>
      <w:bookmarkEnd w:id="3944"/>
      <w:bookmarkEnd w:id="3945"/>
      <w:bookmarkEnd w:id="3946"/>
      <w:bookmarkEnd w:id="3947"/>
      <w:bookmarkEnd w:id="3948"/>
      <w:bookmarkEnd w:id="3949"/>
      <w:bookmarkEnd w:id="3950"/>
    </w:p>
    <w:p>
      <w:pPr>
        <w:spacing w:line="360" w:lineRule="auto"/>
        <w:ind w:firstLine="600" w:firstLineChars="250"/>
        <w:rPr>
          <w:rFonts w:hint="eastAsia" w:ascii="宋体" w:hAnsi="宋体" w:eastAsia="宋体" w:cs="Times New Roman"/>
          <w:bCs/>
          <w:color w:val="auto"/>
          <w:sz w:val="24"/>
          <w:szCs w:val="24"/>
          <w:highlight w:val="none"/>
          <w:u w:val="single"/>
        </w:rPr>
      </w:pPr>
      <w:r>
        <w:rPr>
          <w:rFonts w:hint="eastAsia" w:ascii="宋体" w:hAnsi="宋体" w:eastAsia="宋体" w:cs="Times New Roman"/>
          <w:snapToGrid w:val="0"/>
          <w:color w:val="auto"/>
          <w:sz w:val="24"/>
          <w:szCs w:val="24"/>
          <w:highlight w:val="none"/>
        </w:rPr>
        <w:t>(6)发包人应承担的安全文明施工责任：</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3953" w:name="_Toc26948"/>
      <w:bookmarkStart w:id="3954" w:name="_Toc7808"/>
      <w:bookmarkStart w:id="3955" w:name="_Toc25563"/>
      <w:bookmarkStart w:id="3956" w:name="_Toc27584"/>
      <w:bookmarkStart w:id="3957" w:name="_Toc10706"/>
      <w:bookmarkStart w:id="3958" w:name="_Toc6212"/>
      <w:bookmarkStart w:id="3959" w:name="_Toc16859"/>
      <w:bookmarkStart w:id="3960" w:name="_Toc147"/>
      <w:bookmarkStart w:id="3961" w:name="_Toc31618"/>
      <w:r>
        <w:rPr>
          <w:rFonts w:hint="eastAsia" w:ascii="宋体" w:hAnsi="宋体" w:eastAsia="宋体" w:cs="Times New Roman"/>
          <w:b/>
          <w:bCs/>
          <w:color w:val="auto"/>
          <w:kern w:val="0"/>
          <w:sz w:val="24"/>
          <w:szCs w:val="32"/>
          <w:highlight w:val="none"/>
          <w:lang w:val="en-US" w:eastAsia="zh-CN" w:bidi="ar-SA"/>
        </w:rPr>
        <w:t>17.2 承包人的安全文明施工责任</w:t>
      </w:r>
      <w:bookmarkEnd w:id="3951"/>
      <w:bookmarkEnd w:id="3952"/>
      <w:bookmarkEnd w:id="3953"/>
      <w:bookmarkEnd w:id="3954"/>
      <w:bookmarkEnd w:id="3955"/>
      <w:bookmarkEnd w:id="3956"/>
      <w:bookmarkEnd w:id="3957"/>
      <w:bookmarkEnd w:id="3958"/>
      <w:bookmarkEnd w:id="3959"/>
      <w:bookmarkEnd w:id="3960"/>
      <w:bookmarkEnd w:id="3961"/>
    </w:p>
    <w:p>
      <w:pPr>
        <w:tabs>
          <w:tab w:val="left" w:pos="1620"/>
          <w:tab w:val="left" w:pos="2340"/>
        </w:tabs>
        <w:spacing w:line="360" w:lineRule="auto"/>
        <w:ind w:firstLine="480"/>
        <w:rPr>
          <w:rFonts w:hint="eastAsia" w:ascii="宋体" w:hAnsi="宋体"/>
          <w:sz w:val="24"/>
          <w:highlight w:val="none"/>
          <w:u w:val="single"/>
        </w:rPr>
      </w:pPr>
      <w:r>
        <w:rPr>
          <w:rFonts w:hint="eastAsia" w:ascii="宋体" w:hAnsi="宋体"/>
          <w:snapToGrid w:val="0"/>
          <w:sz w:val="24"/>
          <w:highlight w:val="none"/>
        </w:rPr>
        <w:t>(</w:t>
      </w:r>
      <w:r>
        <w:rPr>
          <w:rFonts w:hint="eastAsia" w:ascii="宋体" w:hAnsi="宋体"/>
          <w:snapToGrid w:val="0"/>
          <w:sz w:val="24"/>
          <w:highlight w:val="none"/>
          <w:lang w:val="en-US" w:eastAsia="zh-CN"/>
        </w:rPr>
        <w:t>4</w:t>
      </w:r>
      <w:r>
        <w:rPr>
          <w:rFonts w:hint="eastAsia" w:ascii="宋体" w:hAnsi="宋体"/>
          <w:snapToGrid w:val="0"/>
          <w:sz w:val="24"/>
          <w:highlight w:val="none"/>
        </w:rPr>
        <w:t>)</w:t>
      </w:r>
      <w:r>
        <w:rPr>
          <w:rFonts w:hint="eastAsia" w:ascii="宋体" w:hAnsi="宋体" w:eastAsia="宋体" w:cs="Times New Roman"/>
          <w:bCs/>
          <w:snapToGrid w:val="0"/>
          <w:sz w:val="24"/>
          <w:highlight w:val="none"/>
        </w:rPr>
        <w:t>承包人未建立相关制度或未按制度履行的</w:t>
      </w:r>
      <w:r>
        <w:rPr>
          <w:rFonts w:hint="eastAsia" w:ascii="宋体" w:hAnsi="宋体" w:eastAsia="宋体" w:cs="Times New Roman"/>
          <w:bCs/>
          <w:snapToGrid w:val="0"/>
          <w:sz w:val="24"/>
          <w:highlight w:val="none"/>
          <w:lang w:eastAsia="zh-CN"/>
        </w:rPr>
        <w:t>违约责任：</w:t>
      </w:r>
      <w:r>
        <w:rPr>
          <w:rFonts w:hint="eastAsia" w:ascii="宋体" w:hAnsi="宋体"/>
          <w:sz w:val="24"/>
          <w:highlight w:val="none"/>
          <w:u w:val="single"/>
        </w:rPr>
        <w:t xml:space="preserve">                                     </w:t>
      </w:r>
    </w:p>
    <w:p>
      <w:pPr>
        <w:spacing w:line="360" w:lineRule="auto"/>
        <w:rPr>
          <w:rFonts w:hint="eastAsia" w:ascii="宋体" w:hAnsi="宋体"/>
          <w:bCs/>
          <w:sz w:val="24"/>
          <w:highlight w:val="none"/>
          <w:u w:val="single"/>
        </w:rPr>
      </w:pPr>
      <w:r>
        <w:rPr>
          <w:rFonts w:hint="eastAsia" w:ascii="宋体" w:hAnsi="宋体"/>
          <w:bCs/>
          <w:sz w:val="24"/>
          <w:highlight w:val="none"/>
          <w:u w:val="single"/>
        </w:rPr>
        <w:t xml:space="preserve">                                                                            </w:t>
      </w:r>
    </w:p>
    <w:p>
      <w:pPr>
        <w:spacing w:line="360" w:lineRule="auto"/>
        <w:rPr>
          <w:rFonts w:hint="eastAsia" w:ascii="宋体" w:hAnsi="宋体"/>
          <w:bCs/>
          <w:sz w:val="24"/>
          <w:highlight w:val="none"/>
          <w:u w:val="single"/>
        </w:rPr>
      </w:pPr>
      <w:r>
        <w:rPr>
          <w:rFonts w:hint="eastAsia" w:ascii="宋体" w:hAnsi="宋体"/>
          <w:sz w:val="24"/>
          <w:highlight w:val="none"/>
          <w:u w:val="single"/>
        </w:rPr>
        <w:t xml:space="preserve"> </w:t>
      </w:r>
      <w:r>
        <w:rPr>
          <w:rFonts w:hint="eastAsia" w:ascii="宋体" w:hAnsi="宋体"/>
          <w:bCs/>
          <w:sz w:val="24"/>
          <w:highlight w:val="none"/>
          <w:u w:val="single"/>
        </w:rPr>
        <w:t xml:space="preserve">                                                                           </w:t>
      </w:r>
    </w:p>
    <w:p>
      <w:pPr>
        <w:tabs>
          <w:tab w:val="left" w:pos="1620"/>
          <w:tab w:val="left" w:pos="2340"/>
        </w:tabs>
        <w:spacing w:line="360" w:lineRule="auto"/>
        <w:ind w:firstLine="480"/>
        <w:rPr>
          <w:rFonts w:hint="eastAsia" w:ascii="宋体" w:hAnsi="宋体"/>
          <w:sz w:val="24"/>
          <w:highlight w:val="none"/>
          <w:u w:val="single"/>
        </w:rPr>
      </w:pPr>
      <w:r>
        <w:rPr>
          <w:rFonts w:hint="eastAsia" w:ascii="宋体" w:hAnsi="宋体"/>
          <w:bCs/>
          <w:snapToGrid w:val="0"/>
          <w:sz w:val="24"/>
          <w:highlight w:val="none"/>
        </w:rPr>
        <w:t>(</w:t>
      </w:r>
      <w:r>
        <w:rPr>
          <w:rFonts w:hint="eastAsia" w:ascii="宋体" w:hAnsi="宋体"/>
          <w:bCs/>
          <w:snapToGrid w:val="0"/>
          <w:sz w:val="24"/>
          <w:highlight w:val="none"/>
          <w:lang w:val="en-US" w:eastAsia="zh-CN"/>
        </w:rPr>
        <w:t>10</w:t>
      </w:r>
      <w:r>
        <w:rPr>
          <w:rFonts w:hint="eastAsia" w:ascii="宋体" w:hAnsi="宋体"/>
          <w:bCs/>
          <w:snapToGrid w:val="0"/>
          <w:sz w:val="24"/>
          <w:highlight w:val="none"/>
        </w:rPr>
        <w:t>)承包人应承担的安全文明施工责任：</w:t>
      </w:r>
      <w:r>
        <w:rPr>
          <w:rFonts w:hint="eastAsia" w:ascii="宋体" w:hAnsi="宋体"/>
          <w:sz w:val="24"/>
          <w:highlight w:val="none"/>
          <w:u w:val="single"/>
        </w:rPr>
        <w:t xml:space="preserve">                                     </w:t>
      </w:r>
    </w:p>
    <w:p>
      <w:pPr>
        <w:spacing w:line="360" w:lineRule="auto"/>
        <w:rPr>
          <w:rFonts w:hint="eastAsia" w:ascii="宋体" w:hAnsi="宋体"/>
          <w:bCs/>
          <w:sz w:val="24"/>
          <w:highlight w:val="none"/>
          <w:u w:val="single"/>
        </w:rPr>
      </w:pPr>
      <w:r>
        <w:rPr>
          <w:rFonts w:hint="eastAsia" w:ascii="宋体" w:hAnsi="宋体"/>
          <w:bCs/>
          <w:sz w:val="24"/>
          <w:highlight w:val="none"/>
          <w:u w:val="single"/>
        </w:rPr>
        <w:t xml:space="preserve">                                                                            </w:t>
      </w:r>
    </w:p>
    <w:p>
      <w:pPr>
        <w:spacing w:line="360" w:lineRule="auto"/>
        <w:rPr>
          <w:rFonts w:hint="eastAsia" w:ascii="宋体" w:hAnsi="宋体"/>
          <w:bCs/>
          <w:sz w:val="24"/>
          <w:highlight w:val="none"/>
          <w:u w:val="single"/>
        </w:rPr>
      </w:pPr>
      <w:r>
        <w:rPr>
          <w:rFonts w:hint="eastAsia" w:ascii="宋体" w:hAnsi="宋体"/>
          <w:sz w:val="24"/>
          <w:highlight w:val="none"/>
          <w:u w:val="single"/>
        </w:rPr>
        <w:t xml:space="preserve"> </w:t>
      </w:r>
      <w:r>
        <w:rPr>
          <w:rFonts w:hint="eastAsia" w:ascii="宋体" w:hAnsi="宋体"/>
          <w:bCs/>
          <w:sz w:val="24"/>
          <w:highlight w:val="none"/>
          <w:u w:val="single"/>
        </w:rPr>
        <w:t xml:space="preserve">                                                                           </w:t>
      </w:r>
    </w:p>
    <w:p>
      <w:pPr>
        <w:spacing w:line="360" w:lineRule="auto"/>
        <w:rPr>
          <w:rFonts w:hint="eastAsia" w:ascii="宋体" w:hAnsi="宋体"/>
          <w:bCs/>
          <w:sz w:val="24"/>
          <w:highlight w:val="none"/>
          <w:u w:val="single"/>
        </w:rPr>
      </w:pPr>
      <w:r>
        <w:rPr>
          <w:rFonts w:hint="eastAsia" w:ascii="宋体" w:hAnsi="宋体"/>
          <w:bCs/>
          <w:sz w:val="24"/>
          <w:highlight w:val="none"/>
          <w:u w:val="single"/>
        </w:rPr>
        <w:t xml:space="preserve">                                                                            </w:t>
      </w:r>
    </w:p>
    <w:p>
      <w:pPr>
        <w:spacing w:line="360" w:lineRule="auto"/>
        <w:rPr>
          <w:rFonts w:hint="eastAsia" w:ascii="宋体" w:hAnsi="宋体"/>
          <w:bCs/>
          <w:sz w:val="24"/>
          <w:highlight w:val="none"/>
          <w:u w:val="single"/>
        </w:rPr>
      </w:pPr>
      <w:r>
        <w:rPr>
          <w:rFonts w:hint="eastAsia" w:ascii="宋体" w:hAnsi="宋体"/>
          <w:sz w:val="24"/>
          <w:highlight w:val="none"/>
          <w:u w:val="single"/>
        </w:rPr>
        <w:t xml:space="preserve"> </w:t>
      </w:r>
      <w:r>
        <w:rPr>
          <w:rFonts w:hint="eastAsia" w:ascii="宋体" w:hAnsi="宋体"/>
          <w:bCs/>
          <w:sz w:val="24"/>
          <w:highlight w:val="none"/>
          <w:u w:val="single"/>
        </w:rPr>
        <w:t xml:space="preserve">                                                                           </w:t>
      </w:r>
    </w:p>
    <w:p>
      <w:pPr>
        <w:spacing w:line="360" w:lineRule="auto"/>
        <w:rPr>
          <w:rFonts w:hint="eastAsia" w:ascii="宋体" w:hAnsi="宋体"/>
          <w:bCs/>
          <w:sz w:val="24"/>
          <w:highlight w:val="none"/>
          <w:u w:val="single"/>
        </w:rPr>
      </w:pPr>
      <w:r>
        <w:rPr>
          <w:rFonts w:hint="eastAsia" w:ascii="宋体" w:hAnsi="宋体"/>
          <w:bCs/>
          <w:sz w:val="24"/>
          <w:highlight w:val="none"/>
          <w:u w:val="single"/>
        </w:rPr>
        <w:t xml:space="preserve">                                                                            </w:t>
      </w:r>
    </w:p>
    <w:p>
      <w:pPr>
        <w:spacing w:line="360" w:lineRule="auto"/>
        <w:rPr>
          <w:rFonts w:hint="eastAsia" w:ascii="宋体" w:hAnsi="宋体"/>
          <w:bCs/>
          <w:sz w:val="24"/>
          <w:highlight w:val="none"/>
          <w:u w:val="single"/>
        </w:rPr>
      </w:pPr>
      <w:r>
        <w:rPr>
          <w:rFonts w:hint="eastAsia" w:ascii="宋体" w:hAnsi="宋体"/>
          <w:sz w:val="24"/>
          <w:highlight w:val="none"/>
          <w:u w:val="single"/>
        </w:rPr>
        <w:t xml:space="preserve"> </w:t>
      </w:r>
      <w:r>
        <w:rPr>
          <w:rFonts w:hint="eastAsia" w:ascii="宋体" w:hAnsi="宋体"/>
          <w:bCs/>
          <w:sz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3962" w:name="_Toc26441"/>
      <w:bookmarkStart w:id="3963" w:name="_Toc18376"/>
      <w:bookmarkStart w:id="3964" w:name="_Toc5226"/>
      <w:bookmarkStart w:id="3965" w:name="_Toc18550"/>
      <w:bookmarkStart w:id="3966" w:name="_Toc30242"/>
      <w:bookmarkStart w:id="3967" w:name="_Toc6836"/>
      <w:bookmarkStart w:id="3968" w:name="_Toc21666"/>
      <w:bookmarkStart w:id="3969" w:name="_Toc1593"/>
      <w:bookmarkStart w:id="3970" w:name="_Toc32617"/>
      <w:bookmarkStart w:id="3971" w:name="_Toc302636000"/>
      <w:bookmarkStart w:id="3972" w:name="_Toc305331483"/>
      <w:r>
        <w:rPr>
          <w:rFonts w:hint="eastAsia" w:ascii="宋体" w:hAnsi="宋体" w:eastAsia="宋体" w:cs="Times New Roman"/>
          <w:b/>
          <w:bCs/>
          <w:color w:val="auto"/>
          <w:kern w:val="0"/>
          <w:sz w:val="24"/>
          <w:szCs w:val="32"/>
          <w:highlight w:val="none"/>
          <w:lang w:val="en-US" w:eastAsia="zh-CN" w:bidi="ar-SA"/>
        </w:rPr>
        <w:t>17.</w:t>
      </w:r>
      <w:r>
        <w:rPr>
          <w:rFonts w:ascii="宋体" w:hAnsi="宋体" w:eastAsia="宋体" w:cs="Times New Roman"/>
          <w:b/>
          <w:bCs/>
          <w:color w:val="auto"/>
          <w:kern w:val="0"/>
          <w:sz w:val="24"/>
          <w:szCs w:val="32"/>
          <w:highlight w:val="none"/>
          <w:lang w:val="en-US" w:eastAsia="zh-CN" w:bidi="ar-SA"/>
        </w:rPr>
        <w:t>8</w:t>
      </w:r>
      <w:r>
        <w:rPr>
          <w:rFonts w:hint="eastAsia" w:ascii="宋体" w:hAnsi="宋体" w:eastAsia="宋体" w:cs="Times New Roman"/>
          <w:b/>
          <w:bCs/>
          <w:color w:val="auto"/>
          <w:kern w:val="0"/>
          <w:sz w:val="24"/>
          <w:szCs w:val="32"/>
          <w:highlight w:val="none"/>
          <w:lang w:val="en-US" w:eastAsia="zh-CN" w:bidi="ar-SA"/>
        </w:rPr>
        <w:t xml:space="preserve"> 承包人的环境保护责任</w:t>
      </w:r>
      <w:bookmarkEnd w:id="3962"/>
      <w:bookmarkEnd w:id="3963"/>
      <w:bookmarkEnd w:id="3964"/>
      <w:bookmarkEnd w:id="3965"/>
      <w:bookmarkEnd w:id="3966"/>
      <w:bookmarkEnd w:id="3967"/>
      <w:bookmarkEnd w:id="3968"/>
      <w:bookmarkEnd w:id="3969"/>
      <w:bookmarkEnd w:id="3970"/>
    </w:p>
    <w:p>
      <w:pPr>
        <w:tabs>
          <w:tab w:val="left" w:pos="1620"/>
          <w:tab w:val="left" w:pos="2340"/>
        </w:tabs>
        <w:spacing w:line="360" w:lineRule="auto"/>
        <w:ind w:firstLine="480"/>
        <w:rPr>
          <w:rFonts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)建筑废弃物排放的具体约定：</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keepNext w:val="0"/>
        <w:keepLines w:val="0"/>
        <w:widowControl/>
        <w:numPr>
          <w:ilvl w:val="0"/>
          <w:numId w:val="0"/>
        </w:numPr>
        <w:tabs>
          <w:tab w:val="left" w:pos="54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3973" w:name="_Toc26414"/>
      <w:bookmarkStart w:id="3974" w:name="_Toc13945"/>
      <w:bookmarkStart w:id="3975" w:name="_Toc9863"/>
      <w:bookmarkStart w:id="3976" w:name="_Toc10046"/>
      <w:bookmarkStart w:id="3977" w:name="_Toc20616"/>
      <w:bookmarkStart w:id="3978" w:name="_Toc14974"/>
      <w:bookmarkStart w:id="3979" w:name="_Toc7991"/>
      <w:bookmarkStart w:id="3980" w:name="_Toc861"/>
      <w:bookmarkStart w:id="3981" w:name="_Toc17792"/>
      <w:r>
        <w:rPr>
          <w:rFonts w:hint="eastAsia" w:ascii="华文细黑" w:hAnsi="宋体" w:eastAsia="宋体" w:cs="Times New Roman"/>
          <w:b/>
          <w:bCs/>
          <w:snapToGrid w:val="0"/>
          <w:color w:val="auto"/>
          <w:kern w:val="0"/>
          <w:sz w:val="28"/>
          <w:szCs w:val="44"/>
          <w:highlight w:val="none"/>
          <w:lang w:val="en-US" w:eastAsia="zh-CN" w:bidi="ar-SA"/>
        </w:rPr>
        <w:t>18 余泥渣土运输</w:t>
      </w:r>
      <w:bookmarkEnd w:id="3971"/>
      <w:bookmarkEnd w:id="3972"/>
      <w:bookmarkEnd w:id="3973"/>
      <w:bookmarkEnd w:id="3974"/>
      <w:bookmarkEnd w:id="3975"/>
      <w:bookmarkEnd w:id="3976"/>
      <w:bookmarkEnd w:id="3977"/>
      <w:bookmarkEnd w:id="3978"/>
      <w:bookmarkEnd w:id="3979"/>
      <w:bookmarkEnd w:id="3980"/>
      <w:bookmarkEnd w:id="3981"/>
    </w:p>
    <w:p>
      <w:pPr>
        <w:widowControl w:val="0"/>
        <w:numPr>
          <w:ilvl w:val="0"/>
          <w:numId w:val="0"/>
        </w:numPr>
        <w:tabs>
          <w:tab w:val="left" w:pos="540"/>
          <w:tab w:val="left" w:pos="900"/>
          <w:tab w:val="left" w:pos="2340"/>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3982" w:name="_Toc305331484"/>
      <w:bookmarkStart w:id="3983" w:name="_Toc31416"/>
      <w:bookmarkStart w:id="3984" w:name="_Toc3078"/>
      <w:bookmarkStart w:id="3985" w:name="_Toc18479"/>
      <w:bookmarkStart w:id="3986" w:name="_Toc302636001"/>
      <w:bookmarkStart w:id="3987" w:name="_Toc8949"/>
      <w:bookmarkStart w:id="3988" w:name="_Toc18946"/>
      <w:bookmarkStart w:id="3989" w:name="_Toc743"/>
      <w:bookmarkStart w:id="3990" w:name="_Toc12629"/>
      <w:bookmarkStart w:id="3991" w:name="_Toc6429"/>
      <w:bookmarkStart w:id="3992" w:name="_Toc29378"/>
      <w:bookmarkStart w:id="3993" w:name="_Toc35656540"/>
      <w:r>
        <w:rPr>
          <w:rFonts w:hint="eastAsia" w:ascii="宋体" w:hAnsi="宋体" w:eastAsia="宋体" w:cs="Times New Roman"/>
          <w:b/>
          <w:bCs/>
          <w:color w:val="auto"/>
          <w:kern w:val="0"/>
          <w:sz w:val="24"/>
          <w:szCs w:val="32"/>
          <w:highlight w:val="none"/>
          <w:lang w:val="en-US" w:eastAsia="zh-CN" w:bidi="ar-SA"/>
        </w:rPr>
        <w:t>18.2 承包人自行运输</w:t>
      </w:r>
      <w:bookmarkEnd w:id="3982"/>
      <w:bookmarkEnd w:id="3983"/>
      <w:bookmarkEnd w:id="3984"/>
      <w:bookmarkEnd w:id="3985"/>
      <w:bookmarkEnd w:id="3986"/>
      <w:bookmarkEnd w:id="3987"/>
      <w:bookmarkEnd w:id="3988"/>
      <w:bookmarkEnd w:id="3989"/>
      <w:bookmarkEnd w:id="3990"/>
      <w:bookmarkEnd w:id="3991"/>
      <w:bookmarkEnd w:id="3992"/>
    </w:p>
    <w:p>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承包人不具备</w:t>
      </w:r>
      <w:r>
        <w:rPr>
          <w:rFonts w:hint="eastAsia" w:ascii="宋体" w:hAnsi="宋体" w:eastAsia="宋体" w:cs="Times New Roman"/>
          <w:color w:val="auto"/>
          <w:sz w:val="24"/>
          <w:szCs w:val="24"/>
          <w:highlight w:val="none"/>
        </w:rPr>
        <w:t>通用条款</w:t>
      </w:r>
      <w:r>
        <w:rPr>
          <w:rFonts w:ascii="宋体" w:hAnsi="宋体" w:eastAsia="宋体" w:cs="Times New Roman"/>
          <w:color w:val="auto"/>
          <w:sz w:val="24"/>
          <w:szCs w:val="24"/>
          <w:highlight w:val="none"/>
        </w:rPr>
        <w:t>第</w:t>
      </w:r>
      <w:r>
        <w:rPr>
          <w:rFonts w:hint="eastAsia" w:ascii="宋体" w:hAnsi="宋体" w:eastAsia="宋体" w:cs="Times New Roman"/>
          <w:color w:val="auto"/>
          <w:sz w:val="24"/>
          <w:szCs w:val="24"/>
          <w:highlight w:val="none"/>
        </w:rPr>
        <w:t>18</w:t>
      </w:r>
      <w:r>
        <w:rPr>
          <w:rFonts w:ascii="宋体" w:hAnsi="宋体" w:eastAsia="宋体" w:cs="Times New Roman"/>
          <w:color w:val="auto"/>
          <w:sz w:val="24"/>
          <w:szCs w:val="24"/>
          <w:highlight w:val="none"/>
        </w:rPr>
        <w:t>.1款</w:t>
      </w:r>
      <w:r>
        <w:rPr>
          <w:rFonts w:hint="eastAsia" w:ascii="宋体" w:hAnsi="宋体" w:eastAsia="宋体" w:cs="Times New Roman"/>
          <w:color w:val="auto"/>
          <w:sz w:val="24"/>
          <w:szCs w:val="24"/>
          <w:highlight w:val="none"/>
        </w:rPr>
        <w:t>相关</w:t>
      </w:r>
      <w:r>
        <w:rPr>
          <w:rFonts w:ascii="宋体" w:hAnsi="宋体" w:eastAsia="宋体" w:cs="Times New Roman"/>
          <w:color w:val="auto"/>
          <w:sz w:val="24"/>
          <w:szCs w:val="24"/>
          <w:highlight w:val="none"/>
        </w:rPr>
        <w:t>证件</w:t>
      </w:r>
      <w:r>
        <w:rPr>
          <w:rFonts w:hint="eastAsia" w:ascii="宋体" w:hAnsi="宋体" w:eastAsia="宋体" w:cs="Times New Roman"/>
          <w:color w:val="auto"/>
          <w:sz w:val="24"/>
          <w:szCs w:val="24"/>
          <w:highlight w:val="none"/>
        </w:rPr>
        <w:t>，不具备</w:t>
      </w:r>
      <w:r>
        <w:rPr>
          <w:rFonts w:ascii="宋体" w:hAnsi="宋体" w:eastAsia="宋体" w:cs="Times New Roman"/>
          <w:color w:val="auto"/>
          <w:sz w:val="24"/>
          <w:szCs w:val="24"/>
          <w:highlight w:val="none"/>
        </w:rPr>
        <w:t>余泥渣土运输任务</w:t>
      </w:r>
      <w:r>
        <w:rPr>
          <w:rFonts w:hint="eastAsia" w:ascii="宋体" w:hAnsi="宋体" w:eastAsia="宋体" w:cs="Times New Roman"/>
          <w:color w:val="auto"/>
          <w:sz w:val="24"/>
          <w:szCs w:val="24"/>
          <w:highlight w:val="none"/>
        </w:rPr>
        <w:t>能力</w:t>
      </w:r>
      <w:r>
        <w:rPr>
          <w:rFonts w:ascii="宋体" w:hAnsi="宋体" w:eastAsia="宋体" w:cs="Times New Roman"/>
          <w:color w:val="auto"/>
          <w:sz w:val="24"/>
          <w:szCs w:val="24"/>
          <w:highlight w:val="none"/>
        </w:rPr>
        <w:t>而自行承担余泥渣土运输任务，应支付违约金</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3994" w:name="_Toc31516"/>
      <w:bookmarkStart w:id="3995" w:name="_Toc31692"/>
      <w:bookmarkStart w:id="3996" w:name="_Toc15425"/>
      <w:bookmarkStart w:id="3997" w:name="_Toc302636002"/>
      <w:bookmarkStart w:id="3998" w:name="_Toc24353"/>
      <w:bookmarkStart w:id="3999" w:name="_Toc12256"/>
      <w:bookmarkStart w:id="4000" w:name="_Toc15874"/>
      <w:bookmarkStart w:id="4001" w:name="_Toc22553"/>
      <w:bookmarkStart w:id="4002" w:name="_Toc6917"/>
      <w:bookmarkStart w:id="4003" w:name="_Toc10716"/>
      <w:bookmarkStart w:id="4004" w:name="_Toc305331485"/>
      <w:r>
        <w:rPr>
          <w:rFonts w:hint="eastAsia" w:ascii="宋体" w:hAnsi="宋体" w:eastAsia="宋体" w:cs="Times New Roman"/>
          <w:b/>
          <w:bCs/>
          <w:color w:val="auto"/>
          <w:kern w:val="0"/>
          <w:sz w:val="24"/>
          <w:szCs w:val="32"/>
          <w:highlight w:val="none"/>
          <w:lang w:val="en-US" w:eastAsia="zh-CN" w:bidi="ar-SA"/>
        </w:rPr>
        <w:t xml:space="preserve">18.3 </w:t>
      </w:r>
      <w:r>
        <w:rPr>
          <w:rFonts w:ascii="宋体" w:hAnsi="宋体" w:eastAsia="宋体" w:cs="Times New Roman"/>
          <w:b/>
          <w:bCs/>
          <w:color w:val="auto"/>
          <w:kern w:val="0"/>
          <w:sz w:val="24"/>
          <w:szCs w:val="32"/>
          <w:highlight w:val="none"/>
          <w:lang w:val="en-US" w:eastAsia="zh-CN" w:bidi="ar-SA"/>
        </w:rPr>
        <w:t>余泥渣土运输</w:t>
      </w:r>
      <w:r>
        <w:rPr>
          <w:rFonts w:hint="eastAsia" w:ascii="宋体" w:hAnsi="宋体" w:eastAsia="宋体" w:cs="Times New Roman"/>
          <w:b/>
          <w:bCs/>
          <w:color w:val="auto"/>
          <w:kern w:val="0"/>
          <w:sz w:val="24"/>
          <w:szCs w:val="32"/>
          <w:highlight w:val="none"/>
          <w:lang w:val="en-US" w:eastAsia="zh-CN" w:bidi="ar-SA"/>
        </w:rPr>
        <w:t>分包</w:t>
      </w:r>
      <w:bookmarkEnd w:id="3994"/>
      <w:bookmarkEnd w:id="3995"/>
      <w:bookmarkEnd w:id="3996"/>
      <w:bookmarkEnd w:id="3997"/>
      <w:bookmarkEnd w:id="3998"/>
      <w:bookmarkEnd w:id="3999"/>
      <w:bookmarkEnd w:id="4000"/>
      <w:bookmarkEnd w:id="4001"/>
      <w:bookmarkEnd w:id="4002"/>
      <w:bookmarkEnd w:id="4003"/>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承包人将余泥渣土运输任务分包给不</w:t>
      </w:r>
      <w:r>
        <w:rPr>
          <w:rFonts w:hint="eastAsia" w:ascii="宋体" w:hAnsi="宋体" w:eastAsia="宋体" w:cs="Times New Roman"/>
          <w:color w:val="auto"/>
          <w:sz w:val="24"/>
          <w:szCs w:val="24"/>
          <w:highlight w:val="none"/>
        </w:rPr>
        <w:t>具备相应运输资质的单位</w:t>
      </w:r>
      <w:r>
        <w:rPr>
          <w:rFonts w:ascii="宋体" w:hAnsi="宋体" w:eastAsia="宋体" w:cs="Times New Roman"/>
          <w:color w:val="auto"/>
          <w:sz w:val="24"/>
          <w:szCs w:val="24"/>
          <w:highlight w:val="none"/>
        </w:rPr>
        <w:t>时，应支付违约金</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005" w:name="_Toc8962"/>
      <w:bookmarkStart w:id="4006" w:name="_Toc8096"/>
      <w:bookmarkStart w:id="4007" w:name="_Toc18221"/>
      <w:bookmarkStart w:id="4008" w:name="_Toc302636003"/>
      <w:bookmarkStart w:id="4009" w:name="_Toc16604"/>
      <w:bookmarkStart w:id="4010" w:name="_Toc12394"/>
      <w:bookmarkStart w:id="4011" w:name="_Toc26523"/>
      <w:bookmarkStart w:id="4012" w:name="_Toc31235"/>
      <w:bookmarkStart w:id="4013" w:name="_Toc3726"/>
      <w:bookmarkStart w:id="4014" w:name="_Toc1477"/>
      <w:r>
        <w:rPr>
          <w:rFonts w:hint="eastAsia" w:ascii="宋体" w:hAnsi="宋体" w:eastAsia="宋体" w:cs="Times New Roman"/>
          <w:b/>
          <w:bCs/>
          <w:color w:val="auto"/>
          <w:kern w:val="0"/>
          <w:sz w:val="24"/>
          <w:szCs w:val="32"/>
          <w:highlight w:val="none"/>
          <w:lang w:val="en-US" w:eastAsia="zh-CN" w:bidi="ar-SA"/>
        </w:rPr>
        <w:t xml:space="preserve">18.5 </w:t>
      </w:r>
      <w:r>
        <w:rPr>
          <w:rFonts w:ascii="宋体" w:hAnsi="宋体" w:eastAsia="宋体" w:cs="Times New Roman"/>
          <w:b/>
          <w:bCs/>
          <w:color w:val="auto"/>
          <w:kern w:val="0"/>
          <w:sz w:val="24"/>
          <w:szCs w:val="32"/>
          <w:highlight w:val="none"/>
          <w:lang w:val="en-US" w:eastAsia="zh-CN" w:bidi="ar-SA"/>
        </w:rPr>
        <w:t>余泥渣土运输车辆和</w:t>
      </w:r>
      <w:bookmarkEnd w:id="4004"/>
      <w:r>
        <w:rPr>
          <w:rFonts w:hint="eastAsia" w:ascii="宋体" w:hAnsi="宋体" w:eastAsia="宋体" w:cs="Times New Roman"/>
          <w:b/>
          <w:bCs/>
          <w:color w:val="auto"/>
          <w:kern w:val="0"/>
          <w:sz w:val="24"/>
          <w:szCs w:val="32"/>
          <w:highlight w:val="none"/>
          <w:lang w:val="en-US" w:eastAsia="zh-CN" w:bidi="ar-SA"/>
        </w:rPr>
        <w:t>驾驶员</w:t>
      </w:r>
      <w:bookmarkEnd w:id="4005"/>
      <w:bookmarkEnd w:id="4006"/>
      <w:bookmarkEnd w:id="4007"/>
      <w:bookmarkEnd w:id="4008"/>
      <w:bookmarkEnd w:id="4009"/>
      <w:bookmarkEnd w:id="4010"/>
      <w:bookmarkEnd w:id="4011"/>
      <w:bookmarkEnd w:id="4012"/>
      <w:bookmarkEnd w:id="4013"/>
      <w:bookmarkEnd w:id="4014"/>
    </w:p>
    <w:p>
      <w:pPr>
        <w:spacing w:line="360" w:lineRule="auto"/>
        <w:ind w:firstLine="48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在承包人</w:t>
      </w:r>
      <w:r>
        <w:rPr>
          <w:rFonts w:hint="eastAsia" w:ascii="宋体" w:hAnsi="宋体" w:eastAsia="宋体" w:cs="Times New Roman"/>
          <w:color w:val="auto"/>
          <w:sz w:val="24"/>
          <w:szCs w:val="24"/>
          <w:highlight w:val="none"/>
        </w:rPr>
        <w:t>按通用条款第18.2款自行完成</w:t>
      </w:r>
      <w:r>
        <w:rPr>
          <w:rFonts w:ascii="宋体" w:hAnsi="宋体" w:eastAsia="宋体" w:cs="Times New Roman"/>
          <w:color w:val="auto"/>
          <w:sz w:val="24"/>
          <w:szCs w:val="24"/>
          <w:highlight w:val="none"/>
        </w:rPr>
        <w:t>余泥渣土运输任务时，其安排的余泥渣土运输车辆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驾驶员</w:t>
      </w:r>
      <w:r>
        <w:rPr>
          <w:rFonts w:hint="eastAsia" w:ascii="宋体" w:hAnsi="宋体" w:eastAsia="宋体" w:cs="Times New Roman"/>
          <w:color w:val="auto"/>
          <w:sz w:val="24"/>
          <w:szCs w:val="24"/>
          <w:highlight w:val="none"/>
        </w:rPr>
        <w:t>有关信息见下表</w:t>
      </w:r>
      <w:r>
        <w:rPr>
          <w:rFonts w:hint="eastAsia" w:ascii="宋体" w:hAnsi="宋体" w:eastAsia="宋体" w:cs="Times New Roman"/>
          <w:bCs/>
          <w:color w:val="auto"/>
          <w:sz w:val="24"/>
          <w:szCs w:val="24"/>
          <w:highlight w:val="none"/>
        </w:rPr>
        <w:t>(可另附页)</w:t>
      </w:r>
      <w:r>
        <w:rPr>
          <w:rFonts w:ascii="宋体" w:hAnsi="宋体" w:eastAsia="宋体" w:cs="Times New Roman"/>
          <w:color w:val="auto"/>
          <w:sz w:val="24"/>
          <w:szCs w:val="24"/>
          <w:highlight w:val="none"/>
        </w:rPr>
        <w:t>：</w:t>
      </w:r>
    </w:p>
    <w:tbl>
      <w:tblPr>
        <w:tblStyle w:val="4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2"/>
        <w:gridCol w:w="1315"/>
        <w:gridCol w:w="1315"/>
        <w:gridCol w:w="1316"/>
        <w:gridCol w:w="1315"/>
        <w:gridCol w:w="1315"/>
        <w:gridCol w:w="13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7" w:right="-107"/>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7" w:right="-107"/>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车牌号码</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7" w:right="-107"/>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车型</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7" w:right="-107"/>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车辆证件号</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7" w:right="-107"/>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驾驶员姓名</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7" w:right="-107"/>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驾驶证件号</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107"/>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w:t>
            </w: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w:t>
            </w: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w:t>
            </w: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w:t>
            </w: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w:t>
            </w: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w:t>
            </w: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131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bl>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承包人安排的车辆不符合通用条款第</w:t>
      </w:r>
      <w:r>
        <w:rPr>
          <w:rFonts w:hint="eastAsia" w:ascii="宋体" w:hAnsi="宋体" w:eastAsia="宋体" w:cs="Times New Roman"/>
          <w:color w:val="auto"/>
          <w:sz w:val="24"/>
          <w:szCs w:val="24"/>
          <w:highlight w:val="none"/>
        </w:rPr>
        <w:t>18</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5(1)</w:t>
      </w:r>
      <w:r>
        <w:rPr>
          <w:rFonts w:ascii="宋体" w:hAnsi="宋体" w:eastAsia="宋体" w:cs="Times New Roman"/>
          <w:color w:val="auto"/>
          <w:sz w:val="24"/>
          <w:szCs w:val="24"/>
          <w:highlight w:val="none"/>
        </w:rPr>
        <w:t>款规定的证件要求</w:t>
      </w:r>
      <w:r>
        <w:rPr>
          <w:rFonts w:hint="eastAsia" w:ascii="宋体" w:hAnsi="宋体" w:eastAsia="宋体" w:cs="Times New Roman"/>
          <w:color w:val="auto"/>
          <w:sz w:val="24"/>
          <w:szCs w:val="24"/>
          <w:highlight w:val="none"/>
        </w:rPr>
        <w:t>，或未如实向监理工程师报送车辆和驾驶员信息，或</w:t>
      </w:r>
      <w:r>
        <w:rPr>
          <w:rFonts w:ascii="宋体" w:hAnsi="宋体" w:eastAsia="宋体" w:cs="Times New Roman"/>
          <w:color w:val="auto"/>
          <w:sz w:val="24"/>
          <w:szCs w:val="24"/>
          <w:highlight w:val="none"/>
        </w:rPr>
        <w:t>未依程序自行改变车辆和专职驾驶员名单，承包人应</w:t>
      </w:r>
      <w:r>
        <w:rPr>
          <w:rFonts w:hint="eastAsia" w:ascii="宋体" w:hAnsi="宋体" w:eastAsia="宋体" w:cs="Times New Roman"/>
          <w:color w:val="auto"/>
          <w:sz w:val="24"/>
          <w:szCs w:val="24"/>
          <w:highlight w:val="none"/>
        </w:rPr>
        <w:t>向发包人</w:t>
      </w:r>
      <w:r>
        <w:rPr>
          <w:rFonts w:ascii="宋体" w:hAnsi="宋体" w:eastAsia="宋体" w:cs="Times New Roman"/>
          <w:color w:val="auto"/>
          <w:sz w:val="24"/>
          <w:szCs w:val="24"/>
          <w:highlight w:val="none"/>
        </w:rPr>
        <w:t>支付违约金：</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元/车·次</w:t>
      </w:r>
      <w:r>
        <w:rPr>
          <w:rFonts w:hint="eastAsia" w:ascii="宋体" w:hAnsi="宋体" w:eastAsia="宋体" w:cs="Times New Roman"/>
          <w:color w:val="auto"/>
          <w:sz w:val="24"/>
          <w:szCs w:val="24"/>
          <w:highlight w:val="none"/>
        </w:rPr>
        <w:t>。</w:t>
      </w:r>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015" w:name="_Toc25011"/>
      <w:bookmarkStart w:id="4016" w:name="_Toc16984"/>
      <w:bookmarkStart w:id="4017" w:name="_Toc20753"/>
      <w:bookmarkStart w:id="4018" w:name="_Toc20064"/>
      <w:bookmarkStart w:id="4019" w:name="_Toc305331486"/>
      <w:bookmarkStart w:id="4020" w:name="_Toc13867"/>
      <w:bookmarkStart w:id="4021" w:name="_Toc302636004"/>
      <w:bookmarkStart w:id="4022" w:name="_Toc14901"/>
      <w:bookmarkStart w:id="4023" w:name="_Toc27493"/>
      <w:bookmarkStart w:id="4024" w:name="_Toc26540"/>
      <w:bookmarkStart w:id="4025" w:name="_Toc27440"/>
      <w:r>
        <w:rPr>
          <w:rFonts w:hint="eastAsia" w:ascii="宋体" w:hAnsi="宋体" w:eastAsia="宋体" w:cs="Times New Roman"/>
          <w:b/>
          <w:bCs/>
          <w:color w:val="auto"/>
          <w:kern w:val="0"/>
          <w:sz w:val="24"/>
          <w:szCs w:val="32"/>
          <w:highlight w:val="none"/>
          <w:lang w:val="en-US" w:eastAsia="zh-CN" w:bidi="ar-SA"/>
        </w:rPr>
        <w:t xml:space="preserve">18.6 </w:t>
      </w:r>
      <w:r>
        <w:rPr>
          <w:rFonts w:ascii="宋体" w:hAnsi="宋体" w:eastAsia="宋体" w:cs="Times New Roman"/>
          <w:b/>
          <w:bCs/>
          <w:color w:val="auto"/>
          <w:kern w:val="0"/>
          <w:sz w:val="24"/>
          <w:szCs w:val="32"/>
          <w:highlight w:val="none"/>
          <w:lang w:val="en-US" w:eastAsia="zh-CN" w:bidi="ar-SA"/>
        </w:rPr>
        <w:t>专职检查</w:t>
      </w:r>
      <w:r>
        <w:rPr>
          <w:rFonts w:hint="eastAsia" w:ascii="宋体" w:hAnsi="宋体" w:eastAsia="宋体" w:cs="Times New Roman"/>
          <w:b/>
          <w:bCs/>
          <w:color w:val="auto"/>
          <w:kern w:val="0"/>
          <w:sz w:val="24"/>
          <w:szCs w:val="32"/>
          <w:highlight w:val="none"/>
          <w:lang w:val="en-US" w:eastAsia="zh-CN" w:bidi="ar-SA"/>
        </w:rPr>
        <w:t>人员</w:t>
      </w:r>
      <w:bookmarkEnd w:id="4015"/>
      <w:bookmarkEnd w:id="4016"/>
      <w:bookmarkEnd w:id="4017"/>
      <w:bookmarkEnd w:id="4018"/>
      <w:bookmarkEnd w:id="4019"/>
      <w:bookmarkEnd w:id="4020"/>
      <w:bookmarkEnd w:id="4021"/>
      <w:bookmarkEnd w:id="4022"/>
      <w:bookmarkEnd w:id="4023"/>
      <w:bookmarkEnd w:id="4024"/>
      <w:bookmarkEnd w:id="4025"/>
    </w:p>
    <w:p>
      <w:pPr>
        <w:spacing w:line="360" w:lineRule="auto"/>
        <w:ind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承包人指定专职检查</w:t>
      </w:r>
      <w:r>
        <w:rPr>
          <w:rFonts w:hint="eastAsia" w:ascii="宋体" w:hAnsi="宋体" w:eastAsia="宋体" w:cs="Times New Roman"/>
          <w:color w:val="auto"/>
          <w:sz w:val="24"/>
          <w:szCs w:val="24"/>
          <w:highlight w:val="none"/>
        </w:rPr>
        <w:t>人员姓名</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pPr>
        <w:spacing w:line="360" w:lineRule="auto"/>
        <w:ind w:firstLine="480"/>
        <w:rPr>
          <w:rFonts w:hint="eastAsia" w:ascii="宋体" w:hAnsi="宋体" w:eastAsia="宋体" w:cs="Times New Roman"/>
          <w:bCs/>
          <w:color w:val="auto"/>
          <w:sz w:val="24"/>
          <w:szCs w:val="24"/>
          <w:highlight w:val="none"/>
          <w:u w:val="single"/>
        </w:rPr>
      </w:pPr>
      <w:r>
        <w:rPr>
          <w:rFonts w:ascii="宋体" w:hAnsi="宋体" w:eastAsia="宋体" w:cs="Times New Roman"/>
          <w:color w:val="auto"/>
          <w:sz w:val="24"/>
          <w:szCs w:val="24"/>
          <w:highlight w:val="none"/>
        </w:rPr>
        <w:t>检查内容：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widowControl w:val="0"/>
        <w:numPr>
          <w:ilvl w:val="0"/>
          <w:numId w:val="0"/>
        </w:numPr>
        <w:tabs>
          <w:tab w:val="left" w:pos="540"/>
          <w:tab w:val="left" w:pos="900"/>
          <w:tab w:val="left" w:pos="2340"/>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4026" w:name="_Toc305331487"/>
      <w:bookmarkStart w:id="4027" w:name="_Toc9530"/>
      <w:bookmarkStart w:id="4028" w:name="_Toc27594"/>
      <w:bookmarkStart w:id="4029" w:name="_Toc29419"/>
      <w:bookmarkStart w:id="4030" w:name="_Toc7085"/>
      <w:bookmarkStart w:id="4031" w:name="_Toc23544"/>
      <w:bookmarkStart w:id="4032" w:name="_Toc13963"/>
      <w:bookmarkStart w:id="4033" w:name="_Toc19974"/>
      <w:bookmarkStart w:id="4034" w:name="_Toc29583"/>
      <w:bookmarkStart w:id="4035" w:name="_Toc302636005"/>
      <w:bookmarkStart w:id="4036" w:name="_Toc13924"/>
      <w:r>
        <w:rPr>
          <w:rFonts w:hint="eastAsia" w:ascii="宋体" w:hAnsi="宋体" w:eastAsia="宋体" w:cs="Times New Roman"/>
          <w:b/>
          <w:bCs/>
          <w:color w:val="auto"/>
          <w:kern w:val="0"/>
          <w:sz w:val="24"/>
          <w:szCs w:val="32"/>
          <w:highlight w:val="none"/>
          <w:lang w:val="en-US" w:eastAsia="zh-CN" w:bidi="ar-SA"/>
        </w:rPr>
        <w:t xml:space="preserve">18.7 </w:t>
      </w:r>
      <w:r>
        <w:rPr>
          <w:rFonts w:ascii="宋体" w:hAnsi="宋体" w:eastAsia="宋体" w:cs="Times New Roman"/>
          <w:b/>
          <w:bCs/>
          <w:color w:val="auto"/>
          <w:kern w:val="0"/>
          <w:sz w:val="24"/>
          <w:szCs w:val="32"/>
          <w:highlight w:val="none"/>
          <w:lang w:val="en-US" w:eastAsia="zh-CN" w:bidi="ar-SA"/>
        </w:rPr>
        <w:t>余泥渣土</w:t>
      </w:r>
      <w:r>
        <w:rPr>
          <w:rFonts w:hint="eastAsia" w:ascii="宋体" w:hAnsi="宋体" w:eastAsia="宋体" w:cs="Times New Roman"/>
          <w:b/>
          <w:bCs/>
          <w:color w:val="auto"/>
          <w:kern w:val="0"/>
          <w:sz w:val="24"/>
          <w:szCs w:val="32"/>
          <w:highlight w:val="none"/>
          <w:lang w:val="en-US" w:eastAsia="zh-CN" w:bidi="ar-SA"/>
        </w:rPr>
        <w:t>安全文明运输</w:t>
      </w:r>
      <w:bookmarkEnd w:id="4026"/>
      <w:bookmarkEnd w:id="4027"/>
      <w:bookmarkEnd w:id="4028"/>
      <w:bookmarkEnd w:id="4029"/>
      <w:bookmarkEnd w:id="4030"/>
      <w:bookmarkEnd w:id="4031"/>
      <w:bookmarkEnd w:id="4032"/>
      <w:bookmarkEnd w:id="4033"/>
      <w:bookmarkEnd w:id="4034"/>
      <w:bookmarkEnd w:id="4035"/>
      <w:bookmarkEnd w:id="4036"/>
    </w:p>
    <w:p>
      <w:pPr>
        <w:spacing w:line="360" w:lineRule="auto"/>
        <w:ind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承包人违反通用条款第</w:t>
      </w:r>
      <w:r>
        <w:rPr>
          <w:rFonts w:hint="eastAsia" w:ascii="宋体" w:hAnsi="宋体" w:eastAsia="宋体" w:cs="Times New Roman"/>
          <w:color w:val="auto"/>
          <w:sz w:val="24"/>
          <w:szCs w:val="24"/>
          <w:highlight w:val="none"/>
        </w:rPr>
        <w:t>18</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款约定，对发现问题拒不履行其应尽的合同义务，应支付违约金</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037" w:name="_Toc305331488"/>
      <w:bookmarkStart w:id="4038" w:name="_Toc8699"/>
      <w:bookmarkStart w:id="4039" w:name="_Toc31682"/>
      <w:bookmarkStart w:id="4040" w:name="_Toc17253"/>
      <w:bookmarkStart w:id="4041" w:name="_Toc16818"/>
      <w:bookmarkStart w:id="4042" w:name="_Toc1695"/>
      <w:bookmarkStart w:id="4043" w:name="_Toc302636006"/>
      <w:bookmarkStart w:id="4044" w:name="_Toc27439"/>
      <w:bookmarkStart w:id="4045" w:name="_Toc10852"/>
      <w:bookmarkStart w:id="4046" w:name="_Toc20189"/>
      <w:bookmarkStart w:id="4047" w:name="_Toc15320"/>
      <w:r>
        <w:rPr>
          <w:rFonts w:hint="eastAsia" w:ascii="宋体" w:hAnsi="宋体" w:eastAsia="宋体" w:cs="Times New Roman"/>
          <w:b/>
          <w:bCs/>
          <w:color w:val="auto"/>
          <w:kern w:val="0"/>
          <w:sz w:val="24"/>
          <w:szCs w:val="32"/>
          <w:highlight w:val="none"/>
          <w:lang w:val="en-US" w:eastAsia="zh-CN" w:bidi="ar-SA"/>
        </w:rPr>
        <w:t>18.8 检查纠正责任</w:t>
      </w:r>
      <w:bookmarkEnd w:id="4037"/>
      <w:bookmarkEnd w:id="4038"/>
      <w:bookmarkEnd w:id="4039"/>
      <w:bookmarkEnd w:id="4040"/>
      <w:bookmarkEnd w:id="4041"/>
      <w:bookmarkEnd w:id="4042"/>
      <w:bookmarkEnd w:id="4043"/>
      <w:bookmarkEnd w:id="4044"/>
      <w:bookmarkEnd w:id="4045"/>
      <w:bookmarkEnd w:id="4046"/>
      <w:bookmarkEnd w:id="4047"/>
    </w:p>
    <w:p>
      <w:pPr>
        <w:spacing w:line="360" w:lineRule="auto"/>
        <w:ind w:left="120" w:firstLine="36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承包人指定的专职检查人员未履行合同约定的检查纠正职责，承包人应支违约金</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 xml:space="preserve"> </w:t>
      </w:r>
    </w:p>
    <w:bookmarkEnd w:id="3993"/>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4048" w:name="_Toc31809"/>
      <w:bookmarkStart w:id="4049" w:name="_Toc20063"/>
      <w:bookmarkStart w:id="4050" w:name="_Toc302636007"/>
      <w:bookmarkStart w:id="4051" w:name="_Toc27333"/>
      <w:bookmarkStart w:id="4052" w:name="_Toc17208"/>
      <w:bookmarkStart w:id="4053" w:name="_Toc17209"/>
      <w:bookmarkStart w:id="4054" w:name="_Toc27371"/>
      <w:bookmarkStart w:id="4055" w:name="_Toc21455"/>
      <w:bookmarkStart w:id="4056" w:name="_Toc14703"/>
      <w:bookmarkStart w:id="4057" w:name="_Toc305331489"/>
      <w:bookmarkStart w:id="4058" w:name="_Toc31832"/>
      <w:r>
        <w:rPr>
          <w:rFonts w:hint="eastAsia" w:ascii="华文细黑" w:hAnsi="宋体" w:eastAsia="宋体" w:cs="Times New Roman"/>
          <w:b/>
          <w:bCs/>
          <w:snapToGrid w:val="0"/>
          <w:color w:val="auto"/>
          <w:kern w:val="0"/>
          <w:sz w:val="28"/>
          <w:szCs w:val="44"/>
          <w:highlight w:val="none"/>
          <w:lang w:val="en-US" w:eastAsia="zh-CN" w:bidi="ar-SA"/>
        </w:rPr>
        <w:t>20 合同价格的确定和调整</w:t>
      </w:r>
      <w:bookmarkEnd w:id="4048"/>
      <w:bookmarkEnd w:id="4049"/>
      <w:bookmarkEnd w:id="4050"/>
      <w:bookmarkEnd w:id="4051"/>
      <w:bookmarkEnd w:id="4052"/>
      <w:bookmarkEnd w:id="4053"/>
      <w:bookmarkEnd w:id="4054"/>
      <w:bookmarkEnd w:id="4055"/>
      <w:bookmarkEnd w:id="4056"/>
      <w:bookmarkEnd w:id="4057"/>
      <w:bookmarkEnd w:id="4058"/>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059" w:name="_Toc29541"/>
      <w:bookmarkStart w:id="4060" w:name="_Toc302636008"/>
      <w:bookmarkStart w:id="4061" w:name="_Toc30019"/>
      <w:bookmarkStart w:id="4062" w:name="_Toc1881"/>
      <w:bookmarkStart w:id="4063" w:name="_Toc24063"/>
      <w:bookmarkStart w:id="4064" w:name="_Toc1712"/>
      <w:bookmarkStart w:id="4065" w:name="_Toc32623"/>
      <w:bookmarkStart w:id="4066" w:name="_Toc21834"/>
      <w:bookmarkStart w:id="4067" w:name="_Toc32236"/>
      <w:bookmarkStart w:id="4068" w:name="_Toc16133"/>
      <w:bookmarkStart w:id="4069" w:name="_Toc305331490"/>
      <w:r>
        <w:rPr>
          <w:rFonts w:hint="eastAsia" w:ascii="宋体" w:hAnsi="宋体" w:eastAsia="宋体" w:cs="Times New Roman"/>
          <w:b/>
          <w:bCs/>
          <w:color w:val="auto"/>
          <w:kern w:val="0"/>
          <w:sz w:val="24"/>
          <w:szCs w:val="32"/>
          <w:highlight w:val="none"/>
          <w:lang w:val="en-US" w:eastAsia="zh-CN" w:bidi="ar-SA"/>
        </w:rPr>
        <w:t>20.1 签约合同价的确定</w:t>
      </w:r>
      <w:bookmarkEnd w:id="4059"/>
      <w:bookmarkEnd w:id="4060"/>
      <w:bookmarkEnd w:id="4061"/>
      <w:bookmarkEnd w:id="4062"/>
      <w:bookmarkEnd w:id="4063"/>
      <w:bookmarkEnd w:id="4064"/>
      <w:bookmarkEnd w:id="4065"/>
      <w:bookmarkEnd w:id="4066"/>
      <w:bookmarkEnd w:id="4067"/>
      <w:bookmarkEnd w:id="4068"/>
    </w:p>
    <w:p>
      <w:pPr>
        <w:spacing w:line="360" w:lineRule="auto"/>
        <w:ind w:left="120" w:firstLine="36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（3）综合单价包含的风险范围：</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070" w:name="_Toc6373"/>
      <w:bookmarkStart w:id="4071" w:name="_Toc18566"/>
      <w:bookmarkStart w:id="4072" w:name="_Toc6238"/>
      <w:bookmarkStart w:id="4073" w:name="_Toc14504"/>
      <w:bookmarkStart w:id="4074" w:name="_Toc15782"/>
      <w:bookmarkStart w:id="4075" w:name="_Toc20648"/>
      <w:bookmarkStart w:id="4076" w:name="_Toc30162"/>
      <w:bookmarkStart w:id="4077" w:name="_Toc16237"/>
      <w:bookmarkStart w:id="4078" w:name="_Toc302636009"/>
      <w:bookmarkStart w:id="4079" w:name="_Toc27189"/>
      <w:r>
        <w:rPr>
          <w:rFonts w:hint="eastAsia" w:ascii="宋体" w:hAnsi="宋体" w:eastAsia="宋体" w:cs="Times New Roman"/>
          <w:b/>
          <w:bCs/>
          <w:color w:val="auto"/>
          <w:kern w:val="0"/>
          <w:sz w:val="24"/>
          <w:szCs w:val="32"/>
          <w:highlight w:val="none"/>
          <w:lang w:val="en-US" w:eastAsia="zh-CN" w:bidi="ar-SA"/>
        </w:rPr>
        <w:t>20.2 合同价格的调整</w:t>
      </w:r>
      <w:bookmarkEnd w:id="4069"/>
      <w:bookmarkEnd w:id="4070"/>
      <w:bookmarkEnd w:id="4071"/>
      <w:bookmarkEnd w:id="4072"/>
      <w:bookmarkEnd w:id="4073"/>
      <w:bookmarkEnd w:id="4074"/>
      <w:bookmarkEnd w:id="4075"/>
      <w:bookmarkEnd w:id="4076"/>
      <w:bookmarkEnd w:id="4077"/>
      <w:bookmarkEnd w:id="4078"/>
      <w:bookmarkEnd w:id="4079"/>
    </w:p>
    <w:p>
      <w:pPr>
        <w:spacing w:line="360" w:lineRule="auto"/>
        <w:ind w:left="120" w:firstLine="360"/>
        <w:rPr>
          <w:rFonts w:hint="eastAsia"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(11)</w:t>
      </w:r>
      <w:r>
        <w:rPr>
          <w:rFonts w:hint="eastAsia" w:ascii="宋体" w:hAnsi="宋体" w:eastAsia="宋体" w:cs="Times New Roman"/>
          <w:color w:val="auto"/>
          <w:sz w:val="24"/>
          <w:szCs w:val="24"/>
          <w:highlight w:val="none"/>
        </w:rPr>
        <w:t>本工程</w:t>
      </w:r>
      <w:r>
        <w:rPr>
          <w:rFonts w:ascii="宋体" w:hAnsi="宋体" w:eastAsia="宋体" w:cs="Times New Roman"/>
          <w:color w:val="auto"/>
          <w:sz w:val="24"/>
          <w:szCs w:val="24"/>
          <w:highlight w:val="none"/>
        </w:rPr>
        <w:t>合同价格调整</w:t>
      </w:r>
      <w:r>
        <w:rPr>
          <w:rFonts w:hint="eastAsia" w:ascii="宋体" w:hAnsi="宋体" w:eastAsia="宋体" w:cs="Times New Roman"/>
          <w:color w:val="auto"/>
          <w:sz w:val="24"/>
          <w:szCs w:val="24"/>
          <w:highlight w:val="none"/>
        </w:rPr>
        <w:t>的其他约定：</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080" w:name="_Toc3659"/>
      <w:bookmarkStart w:id="4081" w:name="_Toc28638"/>
      <w:bookmarkStart w:id="4082" w:name="_Toc20086"/>
      <w:bookmarkStart w:id="4083" w:name="_Toc23787"/>
      <w:bookmarkStart w:id="4084" w:name="_Toc16796"/>
      <w:bookmarkStart w:id="4085" w:name="_Toc302636010"/>
      <w:bookmarkStart w:id="4086" w:name="_Toc23863"/>
      <w:bookmarkStart w:id="4087" w:name="_Toc5071"/>
      <w:bookmarkStart w:id="4088" w:name="_Toc31361"/>
      <w:bookmarkStart w:id="4089" w:name="_Toc305331491"/>
      <w:bookmarkStart w:id="4090" w:name="_Toc4007"/>
      <w:r>
        <w:rPr>
          <w:rFonts w:hint="eastAsia" w:ascii="宋体" w:hAnsi="宋体" w:eastAsia="宋体" w:cs="Times New Roman"/>
          <w:b/>
          <w:bCs/>
          <w:color w:val="auto"/>
          <w:kern w:val="0"/>
          <w:sz w:val="24"/>
          <w:szCs w:val="32"/>
          <w:highlight w:val="none"/>
          <w:lang w:val="en-US" w:eastAsia="zh-CN" w:bidi="ar-SA"/>
        </w:rPr>
        <w:t>20.4 工料机调差</w:t>
      </w:r>
      <w:bookmarkEnd w:id="4080"/>
      <w:bookmarkEnd w:id="4081"/>
      <w:bookmarkEnd w:id="4082"/>
      <w:bookmarkEnd w:id="4083"/>
      <w:bookmarkEnd w:id="4084"/>
      <w:bookmarkEnd w:id="4085"/>
      <w:bookmarkEnd w:id="4086"/>
      <w:bookmarkEnd w:id="4087"/>
      <w:bookmarkEnd w:id="4088"/>
      <w:bookmarkEnd w:id="4089"/>
      <w:bookmarkEnd w:id="4090"/>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(2)用于本工程的人工、主要材料及机械使用发生价格波动时的约定如下：</w:t>
      </w: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(3)主要材料是指用于本工程的某种材料价款总额达到签约合同价的</w:t>
      </w:r>
      <w:r>
        <w:rPr>
          <w:rFonts w:hint="eastAsia" w:ascii="宋体" w:hAnsi="宋体" w:eastAsia="宋体" w:cs="Times New Roman"/>
          <w:color w:val="auto"/>
          <w:kern w:val="0"/>
          <w:szCs w:val="24"/>
          <w:highlight w:val="none"/>
          <w:u w:val="single"/>
        </w:rPr>
        <w:t xml:space="preserve">     %</w:t>
      </w:r>
      <w:r>
        <w:rPr>
          <w:rFonts w:hint="eastAsia" w:ascii="宋体" w:hAnsi="宋体" w:eastAsia="宋体" w:cs="Times New Roman"/>
          <w:color w:val="auto"/>
          <w:sz w:val="24"/>
          <w:szCs w:val="24"/>
          <w:highlight w:val="none"/>
        </w:rPr>
        <w:t>。</w:t>
      </w:r>
    </w:p>
    <w:p>
      <w:pPr>
        <w:spacing w:line="360" w:lineRule="auto"/>
        <w:ind w:firstLine="480"/>
        <w:rPr>
          <w:rFonts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rPr>
        <w:t>(4)发包人和承包人根据本工程的具体实际，约定用于本工程的未达到第20.4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项约定比例的其它材料中可调差的材料种类为：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(5)本工程工料机调差费用的计算和支付约定如下：</w:t>
      </w:r>
    </w:p>
    <w:p>
      <w:pPr>
        <w:spacing w:line="360" w:lineRule="auto"/>
        <w:ind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106" name="图片 5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6" name="图片 53"/>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与其相关的工程完工后进行计算并同期支付。</w:t>
      </w:r>
    </w:p>
    <w:p>
      <w:pPr>
        <w:spacing w:line="360" w:lineRule="auto"/>
        <w:ind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107" name="图片 5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7" name="图片 54"/>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竣工结算时一次性计算和支付。</w:t>
      </w:r>
    </w:p>
    <w:p>
      <w:pPr>
        <w:spacing w:line="360" w:lineRule="auto"/>
        <w:ind w:firstLine="480"/>
        <w:rPr>
          <w:rFonts w:hint="eastAsia"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drawing>
          <wp:inline distT="0" distB="0" distL="114300" distR="114300">
            <wp:extent cx="152400" cy="142875"/>
            <wp:effectExtent l="0" t="0" r="0" b="9525"/>
            <wp:docPr id="108" name="图片 5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8" name="图片 55"/>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其他方式。具体约定为：</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091" w:name="_Toc17605"/>
      <w:bookmarkStart w:id="4092" w:name="_Toc10303"/>
      <w:bookmarkStart w:id="4093" w:name="_Toc10606"/>
      <w:bookmarkStart w:id="4094" w:name="_Toc18007"/>
      <w:bookmarkStart w:id="4095" w:name="_Toc302636011"/>
      <w:bookmarkStart w:id="4096" w:name="_Toc605"/>
      <w:bookmarkStart w:id="4097" w:name="_Toc11987"/>
      <w:bookmarkStart w:id="4098" w:name="_Toc13352"/>
      <w:bookmarkStart w:id="4099" w:name="_Toc21432"/>
      <w:bookmarkStart w:id="4100" w:name="_Toc28569"/>
      <w:r>
        <w:rPr>
          <w:rFonts w:hint="eastAsia" w:ascii="宋体" w:hAnsi="宋体" w:eastAsia="宋体" w:cs="Times New Roman"/>
          <w:b/>
          <w:bCs/>
          <w:color w:val="auto"/>
          <w:kern w:val="0"/>
          <w:sz w:val="24"/>
          <w:szCs w:val="32"/>
          <w:highlight w:val="none"/>
          <w:lang w:val="en-US" w:eastAsia="zh-CN" w:bidi="ar-SA"/>
        </w:rPr>
        <w:t>20.5 材料调差</w:t>
      </w:r>
      <w:bookmarkEnd w:id="4091"/>
      <w:bookmarkEnd w:id="4092"/>
      <w:bookmarkEnd w:id="4093"/>
      <w:bookmarkEnd w:id="4094"/>
      <w:bookmarkEnd w:id="4095"/>
      <w:bookmarkEnd w:id="4096"/>
      <w:bookmarkEnd w:id="4097"/>
      <w:bookmarkEnd w:id="4098"/>
      <w:bookmarkEnd w:id="4099"/>
      <w:bookmarkEnd w:id="4100"/>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用于本工程的按照20.4(3)、(4)款确定的可调差材料发生价格波动时合同价格的调整方法为：</w:t>
      </w:r>
    </w:p>
    <w:p>
      <w:pPr>
        <w:spacing w:line="360" w:lineRule="auto"/>
        <w:ind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109" name="图片 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9" name="图片 56"/>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（1）加权平均法。</w:t>
      </w:r>
    </w:p>
    <w:p>
      <w:pPr>
        <w:spacing w:line="360" w:lineRule="auto"/>
        <w:ind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110" name="图片 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0" name="图片 57"/>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（2）算术平均法。</w:t>
      </w:r>
    </w:p>
    <w:p>
      <w:pPr>
        <w:spacing w:line="360" w:lineRule="auto"/>
        <w:ind w:firstLine="480"/>
        <w:rPr>
          <w:rFonts w:hint="eastAsia"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drawing>
          <wp:inline distT="0" distB="0" distL="114300" distR="114300">
            <wp:extent cx="152400" cy="142875"/>
            <wp:effectExtent l="0" t="0" r="0" b="9525"/>
            <wp:docPr id="89" name="图片 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9" name="图片 58"/>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（3）其他方法。具体约定为：</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调差公式中，P</w:t>
      </w:r>
      <w:r>
        <w:rPr>
          <w:rFonts w:hint="eastAsia" w:ascii="宋体" w:hAnsi="宋体" w:eastAsia="宋体" w:cs="Times New Roman"/>
          <w:color w:val="auto"/>
          <w:sz w:val="24"/>
          <w:szCs w:val="24"/>
          <w:highlight w:val="none"/>
          <w:vertAlign w:val="subscript"/>
        </w:rPr>
        <w:t>0</w:t>
      </w:r>
      <w:r>
        <w:rPr>
          <w:rFonts w:hint="eastAsia" w:ascii="宋体" w:hAnsi="宋体" w:eastAsia="宋体" w:cs="Times New Roman"/>
          <w:color w:val="auto"/>
          <w:sz w:val="24"/>
          <w:szCs w:val="24"/>
          <w:highlight w:val="none"/>
        </w:rPr>
        <w:t>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月《深圳建设工程价格信息》某材料价格。</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本合同Q</w:t>
      </w:r>
      <w:r>
        <w:rPr>
          <w:rFonts w:hint="eastAsia" w:ascii="宋体" w:hAnsi="宋体" w:eastAsia="宋体" w:cs="Times New Roman"/>
          <w:color w:val="auto"/>
          <w:sz w:val="24"/>
          <w:szCs w:val="24"/>
          <w:highlight w:val="none"/>
          <w:vertAlign w:val="subscript"/>
        </w:rPr>
        <w:t>总</w:t>
      </w:r>
      <w:r>
        <w:rPr>
          <w:rFonts w:hint="eastAsia" w:ascii="宋体" w:hAnsi="宋体" w:eastAsia="宋体" w:cs="Times New Roman"/>
          <w:color w:val="auto"/>
          <w:sz w:val="24"/>
          <w:szCs w:val="24"/>
          <w:highlight w:val="none"/>
        </w:rPr>
        <w:t>、Q</w:t>
      </w:r>
      <w:r>
        <w:rPr>
          <w:rFonts w:hint="eastAsia" w:ascii="宋体" w:hAnsi="宋体" w:eastAsia="宋体" w:cs="Times New Roman"/>
          <w:color w:val="auto"/>
          <w:sz w:val="24"/>
          <w:szCs w:val="24"/>
          <w:highlight w:val="none"/>
          <w:vertAlign w:val="subscript"/>
        </w:rPr>
        <w:t>i</w:t>
      </w:r>
      <w:r>
        <w:rPr>
          <w:rFonts w:hint="eastAsia" w:ascii="宋体" w:hAnsi="宋体" w:eastAsia="宋体" w:cs="Times New Roman"/>
          <w:color w:val="auto"/>
          <w:sz w:val="24"/>
          <w:szCs w:val="24"/>
          <w:highlight w:val="none"/>
        </w:rPr>
        <w:t>中，考虑的消耗量因素为：（注：只能选择一种方式，在选定的方式前的“□”内打“√”）</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□投标报价中材料消耗量。</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□定额消耗量。</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□投标报价中材料消耗量和定额消耗量两者中最小值。</w:t>
      </w:r>
    </w:p>
    <w:p>
      <w:pPr>
        <w:tabs>
          <w:tab w:val="left" w:pos="1620"/>
          <w:tab w:val="left" w:pos="2340"/>
        </w:tabs>
        <w:snapToGrid w:val="0"/>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snapToGrid/>
        <w:spacing w:line="360" w:lineRule="auto"/>
        <w:ind w:firstLine="480" w:firstLineChars="0"/>
        <w:rPr>
          <w:rFonts w:hint="eastAsia" w:ascii="宋体" w:hAnsi="宋体" w:eastAsia="宋体" w:cs="Times New Roman"/>
          <w:color w:val="auto"/>
          <w:sz w:val="24"/>
          <w:szCs w:val="24"/>
          <w:highlight w:val="none"/>
        </w:rPr>
      </w:pPr>
    </w:p>
    <w:p>
      <w:pPr>
        <w:snapToGrid/>
        <w:spacing w:line="360" w:lineRule="auto"/>
        <w:ind w:firstLine="480" w:firstLineChars="0"/>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rPr>
        <w:t>如按照本合同20.4⑶、⑷款确定的可调差材料价格在《深圳建设工程价格信息》未发布的，</w:t>
      </w:r>
      <w:r>
        <w:rPr>
          <w:rFonts w:hint="eastAsia" w:ascii="宋体" w:hAnsi="宋体" w:eastAsia="宋体" w:cs="Times New Roman"/>
          <w:color w:val="auto"/>
          <w:sz w:val="24"/>
          <w:szCs w:val="24"/>
          <w:highlight w:val="none"/>
          <w:lang w:eastAsia="zh-CN"/>
        </w:rPr>
        <w:t>具体</w:t>
      </w:r>
      <w:r>
        <w:rPr>
          <w:rFonts w:hint="eastAsia" w:ascii="宋体" w:hAnsi="宋体" w:eastAsia="宋体" w:cs="Times New Roman"/>
          <w:color w:val="auto"/>
          <w:sz w:val="24"/>
          <w:szCs w:val="24"/>
          <w:highlight w:val="none"/>
        </w:rPr>
        <w:t>调差方式</w:t>
      </w:r>
      <w:r>
        <w:rPr>
          <w:rFonts w:hint="eastAsia" w:ascii="宋体" w:hAnsi="宋体" w:eastAsia="宋体" w:cs="Times New Roman"/>
          <w:color w:val="auto"/>
          <w:sz w:val="24"/>
          <w:szCs w:val="24"/>
          <w:highlight w:val="none"/>
          <w:lang w:eastAsia="zh-CN"/>
        </w:rPr>
        <w:t>为：</w:t>
      </w:r>
      <w:r>
        <w:rPr>
          <w:rFonts w:hint="eastAsia" w:ascii="宋体" w:hAnsi="宋体" w:eastAsia="宋体" w:cs="Times New Roman"/>
          <w:color w:val="auto"/>
          <w:sz w:val="24"/>
          <w:szCs w:val="24"/>
          <w:highlight w:val="none"/>
          <w:u w:val="single"/>
          <w:lang w:val="en-US" w:eastAsia="zh-CN"/>
        </w:rPr>
        <w:t xml:space="preserve">                                                    </w:t>
      </w:r>
    </w:p>
    <w:p>
      <w:pPr>
        <w:snapToGrid/>
        <w:spacing w:line="360" w:lineRule="auto"/>
        <w:ind w:firstLine="0" w:firstLineChars="0"/>
        <w:rPr>
          <w:rFonts w:hint="default" w:ascii="宋体" w:hAnsi="宋体" w:eastAsia="宋体" w:cs="Times New Roman"/>
          <w:color w:val="auto"/>
          <w:sz w:val="24"/>
          <w:szCs w:val="24"/>
          <w:highlight w:val="non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lang w:val="en-US" w:eastAsia="zh-CN"/>
        </w:rPr>
        <w:t xml:space="preserve">                                                            </w:t>
      </w:r>
      <w:r>
        <w:rPr>
          <w:rFonts w:hint="eastAsia" w:ascii="宋体" w:hAnsi="宋体" w:eastAsia="宋体" w:cs="Times New Roman"/>
          <w:bCs/>
          <w:color w:val="auto"/>
          <w:sz w:val="24"/>
          <w:szCs w:val="24"/>
          <w:highlight w:val="none"/>
          <w:u w:val="none"/>
          <w:lang w:val="en-US" w:eastAsia="zh-CN"/>
        </w:rPr>
        <w:t>。</w:t>
      </w:r>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101" w:name="_Toc31163"/>
      <w:bookmarkStart w:id="4102" w:name="_Toc1648"/>
      <w:bookmarkStart w:id="4103" w:name="_Toc14559"/>
      <w:bookmarkStart w:id="4104" w:name="_Toc14826"/>
      <w:bookmarkStart w:id="4105" w:name="_Toc17683"/>
      <w:bookmarkStart w:id="4106" w:name="_Toc1054"/>
      <w:bookmarkStart w:id="4107" w:name="_Toc14741"/>
      <w:bookmarkStart w:id="4108" w:name="_Toc3716"/>
      <w:bookmarkStart w:id="4109" w:name="_Toc27539"/>
      <w:bookmarkStart w:id="4110" w:name="_Toc302636012"/>
      <w:bookmarkStart w:id="4111" w:name="_Toc305331492"/>
      <w:r>
        <w:rPr>
          <w:rFonts w:hint="eastAsia" w:ascii="宋体" w:hAnsi="宋体" w:eastAsia="宋体" w:cs="Times New Roman"/>
          <w:b/>
          <w:bCs/>
          <w:color w:val="auto"/>
          <w:kern w:val="0"/>
          <w:sz w:val="24"/>
          <w:szCs w:val="32"/>
          <w:highlight w:val="none"/>
          <w:lang w:val="en-US" w:eastAsia="zh-CN" w:bidi="ar-SA"/>
        </w:rPr>
        <w:t>20.6 人工、机械使用调差方法</w:t>
      </w:r>
      <w:bookmarkEnd w:id="4101"/>
      <w:bookmarkEnd w:id="4102"/>
      <w:bookmarkEnd w:id="4103"/>
      <w:bookmarkEnd w:id="4104"/>
      <w:bookmarkEnd w:id="4105"/>
      <w:bookmarkEnd w:id="4106"/>
      <w:bookmarkEnd w:id="4107"/>
      <w:bookmarkEnd w:id="4108"/>
      <w:bookmarkEnd w:id="4109"/>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bCs/>
          <w:color w:val="auto"/>
          <w:sz w:val="24"/>
          <w:szCs w:val="24"/>
          <w:highlight w:val="none"/>
        </w:rPr>
        <w:t>⑵用于本工程的人工发生价格波动时，</w:t>
      </w:r>
      <w:r>
        <w:rPr>
          <w:rFonts w:hint="eastAsia" w:ascii="宋体" w:hAnsi="宋体" w:eastAsia="宋体" w:cs="Times New Roman"/>
          <w:color w:val="auto"/>
          <w:sz w:val="24"/>
          <w:szCs w:val="24"/>
          <w:highlight w:val="none"/>
        </w:rPr>
        <w:t>合同价格的调整方法为：</w:t>
      </w:r>
    </w:p>
    <w:p>
      <w:pPr>
        <w:numPr>
          <w:ilvl w:val="0"/>
          <w:numId w:val="3"/>
        </w:numPr>
        <w:spacing w:line="360" w:lineRule="auto"/>
        <w:ind w:left="420" w:firstLine="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①按照20.5款调差公式，将公式中的材料价格替换为人工价格：</w:t>
      </w:r>
    </w:p>
    <w:p>
      <w:pPr>
        <w:spacing w:line="360" w:lineRule="auto"/>
        <w:ind w:left="420"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□1.加权平均法。</w:t>
      </w:r>
    </w:p>
    <w:p>
      <w:pPr>
        <w:spacing w:line="360" w:lineRule="auto"/>
        <w:ind w:left="420"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□2.算术平均法。</w:t>
      </w:r>
    </w:p>
    <w:p>
      <w:pPr>
        <w:spacing w:line="360" w:lineRule="auto"/>
        <w:ind w:left="42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88" name="图片 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8" name="图片 59"/>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②人工费指数调差。</w:t>
      </w:r>
    </w:p>
    <w:p>
      <w:pPr>
        <w:spacing w:line="360" w:lineRule="auto"/>
        <w:ind w:left="420"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调差公式中，</w:t>
      </w:r>
      <w:r>
        <w:rPr>
          <w:rFonts w:ascii="宋体" w:hAnsi="宋体" w:eastAsia="宋体" w:cs="Times New Roman"/>
          <w:color w:val="auto"/>
          <w:sz w:val="24"/>
          <w:szCs w:val="24"/>
          <w:highlight w:val="none"/>
        </w:rPr>
        <w:t>I</w:t>
      </w:r>
      <w:r>
        <w:rPr>
          <w:rFonts w:ascii="宋体" w:hAnsi="宋体" w:eastAsia="宋体" w:cs="Times New Roman"/>
          <w:color w:val="auto"/>
          <w:sz w:val="24"/>
          <w:szCs w:val="24"/>
          <w:highlight w:val="none"/>
          <w:vertAlign w:val="subscript"/>
        </w:rPr>
        <w:t>o</w:t>
      </w:r>
      <w:r>
        <w:rPr>
          <w:rFonts w:hint="eastAsia" w:ascii="宋体" w:hAnsi="宋体" w:eastAsia="宋体" w:cs="Times New Roman"/>
          <w:color w:val="auto"/>
          <w:sz w:val="24"/>
          <w:szCs w:val="24"/>
          <w:highlight w:val="none"/>
        </w:rPr>
        <w:t>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月《深圳建设工程价格信息》某工种定额人工费指数。</w:t>
      </w:r>
    </w:p>
    <w:p>
      <w:pPr>
        <w:spacing w:line="360" w:lineRule="auto"/>
        <w:ind w:left="420"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L</w:t>
      </w:r>
      <w:r>
        <w:rPr>
          <w:rFonts w:hint="eastAsia" w:ascii="宋体" w:hAnsi="宋体" w:eastAsia="宋体" w:cs="Times New Roman"/>
          <w:color w:val="auto"/>
          <w:sz w:val="24"/>
          <w:szCs w:val="24"/>
          <w:highlight w:val="none"/>
          <w:vertAlign w:val="subscript"/>
        </w:rPr>
        <w:t>总</w:t>
      </w:r>
      <w:r>
        <w:rPr>
          <w:rFonts w:hint="eastAsia" w:ascii="宋体" w:hAnsi="宋体" w:eastAsia="宋体" w:cs="Times New Roman"/>
          <w:color w:val="auto"/>
          <w:sz w:val="24"/>
          <w:szCs w:val="24"/>
          <w:highlight w:val="none"/>
        </w:rPr>
        <w:t>确定原则：（注：只能选择一种方式，在选定的方式前的“□”内打“√”）</w:t>
      </w:r>
    </w:p>
    <w:p>
      <w:pPr>
        <w:spacing w:line="360" w:lineRule="auto"/>
        <w:ind w:left="420"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□按投标文件商务标书中某工种总人工费所占比例确定。</w:t>
      </w:r>
    </w:p>
    <w:p>
      <w:pPr>
        <w:spacing w:line="360" w:lineRule="auto"/>
        <w:ind w:left="1185" w:leftChars="450" w:hanging="240" w:hangingChars="1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□按合同价格（工料机调差前）的一定比例确定：普工总人工费为合同价格（工料机调差前）的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%；技工总人工费为合同价格（工料机调差前）的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%；高级技工总人工费为合同价格（工料机调差前）的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spacing w:line="360" w:lineRule="auto"/>
        <w:ind w:left="420"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spacing w:line="360" w:lineRule="auto"/>
        <w:ind w:left="420"/>
        <w:rPr>
          <w:rFonts w:ascii="宋体" w:hAnsi="宋体" w:eastAsia="宋体" w:cs="Times New Roman"/>
          <w:bCs/>
          <w:color w:val="auto"/>
          <w:sz w:val="24"/>
          <w:szCs w:val="24"/>
          <w:highlight w:val="none"/>
          <w:u w:val="single"/>
        </w:rPr>
      </w:pPr>
      <w:r>
        <w:rPr>
          <w:rFonts w:ascii="宋体" w:hAnsi="宋体" w:eastAsia="宋体" w:cs="Times New Roman"/>
          <w:color w:val="auto"/>
          <w:sz w:val="24"/>
          <w:szCs w:val="24"/>
          <w:highlight w:val="none"/>
        </w:rPr>
        <w:drawing>
          <wp:inline distT="0" distB="0" distL="114300" distR="114300">
            <wp:extent cx="152400" cy="142875"/>
            <wp:effectExtent l="0" t="0" r="0" b="9525"/>
            <wp:docPr id="93" name="图片 6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3" name="图片 60"/>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bCs/>
          <w:color w:val="auto"/>
          <w:sz w:val="24"/>
          <w:szCs w:val="24"/>
          <w:highlight w:val="none"/>
        </w:rPr>
        <w:t>③其他：</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112" w:name="_Toc20029"/>
      <w:bookmarkStart w:id="4113" w:name="_Toc4232"/>
      <w:bookmarkStart w:id="4114" w:name="_Toc12678"/>
      <w:bookmarkStart w:id="4115" w:name="_Toc25257"/>
      <w:bookmarkStart w:id="4116" w:name="_Toc27944"/>
      <w:bookmarkStart w:id="4117" w:name="_Toc6627"/>
      <w:bookmarkStart w:id="4118" w:name="_Toc13282"/>
      <w:bookmarkStart w:id="4119" w:name="_Toc12895"/>
      <w:bookmarkStart w:id="4120" w:name="_Toc8489"/>
      <w:r>
        <w:rPr>
          <w:rFonts w:hint="eastAsia" w:ascii="宋体" w:hAnsi="宋体" w:eastAsia="宋体" w:cs="Times New Roman"/>
          <w:b/>
          <w:bCs/>
          <w:color w:val="auto"/>
          <w:kern w:val="0"/>
          <w:sz w:val="24"/>
          <w:szCs w:val="32"/>
          <w:highlight w:val="none"/>
          <w:lang w:val="en-US" w:eastAsia="zh-CN" w:bidi="ar-SA"/>
        </w:rPr>
        <w:t>20.8中标净下浮率</w:t>
      </w:r>
      <w:bookmarkEnd w:id="4110"/>
      <w:bookmarkEnd w:id="4112"/>
      <w:bookmarkEnd w:id="4113"/>
      <w:bookmarkEnd w:id="4114"/>
      <w:bookmarkEnd w:id="4115"/>
      <w:bookmarkEnd w:id="4116"/>
      <w:bookmarkEnd w:id="4117"/>
      <w:bookmarkEnd w:id="4118"/>
      <w:bookmarkEnd w:id="4119"/>
      <w:bookmarkEnd w:id="4120"/>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本工程中标净下浮率为：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121" w:name="_Toc2219"/>
      <w:bookmarkStart w:id="4122" w:name="_Toc12397"/>
      <w:bookmarkStart w:id="4123" w:name="_Toc2115"/>
      <w:bookmarkStart w:id="4124" w:name="_Toc3592"/>
      <w:bookmarkStart w:id="4125" w:name="_Toc30195"/>
      <w:bookmarkStart w:id="4126" w:name="_Toc23975"/>
      <w:bookmarkStart w:id="4127" w:name="_Toc29057"/>
      <w:bookmarkStart w:id="4128" w:name="_Toc25414"/>
      <w:bookmarkStart w:id="4129" w:name="_Toc3678"/>
      <w:r>
        <w:rPr>
          <w:rFonts w:hint="eastAsia" w:ascii="宋体" w:hAnsi="宋体" w:eastAsia="宋体" w:cs="Times New Roman"/>
          <w:b/>
          <w:bCs/>
          <w:color w:val="auto"/>
          <w:kern w:val="0"/>
          <w:sz w:val="24"/>
          <w:szCs w:val="32"/>
          <w:highlight w:val="none"/>
          <w:lang w:val="en-US" w:eastAsia="zh-CN" w:bidi="ar-SA"/>
        </w:rPr>
        <w:t>20.9 询价采购</w:t>
      </w:r>
      <w:bookmarkEnd w:id="4121"/>
      <w:bookmarkEnd w:id="4122"/>
      <w:bookmarkEnd w:id="4123"/>
      <w:bookmarkEnd w:id="4124"/>
      <w:bookmarkEnd w:id="4125"/>
      <w:bookmarkEnd w:id="4126"/>
      <w:bookmarkEnd w:id="4127"/>
      <w:bookmarkEnd w:id="4128"/>
      <w:bookmarkEnd w:id="4129"/>
    </w:p>
    <w:p>
      <w:pPr>
        <w:spacing w:line="360" w:lineRule="auto"/>
        <w:ind w:firstLine="480"/>
        <w:jc w:val="left"/>
        <w:rPr>
          <w:rFonts w:hint="eastAsia"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询价采购的网络服务平台为：</w:t>
      </w: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bCs/>
          <w:color w:val="auto"/>
          <w:sz w:val="24"/>
          <w:szCs w:val="24"/>
          <w:highlight w:val="none"/>
          <w:u w:val="single"/>
        </w:rPr>
      </w:pP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①询价采购小组的组成和成立流程等要求为：</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②询价采购文件编制和审核流程等要求为：</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4130" w:name="_Toc23694"/>
      <w:bookmarkStart w:id="4131" w:name="_Toc3356"/>
      <w:bookmarkStart w:id="4132" w:name="_Toc302636013"/>
      <w:bookmarkStart w:id="4133" w:name="_Toc21605"/>
      <w:bookmarkStart w:id="4134" w:name="_Toc3618"/>
      <w:bookmarkStart w:id="4135" w:name="_Toc11692"/>
      <w:bookmarkStart w:id="4136" w:name="_Toc29553"/>
      <w:bookmarkStart w:id="4137" w:name="_Toc4574"/>
      <w:bookmarkStart w:id="4138" w:name="_Toc11315"/>
      <w:bookmarkStart w:id="4139" w:name="_Toc22041"/>
      <w:r>
        <w:rPr>
          <w:rFonts w:hint="eastAsia" w:ascii="华文细黑" w:hAnsi="宋体" w:eastAsia="宋体" w:cs="Times New Roman"/>
          <w:b/>
          <w:bCs/>
          <w:snapToGrid w:val="0"/>
          <w:color w:val="auto"/>
          <w:kern w:val="0"/>
          <w:sz w:val="28"/>
          <w:szCs w:val="44"/>
          <w:highlight w:val="none"/>
          <w:lang w:val="en-US" w:eastAsia="zh-CN" w:bidi="ar-SA"/>
        </w:rPr>
        <w:t>21暂估价和暂列金额</w:t>
      </w:r>
      <w:bookmarkEnd w:id="4130"/>
      <w:bookmarkEnd w:id="4131"/>
      <w:bookmarkEnd w:id="4132"/>
      <w:bookmarkEnd w:id="4133"/>
      <w:bookmarkEnd w:id="4134"/>
      <w:bookmarkEnd w:id="4135"/>
      <w:bookmarkEnd w:id="4136"/>
      <w:bookmarkEnd w:id="4137"/>
      <w:bookmarkEnd w:id="4138"/>
      <w:bookmarkEnd w:id="4139"/>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140" w:name="_Toc15764"/>
      <w:bookmarkStart w:id="4141" w:name="_Toc11012"/>
      <w:bookmarkStart w:id="4142" w:name="_Toc302636014"/>
      <w:bookmarkStart w:id="4143" w:name="_Toc26695"/>
      <w:bookmarkStart w:id="4144" w:name="_Toc17766"/>
      <w:bookmarkStart w:id="4145" w:name="_Toc24499"/>
      <w:bookmarkStart w:id="4146" w:name="_Toc28725"/>
      <w:bookmarkStart w:id="4147" w:name="_Toc538"/>
      <w:bookmarkStart w:id="4148" w:name="_Toc10516"/>
      <w:bookmarkStart w:id="4149" w:name="_Toc20434"/>
      <w:r>
        <w:rPr>
          <w:rFonts w:hint="eastAsia" w:ascii="宋体" w:hAnsi="宋体" w:eastAsia="宋体" w:cs="Times New Roman"/>
          <w:b/>
          <w:bCs/>
          <w:color w:val="auto"/>
          <w:kern w:val="0"/>
          <w:sz w:val="24"/>
          <w:szCs w:val="32"/>
          <w:highlight w:val="none"/>
          <w:lang w:val="en-US" w:eastAsia="zh-CN" w:bidi="ar-SA"/>
        </w:rPr>
        <w:t>21.1材料设备暂估价</w:t>
      </w:r>
      <w:bookmarkEnd w:id="4140"/>
      <w:bookmarkEnd w:id="4141"/>
      <w:bookmarkEnd w:id="4142"/>
      <w:bookmarkEnd w:id="4143"/>
      <w:bookmarkEnd w:id="4144"/>
      <w:bookmarkEnd w:id="4145"/>
      <w:bookmarkEnd w:id="4146"/>
      <w:bookmarkEnd w:id="4147"/>
      <w:bookmarkEnd w:id="4148"/>
      <w:bookmarkEnd w:id="4149"/>
    </w:p>
    <w:p>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(1)本工程暂估的材料设备的名称、规格、单位和暂估单价见下表：                             (本表可另附页) </w:t>
      </w:r>
    </w:p>
    <w:tbl>
      <w:tblPr>
        <w:tblStyle w:val="4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2"/>
        <w:gridCol w:w="2630"/>
        <w:gridCol w:w="2288"/>
        <w:gridCol w:w="900"/>
        <w:gridCol w:w="20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7" w:right="-107"/>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26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7" w:right="-107"/>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暂估的材料设备名称</w:t>
            </w:r>
          </w:p>
        </w:tc>
        <w:tc>
          <w:tcPr>
            <w:tcW w:w="2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7" w:right="-107"/>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规格</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107"/>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单位</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7" w:right="-107"/>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暂估单价（元）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p>
        </w:tc>
        <w:tc>
          <w:tcPr>
            <w:tcW w:w="263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288"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p>
        </w:tc>
        <w:tc>
          <w:tcPr>
            <w:tcW w:w="263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288"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263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288"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p>
        </w:tc>
        <w:tc>
          <w:tcPr>
            <w:tcW w:w="263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288"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w:t>
            </w:r>
          </w:p>
        </w:tc>
        <w:tc>
          <w:tcPr>
            <w:tcW w:w="263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288"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w:t>
            </w:r>
          </w:p>
        </w:tc>
        <w:tc>
          <w:tcPr>
            <w:tcW w:w="263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288"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p>
        </w:tc>
        <w:tc>
          <w:tcPr>
            <w:tcW w:w="263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288"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074"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bl>
    <w:p>
      <w:pPr>
        <w:spacing w:line="360" w:lineRule="auto"/>
        <w:ind w:firstLine="480"/>
        <w:jc w:val="left"/>
        <w:rPr>
          <w:rFonts w:hint="eastAsia" w:ascii="宋体" w:hAnsi="宋体" w:eastAsia="宋体" w:cs="Times New Roman"/>
          <w:color w:val="auto"/>
          <w:sz w:val="24"/>
          <w:szCs w:val="24"/>
          <w:highlight w:val="none"/>
        </w:rPr>
      </w:pPr>
      <w:bookmarkStart w:id="4150" w:name="_Toc302636015"/>
      <w:r>
        <w:rPr>
          <w:rFonts w:hint="eastAsia" w:ascii="宋体" w:hAnsi="宋体" w:eastAsia="宋体" w:cs="Times New Roman"/>
          <w:color w:val="auto"/>
          <w:sz w:val="24"/>
          <w:szCs w:val="24"/>
          <w:highlight w:val="none"/>
        </w:rPr>
        <w:t>(3)如21.1⑴款所述暂估的材料设备不属于按规定必须招标的，按照以下方式确定该材料设备单价：</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widowControl w:val="0"/>
        <w:numPr>
          <w:ilvl w:val="0"/>
          <w:numId w:val="0"/>
        </w:numPr>
        <w:tabs>
          <w:tab w:val="left" w:pos="540"/>
          <w:tab w:val="left" w:pos="900"/>
          <w:tab w:val="left" w:pos="2340"/>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4151" w:name="_Toc3828"/>
      <w:bookmarkStart w:id="4152" w:name="_Toc18237"/>
      <w:bookmarkStart w:id="4153" w:name="_Toc15689"/>
      <w:bookmarkStart w:id="4154" w:name="_Toc12243"/>
      <w:bookmarkStart w:id="4155" w:name="_Toc24848"/>
      <w:bookmarkStart w:id="4156" w:name="_Toc4647"/>
      <w:bookmarkStart w:id="4157" w:name="_Toc19495"/>
      <w:bookmarkStart w:id="4158" w:name="_Toc23825"/>
      <w:bookmarkStart w:id="4159" w:name="_Toc31786"/>
      <w:r>
        <w:rPr>
          <w:rFonts w:hint="eastAsia" w:ascii="宋体" w:hAnsi="宋体" w:eastAsia="宋体" w:cs="Times New Roman"/>
          <w:b/>
          <w:bCs/>
          <w:color w:val="auto"/>
          <w:kern w:val="0"/>
          <w:sz w:val="24"/>
          <w:szCs w:val="32"/>
          <w:highlight w:val="none"/>
          <w:lang w:val="en-US" w:eastAsia="zh-CN" w:bidi="ar-SA"/>
        </w:rPr>
        <w:t>21.2专业工程暂估价</w:t>
      </w:r>
      <w:bookmarkEnd w:id="4111"/>
      <w:bookmarkEnd w:id="4150"/>
      <w:bookmarkEnd w:id="4151"/>
      <w:bookmarkEnd w:id="4152"/>
      <w:bookmarkEnd w:id="4153"/>
      <w:bookmarkEnd w:id="4154"/>
      <w:bookmarkEnd w:id="4155"/>
      <w:bookmarkEnd w:id="4156"/>
      <w:bookmarkEnd w:id="4157"/>
      <w:bookmarkEnd w:id="4158"/>
      <w:bookmarkEnd w:id="4159"/>
    </w:p>
    <w:p>
      <w:pPr>
        <w:spacing w:line="360" w:lineRule="auto"/>
        <w:ind w:firstLine="48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(1)本工程暂估的专业工程的名称和暂估价款：                                              (本表可另附页)</w:t>
      </w:r>
    </w:p>
    <w:tbl>
      <w:tblPr>
        <w:tblStyle w:val="4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0"/>
        <w:gridCol w:w="5040"/>
        <w:gridCol w:w="2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7" w:right="-107"/>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5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7" w:right="-107"/>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暂估的专业工程名称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07" w:right="-107"/>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暂估价款(万元)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p>
        </w:tc>
        <w:tc>
          <w:tcPr>
            <w:tcW w:w="504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p>
        </w:tc>
        <w:tc>
          <w:tcPr>
            <w:tcW w:w="504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504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p>
        </w:tc>
        <w:tc>
          <w:tcPr>
            <w:tcW w:w="504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w:t>
            </w:r>
          </w:p>
        </w:tc>
        <w:tc>
          <w:tcPr>
            <w:tcW w:w="504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p>
        </w:tc>
        <w:tc>
          <w:tcPr>
            <w:tcW w:w="504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合计</w:t>
            </w:r>
          </w:p>
        </w:tc>
        <w:tc>
          <w:tcPr>
            <w:tcW w:w="504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eastAsia="宋体" w:cs="Times New Roman"/>
                <w:color w:val="auto"/>
                <w:sz w:val="24"/>
                <w:szCs w:val="24"/>
                <w:highlight w:val="none"/>
              </w:rPr>
            </w:pPr>
          </w:p>
        </w:tc>
      </w:tr>
    </w:tbl>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(3)不属于按规定必须招标的暂估的专业工程结算价款的确定方法：</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bookmarkStart w:id="4160" w:name="_Toc35656542"/>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4161" w:name="_Toc12683"/>
      <w:bookmarkStart w:id="4162" w:name="_Toc6164"/>
      <w:bookmarkStart w:id="4163" w:name="_Toc15821"/>
      <w:bookmarkStart w:id="4164" w:name="_Toc305331493"/>
      <w:bookmarkStart w:id="4165" w:name="_Toc16830"/>
      <w:bookmarkStart w:id="4166" w:name="_Toc302636016"/>
      <w:bookmarkStart w:id="4167" w:name="_Toc31595"/>
      <w:bookmarkStart w:id="4168" w:name="_Toc30231"/>
      <w:bookmarkStart w:id="4169" w:name="_Toc19316"/>
      <w:bookmarkStart w:id="4170" w:name="_Toc11835"/>
      <w:bookmarkStart w:id="4171" w:name="_Toc15411"/>
      <w:r>
        <w:rPr>
          <w:rFonts w:hint="eastAsia" w:ascii="华文细黑" w:hAnsi="宋体" w:eastAsia="宋体" w:cs="Times New Roman"/>
          <w:b/>
          <w:bCs/>
          <w:snapToGrid w:val="0"/>
          <w:color w:val="auto"/>
          <w:kern w:val="0"/>
          <w:sz w:val="28"/>
          <w:szCs w:val="44"/>
          <w:highlight w:val="none"/>
          <w:lang w:val="en-US" w:eastAsia="zh-CN" w:bidi="ar-SA"/>
        </w:rPr>
        <w:t>22 工程量</w:t>
      </w:r>
      <w:bookmarkEnd w:id="4160"/>
      <w:r>
        <w:rPr>
          <w:rFonts w:hint="eastAsia" w:ascii="华文细黑" w:hAnsi="宋体" w:eastAsia="宋体" w:cs="Times New Roman"/>
          <w:b/>
          <w:bCs/>
          <w:snapToGrid w:val="0"/>
          <w:color w:val="auto"/>
          <w:kern w:val="0"/>
          <w:sz w:val="28"/>
          <w:szCs w:val="44"/>
          <w:highlight w:val="none"/>
          <w:lang w:val="en-US" w:eastAsia="zh-CN" w:bidi="ar-SA"/>
        </w:rPr>
        <w:t>计量</w:t>
      </w:r>
      <w:bookmarkEnd w:id="4161"/>
      <w:bookmarkEnd w:id="4162"/>
      <w:bookmarkEnd w:id="4163"/>
      <w:bookmarkEnd w:id="4164"/>
      <w:bookmarkEnd w:id="4165"/>
      <w:bookmarkEnd w:id="4166"/>
      <w:bookmarkEnd w:id="4167"/>
      <w:bookmarkEnd w:id="4168"/>
      <w:bookmarkEnd w:id="4169"/>
      <w:bookmarkEnd w:id="4170"/>
      <w:bookmarkEnd w:id="4171"/>
    </w:p>
    <w:p>
      <w:pPr>
        <w:widowControl w:val="0"/>
        <w:numPr>
          <w:ilvl w:val="0"/>
          <w:numId w:val="0"/>
        </w:numPr>
        <w:tabs>
          <w:tab w:val="left" w:pos="540"/>
          <w:tab w:val="left" w:pos="900"/>
          <w:tab w:val="left" w:pos="2340"/>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172" w:name="_Toc20979"/>
      <w:bookmarkStart w:id="4173" w:name="_Toc16413"/>
      <w:bookmarkStart w:id="4174" w:name="_Toc19645"/>
      <w:bookmarkStart w:id="4175" w:name="_Toc302636017"/>
      <w:bookmarkStart w:id="4176" w:name="_Toc11585"/>
      <w:bookmarkStart w:id="4177" w:name="_Toc19050"/>
      <w:bookmarkStart w:id="4178" w:name="_Toc10205"/>
      <w:bookmarkStart w:id="4179" w:name="_Toc305331494"/>
      <w:bookmarkStart w:id="4180" w:name="_Toc13427"/>
      <w:bookmarkStart w:id="4181" w:name="_Toc18051"/>
      <w:bookmarkStart w:id="4182" w:name="_Toc14721"/>
      <w:r>
        <w:rPr>
          <w:rFonts w:hint="eastAsia" w:ascii="宋体" w:hAnsi="宋体" w:eastAsia="宋体" w:cs="Times New Roman"/>
          <w:b/>
          <w:bCs/>
          <w:color w:val="auto"/>
          <w:kern w:val="0"/>
          <w:sz w:val="24"/>
          <w:szCs w:val="32"/>
          <w:highlight w:val="none"/>
          <w:lang w:val="en-US" w:eastAsia="zh-CN" w:bidi="ar-SA"/>
        </w:rPr>
        <w:t>22.3工程量计算规则</w:t>
      </w:r>
      <w:bookmarkEnd w:id="4172"/>
      <w:bookmarkEnd w:id="4173"/>
      <w:bookmarkEnd w:id="4174"/>
      <w:bookmarkEnd w:id="4175"/>
      <w:bookmarkEnd w:id="4176"/>
      <w:bookmarkEnd w:id="4177"/>
      <w:bookmarkEnd w:id="4178"/>
      <w:bookmarkEnd w:id="4179"/>
      <w:bookmarkEnd w:id="4180"/>
      <w:bookmarkEnd w:id="4181"/>
      <w:bookmarkEnd w:id="4182"/>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本工程的工程量计算规则采用：</w:t>
      </w:r>
    </w:p>
    <w:p>
      <w:pPr>
        <w:spacing w:line="360" w:lineRule="auto"/>
        <w:ind w:left="178"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95" name="图片 6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 name="图片 61"/>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《建设工程工程量清单计价规范》(GB50500—2013)；</w:t>
      </w:r>
    </w:p>
    <w:p>
      <w:pPr>
        <w:spacing w:line="360" w:lineRule="auto"/>
        <w:ind w:left="178"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94" name="图片 6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4" name="图片 62"/>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《深圳市建设工程计价规程》（2017）；</w:t>
      </w:r>
    </w:p>
    <w:p>
      <w:pPr>
        <w:spacing w:line="360" w:lineRule="auto"/>
        <w:ind w:left="178" w:firstLine="480"/>
        <w:rPr>
          <w:rFonts w:hint="eastAsia"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drawing>
          <wp:inline distT="0" distB="0" distL="114300" distR="114300">
            <wp:extent cx="152400" cy="142875"/>
            <wp:effectExtent l="0" t="0" r="0" b="9525"/>
            <wp:docPr id="100" name="图片 6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 name="图片 63"/>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 xml:space="preserve">其它工程量计算规则： </w:t>
      </w:r>
    </w:p>
    <w:p>
      <w:pPr>
        <w:spacing w:line="360" w:lineRule="auto"/>
        <w:rPr>
          <w:rFonts w:hint="eastAsia" w:ascii="宋体" w:hAnsi="宋体" w:eastAsia="宋体" w:cs="Times New Roman"/>
          <w:bCs/>
          <w:color w:val="auto"/>
          <w:sz w:val="24"/>
          <w:szCs w:val="24"/>
          <w:highlight w:val="none"/>
          <w:u w:val="single"/>
        </w:rPr>
      </w:pPr>
      <w:bookmarkStart w:id="4183" w:name="_Toc302636018"/>
      <w:bookmarkStart w:id="4184" w:name="_Toc305331495"/>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4185" w:name="_Toc32328"/>
      <w:bookmarkStart w:id="4186" w:name="_Toc4150"/>
      <w:bookmarkStart w:id="4187" w:name="_Toc19906"/>
      <w:bookmarkStart w:id="4188" w:name="_Toc32333"/>
      <w:bookmarkStart w:id="4189" w:name="_Toc24935"/>
      <w:bookmarkStart w:id="4190" w:name="_Toc12852"/>
      <w:bookmarkStart w:id="4191" w:name="_Toc24068"/>
      <w:bookmarkStart w:id="4192" w:name="_Toc14310"/>
      <w:bookmarkStart w:id="4193" w:name="_Toc31572"/>
      <w:r>
        <w:rPr>
          <w:rFonts w:hint="eastAsia" w:ascii="华文细黑" w:hAnsi="宋体" w:eastAsia="宋体" w:cs="Times New Roman"/>
          <w:b/>
          <w:bCs/>
          <w:snapToGrid w:val="0"/>
          <w:color w:val="auto"/>
          <w:kern w:val="0"/>
          <w:sz w:val="28"/>
          <w:szCs w:val="44"/>
          <w:highlight w:val="none"/>
          <w:lang w:val="en-US" w:eastAsia="zh-CN" w:bidi="ar-SA"/>
        </w:rPr>
        <w:t>23 工程款支付</w:t>
      </w:r>
      <w:bookmarkEnd w:id="4183"/>
      <w:bookmarkEnd w:id="4184"/>
      <w:bookmarkEnd w:id="4185"/>
      <w:bookmarkEnd w:id="4186"/>
      <w:bookmarkEnd w:id="4187"/>
      <w:bookmarkEnd w:id="4188"/>
      <w:bookmarkEnd w:id="4189"/>
      <w:bookmarkEnd w:id="4190"/>
      <w:bookmarkEnd w:id="4191"/>
      <w:bookmarkEnd w:id="4192"/>
      <w:bookmarkEnd w:id="4193"/>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194" w:name="_Toc22440"/>
      <w:bookmarkStart w:id="4195" w:name="_Toc26346"/>
      <w:bookmarkStart w:id="4196" w:name="_Toc3343"/>
      <w:bookmarkStart w:id="4197" w:name="_Toc15586"/>
      <w:bookmarkStart w:id="4198" w:name="_Toc302636019"/>
      <w:bookmarkStart w:id="4199" w:name="_Toc823"/>
      <w:bookmarkStart w:id="4200" w:name="_Toc31812"/>
      <w:bookmarkStart w:id="4201" w:name="_Toc20110"/>
      <w:bookmarkStart w:id="4202" w:name="_Toc22054"/>
      <w:bookmarkStart w:id="4203" w:name="_Toc11553"/>
      <w:bookmarkStart w:id="4204" w:name="_Toc305331496"/>
      <w:r>
        <w:rPr>
          <w:rFonts w:hint="eastAsia" w:ascii="宋体" w:hAnsi="宋体" w:eastAsia="宋体" w:cs="Times New Roman"/>
          <w:b/>
          <w:bCs/>
          <w:color w:val="auto"/>
          <w:kern w:val="0"/>
          <w:sz w:val="24"/>
          <w:szCs w:val="32"/>
          <w:highlight w:val="none"/>
          <w:lang w:val="en-US" w:eastAsia="zh-CN" w:bidi="ar-SA"/>
        </w:rPr>
        <w:t>23.1 工程预付款</w:t>
      </w:r>
      <w:bookmarkEnd w:id="4194"/>
      <w:bookmarkEnd w:id="4195"/>
      <w:bookmarkEnd w:id="4196"/>
      <w:bookmarkEnd w:id="4197"/>
      <w:bookmarkEnd w:id="4198"/>
      <w:bookmarkEnd w:id="4199"/>
      <w:bookmarkEnd w:id="4200"/>
      <w:bookmarkEnd w:id="4201"/>
      <w:bookmarkEnd w:id="4202"/>
      <w:bookmarkEnd w:id="4203"/>
      <w:bookmarkEnd w:id="4204"/>
    </w:p>
    <w:p>
      <w:pPr>
        <w:spacing w:line="360" w:lineRule="auto"/>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(1)本工程的工程预付款比例为签约合同价的</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none"/>
        </w:rPr>
        <w:t>%</w:t>
      </w:r>
      <w:r>
        <w:rPr>
          <w:rFonts w:hint="eastAsia" w:ascii="宋体" w:hAnsi="宋体" w:eastAsia="宋体" w:cs="Times New Roman"/>
          <w:sz w:val="24"/>
          <w:szCs w:val="24"/>
          <w:highlight w:val="none"/>
        </w:rPr>
        <w:t>，即：</w:t>
      </w:r>
      <w:r>
        <w:rPr>
          <w:rFonts w:hint="eastAsia" w:ascii="宋体" w:hAnsi="宋体" w:eastAsia="宋体" w:cs="Times New Roman"/>
          <w:sz w:val="24"/>
          <w:szCs w:val="24"/>
          <w:highlight w:val="none"/>
          <w:u w:val="none"/>
        </w:rPr>
        <w:t>￥</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w:t>
      </w:r>
    </w:p>
    <w:p>
      <w:pPr>
        <w:spacing w:line="360" w:lineRule="auto"/>
        <w:ind w:firstLine="84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其中，施工现场安全文明措施费预付款的金额：</w:t>
      </w:r>
      <w:r>
        <w:rPr>
          <w:rFonts w:hint="eastAsia" w:ascii="宋体" w:hAnsi="宋体" w:eastAsia="宋体" w:cs="Times New Roman"/>
          <w:sz w:val="24"/>
          <w:szCs w:val="24"/>
          <w:highlight w:val="none"/>
          <w:u w:val="none"/>
        </w:rPr>
        <w:t>￥</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w:t>
      </w:r>
    </w:p>
    <w:p>
      <w:pPr>
        <w:spacing w:line="360" w:lineRule="auto"/>
        <w:ind w:firstLine="1680" w:firstLineChars="7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工人工资预付款金额：￥</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)发包人向承包人支付工程预付款的时间：</w:t>
      </w:r>
      <w:r>
        <w:rPr>
          <w:rFonts w:hint="eastAsia" w:ascii="宋体" w:hAnsi="宋体" w:eastAsia="宋体" w:cs="Times New Roman"/>
          <w:color w:val="auto"/>
          <w:sz w:val="24"/>
          <w:szCs w:val="24"/>
          <w:highlight w:val="none"/>
          <w:u w:val="single"/>
        </w:rPr>
        <w:t xml:space="preserve">                                 </w:t>
      </w:r>
    </w:p>
    <w:p>
      <w:pPr>
        <w:spacing w:line="360" w:lineRule="auto"/>
        <w:ind w:firstLine="84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发包人支付预付款之前，还应具备的条件：</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)工程预付款扣回的起扣点：</w:t>
      </w:r>
      <w:r>
        <w:rPr>
          <w:rFonts w:hint="eastAsia" w:ascii="宋体" w:hAnsi="宋体" w:eastAsia="宋体" w:cs="Times New Roman"/>
          <w:color w:val="auto"/>
          <w:sz w:val="24"/>
          <w:szCs w:val="24"/>
          <w:highlight w:val="none"/>
          <w:u w:val="single"/>
        </w:rPr>
        <w:t xml:space="preserve">                                             </w:t>
      </w:r>
    </w:p>
    <w:p>
      <w:pPr>
        <w:spacing w:line="360" w:lineRule="auto"/>
        <w:ind w:firstLine="96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工程预付款扣回比例：</w:t>
      </w: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205" w:name="_Toc305331497"/>
      <w:bookmarkStart w:id="4206" w:name="_Toc14341"/>
      <w:bookmarkStart w:id="4207" w:name="_Toc302636020"/>
      <w:bookmarkStart w:id="4208" w:name="_Toc31859"/>
      <w:bookmarkStart w:id="4209" w:name="_Toc30732"/>
      <w:bookmarkStart w:id="4210" w:name="_Toc30448"/>
      <w:bookmarkStart w:id="4211" w:name="_Toc13206"/>
      <w:bookmarkStart w:id="4212" w:name="_Toc5754"/>
      <w:bookmarkStart w:id="4213" w:name="_Toc8895"/>
      <w:bookmarkStart w:id="4214" w:name="_Toc21651"/>
      <w:bookmarkStart w:id="4215" w:name="_Toc5386"/>
      <w:r>
        <w:rPr>
          <w:rFonts w:hint="eastAsia" w:ascii="宋体" w:hAnsi="宋体" w:eastAsia="宋体" w:cs="Times New Roman"/>
          <w:b/>
          <w:bCs/>
          <w:color w:val="auto"/>
          <w:kern w:val="0"/>
          <w:sz w:val="24"/>
          <w:szCs w:val="32"/>
          <w:highlight w:val="none"/>
          <w:lang w:val="en-US" w:eastAsia="zh-CN" w:bidi="ar-SA"/>
        </w:rPr>
        <w:t xml:space="preserve">23.2 </w:t>
      </w:r>
      <w:bookmarkEnd w:id="4205"/>
      <w:bookmarkEnd w:id="4206"/>
      <w:bookmarkEnd w:id="4207"/>
      <w:r>
        <w:rPr>
          <w:rFonts w:hint="eastAsia" w:ascii="宋体" w:hAnsi="宋体" w:eastAsia="宋体" w:cs="Times New Roman"/>
          <w:b/>
          <w:bCs/>
          <w:color w:val="auto"/>
          <w:kern w:val="0"/>
          <w:sz w:val="24"/>
          <w:szCs w:val="24"/>
          <w:highlight w:val="none"/>
          <w:lang w:val="en-US" w:eastAsia="zh-CN" w:bidi="ar-SA"/>
        </w:rPr>
        <w:t>进度款支付周期</w:t>
      </w:r>
      <w:bookmarkEnd w:id="4208"/>
      <w:bookmarkEnd w:id="4209"/>
      <w:bookmarkEnd w:id="4210"/>
      <w:bookmarkEnd w:id="4211"/>
      <w:bookmarkEnd w:id="4212"/>
      <w:bookmarkEnd w:id="4213"/>
      <w:bookmarkEnd w:id="4214"/>
      <w:bookmarkEnd w:id="4215"/>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(1)本工程办理</w:t>
      </w:r>
      <w:r>
        <w:rPr>
          <w:rFonts w:hint="eastAsia" w:ascii="宋体" w:hAnsi="宋体" w:eastAsia="宋体" w:cs="Times New Roman"/>
          <w:color w:val="auto"/>
          <w:sz w:val="24"/>
          <w:szCs w:val="24"/>
          <w:highlight w:val="none"/>
          <w:lang w:val="en-US" w:eastAsia="zh-CN"/>
        </w:rPr>
        <w:t>进度款</w:t>
      </w:r>
      <w:r>
        <w:rPr>
          <w:rFonts w:hint="eastAsia" w:ascii="宋体" w:hAnsi="宋体" w:eastAsia="宋体" w:cs="Times New Roman"/>
          <w:color w:val="auto"/>
          <w:sz w:val="24"/>
          <w:szCs w:val="24"/>
          <w:highlight w:val="none"/>
        </w:rPr>
        <w:t>支付的时间间隔为：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216" w:name="_Toc2777"/>
      <w:bookmarkStart w:id="4217" w:name="_Toc11685"/>
      <w:bookmarkStart w:id="4218" w:name="_Toc16255"/>
      <w:bookmarkStart w:id="4219" w:name="_Toc4462"/>
      <w:bookmarkStart w:id="4220" w:name="_Toc22483"/>
      <w:bookmarkStart w:id="4221" w:name="_Toc30528"/>
      <w:bookmarkStart w:id="4222" w:name="_Toc22105"/>
      <w:bookmarkStart w:id="4223" w:name="_Toc305331499"/>
      <w:bookmarkStart w:id="4224" w:name="_Toc2977"/>
      <w:bookmarkStart w:id="4225" w:name="_Toc3713"/>
      <w:bookmarkStart w:id="4226" w:name="_Toc302636021"/>
      <w:r>
        <w:rPr>
          <w:rFonts w:hint="eastAsia" w:ascii="宋体" w:hAnsi="宋体" w:eastAsia="宋体" w:cs="Times New Roman"/>
          <w:b/>
          <w:bCs/>
          <w:color w:val="auto"/>
          <w:kern w:val="0"/>
          <w:sz w:val="24"/>
          <w:szCs w:val="32"/>
          <w:highlight w:val="none"/>
          <w:lang w:val="en-US" w:eastAsia="zh-CN" w:bidi="ar-SA"/>
        </w:rPr>
        <w:t>23.4 进度款支付</w:t>
      </w:r>
      <w:bookmarkEnd w:id="4216"/>
      <w:bookmarkEnd w:id="4217"/>
      <w:bookmarkEnd w:id="4218"/>
      <w:bookmarkEnd w:id="4219"/>
      <w:bookmarkEnd w:id="4220"/>
      <w:bookmarkEnd w:id="4221"/>
      <w:bookmarkEnd w:id="4222"/>
      <w:bookmarkEnd w:id="4223"/>
      <w:bookmarkEnd w:id="4224"/>
      <w:bookmarkEnd w:id="4225"/>
      <w:bookmarkEnd w:id="4226"/>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eastAsia="zh-CN"/>
        </w:rPr>
        <w:t>进度款</w:t>
      </w:r>
      <w:r>
        <w:rPr>
          <w:rFonts w:hint="eastAsia" w:ascii="宋体" w:hAnsi="宋体" w:eastAsia="宋体" w:cs="Times New Roman"/>
          <w:color w:val="auto"/>
          <w:sz w:val="24"/>
          <w:szCs w:val="24"/>
          <w:highlight w:val="none"/>
        </w:rPr>
        <w:t>支付的最低金额为：</w:t>
      </w:r>
      <w:r>
        <w:rPr>
          <w:rFonts w:hint="eastAsia" w:ascii="宋体" w:hAnsi="宋体" w:eastAsia="宋体" w:cs="Times New Roman"/>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(2)累计进度款支付价款达到合同价格总额的</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%时暂停支付</w:t>
      </w:r>
      <w:r>
        <w:rPr>
          <w:rFonts w:hint="eastAsia" w:ascii="宋体" w:hAnsi="宋体" w:eastAsia="宋体" w:cs="Times New Roman"/>
          <w:color w:val="auto"/>
          <w:sz w:val="24"/>
          <w:szCs w:val="24"/>
          <w:highlight w:val="none"/>
          <w:lang w:eastAsia="zh-CN"/>
        </w:rPr>
        <w:t>。</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227" w:name="_Toc18117"/>
      <w:bookmarkStart w:id="4228" w:name="_Toc23026"/>
      <w:bookmarkStart w:id="4229" w:name="_Toc18203"/>
      <w:bookmarkStart w:id="4230" w:name="_Toc12610"/>
      <w:bookmarkStart w:id="4231" w:name="_Toc19330"/>
      <w:bookmarkStart w:id="4232" w:name="_Toc15724"/>
      <w:bookmarkStart w:id="4233" w:name="_Toc12460"/>
      <w:bookmarkStart w:id="4234" w:name="_Toc22728"/>
      <w:bookmarkStart w:id="4235" w:name="_Toc13824"/>
      <w:bookmarkStart w:id="4236" w:name="_Toc305331500"/>
      <w:bookmarkStart w:id="4237" w:name="_Toc302636022"/>
      <w:bookmarkStart w:id="4238" w:name="_Toc35656544"/>
      <w:r>
        <w:rPr>
          <w:rFonts w:hint="eastAsia" w:ascii="宋体" w:hAnsi="宋体" w:eastAsia="宋体" w:cs="Times New Roman"/>
          <w:b/>
          <w:bCs/>
          <w:color w:val="auto"/>
          <w:kern w:val="0"/>
          <w:sz w:val="24"/>
          <w:szCs w:val="32"/>
          <w:highlight w:val="none"/>
          <w:lang w:val="en-US" w:eastAsia="zh-CN" w:bidi="ar-SA"/>
        </w:rPr>
        <w:t>23.5 工人工资支付</w:t>
      </w:r>
      <w:bookmarkEnd w:id="4227"/>
      <w:bookmarkEnd w:id="4228"/>
      <w:bookmarkEnd w:id="4229"/>
      <w:bookmarkEnd w:id="4230"/>
      <w:bookmarkEnd w:id="4231"/>
      <w:bookmarkEnd w:id="4232"/>
      <w:bookmarkEnd w:id="4233"/>
      <w:bookmarkEnd w:id="4234"/>
      <w:bookmarkEnd w:id="4235"/>
    </w:p>
    <w:p>
      <w:pPr>
        <w:spacing w:line="360" w:lineRule="auto"/>
        <w:ind w:firstLine="480"/>
        <w:rPr>
          <w:rFonts w:hint="eastAsia" w:ascii="宋体" w:hAnsi="宋体"/>
          <w:sz w:val="24"/>
          <w:highlight w:val="none"/>
        </w:rPr>
      </w:pPr>
      <w:bookmarkStart w:id="4239" w:name="_Toc448841291"/>
      <w:bookmarkStart w:id="4240" w:name="_Toc453616623"/>
      <w:r>
        <w:rPr>
          <w:rFonts w:hint="eastAsia" w:ascii="宋体" w:hAnsi="宋体"/>
          <w:sz w:val="24"/>
          <w:highlight w:val="none"/>
        </w:rPr>
        <w:t>发包人支付到工人工资专用账户的工人工资支付周期为：</w:t>
      </w:r>
      <w:r>
        <w:rPr>
          <w:rFonts w:hint="eastAsia" w:ascii="宋体" w:hAnsi="宋体"/>
          <w:sz w:val="24"/>
          <w:highlight w:val="none"/>
          <w:u w:val="single"/>
        </w:rPr>
        <w:t xml:space="preserve">                </w:t>
      </w:r>
      <w:r>
        <w:rPr>
          <w:rFonts w:hint="eastAsia" w:ascii="宋体" w:hAnsi="宋体"/>
          <w:sz w:val="24"/>
          <w:highlight w:val="none"/>
        </w:rPr>
        <w:t>，该工人工资支付周期不得超过1个月。</w:t>
      </w:r>
    </w:p>
    <w:p>
      <w:pPr>
        <w:spacing w:line="360" w:lineRule="auto"/>
        <w:ind w:firstLine="480"/>
        <w:rPr>
          <w:rFonts w:hint="eastAsia" w:ascii="宋体" w:hAnsi="宋体"/>
          <w:sz w:val="24"/>
          <w:highlight w:val="none"/>
        </w:rPr>
      </w:pPr>
      <w:r>
        <w:rPr>
          <w:rFonts w:hint="eastAsia" w:ascii="宋体" w:hAnsi="宋体"/>
          <w:sz w:val="24"/>
          <w:highlight w:val="none"/>
          <w:lang w:eastAsia="zh-CN"/>
        </w:rPr>
        <w:t>发包人</w:t>
      </w:r>
      <w:r>
        <w:rPr>
          <w:rFonts w:hint="eastAsia" w:ascii="宋体" w:hAnsi="宋体"/>
          <w:sz w:val="24"/>
          <w:highlight w:val="none"/>
        </w:rPr>
        <w:t>每月工人工资拨付金额占本期进度款的比例为：</w:t>
      </w:r>
      <w:r>
        <w:rPr>
          <w:rFonts w:hint="eastAsia" w:ascii="宋体" w:hAnsi="宋体"/>
          <w:sz w:val="24"/>
          <w:highlight w:val="none"/>
          <w:u w:val="single"/>
        </w:rPr>
        <w:t xml:space="preserve">       </w:t>
      </w:r>
      <w:r>
        <w:rPr>
          <w:rFonts w:hint="eastAsia" w:ascii="宋体" w:hAnsi="宋体"/>
          <w:sz w:val="24"/>
          <w:highlight w:val="none"/>
        </w:rPr>
        <w:t>。（房屋建筑工程基础施工、主体施工、装修装饰施工、收尾阶段分别不少于本期进度款的8%、30%、18%、20%；市政工程(含水务工程)不少于本期进度款的13%；其他工程为本期进度款的15%-20%）</w:t>
      </w:r>
    </w:p>
    <w:p>
      <w:pPr>
        <w:spacing w:line="360" w:lineRule="auto"/>
        <w:ind w:firstLine="480"/>
        <w:rPr>
          <w:rFonts w:hint="eastAsia" w:ascii="宋体" w:hAnsi="宋体"/>
          <w:sz w:val="24"/>
          <w:highlight w:val="none"/>
        </w:rPr>
      </w:pPr>
      <w:r>
        <w:rPr>
          <w:rFonts w:hint="eastAsia" w:ascii="宋体" w:hAnsi="宋体"/>
          <w:sz w:val="24"/>
          <w:highlight w:val="none"/>
        </w:rPr>
        <w:t>发包人和承包人应结合项目实际，合理确定上述比例。</w:t>
      </w:r>
    </w:p>
    <w:p>
      <w:pPr>
        <w:spacing w:line="360" w:lineRule="auto"/>
        <w:ind w:firstLine="480"/>
        <w:rPr>
          <w:rFonts w:hint="default" w:ascii="宋体" w:hAnsi="宋体" w:eastAsia="宋体"/>
          <w:sz w:val="24"/>
          <w:highlight w:val="none"/>
          <w:u w:val="single"/>
          <w:lang w:val="en-US" w:eastAsia="zh-CN"/>
        </w:rPr>
      </w:pPr>
      <w:r>
        <w:rPr>
          <w:rFonts w:hint="eastAsia" w:ascii="宋体" w:hAnsi="宋体"/>
          <w:sz w:val="24"/>
          <w:highlight w:val="none"/>
        </w:rPr>
        <w:t>如因非承包人原因导致按上述比例不足以满足本工程工人工资足额发放的，双方可以协商调整上述比例，具体调整方式为：</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p>
    <w:p>
      <w:pPr>
        <w:spacing w:line="360" w:lineRule="auto"/>
        <w:ind w:firstLine="480"/>
        <w:rPr>
          <w:rFonts w:hint="eastAsia" w:ascii="宋体" w:hAnsi="宋体"/>
          <w:sz w:val="24"/>
          <w:highlight w:val="none"/>
        </w:rPr>
      </w:pPr>
      <w:r>
        <w:rPr>
          <w:rFonts w:hint="eastAsia" w:ascii="宋体" w:hAnsi="宋体"/>
          <w:sz w:val="24"/>
          <w:highlight w:val="none"/>
        </w:rPr>
        <w:t>承包人已确认上述比例及调整的约定，能满足本工程的工人工资足额发放。</w:t>
      </w:r>
    </w:p>
    <w:p>
      <w:pPr>
        <w:spacing w:line="360" w:lineRule="auto"/>
        <w:ind w:firstLine="480"/>
        <w:rPr>
          <w:rFonts w:hint="eastAsia" w:ascii="宋体" w:hAnsi="宋体"/>
          <w:bCs/>
          <w:sz w:val="24"/>
          <w:highlight w:val="none"/>
          <w:u w:val="single"/>
        </w:rPr>
      </w:pPr>
      <w:r>
        <w:rPr>
          <w:rFonts w:hint="eastAsia" w:ascii="宋体" w:hAnsi="宋体"/>
          <w:sz w:val="24"/>
          <w:highlight w:val="none"/>
        </w:rPr>
        <w:t>本工程工人工资支付的其他约定：</w:t>
      </w:r>
      <w:r>
        <w:rPr>
          <w:rFonts w:hint="eastAsia" w:ascii="宋体" w:hAnsi="宋体"/>
          <w:sz w:val="24"/>
          <w:highlight w:val="none"/>
          <w:u w:val="single"/>
        </w:rPr>
        <w:t xml:space="preserve">                          </w:t>
      </w:r>
      <w:r>
        <w:rPr>
          <w:rFonts w:hint="eastAsia" w:ascii="宋体" w:hAnsi="宋体"/>
          <w:bCs/>
          <w:sz w:val="24"/>
          <w:highlight w:val="none"/>
          <w:u w:val="single"/>
        </w:rPr>
        <w:t xml:space="preserve">                </w:t>
      </w:r>
    </w:p>
    <w:p>
      <w:pPr>
        <w:spacing w:line="360" w:lineRule="auto"/>
        <w:rPr>
          <w:rFonts w:hint="eastAsia" w:ascii="宋体" w:hAnsi="宋体"/>
          <w:bCs/>
          <w:sz w:val="24"/>
          <w:highlight w:val="none"/>
          <w:u w:val="single"/>
        </w:rPr>
      </w:pPr>
      <w:r>
        <w:rPr>
          <w:rFonts w:hint="eastAsia" w:ascii="宋体" w:hAnsi="宋体"/>
          <w:bCs/>
          <w:sz w:val="24"/>
          <w:highlight w:val="none"/>
          <w:u w:val="single"/>
        </w:rPr>
        <w:t xml:space="preserve">                                                                            </w:t>
      </w:r>
    </w:p>
    <w:bookmarkEnd w:id="4239"/>
    <w:bookmarkEnd w:id="4240"/>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241" w:name="_Toc6577"/>
      <w:bookmarkStart w:id="4242" w:name="_Toc30061"/>
      <w:bookmarkStart w:id="4243" w:name="_Toc2519"/>
      <w:bookmarkStart w:id="4244" w:name="_Toc26382"/>
      <w:bookmarkStart w:id="4245" w:name="_Toc13564"/>
      <w:bookmarkStart w:id="4246" w:name="_Toc15757"/>
      <w:bookmarkStart w:id="4247" w:name="_Toc6156"/>
      <w:bookmarkStart w:id="4248" w:name="_Toc20072"/>
      <w:bookmarkStart w:id="4249" w:name="_Toc27877"/>
      <w:r>
        <w:rPr>
          <w:rFonts w:hint="eastAsia" w:ascii="宋体" w:hAnsi="宋体" w:eastAsia="宋体" w:cs="Times New Roman"/>
          <w:b/>
          <w:bCs/>
          <w:color w:val="auto"/>
          <w:kern w:val="0"/>
          <w:sz w:val="24"/>
          <w:szCs w:val="32"/>
          <w:highlight w:val="none"/>
          <w:lang w:val="en-US" w:eastAsia="zh-CN" w:bidi="ar-SA"/>
        </w:rPr>
        <w:t>23.6 工程款专款专用</w:t>
      </w:r>
      <w:bookmarkEnd w:id="4236"/>
      <w:bookmarkEnd w:id="4237"/>
      <w:bookmarkEnd w:id="4241"/>
      <w:bookmarkEnd w:id="4242"/>
      <w:bookmarkEnd w:id="4243"/>
      <w:bookmarkEnd w:id="4244"/>
      <w:bookmarkEnd w:id="4245"/>
      <w:bookmarkEnd w:id="4246"/>
      <w:bookmarkEnd w:id="4247"/>
      <w:bookmarkEnd w:id="4248"/>
      <w:bookmarkEnd w:id="4249"/>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发包人有权采取以下方式对承包人的工程款使用情况进行监管：</w:t>
      </w:r>
    </w:p>
    <w:p>
      <w:pPr>
        <w:spacing w:line="360" w:lineRule="auto"/>
        <w:ind w:firstLine="12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rPr>
        <w:drawing>
          <wp:inline distT="0" distB="0" distL="114300" distR="114300">
            <wp:extent cx="152400" cy="142875"/>
            <wp:effectExtent l="0" t="0" r="0" b="9525"/>
            <wp:docPr id="99" name="图片 6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 name="图片 64"/>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b/>
          <w:color w:val="auto"/>
          <w:sz w:val="24"/>
          <w:szCs w:val="24"/>
          <w:highlight w:val="none"/>
        </w:rPr>
        <w:t>资金共管</w:t>
      </w:r>
      <w:r>
        <w:rPr>
          <w:rFonts w:hint="eastAsia" w:ascii="宋体" w:hAnsi="宋体" w:eastAsia="宋体" w:cs="Times New Roman"/>
          <w:color w:val="auto"/>
          <w:sz w:val="24"/>
          <w:szCs w:val="24"/>
          <w:highlight w:val="none"/>
        </w:rPr>
        <w:t>：发包人可要求承包人建立共管账户，工程进度款支付到以发包人名义设立的共管账户中，承包人对外支付时需得到发包人的批准，并加盖发包人指定人员的印签。资金共管的范围包括但不限于工程预付款、工程进度款、安全文明措施费等。</w:t>
      </w:r>
    </w:p>
    <w:p>
      <w:pPr>
        <w:spacing w:line="360" w:lineRule="auto"/>
        <w:ind w:firstLine="36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rPr>
        <w:drawing>
          <wp:inline distT="0" distB="0" distL="114300" distR="114300">
            <wp:extent cx="152400" cy="142875"/>
            <wp:effectExtent l="0" t="0" r="0" b="9525"/>
            <wp:docPr id="96" name="图片 6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 name="图片 65"/>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b/>
          <w:color w:val="auto"/>
          <w:sz w:val="24"/>
          <w:szCs w:val="24"/>
          <w:highlight w:val="none"/>
        </w:rPr>
        <w:t>暂停支付</w:t>
      </w:r>
      <w:r>
        <w:rPr>
          <w:rFonts w:hint="eastAsia" w:ascii="宋体" w:hAnsi="宋体" w:eastAsia="宋体" w:cs="Times New Roman"/>
          <w:color w:val="auto"/>
          <w:sz w:val="24"/>
          <w:szCs w:val="24"/>
          <w:highlight w:val="none"/>
        </w:rPr>
        <w:t>：发包人有权在下一期</w:t>
      </w:r>
      <w:r>
        <w:rPr>
          <w:rFonts w:hint="eastAsia" w:ascii="宋体" w:hAnsi="宋体" w:eastAsia="宋体" w:cs="Times New Roman"/>
          <w:color w:val="auto"/>
          <w:sz w:val="24"/>
          <w:szCs w:val="24"/>
          <w:highlight w:val="none"/>
          <w:lang w:eastAsia="zh-CN"/>
        </w:rPr>
        <w:t>进度款</w:t>
      </w:r>
      <w:r>
        <w:rPr>
          <w:rFonts w:hint="eastAsia" w:ascii="宋体" w:hAnsi="宋体" w:eastAsia="宋体" w:cs="Times New Roman"/>
          <w:color w:val="auto"/>
          <w:sz w:val="24"/>
          <w:szCs w:val="24"/>
          <w:highlight w:val="none"/>
        </w:rPr>
        <w:t>支付时暂停支付与承包人挪用款额相等的工程款；</w:t>
      </w:r>
    </w:p>
    <w:p>
      <w:pPr>
        <w:spacing w:line="360" w:lineRule="auto"/>
        <w:ind w:firstLine="12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rPr>
        <w:drawing>
          <wp:inline distT="0" distB="0" distL="114300" distR="114300">
            <wp:extent cx="152400" cy="142875"/>
            <wp:effectExtent l="0" t="0" r="0" b="9525"/>
            <wp:docPr id="98" name="图片 6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8" name="图片 66"/>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b/>
          <w:color w:val="auto"/>
          <w:sz w:val="24"/>
          <w:szCs w:val="24"/>
          <w:highlight w:val="none"/>
        </w:rPr>
        <w:t>代付分包工程款和材料款</w:t>
      </w:r>
      <w:r>
        <w:rPr>
          <w:rFonts w:hint="eastAsia" w:ascii="宋体" w:hAnsi="宋体" w:eastAsia="宋体" w:cs="Times New Roman"/>
          <w:color w:val="auto"/>
          <w:sz w:val="24"/>
          <w:szCs w:val="24"/>
          <w:highlight w:val="none"/>
        </w:rPr>
        <w:t>：发包人有权根据承包人与分包人(含劳务分包人)、材料供应商的期中结算，在应付承包人的进度款中扣除并代为支付该期分包工程款与材料款；</w:t>
      </w:r>
    </w:p>
    <w:p>
      <w:pPr>
        <w:spacing w:line="360" w:lineRule="auto"/>
        <w:ind w:firstLine="480"/>
        <w:rPr>
          <w:rFonts w:hint="eastAsia"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drawing>
          <wp:inline distT="0" distB="0" distL="114300" distR="114300">
            <wp:extent cx="152400" cy="142875"/>
            <wp:effectExtent l="0" t="0" r="0" b="9525"/>
            <wp:docPr id="97" name="图片 6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7" name="图片 67"/>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其他：</w:t>
      </w:r>
      <w:r>
        <w:rPr>
          <w:rFonts w:hint="eastAsia" w:ascii="宋体" w:hAnsi="宋体" w:eastAsia="宋体" w:cs="Times New Roman"/>
          <w:color w:val="auto"/>
          <w:kern w:val="0"/>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hint="eastAsia" w:ascii="华文细黑" w:hAnsi="宋体" w:eastAsia="宋体" w:cs="Times New Roman"/>
          <w:b/>
          <w:bCs/>
          <w:snapToGrid w:val="0"/>
          <w:color w:val="auto"/>
          <w:kern w:val="0"/>
          <w:sz w:val="28"/>
          <w:szCs w:val="44"/>
          <w:highlight w:val="none"/>
          <w:lang w:val="en-US" w:eastAsia="zh-CN" w:bidi="ar-SA"/>
        </w:rPr>
      </w:pPr>
      <w:bookmarkStart w:id="4250" w:name="_Toc302636023"/>
      <w:bookmarkStart w:id="4251" w:name="_Toc32401"/>
      <w:bookmarkStart w:id="4252" w:name="_Toc18587"/>
      <w:bookmarkStart w:id="4253" w:name="_Toc4988"/>
      <w:bookmarkStart w:id="4254" w:name="_Toc16976"/>
      <w:bookmarkStart w:id="4255" w:name="_Toc12882"/>
      <w:bookmarkStart w:id="4256" w:name="_Toc305331501"/>
      <w:bookmarkStart w:id="4257" w:name="_Toc23218"/>
      <w:bookmarkStart w:id="4258" w:name="_Toc15310"/>
      <w:bookmarkStart w:id="4259" w:name="_Toc29466"/>
      <w:bookmarkStart w:id="4260" w:name="_Toc15194"/>
      <w:r>
        <w:rPr>
          <w:rFonts w:hint="eastAsia" w:ascii="华文细黑" w:hAnsi="宋体" w:eastAsia="宋体" w:cs="Times New Roman"/>
          <w:b/>
          <w:bCs/>
          <w:snapToGrid w:val="0"/>
          <w:color w:val="auto"/>
          <w:kern w:val="0"/>
          <w:sz w:val="28"/>
          <w:szCs w:val="44"/>
          <w:highlight w:val="none"/>
          <w:lang w:val="en-US" w:eastAsia="zh-CN" w:bidi="ar-SA"/>
        </w:rPr>
        <w:t>24 工程变更</w:t>
      </w:r>
      <w:bookmarkEnd w:id="4250"/>
      <w:bookmarkEnd w:id="4251"/>
      <w:bookmarkEnd w:id="4252"/>
      <w:bookmarkEnd w:id="4253"/>
      <w:bookmarkEnd w:id="4254"/>
      <w:bookmarkEnd w:id="4255"/>
      <w:bookmarkEnd w:id="4256"/>
      <w:bookmarkEnd w:id="4257"/>
      <w:bookmarkEnd w:id="4258"/>
      <w:bookmarkEnd w:id="4259"/>
      <w:bookmarkEnd w:id="4260"/>
    </w:p>
    <w:p>
      <w:pPr>
        <w:widowControl w:val="0"/>
        <w:numPr>
          <w:ilvl w:val="0"/>
          <w:numId w:val="0"/>
        </w:numPr>
        <w:tabs>
          <w:tab w:val="left" w:pos="540"/>
          <w:tab w:val="left" w:pos="900"/>
          <w:tab w:val="left" w:pos="2340"/>
          <w:tab w:val="left" w:pos="4032"/>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4261" w:name="_Toc25146"/>
      <w:bookmarkStart w:id="4262" w:name="_Toc16981"/>
      <w:bookmarkStart w:id="4263" w:name="_Toc5424"/>
      <w:bookmarkStart w:id="4264" w:name="_Toc7619"/>
      <w:bookmarkStart w:id="4265" w:name="_Toc31738"/>
      <w:bookmarkStart w:id="4266" w:name="_Toc302636024"/>
      <w:bookmarkStart w:id="4267" w:name="_Toc25086"/>
      <w:bookmarkStart w:id="4268" w:name="_Toc19474"/>
      <w:bookmarkStart w:id="4269" w:name="_Toc7397"/>
      <w:bookmarkStart w:id="4270" w:name="_Toc305331502"/>
      <w:bookmarkStart w:id="4271" w:name="_Toc30393"/>
      <w:r>
        <w:rPr>
          <w:rFonts w:hint="eastAsia" w:ascii="宋体" w:hAnsi="宋体" w:eastAsia="宋体" w:cs="Times New Roman"/>
          <w:b/>
          <w:bCs/>
          <w:color w:val="auto"/>
          <w:kern w:val="0"/>
          <w:sz w:val="24"/>
          <w:szCs w:val="32"/>
          <w:highlight w:val="none"/>
          <w:lang w:val="en-US" w:eastAsia="zh-CN" w:bidi="ar-SA"/>
        </w:rPr>
        <w:t>24.3 工程变更程序</w:t>
      </w:r>
      <w:bookmarkEnd w:id="4261"/>
      <w:bookmarkEnd w:id="4262"/>
      <w:bookmarkEnd w:id="4263"/>
      <w:bookmarkEnd w:id="4264"/>
      <w:bookmarkEnd w:id="4265"/>
      <w:bookmarkEnd w:id="4266"/>
      <w:bookmarkEnd w:id="4267"/>
      <w:bookmarkEnd w:id="4268"/>
      <w:bookmarkEnd w:id="4269"/>
      <w:bookmarkEnd w:id="4270"/>
      <w:bookmarkEnd w:id="4271"/>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本工程的工程变更(包括设计变更、现场签证等)的管理规定如下：</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ind w:firstLine="480" w:firstLineChars="200"/>
        <w:rPr>
          <w:rFonts w:hint="eastAsia" w:ascii="宋体" w:hAnsi="宋体" w:eastAsia="宋体" w:cs="Times New Roman"/>
          <w:bCs/>
          <w:color w:val="auto"/>
          <w:sz w:val="24"/>
          <w:szCs w:val="24"/>
          <w:highlight w:val="none"/>
          <w:u w:val="single"/>
        </w:rPr>
      </w:pP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设计变更超过原设计标准或批复建设规模时，发包人完成审批手续办理的时限为：</w:t>
      </w: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272" w:name="_Toc18497"/>
      <w:bookmarkStart w:id="4273" w:name="_Toc4059"/>
      <w:bookmarkStart w:id="4274" w:name="_Toc8235"/>
      <w:bookmarkStart w:id="4275" w:name="_Toc829"/>
      <w:bookmarkStart w:id="4276" w:name="_Toc8603"/>
      <w:bookmarkStart w:id="4277" w:name="_Toc19560"/>
      <w:bookmarkStart w:id="4278" w:name="_Toc302636025"/>
      <w:bookmarkStart w:id="4279" w:name="_Toc13753"/>
      <w:bookmarkStart w:id="4280" w:name="_Toc9724"/>
      <w:bookmarkStart w:id="4281" w:name="_Toc17012"/>
      <w:bookmarkStart w:id="4282" w:name="_Toc305331504"/>
      <w:r>
        <w:rPr>
          <w:rFonts w:hint="eastAsia" w:ascii="宋体" w:hAnsi="宋体" w:eastAsia="宋体" w:cs="Times New Roman"/>
          <w:b/>
          <w:bCs/>
          <w:color w:val="auto"/>
          <w:kern w:val="0"/>
          <w:sz w:val="24"/>
          <w:szCs w:val="32"/>
          <w:highlight w:val="none"/>
          <w:lang w:val="en-US" w:eastAsia="zh-CN" w:bidi="ar-SA"/>
        </w:rPr>
        <w:t>24.6 价值工程</w:t>
      </w:r>
      <w:bookmarkEnd w:id="4272"/>
      <w:bookmarkEnd w:id="4273"/>
      <w:bookmarkEnd w:id="4274"/>
      <w:bookmarkEnd w:id="4275"/>
      <w:bookmarkEnd w:id="4276"/>
      <w:bookmarkEnd w:id="4277"/>
      <w:bookmarkEnd w:id="4278"/>
      <w:bookmarkEnd w:id="4279"/>
      <w:bookmarkEnd w:id="4280"/>
      <w:bookmarkEnd w:id="4281"/>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(3)发包人同意采用承包人合理化建议，所发生的费用和获得的收益按以下约定分担或分享：</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4283" w:name="_Toc10889"/>
      <w:bookmarkStart w:id="4284" w:name="_Toc1511"/>
      <w:bookmarkStart w:id="4285" w:name="_Toc7970"/>
      <w:bookmarkStart w:id="4286" w:name="_Toc18609"/>
      <w:bookmarkStart w:id="4287" w:name="_Toc19831"/>
      <w:bookmarkStart w:id="4288" w:name="_Toc302636026"/>
      <w:bookmarkStart w:id="4289" w:name="_Toc23250"/>
      <w:bookmarkStart w:id="4290" w:name="_Toc9444"/>
      <w:bookmarkStart w:id="4291" w:name="_Toc30518"/>
      <w:bookmarkStart w:id="4292" w:name="_Toc25397"/>
      <w:r>
        <w:rPr>
          <w:rFonts w:hint="eastAsia" w:ascii="华文细黑" w:hAnsi="宋体" w:eastAsia="宋体" w:cs="Times New Roman"/>
          <w:b/>
          <w:bCs/>
          <w:snapToGrid w:val="0"/>
          <w:color w:val="auto"/>
          <w:kern w:val="0"/>
          <w:sz w:val="28"/>
          <w:szCs w:val="44"/>
          <w:highlight w:val="none"/>
          <w:lang w:val="en-US" w:eastAsia="zh-CN" w:bidi="ar-SA"/>
        </w:rPr>
        <w:t>25 工程变更</w:t>
      </w:r>
      <w:bookmarkEnd w:id="4238"/>
      <w:r>
        <w:rPr>
          <w:rFonts w:hint="eastAsia" w:ascii="华文细黑" w:hAnsi="宋体" w:eastAsia="宋体" w:cs="Times New Roman"/>
          <w:b/>
          <w:bCs/>
          <w:snapToGrid w:val="0"/>
          <w:color w:val="auto"/>
          <w:kern w:val="0"/>
          <w:sz w:val="28"/>
          <w:szCs w:val="44"/>
          <w:highlight w:val="none"/>
          <w:lang w:val="en-US" w:eastAsia="zh-CN" w:bidi="ar-SA"/>
        </w:rPr>
        <w:t>价款</w:t>
      </w:r>
      <w:bookmarkEnd w:id="4282"/>
      <w:bookmarkEnd w:id="4283"/>
      <w:bookmarkEnd w:id="4284"/>
      <w:bookmarkEnd w:id="4285"/>
      <w:bookmarkEnd w:id="4286"/>
      <w:bookmarkEnd w:id="4287"/>
      <w:bookmarkEnd w:id="4288"/>
      <w:bookmarkEnd w:id="4289"/>
      <w:bookmarkEnd w:id="4290"/>
      <w:bookmarkEnd w:id="4291"/>
      <w:bookmarkEnd w:id="4292"/>
    </w:p>
    <w:p>
      <w:pPr>
        <w:widowControl w:val="0"/>
        <w:numPr>
          <w:ilvl w:val="0"/>
          <w:numId w:val="0"/>
        </w:numPr>
        <w:tabs>
          <w:tab w:val="left" w:pos="540"/>
          <w:tab w:val="left" w:pos="900"/>
          <w:tab w:val="left" w:pos="2340"/>
          <w:tab w:val="left" w:pos="4032"/>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4293" w:name="_Toc21289"/>
      <w:bookmarkStart w:id="4294" w:name="_Toc10243"/>
      <w:bookmarkStart w:id="4295" w:name="_Toc26438"/>
      <w:bookmarkStart w:id="4296" w:name="_Toc305331505"/>
      <w:bookmarkStart w:id="4297" w:name="_Toc3314"/>
      <w:bookmarkStart w:id="4298" w:name="_Toc17661"/>
      <w:bookmarkStart w:id="4299" w:name="_Toc5768"/>
      <w:bookmarkStart w:id="4300" w:name="_Toc6198"/>
      <w:bookmarkStart w:id="4301" w:name="_Toc302636027"/>
      <w:bookmarkStart w:id="4302" w:name="_Toc4572"/>
      <w:bookmarkStart w:id="4303" w:name="_Toc25481"/>
      <w:r>
        <w:rPr>
          <w:rFonts w:hint="eastAsia" w:ascii="宋体" w:hAnsi="宋体" w:eastAsia="宋体" w:cs="Times New Roman"/>
          <w:b/>
          <w:bCs/>
          <w:color w:val="auto"/>
          <w:kern w:val="0"/>
          <w:sz w:val="24"/>
          <w:szCs w:val="32"/>
          <w:highlight w:val="none"/>
          <w:lang w:val="en-US" w:eastAsia="zh-CN" w:bidi="ar-SA"/>
        </w:rPr>
        <w:t>25.1 工程变更价款的确定方法</w:t>
      </w:r>
      <w:bookmarkEnd w:id="4293"/>
      <w:bookmarkEnd w:id="4294"/>
      <w:bookmarkEnd w:id="4295"/>
      <w:bookmarkEnd w:id="4296"/>
      <w:bookmarkEnd w:id="4297"/>
      <w:bookmarkEnd w:id="4298"/>
      <w:bookmarkEnd w:id="4299"/>
      <w:bookmarkEnd w:id="4300"/>
      <w:bookmarkEnd w:id="4301"/>
      <w:bookmarkEnd w:id="4302"/>
      <w:bookmarkEnd w:id="4303"/>
    </w:p>
    <w:p>
      <w:pPr>
        <w:spacing w:line="360" w:lineRule="auto"/>
        <w:ind w:firstLine="480"/>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rPr>
        <w:t>(2)合同价格构成中的工程量清单项目单价中只有类似于变更工程的工程量清单项目单价，变更价款的确定方法：</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rPr>
        <w:t>类似项目的定义为：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(3)合同价格构成中的工程量清单项目单价中没有适用或类似于变更工程的工程量清单项目单价时变更价款的确定方法：</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(4)工程量清单中项目工程量增减幅度：</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304" w:name="_Toc20037"/>
      <w:bookmarkStart w:id="4305" w:name="_Toc2677"/>
      <w:bookmarkStart w:id="4306" w:name="_Toc1002"/>
      <w:bookmarkStart w:id="4307" w:name="_Toc24055"/>
      <w:bookmarkStart w:id="4308" w:name="_Toc302636028"/>
      <w:bookmarkStart w:id="4309" w:name="_Toc1323"/>
      <w:bookmarkStart w:id="4310" w:name="_Toc31555"/>
      <w:bookmarkStart w:id="4311" w:name="_Toc28543"/>
      <w:bookmarkStart w:id="4312" w:name="_Toc10275"/>
      <w:bookmarkStart w:id="4313" w:name="_Toc17833"/>
      <w:bookmarkStart w:id="4314" w:name="_Toc305331507"/>
      <w:r>
        <w:rPr>
          <w:rFonts w:hint="eastAsia" w:ascii="宋体" w:hAnsi="宋体" w:eastAsia="宋体" w:cs="Times New Roman"/>
          <w:b/>
          <w:bCs/>
          <w:color w:val="auto"/>
          <w:kern w:val="0"/>
          <w:sz w:val="24"/>
          <w:szCs w:val="32"/>
          <w:highlight w:val="none"/>
          <w:lang w:val="en-US" w:eastAsia="zh-CN" w:bidi="ar-SA"/>
        </w:rPr>
        <w:t>25.2 工程变更引起措施项目的调整</w:t>
      </w:r>
      <w:bookmarkEnd w:id="4304"/>
      <w:bookmarkEnd w:id="4305"/>
      <w:bookmarkEnd w:id="4306"/>
      <w:bookmarkEnd w:id="4307"/>
      <w:bookmarkEnd w:id="4308"/>
      <w:bookmarkEnd w:id="4309"/>
      <w:bookmarkEnd w:id="4310"/>
      <w:bookmarkEnd w:id="4311"/>
      <w:bookmarkEnd w:id="4312"/>
      <w:bookmarkEnd w:id="4313"/>
      <w:bookmarkEnd w:id="4314"/>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(3)工程变更引起措施项目费调整的，其调整方法为：</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bCs/>
          <w:color w:val="auto"/>
          <w:sz w:val="24"/>
          <w:szCs w:val="24"/>
          <w:highlight w:val="none"/>
        </w:rPr>
        <w:t>③安全文明施工措施费计算基数变化幅度及</w:t>
      </w:r>
      <w:r>
        <w:rPr>
          <w:rFonts w:hint="eastAsia" w:ascii="宋体" w:hAnsi="宋体" w:eastAsia="宋体" w:cs="Times New Roman"/>
          <w:color w:val="auto"/>
          <w:sz w:val="24"/>
          <w:szCs w:val="24"/>
          <w:highlight w:val="none"/>
        </w:rPr>
        <w:t>其调整方法的约定为：</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w:t>
      </w:r>
    </w:p>
    <w:p>
      <w:pPr>
        <w:widowControl w:val="0"/>
        <w:numPr>
          <w:ilvl w:val="0"/>
          <w:numId w:val="0"/>
        </w:numPr>
        <w:tabs>
          <w:tab w:val="left" w:pos="540"/>
          <w:tab w:val="left" w:pos="900"/>
          <w:tab w:val="left" w:pos="2340"/>
          <w:tab w:val="left" w:pos="4032"/>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4315" w:name="_Toc15049"/>
      <w:bookmarkStart w:id="4316" w:name="_Toc5282"/>
      <w:bookmarkStart w:id="4317" w:name="_Toc28908"/>
      <w:bookmarkStart w:id="4318" w:name="_Toc17384"/>
      <w:bookmarkStart w:id="4319" w:name="_Toc16532"/>
      <w:bookmarkStart w:id="4320" w:name="_Toc302636029"/>
      <w:bookmarkStart w:id="4321" w:name="_Toc867"/>
      <w:bookmarkStart w:id="4322" w:name="_Toc27610"/>
      <w:bookmarkStart w:id="4323" w:name="_Toc305331506"/>
      <w:bookmarkStart w:id="4324" w:name="_Toc14296"/>
      <w:bookmarkStart w:id="4325" w:name="_Toc13467"/>
      <w:r>
        <w:rPr>
          <w:rFonts w:hint="eastAsia" w:ascii="宋体" w:hAnsi="宋体" w:eastAsia="宋体" w:cs="Times New Roman"/>
          <w:b/>
          <w:bCs/>
          <w:color w:val="auto"/>
          <w:kern w:val="0"/>
          <w:sz w:val="24"/>
          <w:szCs w:val="32"/>
          <w:highlight w:val="none"/>
          <w:lang w:val="en-US" w:eastAsia="zh-CN" w:bidi="ar-SA"/>
        </w:rPr>
        <w:t>25.3 工程变更价款的确定程序</w:t>
      </w:r>
      <w:bookmarkEnd w:id="4315"/>
      <w:bookmarkEnd w:id="4316"/>
      <w:bookmarkEnd w:id="4317"/>
      <w:bookmarkEnd w:id="4318"/>
      <w:bookmarkEnd w:id="4319"/>
      <w:bookmarkEnd w:id="4320"/>
      <w:bookmarkEnd w:id="4321"/>
      <w:bookmarkEnd w:id="4322"/>
      <w:bookmarkEnd w:id="4323"/>
      <w:bookmarkEnd w:id="4324"/>
      <w:bookmarkEnd w:id="4325"/>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本工程的工程变更价款按以下程序进行确定：</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326" w:name="_Toc23345"/>
      <w:bookmarkStart w:id="4327" w:name="_Toc21629"/>
      <w:bookmarkStart w:id="4328" w:name="_Toc25163"/>
      <w:bookmarkStart w:id="4329" w:name="_Toc22573"/>
      <w:bookmarkStart w:id="4330" w:name="_Toc23560"/>
      <w:bookmarkStart w:id="4331" w:name="_Toc24930"/>
      <w:bookmarkStart w:id="4332" w:name="_Toc2021"/>
      <w:bookmarkStart w:id="4333" w:name="_Toc302636030"/>
      <w:bookmarkStart w:id="4334" w:name="_Toc21590"/>
      <w:bookmarkStart w:id="4335" w:name="_Toc19077"/>
      <w:r>
        <w:rPr>
          <w:rFonts w:hint="eastAsia" w:ascii="宋体" w:hAnsi="宋体" w:eastAsia="宋体" w:cs="Times New Roman"/>
          <w:b/>
          <w:bCs/>
          <w:color w:val="auto"/>
          <w:kern w:val="0"/>
          <w:sz w:val="24"/>
          <w:szCs w:val="32"/>
          <w:highlight w:val="none"/>
          <w:lang w:val="en-US" w:eastAsia="zh-CN" w:bidi="ar-SA"/>
        </w:rPr>
        <w:t>25.4 工程量变化调整项目单价</w:t>
      </w:r>
      <w:bookmarkEnd w:id="4326"/>
      <w:bookmarkEnd w:id="4327"/>
      <w:bookmarkEnd w:id="4328"/>
      <w:bookmarkEnd w:id="4329"/>
      <w:bookmarkEnd w:id="4330"/>
      <w:bookmarkEnd w:id="4331"/>
      <w:bookmarkEnd w:id="4332"/>
      <w:bookmarkEnd w:id="4333"/>
      <w:bookmarkEnd w:id="4334"/>
      <w:bookmarkEnd w:id="4335"/>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工程量清单中项目工程量增减幅度：</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清单项目增加部分工程量或减少后剩余部分工程量的项目单价确定方法</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336" w:name="_Toc8587"/>
      <w:bookmarkStart w:id="4337" w:name="_Toc11742"/>
      <w:bookmarkStart w:id="4338" w:name="_Toc23934"/>
      <w:bookmarkStart w:id="4339" w:name="_Toc5935"/>
      <w:bookmarkStart w:id="4340" w:name="_Toc10578"/>
      <w:bookmarkStart w:id="4341" w:name="_Toc17132"/>
      <w:bookmarkStart w:id="4342" w:name="_Toc14843"/>
      <w:bookmarkStart w:id="4343" w:name="_Toc21493"/>
      <w:bookmarkStart w:id="4344" w:name="_Toc9443"/>
      <w:bookmarkStart w:id="4345" w:name="_Toc302636031"/>
      <w:bookmarkStart w:id="4346" w:name="_Toc305331508"/>
      <w:r>
        <w:rPr>
          <w:rFonts w:hint="eastAsia" w:ascii="宋体" w:hAnsi="宋体" w:eastAsia="宋体" w:cs="Times New Roman"/>
          <w:b/>
          <w:bCs/>
          <w:color w:val="auto"/>
          <w:kern w:val="0"/>
          <w:sz w:val="24"/>
          <w:szCs w:val="32"/>
          <w:highlight w:val="none"/>
          <w:lang w:val="en-US" w:eastAsia="zh-CN" w:bidi="ar-SA"/>
        </w:rPr>
        <w:t>25.5 工程变更价款支付</w:t>
      </w:r>
      <w:bookmarkEnd w:id="4336"/>
      <w:bookmarkEnd w:id="4337"/>
      <w:bookmarkEnd w:id="4338"/>
      <w:bookmarkEnd w:id="4339"/>
      <w:bookmarkEnd w:id="4340"/>
      <w:bookmarkEnd w:id="4341"/>
      <w:bookmarkEnd w:id="4342"/>
      <w:bookmarkEnd w:id="4343"/>
      <w:bookmarkEnd w:id="4344"/>
    </w:p>
    <w:p>
      <w:pPr>
        <w:spacing w:line="360" w:lineRule="auto"/>
        <w:ind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追加</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减</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合同价款支付比例达到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％时暂停支付。</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347" w:name="_Toc5580"/>
      <w:bookmarkStart w:id="4348" w:name="_Toc23798"/>
      <w:bookmarkStart w:id="4349" w:name="_Toc22517"/>
      <w:bookmarkStart w:id="4350" w:name="_Toc17140"/>
      <w:bookmarkStart w:id="4351" w:name="_Toc6326"/>
      <w:bookmarkStart w:id="4352" w:name="_Toc24649"/>
      <w:bookmarkStart w:id="4353" w:name="_Toc14597"/>
      <w:bookmarkStart w:id="4354" w:name="_Toc4984"/>
      <w:bookmarkStart w:id="4355" w:name="_Toc489"/>
      <w:r>
        <w:rPr>
          <w:rFonts w:hint="eastAsia" w:ascii="宋体" w:hAnsi="宋体" w:eastAsia="宋体" w:cs="Times New Roman"/>
          <w:b/>
          <w:bCs/>
          <w:color w:val="auto"/>
          <w:kern w:val="0"/>
          <w:sz w:val="24"/>
          <w:szCs w:val="32"/>
          <w:highlight w:val="none"/>
          <w:lang w:val="en-US" w:eastAsia="zh-CN" w:bidi="ar-SA"/>
        </w:rPr>
        <w:t>25.6 删减工作或工程的补偿</w:t>
      </w:r>
      <w:bookmarkEnd w:id="4345"/>
      <w:bookmarkEnd w:id="4346"/>
      <w:bookmarkEnd w:id="4347"/>
      <w:bookmarkEnd w:id="4348"/>
      <w:bookmarkEnd w:id="4349"/>
      <w:bookmarkEnd w:id="4350"/>
      <w:bookmarkEnd w:id="4351"/>
      <w:bookmarkEnd w:id="4352"/>
      <w:bookmarkEnd w:id="4353"/>
      <w:bookmarkEnd w:id="4354"/>
      <w:bookmarkEnd w:id="4355"/>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由于非承包人原因删减了本合同中的某项原定工作或工程，致使承包人发生的费用或(和)预期收益不能被包括在其他已支付或应支付的项目中，也未包含在任何替代的工作或工程中，发包人应按以下约定方式给予承包人补偿：</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hint="eastAsia" w:ascii="华文细黑" w:hAnsi="宋体" w:eastAsia="宋体" w:cs="Times New Roman"/>
          <w:b/>
          <w:bCs/>
          <w:snapToGrid w:val="0"/>
          <w:color w:val="auto"/>
          <w:kern w:val="0"/>
          <w:sz w:val="28"/>
          <w:szCs w:val="44"/>
          <w:highlight w:val="none"/>
          <w:lang w:val="en-US" w:eastAsia="zh-CN" w:bidi="ar-SA"/>
        </w:rPr>
      </w:pPr>
      <w:bookmarkStart w:id="4356" w:name="_Toc17774"/>
      <w:bookmarkStart w:id="4357" w:name="_Toc21105"/>
      <w:bookmarkStart w:id="4358" w:name="_Toc26778"/>
      <w:bookmarkStart w:id="4359" w:name="_Toc22763"/>
      <w:bookmarkStart w:id="4360" w:name="_Toc17947"/>
      <w:bookmarkStart w:id="4361" w:name="_Toc31065"/>
      <w:bookmarkStart w:id="4362" w:name="_Toc8321"/>
      <w:bookmarkStart w:id="4363" w:name="_Toc22107"/>
      <w:bookmarkStart w:id="4364" w:name="_Toc305331509"/>
      <w:bookmarkStart w:id="4365" w:name="_Toc783"/>
      <w:bookmarkStart w:id="4366" w:name="_Toc302636032"/>
      <w:r>
        <w:rPr>
          <w:rFonts w:hint="eastAsia" w:ascii="华文细黑" w:hAnsi="宋体" w:eastAsia="宋体" w:cs="Times New Roman"/>
          <w:b/>
          <w:bCs/>
          <w:snapToGrid w:val="0"/>
          <w:color w:val="auto"/>
          <w:kern w:val="0"/>
          <w:sz w:val="28"/>
          <w:szCs w:val="44"/>
          <w:highlight w:val="none"/>
          <w:lang w:val="en-US" w:eastAsia="zh-CN" w:bidi="ar-SA"/>
        </w:rPr>
        <w:t>26 过程结算</w:t>
      </w:r>
      <w:bookmarkEnd w:id="4356"/>
      <w:bookmarkEnd w:id="4357"/>
      <w:bookmarkEnd w:id="4358"/>
      <w:bookmarkEnd w:id="4359"/>
      <w:bookmarkEnd w:id="4360"/>
      <w:bookmarkEnd w:id="4361"/>
      <w:bookmarkEnd w:id="4362"/>
      <w:bookmarkEnd w:id="4363"/>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367" w:name="_Toc14275"/>
      <w:bookmarkStart w:id="4368" w:name="_Toc14837"/>
      <w:bookmarkStart w:id="4369" w:name="_Toc11421"/>
      <w:bookmarkStart w:id="4370" w:name="_Toc28335"/>
      <w:bookmarkStart w:id="4371" w:name="_Toc1271"/>
      <w:bookmarkStart w:id="4372" w:name="_Toc20453"/>
      <w:bookmarkStart w:id="4373" w:name="_Toc23838"/>
      <w:bookmarkStart w:id="4374" w:name="_Toc2614"/>
      <w:bookmarkStart w:id="4375" w:name="_Toc12353"/>
      <w:bookmarkStart w:id="4376" w:name="_Toc17103"/>
      <w:bookmarkStart w:id="4377" w:name="_Toc20421"/>
      <w:bookmarkStart w:id="4378" w:name="_Toc9024"/>
      <w:bookmarkStart w:id="4379" w:name="_Toc18756"/>
      <w:r>
        <w:rPr>
          <w:rFonts w:hint="eastAsia" w:ascii="宋体" w:hAnsi="宋体" w:eastAsia="宋体" w:cs="Times New Roman"/>
          <w:b/>
          <w:bCs/>
          <w:color w:val="auto"/>
          <w:kern w:val="0"/>
          <w:sz w:val="24"/>
          <w:szCs w:val="32"/>
          <w:highlight w:val="none"/>
          <w:lang w:val="en-US" w:eastAsia="zh-CN" w:bidi="ar-SA"/>
        </w:rPr>
        <w:t>26.1过程结算周期及验收要求</w:t>
      </w:r>
      <w:bookmarkEnd w:id="4367"/>
      <w:bookmarkEnd w:id="4368"/>
      <w:bookmarkEnd w:id="4369"/>
      <w:bookmarkEnd w:id="4370"/>
      <w:bookmarkEnd w:id="4371"/>
      <w:bookmarkEnd w:id="4372"/>
      <w:bookmarkEnd w:id="4373"/>
      <w:bookmarkEnd w:id="4374"/>
      <w:bookmarkEnd w:id="4375"/>
      <w:bookmarkEnd w:id="4376"/>
      <w:bookmarkEnd w:id="4377"/>
      <w:bookmarkEnd w:id="4378"/>
      <w:bookmarkEnd w:id="4379"/>
    </w:p>
    <w:p>
      <w:pPr>
        <w:spacing w:line="360" w:lineRule="auto"/>
        <w:ind w:left="0" w:firstLine="480"/>
        <w:rPr>
          <w:rFonts w:hint="eastAsia" w:ascii="宋体" w:hAnsi="宋体" w:eastAsia="宋体" w:cs="Times New Roman"/>
          <w:bCs/>
          <w:color w:val="auto"/>
          <w:sz w:val="24"/>
          <w:szCs w:val="24"/>
          <w:highlight w:val="none"/>
          <w:u w:val="single"/>
          <w:lang w:val="en-US" w:eastAsia="zh-CN"/>
        </w:rPr>
      </w:pPr>
      <w:r>
        <w:rPr>
          <w:rFonts w:hint="default" w:ascii="宋体" w:hAnsi="宋体" w:eastAsia="宋体" w:cs="Times New Roman"/>
          <w:color w:val="auto"/>
          <w:kern w:val="2"/>
          <w:sz w:val="24"/>
          <w:szCs w:val="24"/>
          <w:highlight w:val="none"/>
          <w:u w:val="none"/>
        </w:rPr>
        <w:t>发承包双方约定</w:t>
      </w:r>
      <w:r>
        <w:rPr>
          <w:rFonts w:hint="eastAsia" w:ascii="宋体" w:hAnsi="宋体" w:eastAsia="宋体" w:cs="Times New Roman"/>
          <w:color w:val="auto"/>
          <w:kern w:val="2"/>
          <w:sz w:val="24"/>
          <w:szCs w:val="24"/>
          <w:highlight w:val="none"/>
          <w:u w:val="none"/>
          <w:lang w:eastAsia="zh-CN"/>
        </w:rPr>
        <w:t>的</w:t>
      </w:r>
      <w:r>
        <w:rPr>
          <w:rFonts w:ascii="宋体" w:hAnsi="宋体" w:eastAsia="宋体" w:cs="Times New Roman"/>
          <w:color w:val="auto"/>
          <w:kern w:val="2"/>
          <w:sz w:val="24"/>
          <w:szCs w:val="24"/>
          <w:highlight w:val="none"/>
          <w:u w:val="none"/>
        </w:rPr>
        <w:t>过程结算周期</w:t>
      </w:r>
      <w:r>
        <w:rPr>
          <w:rFonts w:hint="eastAsia" w:ascii="宋体" w:hAnsi="宋体" w:eastAsia="宋体" w:cs="Times New Roman"/>
          <w:color w:val="auto"/>
          <w:kern w:val="2"/>
          <w:sz w:val="24"/>
          <w:szCs w:val="24"/>
          <w:highlight w:val="none"/>
          <w:u w:val="none"/>
          <w:lang w:eastAsia="zh-CN"/>
        </w:rPr>
        <w:t>：</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lang w:val="en-US" w:eastAsia="zh-CN"/>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left="0" w:firstLine="480"/>
        <w:rPr>
          <w:rFonts w:hint="eastAsia" w:ascii="宋体" w:hAnsi="宋体" w:eastAsia="宋体" w:cs="Times New Roman"/>
          <w:color w:val="auto"/>
          <w:kern w:val="2"/>
          <w:sz w:val="24"/>
          <w:szCs w:val="24"/>
          <w:highlight w:val="none"/>
          <w:u w:val="single"/>
          <w:lang w:val="en-US" w:eastAsia="zh-CN"/>
        </w:rPr>
      </w:pPr>
      <w:r>
        <w:rPr>
          <w:rFonts w:hint="eastAsia" w:ascii="宋体" w:hAnsi="宋体" w:eastAsia="宋体" w:cs="Times New Roman"/>
          <w:color w:val="auto"/>
          <w:kern w:val="2"/>
          <w:sz w:val="24"/>
          <w:szCs w:val="24"/>
          <w:highlight w:val="none"/>
          <w:u w:val="none"/>
          <w:lang w:eastAsia="zh-CN"/>
        </w:rPr>
        <w:t>发承包双方约定的过</w:t>
      </w:r>
      <w:r>
        <w:rPr>
          <w:rFonts w:ascii="宋体" w:hAnsi="宋体" w:eastAsia="宋体" w:cs="Times New Roman"/>
          <w:color w:val="auto"/>
          <w:kern w:val="2"/>
          <w:sz w:val="24"/>
          <w:szCs w:val="24"/>
          <w:highlight w:val="none"/>
          <w:u w:val="none"/>
        </w:rPr>
        <w:t>程结算验收要求</w:t>
      </w:r>
      <w:r>
        <w:rPr>
          <w:rFonts w:hint="eastAsia" w:ascii="宋体" w:hAnsi="宋体" w:eastAsia="宋体" w:cs="Times New Roman"/>
          <w:color w:val="auto"/>
          <w:kern w:val="2"/>
          <w:sz w:val="24"/>
          <w:szCs w:val="24"/>
          <w:highlight w:val="none"/>
          <w:u w:val="none"/>
          <w:lang w:eastAsia="zh-CN"/>
        </w:rPr>
        <w:t>：</w:t>
      </w:r>
      <w:r>
        <w:rPr>
          <w:rFonts w:hint="eastAsia" w:ascii="宋体" w:hAnsi="宋体" w:eastAsia="宋体" w:cs="Times New Roman"/>
          <w:color w:val="auto"/>
          <w:kern w:val="2"/>
          <w:sz w:val="24"/>
          <w:szCs w:val="24"/>
          <w:highlight w:val="none"/>
          <w:u w:val="single"/>
          <w:lang w:val="en-US" w:eastAsia="zh-CN"/>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380" w:name="_Toc18356"/>
      <w:bookmarkStart w:id="4381" w:name="_Toc13311"/>
      <w:bookmarkStart w:id="4382" w:name="_Toc1075"/>
      <w:bookmarkStart w:id="4383" w:name="_Toc4914"/>
      <w:bookmarkStart w:id="4384" w:name="_Toc8697"/>
      <w:bookmarkStart w:id="4385" w:name="_Toc3916"/>
      <w:bookmarkStart w:id="4386" w:name="_Toc7140"/>
      <w:bookmarkStart w:id="4387" w:name="_Toc10770"/>
      <w:bookmarkStart w:id="4388" w:name="_Toc25060"/>
      <w:bookmarkStart w:id="4389" w:name="_Toc6646"/>
      <w:bookmarkStart w:id="4390" w:name="_Toc29622"/>
      <w:bookmarkStart w:id="4391" w:name="_Toc9270"/>
      <w:bookmarkStart w:id="4392" w:name="_Toc15408"/>
      <w:r>
        <w:rPr>
          <w:rFonts w:hint="eastAsia" w:ascii="宋体" w:hAnsi="宋体" w:eastAsia="宋体" w:cs="Times New Roman"/>
          <w:b/>
          <w:bCs/>
          <w:color w:val="auto"/>
          <w:kern w:val="0"/>
          <w:sz w:val="24"/>
          <w:szCs w:val="32"/>
          <w:highlight w:val="none"/>
          <w:lang w:val="en-US" w:eastAsia="zh-CN" w:bidi="ar-SA"/>
        </w:rPr>
        <w:t>26.2过程结算报告的编制和提交</w:t>
      </w:r>
      <w:bookmarkEnd w:id="4380"/>
      <w:bookmarkEnd w:id="4381"/>
      <w:bookmarkEnd w:id="4382"/>
      <w:bookmarkEnd w:id="4383"/>
      <w:bookmarkEnd w:id="4384"/>
      <w:bookmarkEnd w:id="4385"/>
      <w:bookmarkEnd w:id="4386"/>
      <w:bookmarkEnd w:id="4387"/>
      <w:bookmarkEnd w:id="4388"/>
      <w:bookmarkEnd w:id="4389"/>
      <w:bookmarkEnd w:id="4390"/>
      <w:bookmarkEnd w:id="4391"/>
      <w:bookmarkEnd w:id="4392"/>
    </w:p>
    <w:p>
      <w:pPr>
        <w:numPr>
          <w:ilvl w:val="0"/>
          <w:numId w:val="0"/>
        </w:numPr>
        <w:spacing w:line="360" w:lineRule="auto"/>
        <w:ind w:firstLine="480" w:firstLineChars="0"/>
        <w:rPr>
          <w:rFonts w:hint="eastAsia" w:ascii="宋体" w:hAnsi="宋体" w:eastAsia="宋体" w:cs="Times New Roman"/>
          <w:color w:val="auto"/>
          <w:kern w:val="2"/>
          <w:sz w:val="24"/>
          <w:szCs w:val="24"/>
          <w:highlight w:val="none"/>
          <w:u w:val="single"/>
          <w:lang w:val="en-US"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kern w:val="2"/>
          <w:sz w:val="24"/>
          <w:szCs w:val="24"/>
          <w:highlight w:val="none"/>
          <w:u w:val="none"/>
          <w:lang w:eastAsia="zh-CN"/>
        </w:rPr>
        <w:t>承包人</w:t>
      </w:r>
      <w:r>
        <w:rPr>
          <w:rFonts w:hint="eastAsia" w:ascii="宋体" w:hAnsi="宋体" w:eastAsia="宋体" w:cs="Times New Roman"/>
          <w:color w:val="auto"/>
          <w:kern w:val="2"/>
          <w:sz w:val="24"/>
          <w:szCs w:val="24"/>
          <w:highlight w:val="none"/>
          <w:u w:val="none"/>
        </w:rPr>
        <w:t>向发包人提交过程结算报告</w:t>
      </w:r>
      <w:r>
        <w:rPr>
          <w:rFonts w:hint="eastAsia" w:ascii="宋体" w:hAnsi="宋体" w:eastAsia="宋体" w:cs="Times New Roman"/>
          <w:color w:val="auto"/>
          <w:kern w:val="2"/>
          <w:sz w:val="24"/>
          <w:szCs w:val="24"/>
          <w:highlight w:val="none"/>
          <w:u w:val="none"/>
          <w:lang w:eastAsia="zh-CN"/>
        </w:rPr>
        <w:t>的时间为：</w:t>
      </w:r>
      <w:r>
        <w:rPr>
          <w:rFonts w:hint="eastAsia" w:ascii="宋体" w:hAnsi="宋体" w:eastAsia="宋体" w:cs="Times New Roman"/>
          <w:color w:val="auto"/>
          <w:kern w:val="2"/>
          <w:sz w:val="24"/>
          <w:szCs w:val="24"/>
          <w:highlight w:val="none"/>
          <w:u w:val="single"/>
          <w:lang w:val="en-US" w:eastAsia="zh-CN"/>
        </w:rPr>
        <w:t xml:space="preserve">                                        </w:t>
      </w:r>
    </w:p>
    <w:p>
      <w:pPr>
        <w:numPr>
          <w:ilvl w:val="0"/>
          <w:numId w:val="0"/>
        </w:numPr>
        <w:spacing w:line="360" w:lineRule="auto"/>
        <w:ind w:firstLine="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393" w:name="_Toc3444"/>
      <w:bookmarkStart w:id="4394" w:name="_Toc2834"/>
      <w:bookmarkStart w:id="4395" w:name="_Toc21466"/>
      <w:bookmarkStart w:id="4396" w:name="_Toc29138"/>
      <w:bookmarkStart w:id="4397" w:name="_Toc18563"/>
      <w:bookmarkStart w:id="4398" w:name="_Toc5649"/>
      <w:bookmarkStart w:id="4399" w:name="_Toc28123"/>
      <w:bookmarkStart w:id="4400" w:name="_Toc13329"/>
      <w:bookmarkStart w:id="4401" w:name="_Toc16166"/>
      <w:bookmarkStart w:id="4402" w:name="_Toc20350"/>
      <w:bookmarkStart w:id="4403" w:name="_Toc22175"/>
      <w:bookmarkStart w:id="4404" w:name="_Toc15377"/>
      <w:bookmarkStart w:id="4405" w:name="_Toc29365"/>
      <w:r>
        <w:rPr>
          <w:rFonts w:hint="eastAsia" w:ascii="宋体" w:hAnsi="宋体" w:eastAsia="宋体" w:cs="Times New Roman"/>
          <w:b/>
          <w:bCs/>
          <w:color w:val="auto"/>
          <w:kern w:val="0"/>
          <w:sz w:val="24"/>
          <w:szCs w:val="32"/>
          <w:highlight w:val="none"/>
          <w:lang w:val="en-US" w:eastAsia="zh-CN" w:bidi="ar-SA"/>
        </w:rPr>
        <w:t>26.3过程结算报告的核对和修改</w:t>
      </w:r>
      <w:bookmarkEnd w:id="4393"/>
      <w:bookmarkEnd w:id="4394"/>
      <w:bookmarkEnd w:id="4395"/>
      <w:bookmarkEnd w:id="4396"/>
      <w:bookmarkEnd w:id="4397"/>
      <w:bookmarkEnd w:id="4398"/>
      <w:bookmarkEnd w:id="4399"/>
      <w:bookmarkEnd w:id="4400"/>
      <w:bookmarkEnd w:id="4401"/>
      <w:bookmarkEnd w:id="4402"/>
      <w:bookmarkEnd w:id="4403"/>
      <w:bookmarkEnd w:id="4404"/>
      <w:bookmarkEnd w:id="4405"/>
    </w:p>
    <w:p>
      <w:pPr>
        <w:numPr>
          <w:ilvl w:val="0"/>
          <w:numId w:val="0"/>
        </w:numPr>
        <w:spacing w:line="360" w:lineRule="auto"/>
        <w:ind w:left="0" w:firstLine="480"/>
        <w:jc w:val="left"/>
        <w:rPr>
          <w:rFonts w:hint="eastAsia" w:ascii="宋体" w:hAnsi="宋体" w:eastAsia="宋体" w:cs="Times New Roman"/>
          <w:color w:val="auto"/>
          <w:kern w:val="2"/>
          <w:sz w:val="24"/>
          <w:szCs w:val="24"/>
          <w:highlight w:val="none"/>
        </w:rPr>
      </w:pP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w:t>
      </w:r>
      <w:r>
        <w:rPr>
          <w:rFonts w:hint="eastAsia" w:ascii="宋体" w:hAnsi="宋体" w:eastAsia="宋体" w:cs="Times New Roman"/>
          <w:color w:val="auto"/>
          <w:kern w:val="2"/>
          <w:sz w:val="24"/>
          <w:szCs w:val="24"/>
          <w:highlight w:val="none"/>
        </w:rPr>
        <w:t>发包人应在收到承包人提交的过程结算报告后</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天</w:t>
      </w:r>
      <w:r>
        <w:rPr>
          <w:rFonts w:hint="eastAsia" w:ascii="宋体" w:hAnsi="宋体" w:eastAsia="宋体" w:cs="Times New Roman"/>
          <w:color w:val="auto"/>
          <w:kern w:val="2"/>
          <w:sz w:val="24"/>
          <w:szCs w:val="24"/>
          <w:highlight w:val="none"/>
          <w:lang w:eastAsia="zh-CN"/>
        </w:rPr>
        <w:t>内</w:t>
      </w:r>
      <w:r>
        <w:rPr>
          <w:rFonts w:hint="eastAsia" w:ascii="宋体" w:hAnsi="宋体" w:eastAsia="宋体" w:cs="Times New Roman"/>
          <w:color w:val="auto"/>
          <w:kern w:val="2"/>
          <w:sz w:val="24"/>
          <w:szCs w:val="24"/>
          <w:highlight w:val="none"/>
        </w:rPr>
        <w:t>，对承包人提交的过程结算报告进行核对。</w:t>
      </w:r>
    </w:p>
    <w:p>
      <w:pPr>
        <w:numPr>
          <w:ilvl w:val="0"/>
          <w:numId w:val="0"/>
        </w:numPr>
        <w:spacing w:after="0" w:line="360" w:lineRule="auto"/>
        <w:ind w:left="0" w:firstLine="48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②承包人应在收到发包人相关书面通知后</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天</w:t>
      </w:r>
      <w:r>
        <w:rPr>
          <w:rFonts w:hint="eastAsia" w:ascii="宋体" w:hAnsi="宋体" w:eastAsia="宋体" w:cs="Times New Roman"/>
          <w:color w:val="auto"/>
          <w:kern w:val="2"/>
          <w:sz w:val="24"/>
          <w:szCs w:val="24"/>
          <w:highlight w:val="none"/>
          <w:lang w:eastAsia="zh-CN"/>
        </w:rPr>
        <w:t>内</w:t>
      </w:r>
      <w:r>
        <w:rPr>
          <w:rFonts w:hint="eastAsia" w:ascii="宋体" w:hAnsi="宋体" w:eastAsia="宋体" w:cs="Times New Roman"/>
          <w:color w:val="auto"/>
          <w:kern w:val="2"/>
          <w:sz w:val="24"/>
          <w:szCs w:val="24"/>
          <w:highlight w:val="none"/>
        </w:rPr>
        <w:t>，向发包人提交经修改的过程结算报告或按要求补充结算资料，发包人应在收到承包人相关书面资料后</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u w:val="none"/>
          <w:lang w:val="en-US" w:eastAsia="zh-CN"/>
        </w:rPr>
        <w:t xml:space="preserve"> </w:t>
      </w:r>
      <w:r>
        <w:rPr>
          <w:rFonts w:hint="eastAsia" w:ascii="宋体" w:hAnsi="宋体" w:eastAsia="宋体" w:cs="Times New Roman"/>
          <w:color w:val="auto"/>
          <w:kern w:val="2"/>
          <w:sz w:val="24"/>
          <w:szCs w:val="24"/>
          <w:highlight w:val="none"/>
        </w:rPr>
        <w:t>天</w:t>
      </w:r>
      <w:r>
        <w:rPr>
          <w:rFonts w:hint="eastAsia" w:ascii="宋体" w:hAnsi="宋体" w:eastAsia="宋体" w:cs="Times New Roman"/>
          <w:color w:val="auto"/>
          <w:kern w:val="2"/>
          <w:sz w:val="24"/>
          <w:szCs w:val="24"/>
          <w:highlight w:val="none"/>
          <w:lang w:eastAsia="zh-CN"/>
        </w:rPr>
        <w:t>内</w:t>
      </w:r>
      <w:r>
        <w:rPr>
          <w:rFonts w:hint="eastAsia" w:ascii="宋体" w:hAnsi="宋体" w:eastAsia="宋体" w:cs="Times New Roman"/>
          <w:color w:val="auto"/>
          <w:kern w:val="2"/>
          <w:sz w:val="24"/>
          <w:szCs w:val="24"/>
          <w:highlight w:val="none"/>
        </w:rPr>
        <w:t>进行核对。</w:t>
      </w:r>
    </w:p>
    <w:p>
      <w:pPr>
        <w:numPr>
          <w:ilvl w:val="0"/>
          <w:numId w:val="0"/>
        </w:numPr>
        <w:spacing w:after="0" w:line="360" w:lineRule="auto"/>
        <w:ind w:left="0" w:firstLine="240" w:firstLineChars="100"/>
        <w:jc w:val="left"/>
        <w:outlineLvl w:val="1"/>
        <w:rPr>
          <w:rFonts w:hint="eastAsia" w:ascii="宋体" w:hAnsi="宋体" w:eastAsia="宋体" w:cs="Times New Roman"/>
          <w:b/>
          <w:bCs/>
          <w:color w:val="auto"/>
          <w:kern w:val="0"/>
          <w:sz w:val="24"/>
          <w:szCs w:val="32"/>
          <w:highlight w:val="none"/>
        </w:rPr>
      </w:pPr>
      <w:bookmarkStart w:id="4406" w:name="_Toc22733"/>
      <w:bookmarkStart w:id="4407" w:name="_Toc16640"/>
      <w:bookmarkStart w:id="4408" w:name="_Toc1245"/>
      <w:bookmarkStart w:id="4409" w:name="_Toc28167"/>
      <w:bookmarkStart w:id="4410" w:name="_Toc18406"/>
      <w:bookmarkStart w:id="4411" w:name="_Toc6932"/>
      <w:bookmarkStart w:id="4412" w:name="_Toc24077"/>
      <w:bookmarkStart w:id="4413" w:name="_Toc26486"/>
      <w:bookmarkStart w:id="4414" w:name="_Toc14230"/>
      <w:bookmarkStart w:id="4415" w:name="_Toc11942"/>
      <w:bookmarkStart w:id="4416" w:name="_Toc15480"/>
      <w:bookmarkStart w:id="4417" w:name="_Toc9813"/>
      <w:bookmarkStart w:id="4418" w:name="_Toc25678"/>
      <w:r>
        <w:rPr>
          <w:rFonts w:hint="eastAsia" w:ascii="宋体" w:hAnsi="宋体" w:eastAsia="宋体" w:cs="Times New Roman"/>
          <w:b/>
          <w:bCs/>
          <w:color w:val="auto"/>
          <w:kern w:val="0"/>
          <w:sz w:val="24"/>
          <w:szCs w:val="32"/>
          <w:highlight w:val="none"/>
          <w:lang w:val="en-US" w:eastAsia="zh-CN"/>
        </w:rPr>
        <w:t>26.6</w:t>
      </w:r>
      <w:r>
        <w:rPr>
          <w:rFonts w:hint="eastAsia" w:ascii="宋体" w:hAnsi="宋体" w:eastAsia="宋体" w:cs="Times New Roman"/>
          <w:b/>
          <w:bCs/>
          <w:color w:val="auto"/>
          <w:kern w:val="0"/>
          <w:sz w:val="24"/>
          <w:szCs w:val="32"/>
          <w:highlight w:val="none"/>
        </w:rPr>
        <w:t>过程结算支付</w:t>
      </w:r>
      <w:bookmarkEnd w:id="4406"/>
      <w:bookmarkEnd w:id="4407"/>
      <w:bookmarkEnd w:id="4408"/>
      <w:bookmarkEnd w:id="4409"/>
      <w:bookmarkEnd w:id="4410"/>
      <w:bookmarkEnd w:id="4411"/>
      <w:bookmarkEnd w:id="4412"/>
      <w:bookmarkEnd w:id="4413"/>
      <w:bookmarkEnd w:id="4414"/>
      <w:bookmarkEnd w:id="4415"/>
      <w:bookmarkEnd w:id="4416"/>
      <w:bookmarkEnd w:id="4417"/>
      <w:bookmarkEnd w:id="4418"/>
    </w:p>
    <w:p>
      <w:pPr>
        <w:spacing w:line="360" w:lineRule="auto"/>
        <w:ind w:firstLine="48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rPr>
        <w:t>(3)</w:t>
      </w:r>
      <w:r>
        <w:rPr>
          <w:rFonts w:ascii="宋体" w:hAnsi="宋体" w:eastAsia="宋体" w:cs="Times New Roman"/>
          <w:color w:val="auto"/>
          <w:kern w:val="2"/>
          <w:sz w:val="24"/>
          <w:szCs w:val="24"/>
          <w:highlight w:val="none"/>
        </w:rPr>
        <w:t>发承包</w:t>
      </w:r>
      <w:r>
        <w:rPr>
          <w:rFonts w:hint="eastAsia" w:ascii="宋体" w:hAnsi="宋体" w:eastAsia="宋体" w:cs="Times New Roman"/>
          <w:color w:val="auto"/>
          <w:kern w:val="2"/>
          <w:sz w:val="24"/>
          <w:szCs w:val="24"/>
          <w:highlight w:val="none"/>
          <w:lang w:eastAsia="zh-CN"/>
        </w:rPr>
        <w:t>双方</w:t>
      </w:r>
      <w:r>
        <w:rPr>
          <w:rFonts w:hint="default" w:ascii="宋体" w:hAnsi="宋体" w:eastAsia="宋体" w:cs="Times New Roman"/>
          <w:color w:val="auto"/>
          <w:kern w:val="2"/>
          <w:sz w:val="24"/>
          <w:szCs w:val="24"/>
          <w:highlight w:val="none"/>
          <w:lang w:eastAsia="zh-CN"/>
        </w:rPr>
        <w:t>约定</w:t>
      </w:r>
      <w:r>
        <w:rPr>
          <w:rFonts w:ascii="宋体" w:hAnsi="宋体" w:eastAsia="宋体" w:cs="Times New Roman"/>
          <w:color w:val="auto"/>
          <w:kern w:val="2"/>
          <w:sz w:val="24"/>
          <w:szCs w:val="24"/>
          <w:highlight w:val="none"/>
        </w:rPr>
        <w:t>修正</w:t>
      </w:r>
      <w:r>
        <w:rPr>
          <w:rFonts w:hint="default" w:ascii="宋体" w:hAnsi="宋体" w:eastAsia="宋体" w:cs="Times New Roman"/>
          <w:color w:val="auto"/>
          <w:kern w:val="2"/>
          <w:sz w:val="24"/>
          <w:szCs w:val="24"/>
          <w:highlight w:val="none"/>
          <w:lang w:eastAsia="zh-CN"/>
        </w:rPr>
        <w:t>时间为：</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lang w:val="en-US" w:eastAsia="zh-CN"/>
        </w:rPr>
        <w:t xml:space="preserve">    </w:t>
      </w:r>
    </w:p>
    <w:p>
      <w:pPr>
        <w:numPr>
          <w:ilvl w:val="0"/>
          <w:numId w:val="0"/>
        </w:numPr>
        <w:spacing w:after="0" w:line="360" w:lineRule="auto"/>
        <w:ind w:left="0" w:firstLine="480" w:firstLineChars="0"/>
        <w:jc w:val="left"/>
        <w:outlineLvl w:val="9"/>
        <w:rPr>
          <w:rFonts w:ascii="宋体" w:hAnsi="宋体" w:eastAsia="宋体" w:cs="Times New Roman"/>
          <w:color w:val="auto"/>
          <w:kern w:val="2"/>
          <w:sz w:val="24"/>
          <w:szCs w:val="24"/>
          <w:highlight w:val="none"/>
        </w:rPr>
      </w:pPr>
      <w:r>
        <w:rPr>
          <w:rFonts w:hint="eastAsia" w:ascii="宋体" w:hAnsi="宋体" w:eastAsia="宋体" w:cs="Times New Roman"/>
          <w:color w:val="auto"/>
          <w:sz w:val="24"/>
          <w:szCs w:val="24"/>
          <w:highlight w:val="none"/>
        </w:rPr>
        <w:t>(4)</w:t>
      </w:r>
      <w:r>
        <w:rPr>
          <w:rFonts w:ascii="宋体" w:hAnsi="宋体" w:eastAsia="宋体" w:cs="Times New Roman"/>
          <w:color w:val="auto"/>
          <w:kern w:val="2"/>
          <w:sz w:val="24"/>
          <w:szCs w:val="24"/>
          <w:highlight w:val="none"/>
        </w:rPr>
        <w:t>过程结算价款累计</w:t>
      </w:r>
      <w:r>
        <w:rPr>
          <w:rFonts w:hint="default" w:ascii="宋体" w:hAnsi="宋体" w:eastAsia="宋体" w:cs="Times New Roman"/>
          <w:color w:val="auto"/>
          <w:kern w:val="2"/>
          <w:sz w:val="24"/>
          <w:szCs w:val="24"/>
          <w:highlight w:val="none"/>
        </w:rPr>
        <w:t>支付</w:t>
      </w:r>
      <w:r>
        <w:rPr>
          <w:rFonts w:ascii="宋体" w:hAnsi="宋体" w:eastAsia="宋体" w:cs="Times New Roman"/>
          <w:color w:val="auto"/>
          <w:kern w:val="2"/>
          <w:sz w:val="24"/>
          <w:szCs w:val="24"/>
          <w:highlight w:val="none"/>
        </w:rPr>
        <w:t>总额达到合同价格的</w:t>
      </w:r>
      <w:r>
        <w:rPr>
          <w:rFonts w:hint="default"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u w:val="single"/>
          <w:lang w:val="en-US" w:eastAsia="zh-CN"/>
        </w:rPr>
        <w:t xml:space="preserve">   </w:t>
      </w:r>
      <w:r>
        <w:rPr>
          <w:rFonts w:hint="default" w:ascii="宋体" w:hAnsi="宋体" w:eastAsia="宋体" w:cs="Times New Roman"/>
          <w:color w:val="auto"/>
          <w:kern w:val="2"/>
          <w:sz w:val="24"/>
          <w:szCs w:val="24"/>
          <w:highlight w:val="none"/>
          <w:lang w:val="en-US" w:eastAsia="zh-CN"/>
        </w:rPr>
        <w:t>%</w:t>
      </w:r>
      <w:r>
        <w:rPr>
          <w:rFonts w:ascii="宋体" w:hAnsi="宋体" w:eastAsia="宋体" w:cs="Times New Roman"/>
          <w:color w:val="auto"/>
          <w:kern w:val="2"/>
          <w:sz w:val="24"/>
          <w:szCs w:val="24"/>
          <w:highlight w:val="none"/>
        </w:rPr>
        <w:t>时，暂停支付。</w:t>
      </w:r>
    </w:p>
    <w:p>
      <w:pPr>
        <w:widowControl w:val="0"/>
        <w:numPr>
          <w:ilvl w:val="0"/>
          <w:numId w:val="0"/>
        </w:numPr>
        <w:tabs>
          <w:tab w:val="left" w:pos="540"/>
          <w:tab w:val="left" w:pos="900"/>
        </w:tabs>
        <w:spacing w:before="120" w:after="156"/>
        <w:ind w:left="0" w:firstLine="240" w:firstLineChars="100"/>
        <w:jc w:val="left"/>
        <w:outlineLvl w:val="1"/>
        <w:rPr>
          <w:rFonts w:hint="eastAsia" w:ascii="宋体" w:hAnsi="宋体" w:eastAsia="宋体" w:cs="Times New Roman"/>
          <w:b/>
          <w:bCs/>
          <w:color w:val="auto"/>
          <w:kern w:val="0"/>
          <w:sz w:val="24"/>
          <w:szCs w:val="32"/>
          <w:highlight w:val="none"/>
          <w:lang w:val="en-US" w:eastAsia="zh-CN" w:bidi="ar-SA"/>
        </w:rPr>
      </w:pPr>
      <w:bookmarkStart w:id="4419" w:name="_Toc13922"/>
      <w:bookmarkStart w:id="4420" w:name="_Toc11977"/>
      <w:bookmarkStart w:id="4421" w:name="_Toc15544"/>
      <w:bookmarkStart w:id="4422" w:name="_Toc17232"/>
      <w:bookmarkStart w:id="4423" w:name="_Toc29693"/>
      <w:bookmarkStart w:id="4424" w:name="_Toc21608"/>
      <w:bookmarkStart w:id="4425" w:name="_Toc30127"/>
      <w:bookmarkStart w:id="4426" w:name="_Toc23209"/>
      <w:bookmarkStart w:id="4427" w:name="_Toc18821"/>
      <w:bookmarkStart w:id="4428" w:name="_Toc2721"/>
      <w:bookmarkStart w:id="4429" w:name="_Toc5876"/>
      <w:bookmarkStart w:id="4430" w:name="_Toc28858"/>
      <w:bookmarkStart w:id="4431" w:name="_Toc143"/>
      <w:r>
        <w:rPr>
          <w:rFonts w:hint="eastAsia" w:ascii="宋体" w:hAnsi="宋体" w:eastAsia="宋体" w:cs="Times New Roman"/>
          <w:b/>
          <w:bCs/>
          <w:color w:val="auto"/>
          <w:kern w:val="0"/>
          <w:sz w:val="24"/>
          <w:szCs w:val="32"/>
          <w:highlight w:val="none"/>
          <w:lang w:val="en-US" w:eastAsia="zh-CN" w:bidi="ar-SA"/>
        </w:rPr>
        <w:t>26.7过程结算暂定意见</w:t>
      </w:r>
      <w:bookmarkEnd w:id="4419"/>
      <w:bookmarkEnd w:id="4420"/>
      <w:bookmarkEnd w:id="4421"/>
      <w:bookmarkEnd w:id="4422"/>
      <w:bookmarkEnd w:id="4423"/>
      <w:bookmarkEnd w:id="4424"/>
      <w:bookmarkEnd w:id="4425"/>
      <w:bookmarkEnd w:id="4426"/>
      <w:bookmarkEnd w:id="4427"/>
      <w:bookmarkEnd w:id="4428"/>
      <w:bookmarkEnd w:id="4429"/>
      <w:bookmarkEnd w:id="4430"/>
      <w:bookmarkEnd w:id="4431"/>
    </w:p>
    <w:p>
      <w:pPr>
        <w:numPr>
          <w:ilvl w:val="0"/>
          <w:numId w:val="0"/>
        </w:numPr>
        <w:spacing w:after="0" w:line="360" w:lineRule="auto"/>
        <w:ind w:left="0" w:firstLine="480" w:firstLineChars="200"/>
        <w:jc w:val="left"/>
        <w:outlineLvl w:val="9"/>
        <w:rPr>
          <w:rFonts w:hint="default" w:ascii="宋体" w:hAnsi="宋体" w:eastAsia="宋体" w:cs="Times New Roman"/>
          <w:color w:val="auto"/>
          <w:kern w:val="2"/>
          <w:sz w:val="24"/>
          <w:szCs w:val="24"/>
          <w:highlight w:val="none"/>
          <w:lang w:val="en-US" w:eastAsia="zh-CN"/>
        </w:rPr>
      </w:pPr>
      <w:r>
        <w:rPr>
          <w:rFonts w:ascii="宋体" w:hAnsi="宋体" w:eastAsia="宋体" w:cs="Times New Roman"/>
          <w:color w:val="auto"/>
          <w:kern w:val="2"/>
          <w:sz w:val="24"/>
          <w:szCs w:val="24"/>
          <w:highlight w:val="none"/>
        </w:rPr>
        <w:t>发承包双方委托</w:t>
      </w:r>
      <w:r>
        <w:rPr>
          <w:rFonts w:hint="default" w:ascii="宋体" w:hAnsi="宋体" w:eastAsia="宋体" w:cs="Times New Roman"/>
          <w:color w:val="auto"/>
          <w:kern w:val="2"/>
          <w:sz w:val="24"/>
          <w:szCs w:val="24"/>
          <w:highlight w:val="none"/>
          <w:lang w:eastAsia="zh-CN"/>
        </w:rPr>
        <w:t>的</w:t>
      </w:r>
      <w:r>
        <w:rPr>
          <w:rFonts w:ascii="宋体" w:hAnsi="宋体" w:eastAsia="宋体" w:cs="Times New Roman"/>
          <w:color w:val="auto"/>
          <w:kern w:val="2"/>
          <w:sz w:val="24"/>
          <w:szCs w:val="24"/>
          <w:highlight w:val="none"/>
        </w:rPr>
        <w:t>第三方</w:t>
      </w:r>
      <w:r>
        <w:rPr>
          <w:rFonts w:hint="default" w:ascii="宋体" w:hAnsi="宋体" w:eastAsia="宋体" w:cs="Times New Roman"/>
          <w:color w:val="auto"/>
          <w:kern w:val="2"/>
          <w:sz w:val="24"/>
          <w:szCs w:val="24"/>
          <w:highlight w:val="none"/>
          <w:lang w:eastAsia="zh-CN"/>
        </w:rPr>
        <w:t>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p>
    <w:p>
      <w:pPr>
        <w:spacing w:line="360" w:lineRule="auto"/>
        <w:ind w:left="0" w:firstLine="480"/>
        <w:jc w:val="left"/>
        <w:rPr>
          <w:rFonts w:ascii="宋体" w:hAnsi="宋体" w:eastAsia="宋体" w:cs="Times New Roman"/>
          <w:color w:val="auto"/>
          <w:kern w:val="2"/>
          <w:sz w:val="24"/>
          <w:szCs w:val="24"/>
          <w:highlight w:val="none"/>
        </w:rPr>
      </w:pPr>
      <w:r>
        <w:rPr>
          <w:rFonts w:ascii="宋体" w:hAnsi="宋体" w:eastAsia="宋体" w:cs="Times New Roman"/>
          <w:color w:val="auto"/>
          <w:kern w:val="2"/>
          <w:sz w:val="24"/>
          <w:szCs w:val="24"/>
          <w:highlight w:val="none"/>
        </w:rPr>
        <w:t>发承包双方</w:t>
      </w:r>
      <w:r>
        <w:rPr>
          <w:rFonts w:hint="default" w:ascii="宋体" w:hAnsi="宋体" w:eastAsia="宋体" w:cs="Times New Roman"/>
          <w:color w:val="auto"/>
          <w:kern w:val="2"/>
          <w:sz w:val="24"/>
          <w:szCs w:val="24"/>
          <w:highlight w:val="none"/>
          <w:lang w:eastAsia="zh-CN"/>
        </w:rPr>
        <w:t>应</w:t>
      </w:r>
      <w:r>
        <w:rPr>
          <w:rFonts w:ascii="宋体" w:hAnsi="宋体" w:eastAsia="宋体" w:cs="Times New Roman"/>
          <w:color w:val="auto"/>
          <w:kern w:val="2"/>
          <w:sz w:val="24"/>
          <w:szCs w:val="24"/>
          <w:highlight w:val="none"/>
        </w:rPr>
        <w:t>在收到第三方暂定结算意见</w:t>
      </w:r>
      <w:r>
        <w:rPr>
          <w:rFonts w:hint="default" w:ascii="宋体" w:hAnsi="宋体" w:eastAsia="宋体" w:cs="Times New Roman"/>
          <w:color w:val="auto"/>
          <w:kern w:val="2"/>
          <w:sz w:val="24"/>
          <w:szCs w:val="24"/>
          <w:highlight w:val="none"/>
          <w:u w:val="none"/>
        </w:rPr>
        <w:t>后</w:t>
      </w:r>
      <w:r>
        <w:rPr>
          <w:rFonts w:hint="default" w:ascii="宋体" w:hAnsi="宋体" w:eastAsia="宋体" w:cs="Times New Roman"/>
          <w:color w:val="auto"/>
          <w:kern w:val="2"/>
          <w:sz w:val="24"/>
          <w:szCs w:val="24"/>
          <w:highlight w:val="none"/>
          <w:u w:val="single"/>
          <w:lang w:val="en-US" w:eastAsia="zh-CN"/>
        </w:rPr>
        <w:t xml:space="preserve">       </w:t>
      </w:r>
      <w:r>
        <w:rPr>
          <w:rFonts w:hint="default" w:ascii="宋体" w:hAnsi="宋体" w:eastAsia="宋体" w:cs="Times New Roman"/>
          <w:color w:val="auto"/>
          <w:kern w:val="2"/>
          <w:sz w:val="24"/>
          <w:szCs w:val="24"/>
          <w:highlight w:val="none"/>
          <w:u w:val="none"/>
        </w:rPr>
        <w:t>天</w:t>
      </w:r>
      <w:r>
        <w:rPr>
          <w:rFonts w:hint="default" w:ascii="宋体" w:hAnsi="宋体" w:eastAsia="宋体" w:cs="Times New Roman"/>
          <w:color w:val="auto"/>
          <w:kern w:val="2"/>
          <w:sz w:val="24"/>
          <w:szCs w:val="24"/>
          <w:highlight w:val="none"/>
          <w:u w:val="none"/>
          <w:lang w:eastAsia="zh-CN"/>
        </w:rPr>
        <w:t>内</w:t>
      </w:r>
      <w:r>
        <w:rPr>
          <w:rFonts w:hint="default" w:ascii="宋体" w:hAnsi="宋体" w:eastAsia="宋体" w:cs="Times New Roman"/>
          <w:color w:val="auto"/>
          <w:kern w:val="2"/>
          <w:sz w:val="24"/>
          <w:szCs w:val="24"/>
          <w:highlight w:val="none"/>
          <w:u w:val="none"/>
        </w:rPr>
        <w:t>，</w:t>
      </w:r>
      <w:r>
        <w:rPr>
          <w:rFonts w:ascii="宋体" w:hAnsi="宋体" w:eastAsia="宋体" w:cs="Times New Roman"/>
          <w:color w:val="auto"/>
          <w:kern w:val="2"/>
          <w:sz w:val="24"/>
          <w:szCs w:val="24"/>
          <w:highlight w:val="none"/>
        </w:rPr>
        <w:t>对暂定结算意见予以确认或提出异议。</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4432" w:name="_Toc9478"/>
      <w:bookmarkStart w:id="4433" w:name="_Toc30877"/>
      <w:bookmarkStart w:id="4434" w:name="_Toc11272"/>
      <w:bookmarkStart w:id="4435" w:name="_Toc10563"/>
      <w:bookmarkStart w:id="4436" w:name="_Toc1299"/>
      <w:bookmarkStart w:id="4437" w:name="_Toc31931"/>
      <w:bookmarkStart w:id="4438" w:name="_Toc30449"/>
      <w:bookmarkStart w:id="4439" w:name="_Toc30767"/>
      <w:r>
        <w:rPr>
          <w:rFonts w:hint="eastAsia" w:ascii="华文细黑" w:hAnsi="宋体" w:eastAsia="宋体" w:cs="Times New Roman"/>
          <w:b/>
          <w:bCs/>
          <w:snapToGrid w:val="0"/>
          <w:color w:val="auto"/>
          <w:kern w:val="0"/>
          <w:sz w:val="28"/>
          <w:szCs w:val="44"/>
          <w:highlight w:val="none"/>
          <w:lang w:val="en-US" w:eastAsia="zh-CN" w:bidi="ar-SA"/>
        </w:rPr>
        <w:t>27竣工验收</w:t>
      </w:r>
      <w:bookmarkEnd w:id="4364"/>
      <w:bookmarkEnd w:id="4365"/>
      <w:bookmarkEnd w:id="4366"/>
      <w:bookmarkEnd w:id="4432"/>
      <w:bookmarkEnd w:id="4433"/>
      <w:bookmarkEnd w:id="4434"/>
      <w:bookmarkEnd w:id="4435"/>
      <w:bookmarkEnd w:id="4436"/>
      <w:bookmarkEnd w:id="4437"/>
      <w:bookmarkEnd w:id="4438"/>
      <w:bookmarkEnd w:id="4439"/>
    </w:p>
    <w:p>
      <w:pPr>
        <w:widowControl w:val="0"/>
        <w:numPr>
          <w:ilvl w:val="0"/>
          <w:numId w:val="0"/>
        </w:numPr>
        <w:tabs>
          <w:tab w:val="left" w:pos="540"/>
          <w:tab w:val="left" w:pos="900"/>
          <w:tab w:val="left" w:pos="2340"/>
          <w:tab w:val="left" w:pos="4032"/>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4440" w:name="_Toc27965"/>
      <w:bookmarkStart w:id="4441" w:name="_Toc27172"/>
      <w:bookmarkStart w:id="4442" w:name="_Toc11869"/>
      <w:bookmarkStart w:id="4443" w:name="_Toc10532"/>
      <w:bookmarkStart w:id="4444" w:name="_Toc3724"/>
      <w:bookmarkStart w:id="4445" w:name="_Toc305331510"/>
      <w:bookmarkStart w:id="4446" w:name="_Toc21171"/>
      <w:bookmarkStart w:id="4447" w:name="_Toc18279"/>
      <w:bookmarkStart w:id="4448" w:name="_Toc302636033"/>
      <w:bookmarkStart w:id="4449" w:name="_Toc24188"/>
      <w:bookmarkStart w:id="4450" w:name="_Toc5886"/>
      <w:r>
        <w:rPr>
          <w:rFonts w:hint="eastAsia" w:ascii="宋体" w:hAnsi="宋体" w:eastAsia="宋体" w:cs="Times New Roman"/>
          <w:b/>
          <w:bCs/>
          <w:color w:val="auto"/>
          <w:kern w:val="0"/>
          <w:sz w:val="24"/>
          <w:szCs w:val="32"/>
          <w:highlight w:val="none"/>
          <w:lang w:val="en-US" w:eastAsia="zh-CN" w:bidi="ar-SA"/>
        </w:rPr>
        <w:t>27.1 竣工验收</w:t>
      </w:r>
      <w:bookmarkEnd w:id="4440"/>
      <w:bookmarkEnd w:id="4441"/>
      <w:bookmarkEnd w:id="4442"/>
      <w:bookmarkEnd w:id="4443"/>
      <w:bookmarkEnd w:id="4444"/>
      <w:bookmarkEnd w:id="4445"/>
      <w:bookmarkEnd w:id="4446"/>
      <w:bookmarkEnd w:id="4447"/>
      <w:bookmarkEnd w:id="4448"/>
      <w:bookmarkEnd w:id="4449"/>
      <w:bookmarkEnd w:id="4450"/>
    </w:p>
    <w:p>
      <w:pPr>
        <w:spacing w:line="360" w:lineRule="auto"/>
        <w:ind w:firstLine="48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承包人提供竣工资料的约定：</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 xml:space="preserve"> 本工程中须单独进行竣工验收的单项工程为：</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451" w:name="_Toc3436"/>
      <w:bookmarkStart w:id="4452" w:name="_Toc10583"/>
      <w:bookmarkStart w:id="4453" w:name="_Toc16591"/>
      <w:bookmarkStart w:id="4454" w:name="_Toc20206"/>
      <w:bookmarkStart w:id="4455" w:name="_Toc31289"/>
      <w:bookmarkStart w:id="4456" w:name="_Toc19669"/>
      <w:bookmarkStart w:id="4457" w:name="_Toc302636034"/>
      <w:bookmarkStart w:id="4458" w:name="_Toc10933"/>
      <w:bookmarkStart w:id="4459" w:name="_Toc305331511"/>
      <w:bookmarkStart w:id="4460" w:name="_Toc32418"/>
      <w:bookmarkStart w:id="4461" w:name="_Toc7453"/>
      <w:r>
        <w:rPr>
          <w:rFonts w:hint="eastAsia" w:ascii="宋体" w:hAnsi="宋体" w:eastAsia="宋体" w:cs="Times New Roman"/>
          <w:b/>
          <w:bCs/>
          <w:color w:val="auto"/>
          <w:kern w:val="0"/>
          <w:sz w:val="24"/>
          <w:szCs w:val="32"/>
          <w:highlight w:val="none"/>
          <w:lang w:val="en-US" w:eastAsia="zh-CN" w:bidi="ar-SA"/>
        </w:rPr>
        <w:t>27.2 竣工验收合格后的移交和清理</w:t>
      </w:r>
      <w:bookmarkEnd w:id="4451"/>
      <w:bookmarkEnd w:id="4452"/>
      <w:bookmarkEnd w:id="4453"/>
      <w:bookmarkEnd w:id="4454"/>
      <w:bookmarkEnd w:id="4455"/>
      <w:bookmarkEnd w:id="4456"/>
      <w:bookmarkEnd w:id="4457"/>
      <w:bookmarkEnd w:id="4458"/>
      <w:bookmarkEnd w:id="4459"/>
      <w:bookmarkEnd w:id="4460"/>
      <w:bookmarkEnd w:id="4461"/>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(1)承包人不按时向发包人移交本工程的，每延迟一天，承包人向发包人支付违约金</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spacing w:line="360" w:lineRule="auto"/>
        <w:ind w:firstLine="48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(3)发包人无正当理由不接收工程的，发包人应承担以下违约责任：</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462" w:name="_Toc25026"/>
      <w:bookmarkStart w:id="4463" w:name="_Toc28750"/>
      <w:bookmarkStart w:id="4464" w:name="_Toc12414"/>
      <w:bookmarkStart w:id="4465" w:name="_Toc6098"/>
      <w:bookmarkStart w:id="4466" w:name="_Toc1412"/>
      <w:bookmarkStart w:id="4467" w:name="_Toc13732"/>
      <w:bookmarkStart w:id="4468" w:name="_Toc305331512"/>
      <w:bookmarkStart w:id="4469" w:name="_Toc30601"/>
      <w:bookmarkStart w:id="4470" w:name="_Toc30660"/>
      <w:bookmarkStart w:id="4471" w:name="_Toc8658"/>
      <w:bookmarkStart w:id="4472" w:name="_Toc302636035"/>
      <w:r>
        <w:rPr>
          <w:rFonts w:hint="eastAsia" w:ascii="宋体" w:hAnsi="宋体" w:eastAsia="宋体" w:cs="Times New Roman"/>
          <w:b/>
          <w:bCs/>
          <w:color w:val="auto"/>
          <w:kern w:val="0"/>
          <w:sz w:val="24"/>
          <w:szCs w:val="32"/>
          <w:highlight w:val="none"/>
          <w:lang w:val="en-US" w:eastAsia="zh-CN" w:bidi="ar-SA"/>
        </w:rPr>
        <w:t>27.3 竣工验收质量不合格和重新验收</w:t>
      </w:r>
      <w:bookmarkEnd w:id="4462"/>
      <w:bookmarkEnd w:id="4463"/>
      <w:bookmarkEnd w:id="4464"/>
      <w:bookmarkEnd w:id="4465"/>
      <w:bookmarkEnd w:id="4466"/>
      <w:bookmarkEnd w:id="4467"/>
      <w:bookmarkEnd w:id="4468"/>
      <w:bookmarkEnd w:id="4469"/>
      <w:bookmarkEnd w:id="4470"/>
      <w:bookmarkEnd w:id="4471"/>
      <w:bookmarkEnd w:id="4472"/>
    </w:p>
    <w:p>
      <w:pPr>
        <w:spacing w:line="360" w:lineRule="auto"/>
        <w:ind w:firstLine="48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(1)如本工程竣工验收质量未达到本合同约定的标准，承包人应承担以下违约责任：</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4473" w:name="_Toc25089"/>
      <w:bookmarkStart w:id="4474" w:name="_Toc19861"/>
      <w:bookmarkStart w:id="4475" w:name="_Toc3146"/>
      <w:bookmarkStart w:id="4476" w:name="_Toc30455"/>
      <w:bookmarkStart w:id="4477" w:name="_Toc6465"/>
      <w:bookmarkStart w:id="4478" w:name="_Toc31429"/>
      <w:bookmarkStart w:id="4479" w:name="_Toc17856"/>
      <w:bookmarkStart w:id="4480" w:name="_Toc16053"/>
      <w:bookmarkStart w:id="4481" w:name="_Toc302636037"/>
      <w:bookmarkStart w:id="4482" w:name="_Toc305331515"/>
      <w:bookmarkStart w:id="4483" w:name="_Toc27629"/>
      <w:bookmarkStart w:id="4484" w:name="_Toc305331514"/>
      <w:r>
        <w:rPr>
          <w:rFonts w:hint="eastAsia" w:ascii="宋体" w:hAnsi="宋体" w:eastAsia="宋体" w:cs="Times New Roman"/>
          <w:b/>
          <w:bCs/>
          <w:color w:val="auto"/>
          <w:kern w:val="0"/>
          <w:sz w:val="24"/>
          <w:szCs w:val="32"/>
          <w:highlight w:val="none"/>
          <w:lang w:val="en-US" w:eastAsia="zh-CN" w:bidi="ar-SA"/>
        </w:rPr>
        <w:t>27.</w:t>
      </w:r>
      <w:r>
        <w:rPr>
          <w:rFonts w:ascii="宋体" w:hAnsi="宋体" w:eastAsia="宋体" w:cs="Times New Roman"/>
          <w:b/>
          <w:bCs/>
          <w:color w:val="auto"/>
          <w:kern w:val="0"/>
          <w:sz w:val="24"/>
          <w:szCs w:val="32"/>
          <w:highlight w:val="none"/>
          <w:lang w:val="en-US" w:eastAsia="zh-CN" w:bidi="ar-SA"/>
        </w:rPr>
        <w:t>6</w:t>
      </w:r>
      <w:r>
        <w:rPr>
          <w:rFonts w:hint="eastAsia" w:ascii="宋体" w:hAnsi="宋体" w:eastAsia="宋体" w:cs="Times New Roman"/>
          <w:b/>
          <w:bCs/>
          <w:color w:val="auto"/>
          <w:kern w:val="0"/>
          <w:sz w:val="24"/>
          <w:szCs w:val="32"/>
          <w:highlight w:val="none"/>
          <w:lang w:val="en-US" w:eastAsia="zh-CN" w:bidi="ar-SA"/>
        </w:rPr>
        <w:t xml:space="preserve"> 竣工验收工程质量争议处理</w:t>
      </w:r>
      <w:bookmarkEnd w:id="4473"/>
      <w:bookmarkEnd w:id="4474"/>
      <w:bookmarkEnd w:id="4475"/>
      <w:bookmarkEnd w:id="4476"/>
      <w:bookmarkEnd w:id="4477"/>
      <w:bookmarkEnd w:id="4478"/>
      <w:bookmarkEnd w:id="4479"/>
      <w:bookmarkEnd w:id="4480"/>
      <w:bookmarkEnd w:id="4481"/>
      <w:bookmarkEnd w:id="4482"/>
      <w:bookmarkEnd w:id="4483"/>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发包人与承包人对竣工验收工程质量有争议时共同委托的质量检测鉴定机构为：</w:t>
      </w: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485" w:name="_Toc13076"/>
      <w:bookmarkStart w:id="4486" w:name="_Toc16769"/>
      <w:bookmarkStart w:id="4487" w:name="_Toc302636038"/>
      <w:bookmarkStart w:id="4488" w:name="_Toc15275"/>
      <w:bookmarkStart w:id="4489" w:name="_Toc2909"/>
      <w:bookmarkStart w:id="4490" w:name="_Toc16229"/>
      <w:bookmarkStart w:id="4491" w:name="_Toc19084"/>
      <w:bookmarkStart w:id="4492" w:name="_Toc23983"/>
      <w:bookmarkStart w:id="4493" w:name="_Toc13977"/>
      <w:bookmarkStart w:id="4494" w:name="_Toc30443"/>
      <w:r>
        <w:rPr>
          <w:rFonts w:hint="eastAsia" w:ascii="宋体" w:hAnsi="宋体" w:eastAsia="宋体" w:cs="Times New Roman"/>
          <w:b/>
          <w:bCs/>
          <w:color w:val="auto"/>
          <w:kern w:val="0"/>
          <w:sz w:val="24"/>
          <w:szCs w:val="32"/>
          <w:highlight w:val="none"/>
          <w:lang w:val="en-US" w:eastAsia="zh-CN" w:bidi="ar-SA"/>
        </w:rPr>
        <w:t>27.</w:t>
      </w:r>
      <w:r>
        <w:rPr>
          <w:rFonts w:ascii="宋体" w:hAnsi="宋体" w:eastAsia="宋体" w:cs="Times New Roman"/>
          <w:b/>
          <w:bCs/>
          <w:color w:val="auto"/>
          <w:kern w:val="0"/>
          <w:sz w:val="24"/>
          <w:szCs w:val="32"/>
          <w:highlight w:val="none"/>
          <w:lang w:val="en-US" w:eastAsia="zh-CN" w:bidi="ar-SA"/>
        </w:rPr>
        <w:t>7</w:t>
      </w:r>
      <w:r>
        <w:rPr>
          <w:rFonts w:hint="eastAsia" w:ascii="宋体" w:hAnsi="宋体" w:eastAsia="宋体" w:cs="Times New Roman"/>
          <w:b/>
          <w:bCs/>
          <w:color w:val="auto"/>
          <w:kern w:val="0"/>
          <w:sz w:val="24"/>
          <w:szCs w:val="32"/>
          <w:highlight w:val="none"/>
          <w:lang w:val="en-US" w:eastAsia="zh-CN" w:bidi="ar-SA"/>
        </w:rPr>
        <w:t xml:space="preserve"> 履约评价与优质优价</w:t>
      </w:r>
      <w:bookmarkEnd w:id="4484"/>
      <w:bookmarkEnd w:id="4485"/>
      <w:bookmarkEnd w:id="4486"/>
      <w:bookmarkEnd w:id="4487"/>
      <w:bookmarkEnd w:id="4488"/>
      <w:bookmarkEnd w:id="4489"/>
      <w:bookmarkEnd w:id="4490"/>
      <w:bookmarkEnd w:id="4491"/>
      <w:bookmarkEnd w:id="4492"/>
      <w:bookmarkEnd w:id="4493"/>
      <w:bookmarkEnd w:id="4494"/>
    </w:p>
    <w:p>
      <w:pPr>
        <w:spacing w:line="360" w:lineRule="auto"/>
        <w:ind w:firstLine="48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 发包人对承包人的履约评价约定(可另附页)：</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(2)履约评价奖励：发包人负责组织相关单位对承包人进行履约评价，对履约评价为良好及以上等级的，发包人应给予承包人本工程签约合同价的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%作为奖励。</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工程创优奖励：对履约评价为良好及以上等级，且取得</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奖项的，发包人应在履约评价奖励基础上给予承包人追加本工程签约合同价的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%作为奖励。</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4495" w:name="_Toc2370"/>
      <w:bookmarkStart w:id="4496" w:name="_Toc10290"/>
      <w:bookmarkStart w:id="4497" w:name="_Toc27241"/>
      <w:bookmarkStart w:id="4498" w:name="_Toc305331516"/>
      <w:bookmarkStart w:id="4499" w:name="_Toc302636039"/>
      <w:bookmarkStart w:id="4500" w:name="_Toc9184"/>
      <w:bookmarkStart w:id="4501" w:name="_Toc11387"/>
      <w:bookmarkStart w:id="4502" w:name="_Toc25305"/>
      <w:bookmarkStart w:id="4503" w:name="_Toc9226"/>
      <w:bookmarkStart w:id="4504" w:name="_Toc12488"/>
      <w:bookmarkStart w:id="4505" w:name="_Toc30103"/>
      <w:r>
        <w:rPr>
          <w:rFonts w:hint="eastAsia" w:ascii="华文细黑" w:hAnsi="宋体" w:eastAsia="宋体" w:cs="Times New Roman"/>
          <w:b/>
          <w:bCs/>
          <w:snapToGrid w:val="0"/>
          <w:color w:val="auto"/>
          <w:kern w:val="0"/>
          <w:sz w:val="28"/>
          <w:szCs w:val="44"/>
          <w:highlight w:val="none"/>
          <w:lang w:val="en-US" w:eastAsia="zh-CN" w:bidi="ar-SA"/>
        </w:rPr>
        <w:t>28 竣工结算</w:t>
      </w:r>
      <w:bookmarkEnd w:id="4495"/>
      <w:bookmarkEnd w:id="4496"/>
      <w:bookmarkEnd w:id="4497"/>
      <w:bookmarkEnd w:id="4498"/>
      <w:bookmarkEnd w:id="4499"/>
      <w:bookmarkEnd w:id="4500"/>
      <w:bookmarkEnd w:id="4501"/>
      <w:bookmarkEnd w:id="4502"/>
      <w:bookmarkEnd w:id="4503"/>
      <w:bookmarkEnd w:id="4504"/>
      <w:bookmarkEnd w:id="4505"/>
    </w:p>
    <w:p>
      <w:pPr>
        <w:spacing w:line="360" w:lineRule="auto"/>
        <w:ind w:firstLine="480"/>
        <w:rPr>
          <w:rFonts w:ascii="宋体" w:hAnsi="宋体" w:eastAsia="宋体" w:cs="Times New Roman"/>
          <w:color w:val="auto"/>
          <w:sz w:val="24"/>
          <w:szCs w:val="24"/>
          <w:highlight w:val="none"/>
        </w:rPr>
      </w:pPr>
      <w:bookmarkStart w:id="4506" w:name="_Toc302636040"/>
      <w:bookmarkStart w:id="4507" w:name="_Toc28109"/>
      <w:bookmarkStart w:id="4508" w:name="_Toc20359"/>
      <w:bookmarkStart w:id="4509" w:name="_Toc1914"/>
      <w:bookmarkStart w:id="4510" w:name="_Toc305331517"/>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.1 竣工结算书的编制和提交</w:t>
      </w:r>
      <w:bookmarkEnd w:id="4506"/>
      <w:bookmarkEnd w:id="4507"/>
      <w:bookmarkEnd w:id="4508"/>
      <w:bookmarkEnd w:id="4509"/>
      <w:bookmarkEnd w:id="4510"/>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)承包人向发包人提交竣工结算书及完整的结算资料的时间要求为本工程竣工验收合格后</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天。</w:t>
      </w:r>
    </w:p>
    <w:p>
      <w:pPr>
        <w:widowControl w:val="0"/>
        <w:numPr>
          <w:ilvl w:val="0"/>
          <w:numId w:val="0"/>
        </w:numPr>
        <w:tabs>
          <w:tab w:val="left" w:pos="540"/>
          <w:tab w:val="left" w:pos="900"/>
          <w:tab w:val="left" w:pos="2340"/>
          <w:tab w:val="left" w:pos="4032"/>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4511" w:name="_Toc3128"/>
      <w:bookmarkStart w:id="4512" w:name="_Toc25807"/>
      <w:bookmarkStart w:id="4513" w:name="_Toc8529"/>
      <w:bookmarkStart w:id="4514" w:name="_Toc27238"/>
      <w:bookmarkStart w:id="4515" w:name="_Toc10727"/>
      <w:bookmarkStart w:id="4516" w:name="_Toc28478"/>
      <w:bookmarkStart w:id="4517" w:name="_Toc9496"/>
      <w:bookmarkStart w:id="4518" w:name="_Toc302636041"/>
      <w:bookmarkStart w:id="4519" w:name="_Toc305331518"/>
      <w:bookmarkStart w:id="4520" w:name="_Toc16256"/>
      <w:bookmarkStart w:id="4521" w:name="_Toc21052"/>
      <w:r>
        <w:rPr>
          <w:rFonts w:hint="eastAsia" w:ascii="宋体" w:hAnsi="宋体" w:eastAsia="宋体" w:cs="Times New Roman"/>
          <w:b/>
          <w:bCs/>
          <w:color w:val="auto"/>
          <w:kern w:val="0"/>
          <w:sz w:val="24"/>
          <w:szCs w:val="32"/>
          <w:highlight w:val="none"/>
          <w:lang w:val="en-US" w:eastAsia="zh-CN" w:bidi="ar-SA"/>
        </w:rPr>
        <w:t>28.2 竣工结算书的核对和修改</w:t>
      </w:r>
      <w:bookmarkEnd w:id="4511"/>
      <w:bookmarkEnd w:id="4512"/>
      <w:bookmarkEnd w:id="4513"/>
      <w:bookmarkEnd w:id="4514"/>
      <w:bookmarkEnd w:id="4515"/>
      <w:bookmarkEnd w:id="4516"/>
      <w:bookmarkEnd w:id="4517"/>
      <w:bookmarkEnd w:id="4518"/>
      <w:bookmarkEnd w:id="4519"/>
      <w:bookmarkEnd w:id="4520"/>
      <w:bookmarkEnd w:id="4521"/>
    </w:p>
    <w:p>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(1)发包人核对竣工结算书的期限为承包人提交竣工结算书和完整结算资料后</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天。</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(2)承包人提交修改竣工结算书或补充结算资料的期限为发包人提出核对意见或补充结算资料要求后</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天；发包人核对经修改的竣工结算书的期限为承包人提交修改竣工结算书或补充结算资料后</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天。</w:t>
      </w:r>
    </w:p>
    <w:p>
      <w:pPr>
        <w:widowControl w:val="0"/>
        <w:numPr>
          <w:ilvl w:val="0"/>
          <w:numId w:val="0"/>
        </w:numPr>
        <w:tabs>
          <w:tab w:val="left" w:pos="540"/>
          <w:tab w:val="left" w:pos="900"/>
          <w:tab w:val="left" w:pos="2340"/>
          <w:tab w:val="left" w:pos="4032"/>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4522" w:name="_Toc25008"/>
      <w:bookmarkStart w:id="4523" w:name="_Toc29188"/>
      <w:bookmarkStart w:id="4524" w:name="_Toc11805"/>
      <w:bookmarkStart w:id="4525" w:name="_Toc26411"/>
      <w:bookmarkStart w:id="4526" w:name="_Toc19329"/>
      <w:bookmarkStart w:id="4527" w:name="_Toc16050"/>
      <w:bookmarkStart w:id="4528" w:name="_Toc302636042"/>
      <w:bookmarkStart w:id="4529" w:name="_Toc305331519"/>
      <w:bookmarkStart w:id="4530" w:name="_Toc13438"/>
      <w:bookmarkStart w:id="4531" w:name="_Toc27851"/>
      <w:bookmarkStart w:id="4532" w:name="_Toc13959"/>
      <w:r>
        <w:rPr>
          <w:rFonts w:hint="eastAsia" w:ascii="宋体" w:hAnsi="宋体" w:eastAsia="宋体" w:cs="Times New Roman"/>
          <w:b/>
          <w:bCs/>
          <w:color w:val="auto"/>
          <w:kern w:val="0"/>
          <w:sz w:val="24"/>
          <w:szCs w:val="32"/>
          <w:highlight w:val="none"/>
          <w:lang w:val="en-US" w:eastAsia="zh-CN" w:bidi="ar-SA"/>
        </w:rPr>
        <w:t>28.3 竣工结算书核对次数</w:t>
      </w:r>
      <w:bookmarkEnd w:id="4522"/>
      <w:bookmarkEnd w:id="4523"/>
      <w:bookmarkEnd w:id="4524"/>
      <w:bookmarkEnd w:id="4525"/>
      <w:bookmarkEnd w:id="4526"/>
      <w:bookmarkEnd w:id="4527"/>
      <w:bookmarkEnd w:id="4528"/>
      <w:bookmarkEnd w:id="4529"/>
      <w:bookmarkEnd w:id="4530"/>
      <w:bookmarkEnd w:id="4531"/>
      <w:bookmarkEnd w:id="4532"/>
    </w:p>
    <w:p>
      <w:pPr>
        <w:spacing w:line="360" w:lineRule="auto"/>
        <w:ind w:firstLine="480"/>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发包人指派的竣工结算核对人为：</w:t>
      </w:r>
      <w:r>
        <w:rPr>
          <w:rFonts w:hint="eastAsia" w:ascii="宋体" w:hAnsi="宋体" w:eastAsia="宋体" w:cs="Times New Roman"/>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核对次数为：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次。    </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533" w:name="_Toc30818"/>
      <w:bookmarkStart w:id="4534" w:name="_Toc23142"/>
      <w:bookmarkStart w:id="4535" w:name="_Toc23422"/>
      <w:bookmarkStart w:id="4536" w:name="_Toc14876"/>
      <w:bookmarkStart w:id="4537" w:name="_Toc6878"/>
      <w:bookmarkStart w:id="4538" w:name="_Toc8461"/>
      <w:bookmarkStart w:id="4539" w:name="_Toc4417"/>
      <w:bookmarkStart w:id="4540" w:name="_Toc10124"/>
      <w:bookmarkStart w:id="4541" w:name="_Toc32149"/>
      <w:bookmarkStart w:id="4542" w:name="_Toc302636043"/>
      <w:r>
        <w:rPr>
          <w:rFonts w:hint="eastAsia" w:ascii="宋体" w:hAnsi="宋体" w:eastAsia="宋体" w:cs="Times New Roman"/>
          <w:b/>
          <w:bCs/>
          <w:color w:val="auto"/>
          <w:kern w:val="0"/>
          <w:sz w:val="24"/>
          <w:szCs w:val="32"/>
          <w:highlight w:val="none"/>
          <w:lang w:val="en-US" w:eastAsia="zh-CN" w:bidi="ar-SA"/>
        </w:rPr>
        <w:t>28.4 承包人不提交竣工结算书</w:t>
      </w:r>
      <w:bookmarkEnd w:id="4533"/>
      <w:bookmarkEnd w:id="4534"/>
      <w:bookmarkEnd w:id="4535"/>
      <w:bookmarkEnd w:id="4536"/>
      <w:bookmarkEnd w:id="4537"/>
      <w:bookmarkEnd w:id="4538"/>
      <w:bookmarkEnd w:id="4539"/>
      <w:bookmarkEnd w:id="4540"/>
      <w:bookmarkEnd w:id="4541"/>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承包人在收到监理人通知14天内仍不提交竣工结算书及结算资料的，发包人选择以下方式处理：</w:t>
      </w:r>
    </w:p>
    <w:p>
      <w:pPr>
        <w:spacing w:line="360" w:lineRule="auto"/>
        <w:ind w:left="178" w:firstLine="48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92" name="图片 6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2" name="图片 68"/>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发包人根据已有资料审查、核实确定竣工结算价款；</w:t>
      </w:r>
    </w:p>
    <w:p>
      <w:pPr>
        <w:spacing w:line="360" w:lineRule="auto"/>
        <w:ind w:left="178" w:firstLine="48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91" name="图片 6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1" name="图片 69"/>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(2)延期一天处以承包人签约合同价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％的罚款，罚款金额不超过签约合同价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bookmarkEnd w:id="4542"/>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543" w:name="_Toc6602"/>
      <w:bookmarkStart w:id="4544" w:name="_Toc2081"/>
      <w:bookmarkStart w:id="4545" w:name="_Toc20636"/>
      <w:bookmarkStart w:id="4546" w:name="_Toc7109"/>
      <w:bookmarkStart w:id="4547" w:name="_Toc23017"/>
      <w:bookmarkStart w:id="4548" w:name="_Toc24728"/>
      <w:bookmarkStart w:id="4549" w:name="_Toc31299"/>
      <w:bookmarkStart w:id="4550" w:name="_Toc18097"/>
      <w:bookmarkStart w:id="4551" w:name="_Toc14522"/>
      <w:bookmarkStart w:id="4552" w:name="_Toc302636044"/>
      <w:r>
        <w:rPr>
          <w:rFonts w:hint="eastAsia" w:ascii="宋体" w:hAnsi="宋体" w:eastAsia="宋体" w:cs="Times New Roman"/>
          <w:b/>
          <w:bCs/>
          <w:color w:val="auto"/>
          <w:kern w:val="0"/>
          <w:sz w:val="24"/>
          <w:szCs w:val="32"/>
          <w:highlight w:val="none"/>
          <w:lang w:val="en-US" w:eastAsia="zh-CN" w:bidi="ar-SA"/>
        </w:rPr>
        <w:t>28.6 竣工结算审计或审核</w:t>
      </w:r>
      <w:bookmarkEnd w:id="4543"/>
      <w:bookmarkEnd w:id="4544"/>
      <w:bookmarkEnd w:id="4545"/>
      <w:bookmarkEnd w:id="4546"/>
      <w:bookmarkEnd w:id="4547"/>
      <w:bookmarkEnd w:id="4548"/>
      <w:bookmarkEnd w:id="4549"/>
      <w:bookmarkEnd w:id="4550"/>
      <w:bookmarkEnd w:id="4551"/>
    </w:p>
    <w:p>
      <w:pPr>
        <w:spacing w:line="360" w:lineRule="auto"/>
        <w:ind w:firstLine="48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在以下情况下，发包人可启动强制结算机制，将其单方编制的结算文件送审计或审核：</w:t>
      </w:r>
      <w:r>
        <w:rPr>
          <w:rFonts w:ascii="Times New Roman" w:hAnsi="Times New Roman" w:eastAsia="仿宋_GB2312" w:cs="Times New Roman"/>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u w:val="single"/>
        </w:rPr>
        <w:t xml:space="preserve"> </w:t>
      </w:r>
      <w:r>
        <w:rPr>
          <w:rFonts w:ascii="Times New Roman" w:hAnsi="Times New Roman" w:eastAsia="仿宋_GB2312" w:cs="Times New Roman"/>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u w:val="single"/>
        </w:rPr>
        <w:t xml:space="preserve"> </w:t>
      </w:r>
      <w:r>
        <w:rPr>
          <w:rFonts w:ascii="Times New Roman" w:hAnsi="Times New Roman" w:eastAsia="仿宋_GB2312" w:cs="Times New Roman"/>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u w:val="single"/>
        </w:rPr>
        <w:t xml:space="preserve"> </w:t>
      </w:r>
      <w:r>
        <w:rPr>
          <w:rFonts w:ascii="Times New Roman" w:hAnsi="Times New Roman" w:eastAsia="仿宋_GB2312" w:cs="Times New Roman"/>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u w:val="single"/>
        </w:rPr>
        <w:t xml:space="preserve">       </w:t>
      </w:r>
      <w:r>
        <w:rPr>
          <w:rFonts w:ascii="Times New Roman" w:hAnsi="Times New Roman" w:eastAsia="仿宋_GB2312" w:cs="Times New Roman"/>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u w:val="single"/>
        </w:rPr>
        <w:t xml:space="preserve"> </w:t>
      </w:r>
      <w:r>
        <w:rPr>
          <w:rFonts w:ascii="Times New Roman" w:hAnsi="Times New Roman" w:eastAsia="仿宋_GB2312"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p>
    <w:p>
      <w:pPr>
        <w:rPr>
          <w:rFonts w:hint="eastAsia" w:ascii="宋体" w:hAnsi="宋体" w:eastAsia="宋体" w:cs="Times New Roman"/>
          <w:color w:val="auto"/>
          <w:sz w:val="24"/>
          <w:szCs w:val="24"/>
          <w:highlight w:val="none"/>
        </w:rPr>
      </w:pPr>
      <w:r>
        <w:rPr>
          <w:rFonts w:ascii="Times New Roman" w:hAnsi="Times New Roman" w:eastAsia="仿宋_GB2312" w:cs="Times New Roman"/>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u w:val="single"/>
        </w:rPr>
        <w:t xml:space="preserve"> </w:t>
      </w:r>
      <w:r>
        <w:rPr>
          <w:rFonts w:ascii="Times New Roman" w:hAnsi="Times New Roman" w:eastAsia="仿宋_GB2312" w:cs="Times New Roman"/>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u w:val="single"/>
        </w:rPr>
        <w:t xml:space="preserve">     </w:t>
      </w:r>
      <w:r>
        <w:rPr>
          <w:rFonts w:ascii="Times New Roman" w:hAnsi="Times New Roman" w:eastAsia="仿宋_GB2312" w:cs="Times New Roman"/>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u w:val="single"/>
        </w:rPr>
        <w:t xml:space="preserve">                     </w:t>
      </w:r>
      <w:r>
        <w:rPr>
          <w:rFonts w:ascii="Times New Roman" w:hAnsi="Times New Roman" w:eastAsia="仿宋_GB2312" w:cs="Times New Roman"/>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u w:val="single"/>
        </w:rPr>
        <w:t xml:space="preserve">   </w:t>
      </w:r>
      <w:r>
        <w:rPr>
          <w:rFonts w:ascii="Times New Roman" w:hAnsi="Times New Roman" w:eastAsia="仿宋_GB2312" w:cs="Times New Roman"/>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rPr>
        <w:t xml:space="preserve"> </w:t>
      </w:r>
    </w:p>
    <w:p>
      <w:pPr>
        <w:spacing w:before="156" w:beforeLines="50"/>
        <w:rPr>
          <w:rFonts w:hint="eastAsia" w:ascii="Times New Roman" w:hAnsi="Times New Roman" w:eastAsia="仿宋_GB2312" w:cs="Times New Roman"/>
          <w:color w:val="auto"/>
          <w:sz w:val="24"/>
          <w:szCs w:val="24"/>
          <w:highlight w:val="none"/>
          <w:u w:val="single"/>
        </w:rPr>
      </w:pPr>
      <w:r>
        <w:rPr>
          <w:rFonts w:ascii="Times New Roman" w:hAnsi="Times New Roman" w:eastAsia="仿宋_GB2312" w:cs="Times New Roman"/>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u w:val="single"/>
        </w:rPr>
        <w:t xml:space="preserve">  </w:t>
      </w:r>
      <w:r>
        <w:rPr>
          <w:rFonts w:ascii="Times New Roman" w:hAnsi="Times New Roman" w:eastAsia="仿宋_GB2312" w:cs="Times New Roman"/>
          <w:color w:val="auto"/>
          <w:sz w:val="24"/>
          <w:szCs w:val="24"/>
          <w:highlight w:val="none"/>
          <w:u w:val="single"/>
        </w:rPr>
        <w:t xml:space="preserve"> </w:t>
      </w:r>
      <w:r>
        <w:rPr>
          <w:rFonts w:hint="eastAsia" w:ascii="Times New Roman" w:hAnsi="Times New Roman" w:eastAsia="仿宋_GB2312" w:cs="Times New Roman"/>
          <w:color w:val="auto"/>
          <w:sz w:val="24"/>
          <w:szCs w:val="24"/>
          <w:highlight w:val="none"/>
          <w:u w:val="single"/>
        </w:rPr>
        <w:t xml:space="preserve">  </w:t>
      </w:r>
      <w:r>
        <w:rPr>
          <w:rFonts w:ascii="Times New Roman" w:hAnsi="Times New Roman" w:eastAsia="仿宋_GB2312" w:cs="Times New Roman"/>
          <w:color w:val="auto"/>
          <w:sz w:val="24"/>
          <w:szCs w:val="24"/>
          <w:highlight w:val="none"/>
          <w:u w:val="single"/>
        </w:rPr>
        <w:t xml:space="preserve"> </w:t>
      </w:r>
    </w:p>
    <w:p>
      <w:pPr>
        <w:spacing w:before="156" w:beforeLines="50"/>
        <w:ind w:firstLine="480" w:firstLineChars="200"/>
        <w:rPr>
          <w:rFonts w:hint="eastAsia" w:ascii="Times New Roman" w:hAnsi="Times New Roman" w:eastAsia="仿宋_GB2312" w:cs="Times New Roman"/>
          <w:color w:val="auto"/>
          <w:sz w:val="24"/>
          <w:szCs w:val="24"/>
          <w:highlight w:val="none"/>
          <w:u w:val="singl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本合同</w:t>
      </w:r>
      <w:r>
        <w:rPr>
          <w:rFonts w:hint="eastAsia" w:ascii="宋体" w:hAnsi="宋体" w:eastAsia="宋体" w:cs="Times New Roman"/>
          <w:color w:val="auto"/>
          <w:sz w:val="24"/>
          <w:szCs w:val="24"/>
          <w:highlight w:val="none"/>
        </w:rPr>
        <w:t>最终的竣工结算和支付依据约定如下：（注：只能选择一种方式，在选定的方式前的“□”内打“</w:t>
      </w:r>
      <w:r>
        <w:rPr>
          <w:rFonts w:hint="eastAsia" w:ascii="宋体" w:hAnsi="宋体" w:eastAsia="宋体" w:cs="Times New Roman"/>
          <w:color w:val="auto"/>
          <w:sz w:val="24"/>
          <w:szCs w:val="24"/>
          <w:highlight w:val="none"/>
        </w:rPr>
        <w:sym w:font="Symbol" w:char="F0D6"/>
      </w:r>
      <w:r>
        <w:rPr>
          <w:rFonts w:hint="eastAsia" w:ascii="宋体" w:hAnsi="宋体" w:eastAsia="宋体" w:cs="Times New Roman"/>
          <w:color w:val="auto"/>
          <w:sz w:val="24"/>
          <w:szCs w:val="24"/>
          <w:highlight w:val="none"/>
        </w:rPr>
        <w:t>”</w:t>
      </w:r>
      <w:r>
        <w:rPr>
          <w:rFonts w:hint="eastAsia" w:ascii="宋体" w:hAnsi="宋体" w:eastAsia="宋体" w:cs="Times New Roman"/>
          <w:color w:val="auto"/>
          <w:kern w:val="0"/>
          <w:szCs w:val="24"/>
          <w:highlight w:val="none"/>
        </w:rPr>
        <w:t>）</w:t>
      </w:r>
    </w:p>
    <w:p>
      <w:pPr>
        <w:tabs>
          <w:tab w:val="left" w:pos="1620"/>
          <w:tab w:val="left" w:pos="2340"/>
        </w:tabs>
        <w:spacing w:before="156" w:after="156"/>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w:t>
      </w:r>
      <w:r>
        <w:rPr>
          <w:rFonts w:ascii="宋体" w:hAnsi="宋体" w:eastAsia="宋体" w:cs="Times New Roman"/>
          <w:color w:val="auto"/>
          <w:sz w:val="24"/>
          <w:szCs w:val="24"/>
          <w:highlight w:val="none"/>
        </w:rPr>
        <w:t>经过</w:t>
      </w:r>
      <w:r>
        <w:rPr>
          <w:rFonts w:hint="eastAsia" w:ascii="宋体" w:hAnsi="宋体" w:eastAsia="宋体" w:cs="Times New Roman"/>
          <w:color w:val="auto"/>
          <w:sz w:val="24"/>
          <w:szCs w:val="24"/>
          <w:highlight w:val="none"/>
        </w:rPr>
        <w:t>政府指定机构审计或审核结果作为最终的竣工结算和支付依据。</w:t>
      </w:r>
    </w:p>
    <w:p>
      <w:pPr>
        <w:tabs>
          <w:tab w:val="left" w:pos="1620"/>
          <w:tab w:val="left" w:pos="2340"/>
        </w:tabs>
        <w:spacing w:before="156" w:after="156"/>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作为最终的竣工结算和支付依据。</w:t>
      </w:r>
    </w:p>
    <w:p>
      <w:pPr>
        <w:widowControl w:val="0"/>
        <w:numPr>
          <w:ilvl w:val="0"/>
          <w:numId w:val="0"/>
        </w:numPr>
        <w:tabs>
          <w:tab w:val="left" w:pos="540"/>
          <w:tab w:val="left" w:pos="900"/>
          <w:tab w:val="left" w:pos="2340"/>
          <w:tab w:val="left" w:pos="4032"/>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4553" w:name="_Toc13033"/>
      <w:bookmarkStart w:id="4554" w:name="_Toc4311"/>
      <w:bookmarkStart w:id="4555" w:name="_Toc21042"/>
      <w:bookmarkStart w:id="4556" w:name="_Toc15715"/>
      <w:bookmarkStart w:id="4557" w:name="_Toc28721"/>
      <w:bookmarkStart w:id="4558" w:name="_Toc19957"/>
      <w:bookmarkStart w:id="4559" w:name="_Toc10970"/>
      <w:bookmarkStart w:id="4560" w:name="_Toc1887"/>
      <w:bookmarkStart w:id="4561" w:name="_Toc32001"/>
      <w:r>
        <w:rPr>
          <w:rFonts w:hint="eastAsia" w:ascii="宋体" w:hAnsi="宋体" w:eastAsia="宋体" w:cs="Times New Roman"/>
          <w:b/>
          <w:bCs/>
          <w:color w:val="auto"/>
          <w:kern w:val="0"/>
          <w:sz w:val="24"/>
          <w:szCs w:val="32"/>
          <w:highlight w:val="none"/>
          <w:lang w:val="en-US" w:eastAsia="zh-CN" w:bidi="ar-SA"/>
        </w:rPr>
        <w:t>28.8 最终结清申请</w:t>
      </w:r>
      <w:bookmarkEnd w:id="4552"/>
      <w:bookmarkEnd w:id="4553"/>
      <w:bookmarkEnd w:id="4554"/>
      <w:bookmarkEnd w:id="4555"/>
      <w:bookmarkEnd w:id="4556"/>
      <w:bookmarkEnd w:id="4557"/>
      <w:bookmarkEnd w:id="4558"/>
      <w:bookmarkEnd w:id="4559"/>
      <w:bookmarkEnd w:id="4560"/>
      <w:bookmarkEnd w:id="4561"/>
    </w:p>
    <w:p>
      <w:pPr>
        <w:spacing w:line="360" w:lineRule="auto"/>
        <w:ind w:firstLine="480" w:firstLineChars="200"/>
        <w:jc w:val="left"/>
        <w:rPr>
          <w:rFonts w:ascii="Times New Roman" w:hAnsi="Times New Roman" w:eastAsia="仿宋_GB2312" w:cs="Times New Roman"/>
          <w:color w:val="auto"/>
          <w:kern w:val="0"/>
          <w:sz w:val="30"/>
          <w:szCs w:val="32"/>
          <w:highlight w:val="none"/>
        </w:rPr>
      </w:pPr>
      <w:r>
        <w:rPr>
          <w:rFonts w:ascii="宋体" w:hAnsi="宋体" w:eastAsia="宋体" w:cs="Times New Roman"/>
          <w:color w:val="auto"/>
          <w:sz w:val="24"/>
          <w:szCs w:val="24"/>
          <w:highlight w:val="none"/>
        </w:rPr>
        <w:t>(1) 承包人提交最终结清申请单的份数：</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rPr>
        <w:t>。</w:t>
      </w:r>
    </w:p>
    <w:p>
      <w:pPr>
        <w:spacing w:line="360" w:lineRule="auto"/>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最终结清申请单</w:t>
      </w:r>
      <w:r>
        <w:rPr>
          <w:rFonts w:hint="eastAsia" w:ascii="宋体" w:hAnsi="宋体" w:eastAsia="宋体" w:cs="Times New Roman"/>
          <w:color w:val="auto"/>
          <w:sz w:val="24"/>
          <w:szCs w:val="24"/>
          <w:highlight w:val="none"/>
        </w:rPr>
        <w:t>关于</w:t>
      </w:r>
      <w:r>
        <w:rPr>
          <w:rFonts w:ascii="宋体" w:hAnsi="宋体" w:eastAsia="宋体" w:cs="Times New Roman"/>
          <w:color w:val="auto"/>
          <w:sz w:val="24"/>
          <w:szCs w:val="24"/>
          <w:highlight w:val="none"/>
        </w:rPr>
        <w:t>质量保证金、应扣除的质量保证金、缺陷责任期内发生的增减费用</w:t>
      </w:r>
      <w:r>
        <w:rPr>
          <w:rFonts w:hint="eastAsia" w:ascii="宋体" w:hAnsi="宋体" w:eastAsia="宋体" w:cs="Times New Roman"/>
          <w:color w:val="auto"/>
          <w:sz w:val="24"/>
          <w:szCs w:val="24"/>
          <w:highlight w:val="none"/>
        </w:rPr>
        <w:t>的约定：</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widowControl w:val="0"/>
        <w:numPr>
          <w:ilvl w:val="0"/>
          <w:numId w:val="0"/>
        </w:numPr>
        <w:tabs>
          <w:tab w:val="left" w:pos="540"/>
          <w:tab w:val="left" w:pos="900"/>
          <w:tab w:val="left" w:pos="2340"/>
          <w:tab w:val="left" w:pos="4032"/>
        </w:tabs>
        <w:spacing w:before="120" w:after="156"/>
        <w:ind w:left="359"/>
        <w:jc w:val="left"/>
        <w:outlineLvl w:val="1"/>
        <w:rPr>
          <w:rFonts w:ascii="宋体" w:hAnsi="宋体" w:eastAsia="宋体" w:cs="Times New Roman"/>
          <w:b/>
          <w:bCs/>
          <w:color w:val="auto"/>
          <w:kern w:val="0"/>
          <w:sz w:val="24"/>
          <w:szCs w:val="32"/>
          <w:highlight w:val="none"/>
          <w:lang w:val="en-US" w:eastAsia="zh-CN" w:bidi="ar-SA"/>
        </w:rPr>
      </w:pPr>
      <w:bookmarkStart w:id="4562" w:name="_Toc11275"/>
      <w:bookmarkStart w:id="4563" w:name="_Toc2288"/>
      <w:bookmarkStart w:id="4564" w:name="_Toc8801"/>
      <w:bookmarkStart w:id="4565" w:name="_Toc8069"/>
      <w:bookmarkStart w:id="4566" w:name="_Toc25310"/>
      <w:bookmarkStart w:id="4567" w:name="_Toc302636045"/>
      <w:bookmarkStart w:id="4568" w:name="_Toc8123"/>
      <w:bookmarkStart w:id="4569" w:name="_Toc3715"/>
      <w:bookmarkStart w:id="4570" w:name="_Toc16704"/>
      <w:bookmarkStart w:id="4571" w:name="_Toc25135"/>
      <w:r>
        <w:rPr>
          <w:rFonts w:hint="eastAsia" w:ascii="宋体" w:hAnsi="宋体" w:eastAsia="宋体" w:cs="Times New Roman"/>
          <w:b/>
          <w:bCs/>
          <w:color w:val="auto"/>
          <w:kern w:val="0"/>
          <w:sz w:val="24"/>
          <w:szCs w:val="32"/>
          <w:highlight w:val="none"/>
          <w:lang w:val="en-US" w:eastAsia="zh-CN" w:bidi="ar-SA"/>
        </w:rPr>
        <w:t>28.9 最终结清证书和支付</w:t>
      </w:r>
      <w:bookmarkEnd w:id="4562"/>
      <w:bookmarkEnd w:id="4563"/>
      <w:bookmarkEnd w:id="4564"/>
      <w:bookmarkEnd w:id="4565"/>
      <w:bookmarkEnd w:id="4566"/>
      <w:bookmarkEnd w:id="4567"/>
      <w:bookmarkEnd w:id="4568"/>
      <w:bookmarkEnd w:id="4569"/>
      <w:bookmarkEnd w:id="4570"/>
      <w:bookmarkEnd w:id="4571"/>
    </w:p>
    <w:p>
      <w:pPr>
        <w:spacing w:line="360" w:lineRule="auto"/>
        <w:ind w:firstLine="480" w:firstLineChars="200"/>
        <w:jc w:val="left"/>
        <w:rPr>
          <w:rFonts w:ascii="Times New Roman" w:hAnsi="Times New Roman" w:eastAsia="仿宋_GB2312" w:cs="Times New Roman"/>
          <w:color w:val="auto"/>
          <w:sz w:val="30"/>
          <w:szCs w:val="32"/>
          <w:highlight w:val="none"/>
        </w:rPr>
      </w:pPr>
      <w:r>
        <w:rPr>
          <w:rFonts w:ascii="宋体" w:hAnsi="宋体" w:eastAsia="宋体" w:cs="Times New Roman"/>
          <w:color w:val="auto"/>
          <w:sz w:val="24"/>
          <w:szCs w:val="24"/>
          <w:highlight w:val="none"/>
        </w:rPr>
        <w:t>（1）发包人完成最终结清申请的</w:t>
      </w:r>
      <w:r>
        <w:rPr>
          <w:rFonts w:hint="eastAsia" w:ascii="宋体" w:hAnsi="宋体" w:eastAsia="宋体" w:cs="Times New Roman"/>
          <w:color w:val="auto"/>
          <w:sz w:val="24"/>
          <w:szCs w:val="24"/>
          <w:highlight w:val="none"/>
        </w:rPr>
        <w:t>审批</w:t>
      </w:r>
      <w:r>
        <w:rPr>
          <w:rFonts w:ascii="宋体" w:hAnsi="宋体" w:eastAsia="宋体" w:cs="Times New Roman"/>
          <w:color w:val="auto"/>
          <w:sz w:val="24"/>
          <w:szCs w:val="24"/>
          <w:highlight w:val="none"/>
        </w:rPr>
        <w:t>并颁发最终结清证书的期限：</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rPr>
        <w:t>。</w:t>
      </w:r>
    </w:p>
    <w:p>
      <w:pPr>
        <w:spacing w:line="360" w:lineRule="auto"/>
        <w:ind w:firstLine="480" w:firstLineChars="200"/>
        <w:jc w:val="left"/>
        <w:rPr>
          <w:rFonts w:ascii="Times New Roman" w:hAnsi="Times New Roman" w:eastAsia="仿宋_GB2312" w:cs="Times New Roman"/>
          <w:color w:val="auto"/>
          <w:sz w:val="30"/>
          <w:szCs w:val="32"/>
          <w:highlight w:val="none"/>
        </w:rPr>
      </w:pPr>
      <w:r>
        <w:rPr>
          <w:rFonts w:ascii="宋体" w:hAnsi="宋体" w:eastAsia="宋体" w:cs="Times New Roman"/>
          <w:color w:val="auto"/>
          <w:sz w:val="24"/>
          <w:szCs w:val="24"/>
          <w:highlight w:val="none"/>
        </w:rPr>
        <w:t>（2）发包人完成支付的期限：</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hint="eastAsia"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u w:val="single"/>
        </w:rPr>
        <w:t xml:space="preserve">    </w:t>
      </w:r>
      <w:r>
        <w:rPr>
          <w:rFonts w:ascii="Times New Roman" w:hAnsi="Times New Roman" w:eastAsia="仿宋_GB2312" w:cs="Times New Roman"/>
          <w:color w:val="auto"/>
          <w:sz w:val="30"/>
          <w:szCs w:val="32"/>
          <w:highlight w:val="none"/>
        </w:rPr>
        <w:t>。</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4572" w:name="_Toc302636046"/>
      <w:bookmarkStart w:id="4573" w:name="_Toc13338"/>
      <w:bookmarkStart w:id="4574" w:name="_Toc15921"/>
      <w:bookmarkStart w:id="4575" w:name="_Toc35656549"/>
      <w:bookmarkStart w:id="4576" w:name="_Toc305331520"/>
      <w:bookmarkStart w:id="4577" w:name="_Toc13624"/>
      <w:bookmarkStart w:id="4578" w:name="_Toc32358"/>
      <w:bookmarkStart w:id="4579" w:name="_Toc22351"/>
      <w:bookmarkStart w:id="4580" w:name="_Toc1751"/>
      <w:bookmarkStart w:id="4581" w:name="_Toc17759"/>
      <w:bookmarkStart w:id="4582" w:name="_Toc20148"/>
      <w:bookmarkStart w:id="4583" w:name="_Toc9406"/>
      <w:r>
        <w:rPr>
          <w:rFonts w:hint="eastAsia" w:ascii="华文细黑" w:hAnsi="宋体" w:eastAsia="宋体" w:cs="Times New Roman"/>
          <w:b/>
          <w:bCs/>
          <w:snapToGrid w:val="0"/>
          <w:color w:val="auto"/>
          <w:kern w:val="0"/>
          <w:sz w:val="28"/>
          <w:szCs w:val="44"/>
          <w:highlight w:val="none"/>
          <w:lang w:val="en-US" w:eastAsia="zh-CN" w:bidi="ar-SA"/>
        </w:rPr>
        <w:t>29 违约</w:t>
      </w:r>
      <w:bookmarkEnd w:id="4572"/>
      <w:bookmarkEnd w:id="4573"/>
      <w:bookmarkEnd w:id="4574"/>
      <w:bookmarkEnd w:id="4575"/>
      <w:bookmarkEnd w:id="4576"/>
      <w:bookmarkEnd w:id="4577"/>
      <w:bookmarkEnd w:id="4578"/>
      <w:bookmarkEnd w:id="4579"/>
      <w:bookmarkEnd w:id="4580"/>
      <w:bookmarkEnd w:id="4581"/>
      <w:bookmarkEnd w:id="4582"/>
      <w:bookmarkEnd w:id="4583"/>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584" w:name="_Toc27305"/>
      <w:bookmarkStart w:id="4585" w:name="_Toc9336"/>
      <w:bookmarkStart w:id="4586" w:name="_Toc19923"/>
      <w:bookmarkStart w:id="4587" w:name="_Toc26715"/>
      <w:bookmarkStart w:id="4588" w:name="_Toc3519"/>
      <w:bookmarkStart w:id="4589" w:name="_Toc6773"/>
      <w:bookmarkStart w:id="4590" w:name="_Toc12680"/>
      <w:bookmarkStart w:id="4591" w:name="_Toc302636047"/>
      <w:bookmarkStart w:id="4592" w:name="_Toc905"/>
      <w:bookmarkStart w:id="4593" w:name="_Toc21758"/>
      <w:bookmarkStart w:id="4594" w:name="_Toc305331521"/>
      <w:r>
        <w:rPr>
          <w:rFonts w:hint="eastAsia" w:ascii="宋体" w:hAnsi="宋体" w:eastAsia="宋体" w:cs="Times New Roman"/>
          <w:b/>
          <w:bCs/>
          <w:color w:val="auto"/>
          <w:kern w:val="0"/>
          <w:sz w:val="24"/>
          <w:szCs w:val="32"/>
          <w:highlight w:val="none"/>
          <w:lang w:val="en-US" w:eastAsia="zh-CN" w:bidi="ar-SA"/>
        </w:rPr>
        <w:t>29.1 发包人违约</w:t>
      </w:r>
      <w:bookmarkEnd w:id="4584"/>
      <w:bookmarkEnd w:id="4585"/>
      <w:bookmarkEnd w:id="4586"/>
      <w:bookmarkEnd w:id="4587"/>
      <w:bookmarkEnd w:id="4588"/>
      <w:bookmarkEnd w:id="4589"/>
      <w:bookmarkEnd w:id="4590"/>
      <w:bookmarkEnd w:id="4591"/>
      <w:bookmarkEnd w:id="4592"/>
      <w:bookmarkEnd w:id="4593"/>
      <w:bookmarkEnd w:id="4594"/>
    </w:p>
    <w:p>
      <w:pPr>
        <w:spacing w:line="360" w:lineRule="auto"/>
        <w:ind w:firstLine="480" w:firstLineChars="200"/>
        <w:jc w:val="left"/>
        <w:rPr>
          <w:rFonts w:ascii="宋体" w:hAnsi="宋体" w:eastAsia="宋体" w:cs="Times New Roman"/>
          <w:color w:val="auto"/>
          <w:sz w:val="24"/>
          <w:szCs w:val="24"/>
          <w:highlight w:val="none"/>
        </w:rPr>
      </w:pPr>
      <w:bookmarkStart w:id="4595" w:name="_Toc305331522"/>
      <w:r>
        <w:rPr>
          <w:rFonts w:ascii="宋体" w:hAnsi="宋体" w:eastAsia="宋体" w:cs="Times New Roman"/>
          <w:color w:val="auto"/>
          <w:sz w:val="24"/>
          <w:szCs w:val="24"/>
          <w:highlight w:val="none"/>
        </w:rPr>
        <w:t>发包人违约责任的承担方式和计算方法：</w:t>
      </w:r>
    </w:p>
    <w:p>
      <w:pPr>
        <w:spacing w:line="360" w:lineRule="auto"/>
        <w:ind w:firstLine="480" w:firstLineChars="200"/>
        <w:jc w:val="left"/>
        <w:rPr>
          <w:rFonts w:ascii="Times New Roman" w:hAnsi="Times New Roman" w:eastAsia="仿宋_GB2312" w:cs="Times New Roman"/>
          <w:color w:val="auto"/>
          <w:kern w:val="0"/>
          <w:sz w:val="30"/>
          <w:szCs w:val="32"/>
          <w:highlight w:val="none"/>
          <w:u w:val="single"/>
        </w:rPr>
      </w:pPr>
      <w:r>
        <w:rPr>
          <w:rFonts w:ascii="宋体" w:hAnsi="宋体" w:eastAsia="宋体" w:cs="Times New Roman"/>
          <w:color w:val="auto"/>
          <w:sz w:val="24"/>
          <w:szCs w:val="24"/>
          <w:highlight w:val="none"/>
        </w:rPr>
        <w:t>（1）因发包人原因未能在计划开工日期前7天内下达开工通知的违约责任：</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rPr>
        <w:t>。</w:t>
      </w:r>
    </w:p>
    <w:p>
      <w:pPr>
        <w:spacing w:line="360" w:lineRule="auto"/>
        <w:ind w:firstLine="480" w:firstLineChars="200"/>
        <w:jc w:val="left"/>
        <w:rPr>
          <w:rFonts w:hint="eastAsia" w:ascii="Times New Roman" w:hAnsi="Times New Roman" w:eastAsia="仿宋_GB2312" w:cs="Times New Roman"/>
          <w:color w:val="auto"/>
          <w:kern w:val="0"/>
          <w:sz w:val="30"/>
          <w:szCs w:val="32"/>
          <w:highlight w:val="none"/>
        </w:rPr>
      </w:pPr>
      <w:r>
        <w:rPr>
          <w:rFonts w:ascii="宋体" w:hAnsi="宋体" w:eastAsia="宋体" w:cs="Times New Roman"/>
          <w:color w:val="auto"/>
          <w:sz w:val="24"/>
          <w:szCs w:val="24"/>
          <w:highlight w:val="none"/>
        </w:rPr>
        <w:t>（2）因发包人原因未能按合同约定支付合同价款的违约责任：</w:t>
      </w:r>
      <w:r>
        <w:rPr>
          <w:rFonts w:ascii="Times New Roman" w:hAnsi="Times New Roman" w:eastAsia="仿宋_GB2312" w:cs="Times New Roman"/>
          <w:color w:val="auto"/>
          <w:kern w:val="0"/>
          <w:sz w:val="30"/>
          <w:szCs w:val="32"/>
          <w:highlight w:val="none"/>
          <w:u w:val="single"/>
        </w:rPr>
        <w:t xml:space="preserve">                 </w:t>
      </w:r>
    </w:p>
    <w:p>
      <w:pPr>
        <w:spacing w:line="360" w:lineRule="auto"/>
        <w:jc w:val="left"/>
        <w:rPr>
          <w:rFonts w:ascii="Times New Roman" w:hAnsi="Times New Roman" w:eastAsia="仿宋_GB2312" w:cs="Times New Roman"/>
          <w:color w:val="auto"/>
          <w:kern w:val="0"/>
          <w:sz w:val="30"/>
          <w:szCs w:val="32"/>
          <w:highlight w:val="none"/>
        </w:rPr>
      </w:pP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rPr>
        <w:t>。</w:t>
      </w:r>
    </w:p>
    <w:p>
      <w:pPr>
        <w:spacing w:line="360" w:lineRule="auto"/>
        <w:ind w:firstLine="480" w:firstLineChars="200"/>
        <w:jc w:val="left"/>
        <w:rPr>
          <w:rFonts w:ascii="Times New Roman" w:hAnsi="Times New Roman" w:eastAsia="仿宋_GB2312" w:cs="Times New Roman"/>
          <w:color w:val="auto"/>
          <w:kern w:val="0"/>
          <w:sz w:val="30"/>
          <w:szCs w:val="32"/>
          <w:highlight w:val="none"/>
        </w:rPr>
      </w:pP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）发包人提供的材料、工程设备的规格、数量或质量不符合合同约定，或因发包人原因导致交货日期延误或交货地点变更等情况的违约责任：</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p>
    <w:p>
      <w:pPr>
        <w:spacing w:line="360" w:lineRule="auto"/>
        <w:jc w:val="left"/>
        <w:rPr>
          <w:rFonts w:ascii="Times New Roman" w:hAnsi="Times New Roman" w:eastAsia="仿宋_GB2312" w:cs="Times New Roman"/>
          <w:color w:val="auto"/>
          <w:kern w:val="0"/>
          <w:sz w:val="30"/>
          <w:szCs w:val="32"/>
          <w:highlight w:val="none"/>
        </w:rPr>
      </w:pP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rPr>
        <w:t>。</w:t>
      </w:r>
    </w:p>
    <w:p>
      <w:pPr>
        <w:spacing w:line="360" w:lineRule="auto"/>
        <w:ind w:firstLine="480" w:firstLineChars="200"/>
        <w:jc w:val="left"/>
        <w:rPr>
          <w:rFonts w:hint="eastAsia" w:ascii="Times New Roman" w:hAnsi="Times New Roman" w:eastAsia="仿宋_GB2312" w:cs="Times New Roman"/>
          <w:color w:val="auto"/>
          <w:kern w:val="0"/>
          <w:sz w:val="30"/>
          <w:szCs w:val="32"/>
          <w:highlight w:val="none"/>
          <w:u w:val="single"/>
        </w:rPr>
      </w:pP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）因发包人违反合同约定造成暂停施工的违约责任：</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p>
    <w:p>
      <w:pPr>
        <w:spacing w:line="360" w:lineRule="auto"/>
        <w:jc w:val="left"/>
        <w:rPr>
          <w:rFonts w:ascii="Times New Roman" w:hAnsi="Times New Roman" w:eastAsia="仿宋_GB2312" w:cs="Times New Roman"/>
          <w:color w:val="auto"/>
          <w:kern w:val="0"/>
          <w:sz w:val="30"/>
          <w:szCs w:val="32"/>
          <w:highlight w:val="none"/>
        </w:rPr>
      </w:pP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rPr>
        <w:t>。</w:t>
      </w:r>
    </w:p>
    <w:p>
      <w:pPr>
        <w:spacing w:line="360" w:lineRule="auto"/>
        <w:ind w:firstLine="480" w:firstLineChars="200"/>
        <w:jc w:val="left"/>
        <w:rPr>
          <w:rFonts w:ascii="Times New Roman" w:hAnsi="Times New Roman" w:eastAsia="仿宋_GB2312" w:cs="Times New Roman"/>
          <w:color w:val="auto"/>
          <w:kern w:val="0"/>
          <w:sz w:val="30"/>
          <w:szCs w:val="32"/>
          <w:highlight w:val="none"/>
        </w:rPr>
      </w:pP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）发包人无正当理由没有在约定期限内发出复工指示，导致承包人无法复工的违约责任：</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rPr>
        <w:t>。</w:t>
      </w:r>
    </w:p>
    <w:p>
      <w:pPr>
        <w:spacing w:line="360" w:lineRule="auto"/>
        <w:ind w:firstLine="480" w:firstLineChars="200"/>
        <w:jc w:val="left"/>
        <w:rPr>
          <w:rFonts w:hint="eastAsia" w:ascii="Times New Roman" w:hAnsi="Times New Roman" w:eastAsia="仿宋_GB2312" w:cs="Times New Roman"/>
          <w:color w:val="auto"/>
          <w:kern w:val="0"/>
          <w:sz w:val="30"/>
          <w:szCs w:val="32"/>
          <w:highlight w:val="none"/>
          <w:u w:val="single"/>
        </w:rPr>
      </w:pP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发包人明确表示或其行为表明不履行合同主要义务的违约责任：</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p>
    <w:p>
      <w:pPr>
        <w:spacing w:line="360" w:lineRule="auto"/>
        <w:jc w:val="left"/>
        <w:rPr>
          <w:rFonts w:ascii="Times New Roman" w:hAnsi="Times New Roman" w:eastAsia="仿宋_GB2312" w:cs="Times New Roman"/>
          <w:color w:val="auto"/>
          <w:kern w:val="0"/>
          <w:sz w:val="30"/>
          <w:szCs w:val="32"/>
          <w:highlight w:val="none"/>
        </w:rPr>
      </w:pP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p>
    <w:p>
      <w:pPr>
        <w:spacing w:line="360" w:lineRule="auto"/>
        <w:ind w:firstLine="480" w:firstLineChars="200"/>
        <w:jc w:val="left"/>
        <w:rPr>
          <w:rFonts w:ascii="Times New Roman" w:hAnsi="Times New Roman" w:eastAsia="仿宋_GB2312" w:cs="Times New Roman"/>
          <w:color w:val="auto"/>
          <w:kern w:val="0"/>
          <w:sz w:val="30"/>
          <w:szCs w:val="32"/>
          <w:highlight w:val="none"/>
        </w:rPr>
      </w:pP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其他：</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rPr>
        <w:t>。</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596" w:name="_Toc302636048"/>
      <w:bookmarkStart w:id="4597" w:name="_Toc22335"/>
      <w:bookmarkStart w:id="4598" w:name="_Toc26539"/>
      <w:bookmarkStart w:id="4599" w:name="_Toc13163"/>
      <w:bookmarkStart w:id="4600" w:name="_Toc16543"/>
      <w:bookmarkStart w:id="4601" w:name="_Toc18058"/>
      <w:bookmarkStart w:id="4602" w:name="_Toc32592"/>
      <w:bookmarkStart w:id="4603" w:name="_Toc29107"/>
      <w:bookmarkStart w:id="4604" w:name="_Toc8350"/>
      <w:bookmarkStart w:id="4605" w:name="_Toc30664"/>
      <w:r>
        <w:rPr>
          <w:rFonts w:hint="eastAsia" w:ascii="宋体" w:hAnsi="宋体" w:eastAsia="宋体" w:cs="Times New Roman"/>
          <w:b/>
          <w:bCs/>
          <w:color w:val="auto"/>
          <w:kern w:val="0"/>
          <w:sz w:val="24"/>
          <w:szCs w:val="32"/>
          <w:highlight w:val="none"/>
          <w:lang w:val="en-US" w:eastAsia="zh-CN" w:bidi="ar-SA"/>
        </w:rPr>
        <w:t>29.2 承包人违约</w:t>
      </w:r>
      <w:bookmarkEnd w:id="4595"/>
      <w:bookmarkEnd w:id="4596"/>
      <w:bookmarkEnd w:id="4597"/>
      <w:bookmarkEnd w:id="4598"/>
      <w:bookmarkEnd w:id="4599"/>
      <w:bookmarkEnd w:id="4600"/>
      <w:bookmarkEnd w:id="4601"/>
      <w:bookmarkEnd w:id="4602"/>
      <w:bookmarkEnd w:id="4603"/>
      <w:bookmarkEnd w:id="4604"/>
      <w:bookmarkEnd w:id="4605"/>
    </w:p>
    <w:p>
      <w:pPr>
        <w:spacing w:line="360" w:lineRule="auto"/>
        <w:ind w:firstLine="480" w:firstLineChars="200"/>
        <w:jc w:val="left"/>
        <w:rPr>
          <w:rFonts w:hint="eastAsia" w:ascii="Times New Roman" w:hAnsi="Times New Roman" w:eastAsia="仿宋_GB2312" w:cs="Times New Roman"/>
          <w:color w:val="auto"/>
          <w:kern w:val="0"/>
          <w:sz w:val="30"/>
          <w:szCs w:val="32"/>
          <w:highlight w:val="none"/>
          <w:u w:val="single"/>
        </w:rPr>
      </w:pP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承包人违反合同约定进行转包或违法分包的违约责任：</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p>
    <w:p>
      <w:pPr>
        <w:spacing w:line="360" w:lineRule="auto"/>
        <w:jc w:val="left"/>
        <w:rPr>
          <w:rFonts w:ascii="Times New Roman" w:hAnsi="Times New Roman" w:eastAsia="仿宋_GB2312" w:cs="Times New Roman"/>
          <w:color w:val="auto"/>
          <w:kern w:val="0"/>
          <w:sz w:val="30"/>
          <w:szCs w:val="32"/>
          <w:highlight w:val="none"/>
        </w:rPr>
      </w:pP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rPr>
        <w:t>。</w:t>
      </w:r>
    </w:p>
    <w:p>
      <w:pPr>
        <w:spacing w:line="360" w:lineRule="auto"/>
        <w:ind w:firstLine="480" w:firstLineChars="200"/>
        <w:jc w:val="left"/>
        <w:rPr>
          <w:rFonts w:hint="eastAsia" w:ascii="Times New Roman" w:hAnsi="Times New Roman" w:eastAsia="仿宋_GB2312" w:cs="Times New Roman"/>
          <w:color w:val="auto"/>
          <w:kern w:val="0"/>
          <w:sz w:val="30"/>
          <w:szCs w:val="32"/>
          <w:highlight w:val="none"/>
          <w:u w:val="singl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承包人违反合同约定采购和使用不合格的材料和工程设备的违约责任：</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p>
    <w:p>
      <w:pPr>
        <w:spacing w:line="360" w:lineRule="auto"/>
        <w:jc w:val="left"/>
        <w:rPr>
          <w:rFonts w:ascii="Times New Roman" w:hAnsi="Times New Roman" w:eastAsia="仿宋_GB2312" w:cs="Times New Roman"/>
          <w:color w:val="auto"/>
          <w:kern w:val="0"/>
          <w:sz w:val="30"/>
          <w:szCs w:val="32"/>
          <w:highlight w:val="none"/>
        </w:rPr>
      </w:pP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rPr>
        <w:t>。</w:t>
      </w:r>
    </w:p>
    <w:p>
      <w:pPr>
        <w:spacing w:line="360" w:lineRule="auto"/>
        <w:ind w:firstLine="480" w:firstLineChars="200"/>
        <w:jc w:val="left"/>
        <w:rPr>
          <w:rFonts w:hint="eastAsia" w:ascii="Times New Roman" w:hAnsi="Times New Roman" w:eastAsia="仿宋_GB2312" w:cs="Times New Roman"/>
          <w:color w:val="auto"/>
          <w:kern w:val="0"/>
          <w:sz w:val="30"/>
          <w:szCs w:val="32"/>
          <w:highlight w:val="none"/>
          <w:u w:val="singl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因承包人原因导致工程质量不符合合同要求的违约责任：</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p>
    <w:p>
      <w:pPr>
        <w:spacing w:line="360" w:lineRule="auto"/>
        <w:jc w:val="left"/>
        <w:rPr>
          <w:rFonts w:ascii="Times New Roman" w:hAnsi="Times New Roman" w:eastAsia="仿宋_GB2312" w:cs="Times New Roman"/>
          <w:color w:val="auto"/>
          <w:kern w:val="0"/>
          <w:sz w:val="30"/>
          <w:szCs w:val="32"/>
          <w:highlight w:val="none"/>
        </w:rPr>
      </w:pP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rPr>
        <w:t>。</w:t>
      </w:r>
    </w:p>
    <w:p>
      <w:pPr>
        <w:spacing w:line="360" w:lineRule="auto"/>
        <w:ind w:firstLine="480" w:firstLineChars="200"/>
        <w:jc w:val="left"/>
        <w:rPr>
          <w:rFonts w:hint="eastAsia" w:ascii="Times New Roman" w:hAnsi="Times New Roman" w:eastAsia="仿宋_GB2312" w:cs="Times New Roman"/>
          <w:color w:val="auto"/>
          <w:kern w:val="0"/>
          <w:sz w:val="30"/>
          <w:szCs w:val="32"/>
          <w:highlight w:val="none"/>
          <w:u w:val="single"/>
        </w:rPr>
      </w:pP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承包人未经批准，私自将已按照合同约定进入施工现场的材料或设备撤离施工现场的违约责任：</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p>
    <w:p>
      <w:pPr>
        <w:spacing w:line="360" w:lineRule="auto"/>
        <w:jc w:val="left"/>
        <w:rPr>
          <w:rFonts w:ascii="Times New Roman" w:hAnsi="Times New Roman" w:eastAsia="仿宋_GB2312" w:cs="Times New Roman"/>
          <w:color w:val="auto"/>
          <w:kern w:val="0"/>
          <w:sz w:val="30"/>
          <w:szCs w:val="32"/>
          <w:highlight w:val="none"/>
        </w:rPr>
      </w:pP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rPr>
        <w:t>。</w:t>
      </w:r>
    </w:p>
    <w:p>
      <w:pPr>
        <w:spacing w:line="360" w:lineRule="auto"/>
        <w:ind w:firstLine="480" w:firstLineChars="200"/>
        <w:jc w:val="left"/>
        <w:rPr>
          <w:rFonts w:hint="eastAsia" w:ascii="Times New Roman" w:hAnsi="Times New Roman" w:eastAsia="仿宋_GB2312" w:cs="Times New Roman"/>
          <w:color w:val="auto"/>
          <w:kern w:val="0"/>
          <w:sz w:val="30"/>
          <w:szCs w:val="32"/>
          <w:highlight w:val="none"/>
          <w:u w:val="single"/>
        </w:rPr>
      </w:pP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承包人未能按施工进度计划及时完成合同约定的工作，造成工期延误的违约责任：</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p>
    <w:p>
      <w:pPr>
        <w:spacing w:line="360" w:lineRule="auto"/>
        <w:jc w:val="left"/>
        <w:rPr>
          <w:rFonts w:ascii="Times New Roman" w:hAnsi="Times New Roman" w:eastAsia="仿宋_GB2312" w:cs="Times New Roman"/>
          <w:color w:val="auto"/>
          <w:kern w:val="0"/>
          <w:sz w:val="30"/>
          <w:szCs w:val="32"/>
          <w:highlight w:val="none"/>
        </w:rPr>
      </w:pP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rPr>
        <w:t>。</w:t>
      </w:r>
    </w:p>
    <w:p>
      <w:pPr>
        <w:spacing w:line="360" w:lineRule="auto"/>
        <w:ind w:firstLine="480" w:firstLineChars="200"/>
        <w:jc w:val="left"/>
        <w:rPr>
          <w:rFonts w:hint="eastAsia" w:ascii="Times New Roman" w:hAnsi="Times New Roman" w:eastAsia="仿宋_GB2312" w:cs="Times New Roman"/>
          <w:color w:val="auto"/>
          <w:kern w:val="0"/>
          <w:sz w:val="30"/>
          <w:szCs w:val="32"/>
          <w:highlight w:val="none"/>
          <w:u w:val="single"/>
        </w:rPr>
      </w:pP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承包人在缺陷责任期及保修期内，未能在合理期限对工程缺陷进行修复，或拒绝按发包人要求进行修复的违约责任：</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p>
    <w:p>
      <w:pPr>
        <w:spacing w:line="360" w:lineRule="auto"/>
        <w:jc w:val="left"/>
        <w:rPr>
          <w:rFonts w:hint="eastAsia" w:ascii="Times New Roman" w:hAnsi="Times New Roman" w:eastAsia="仿宋_GB2312" w:cs="Times New Roman"/>
          <w:color w:val="auto"/>
          <w:kern w:val="0"/>
          <w:sz w:val="30"/>
          <w:szCs w:val="32"/>
          <w:highlight w:val="none"/>
          <w:lang w:eastAsia="zh-CN"/>
        </w:rPr>
      </w:pP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lang w:eastAsia="zh-CN"/>
        </w:rPr>
        <w:t>。</w:t>
      </w:r>
    </w:p>
    <w:p>
      <w:pPr>
        <w:numPr>
          <w:ilvl w:val="0"/>
          <w:numId w:val="0"/>
        </w:numPr>
        <w:spacing w:line="360" w:lineRule="auto"/>
        <w:ind w:firstLine="480" w:firstLineChars="200"/>
        <w:jc w:val="left"/>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承包人未按合同约定的时间提交BIM成果的违约责任：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p>
    <w:p>
      <w:pPr>
        <w:spacing w:line="360" w:lineRule="auto"/>
        <w:jc w:val="left"/>
        <w:rPr>
          <w:rFonts w:hint="eastAsia" w:ascii="Times New Roman" w:hAnsi="Times New Roman" w:eastAsia="仿宋_GB2312" w:cs="Times New Roman"/>
          <w:color w:val="auto"/>
          <w:kern w:val="0"/>
          <w:sz w:val="30"/>
          <w:szCs w:val="32"/>
          <w:highlight w:val="none"/>
          <w:lang w:eastAsia="zh-CN"/>
        </w:rPr>
      </w:pP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lang w:eastAsia="zh-CN"/>
        </w:rPr>
        <w:t>；</w:t>
      </w:r>
    </w:p>
    <w:p>
      <w:pPr>
        <w:spacing w:line="360" w:lineRule="auto"/>
        <w:ind w:firstLine="960" w:firstLineChars="400"/>
        <w:jc w:val="left"/>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承包人未按合同约定的实施要求、执行标准提交BIM成果的违约责任：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p>
    <w:p>
      <w:pPr>
        <w:spacing w:line="360" w:lineRule="auto"/>
        <w:jc w:val="left"/>
        <w:rPr>
          <w:rFonts w:hint="eastAsia" w:ascii="Times New Roman" w:hAnsi="Times New Roman" w:eastAsia="仿宋_GB2312" w:cs="Times New Roman"/>
          <w:color w:val="auto"/>
          <w:kern w:val="0"/>
          <w:sz w:val="30"/>
          <w:szCs w:val="32"/>
          <w:highlight w:val="none"/>
          <w:lang w:eastAsia="zh-CN"/>
        </w:rPr>
      </w:pP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lang w:eastAsia="zh-CN"/>
        </w:rPr>
        <w:t>；</w:t>
      </w:r>
    </w:p>
    <w:p>
      <w:pPr>
        <w:spacing w:line="360" w:lineRule="auto"/>
        <w:ind w:firstLine="960" w:firstLineChars="400"/>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rPr>
        <w:t>其他情形的违约责任：</w:t>
      </w:r>
      <w:r>
        <w:rPr>
          <w:rFonts w:hint="eastAsia" w:ascii="宋体" w:hAnsi="宋体" w:eastAsia="宋体" w:cs="Times New Roman"/>
          <w:color w:val="auto"/>
          <w:sz w:val="24"/>
          <w:szCs w:val="24"/>
          <w:highlight w:val="none"/>
          <w:u w:val="single"/>
          <w:lang w:val="en-US" w:eastAsia="zh-CN"/>
        </w:rPr>
        <w:t xml:space="preserve">                                               </w:t>
      </w:r>
    </w:p>
    <w:p>
      <w:pPr>
        <w:spacing w:line="360" w:lineRule="auto"/>
        <w:jc w:val="left"/>
        <w:rPr>
          <w:rFonts w:hint="eastAsia" w:ascii="宋体" w:hAnsi="宋体" w:eastAsia="宋体" w:cs="Times New Roman"/>
          <w:color w:val="auto"/>
          <w:sz w:val="24"/>
          <w:szCs w:val="24"/>
          <w:highlight w:val="none"/>
        </w:rPr>
      </w:pP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lang w:eastAsia="zh-CN"/>
        </w:rPr>
        <w:t>。</w:t>
      </w:r>
    </w:p>
    <w:p>
      <w:pPr>
        <w:spacing w:line="360" w:lineRule="auto"/>
        <w:ind w:firstLine="480" w:firstLineChars="200"/>
        <w:jc w:val="left"/>
        <w:rPr>
          <w:rFonts w:hint="eastAsia" w:ascii="Times New Roman" w:hAnsi="Times New Roman" w:eastAsia="仿宋_GB2312" w:cs="Times New Roman"/>
          <w:color w:val="auto"/>
          <w:kern w:val="0"/>
          <w:sz w:val="30"/>
          <w:szCs w:val="32"/>
          <w:highlight w:val="none"/>
          <w:u w:val="single"/>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承包人明确表示或其行为表明不履行合同主要义务的违约责任：</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p>
    <w:p>
      <w:pPr>
        <w:spacing w:line="360" w:lineRule="auto"/>
        <w:jc w:val="left"/>
        <w:rPr>
          <w:rFonts w:ascii="Times New Roman" w:hAnsi="Times New Roman" w:eastAsia="仿宋_GB2312" w:cs="Times New Roman"/>
          <w:color w:val="auto"/>
          <w:kern w:val="0"/>
          <w:sz w:val="30"/>
          <w:szCs w:val="32"/>
          <w:highlight w:val="none"/>
        </w:rPr>
      </w:pP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rPr>
        <w:t>。</w:t>
      </w:r>
    </w:p>
    <w:p>
      <w:pPr>
        <w:spacing w:line="360" w:lineRule="auto"/>
        <w:ind w:firstLine="480" w:firstLineChars="200"/>
        <w:jc w:val="left"/>
        <w:rPr>
          <w:rFonts w:ascii="Times New Roman" w:hAnsi="Times New Roman" w:eastAsia="仿宋_GB2312" w:cs="Times New Roman"/>
          <w:color w:val="auto"/>
          <w:kern w:val="0"/>
          <w:sz w:val="30"/>
          <w:szCs w:val="32"/>
          <w:highlight w:val="none"/>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rPr>
        <w:t>）其他：</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u w:val="single"/>
        </w:rPr>
        <w:t xml:space="preserve">      </w:t>
      </w:r>
      <w:r>
        <w:rPr>
          <w:rFonts w:hint="eastAsia" w:ascii="Times New Roman" w:hAnsi="Times New Roman" w:eastAsia="仿宋_GB2312" w:cs="Times New Roman"/>
          <w:color w:val="auto"/>
          <w:kern w:val="0"/>
          <w:sz w:val="30"/>
          <w:szCs w:val="32"/>
          <w:highlight w:val="none"/>
          <w:u w:val="single"/>
        </w:rPr>
        <w:t xml:space="preserve">  </w:t>
      </w:r>
      <w:r>
        <w:rPr>
          <w:rFonts w:ascii="Times New Roman" w:hAnsi="Times New Roman" w:eastAsia="仿宋_GB2312" w:cs="Times New Roman"/>
          <w:color w:val="auto"/>
          <w:kern w:val="0"/>
          <w:sz w:val="30"/>
          <w:szCs w:val="32"/>
          <w:highlight w:val="none"/>
        </w:rPr>
        <w:t>。</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4606" w:name="_Toc3649"/>
      <w:bookmarkStart w:id="4607" w:name="_Toc30519"/>
      <w:bookmarkStart w:id="4608" w:name="_Toc10165"/>
      <w:bookmarkStart w:id="4609" w:name="_Toc2512"/>
      <w:bookmarkStart w:id="4610" w:name="_Toc8016"/>
      <w:bookmarkStart w:id="4611" w:name="_Toc26454"/>
      <w:bookmarkStart w:id="4612" w:name="_Toc5100"/>
      <w:bookmarkStart w:id="4613" w:name="_Toc9884"/>
      <w:bookmarkStart w:id="4614" w:name="_Toc24057"/>
      <w:bookmarkStart w:id="4615" w:name="_Toc305331523"/>
      <w:bookmarkStart w:id="4616" w:name="_Toc35656550"/>
      <w:bookmarkStart w:id="4617" w:name="_Toc302636049"/>
      <w:r>
        <w:rPr>
          <w:rFonts w:hint="eastAsia" w:ascii="华文细黑" w:hAnsi="宋体" w:eastAsia="宋体" w:cs="Times New Roman"/>
          <w:b/>
          <w:bCs/>
          <w:snapToGrid w:val="0"/>
          <w:color w:val="auto"/>
          <w:kern w:val="0"/>
          <w:sz w:val="28"/>
          <w:szCs w:val="44"/>
          <w:highlight w:val="none"/>
          <w:lang w:val="en-US" w:eastAsia="zh-CN" w:bidi="ar-SA"/>
        </w:rPr>
        <w:t>30 索赔</w:t>
      </w:r>
      <w:bookmarkEnd w:id="4606"/>
      <w:bookmarkEnd w:id="4607"/>
      <w:bookmarkEnd w:id="4608"/>
      <w:bookmarkEnd w:id="4609"/>
      <w:bookmarkEnd w:id="4610"/>
      <w:bookmarkEnd w:id="4611"/>
      <w:bookmarkEnd w:id="4612"/>
      <w:bookmarkEnd w:id="4613"/>
      <w:bookmarkEnd w:id="4614"/>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618" w:name="_Toc23483"/>
      <w:bookmarkStart w:id="4619" w:name="_Toc25186"/>
      <w:bookmarkStart w:id="4620" w:name="_Toc4358"/>
      <w:bookmarkStart w:id="4621" w:name="_Toc27214"/>
      <w:bookmarkStart w:id="4622" w:name="_Toc9887"/>
      <w:bookmarkStart w:id="4623" w:name="_Toc27467"/>
      <w:bookmarkStart w:id="4624" w:name="_Toc17457"/>
      <w:bookmarkStart w:id="4625" w:name="_Toc19134"/>
      <w:bookmarkStart w:id="4626" w:name="_Toc20563"/>
      <w:r>
        <w:rPr>
          <w:rFonts w:hint="eastAsia" w:ascii="宋体" w:hAnsi="宋体" w:eastAsia="宋体" w:cs="Times New Roman"/>
          <w:b/>
          <w:bCs/>
          <w:color w:val="auto"/>
          <w:kern w:val="0"/>
          <w:sz w:val="24"/>
          <w:szCs w:val="32"/>
          <w:highlight w:val="none"/>
          <w:lang w:val="en-US" w:eastAsia="zh-CN" w:bidi="ar-SA"/>
        </w:rPr>
        <w:t>30.3 发包人索赔情形</w:t>
      </w:r>
      <w:bookmarkEnd w:id="4618"/>
      <w:bookmarkEnd w:id="4619"/>
      <w:bookmarkEnd w:id="4620"/>
      <w:bookmarkEnd w:id="4621"/>
      <w:bookmarkEnd w:id="4622"/>
      <w:bookmarkEnd w:id="4623"/>
      <w:bookmarkEnd w:id="4624"/>
      <w:bookmarkEnd w:id="4625"/>
      <w:bookmarkEnd w:id="4626"/>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)发包人可向承包人提出索赔的其他情形：</w:t>
      </w: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627" w:name="_Toc27699"/>
      <w:bookmarkStart w:id="4628" w:name="_Toc1565"/>
      <w:bookmarkStart w:id="4629" w:name="_Toc27155"/>
      <w:bookmarkStart w:id="4630" w:name="_Toc13093"/>
      <w:bookmarkStart w:id="4631" w:name="_Toc15803"/>
      <w:bookmarkStart w:id="4632" w:name="_Toc2863"/>
      <w:bookmarkStart w:id="4633" w:name="_Toc4974"/>
      <w:bookmarkStart w:id="4634" w:name="_Toc19148"/>
      <w:bookmarkStart w:id="4635" w:name="_Toc9249"/>
      <w:r>
        <w:rPr>
          <w:rFonts w:hint="eastAsia" w:ascii="宋体" w:hAnsi="宋体" w:eastAsia="宋体" w:cs="Times New Roman"/>
          <w:b/>
          <w:bCs/>
          <w:color w:val="auto"/>
          <w:kern w:val="0"/>
          <w:sz w:val="24"/>
          <w:szCs w:val="32"/>
          <w:highlight w:val="none"/>
          <w:lang w:val="en-US" w:eastAsia="zh-CN" w:bidi="ar-SA"/>
        </w:rPr>
        <w:t>30.5 承包人索赔情形</w:t>
      </w:r>
      <w:bookmarkEnd w:id="4627"/>
      <w:bookmarkEnd w:id="4628"/>
      <w:bookmarkEnd w:id="4629"/>
      <w:bookmarkEnd w:id="4630"/>
      <w:bookmarkEnd w:id="4631"/>
      <w:bookmarkEnd w:id="4632"/>
      <w:bookmarkEnd w:id="4633"/>
      <w:bookmarkEnd w:id="4634"/>
      <w:bookmarkEnd w:id="4635"/>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)承包人可向发包人提出索赔的其他情形：</w:t>
      </w:r>
      <w:r>
        <w:rPr>
          <w:rFonts w:hint="eastAsia" w:ascii="宋体" w:hAnsi="宋体" w:eastAsia="宋体" w:cs="Times New Roman"/>
          <w:color w:val="auto"/>
          <w:sz w:val="24"/>
          <w:szCs w:val="24"/>
          <w:highlight w:val="none"/>
          <w:u w:val="single"/>
        </w:rPr>
        <w:t xml:space="preserve">                                 </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4636" w:name="_Toc8149"/>
      <w:bookmarkStart w:id="4637" w:name="_Toc8996"/>
      <w:bookmarkStart w:id="4638" w:name="_Toc9302"/>
      <w:bookmarkStart w:id="4639" w:name="_Toc26865"/>
      <w:bookmarkStart w:id="4640" w:name="_Toc29963"/>
      <w:bookmarkStart w:id="4641" w:name="_Toc4405"/>
      <w:bookmarkStart w:id="4642" w:name="_Toc13947"/>
      <w:bookmarkStart w:id="4643" w:name="_Toc16344"/>
      <w:bookmarkStart w:id="4644" w:name="_Toc14071"/>
      <w:r>
        <w:rPr>
          <w:rFonts w:hint="eastAsia" w:ascii="华文细黑" w:hAnsi="宋体" w:eastAsia="宋体" w:cs="Times New Roman"/>
          <w:b/>
          <w:bCs/>
          <w:snapToGrid w:val="0"/>
          <w:color w:val="auto"/>
          <w:kern w:val="0"/>
          <w:sz w:val="28"/>
          <w:szCs w:val="44"/>
          <w:highlight w:val="none"/>
          <w:lang w:val="en-US" w:eastAsia="zh-CN" w:bidi="ar-SA"/>
        </w:rPr>
        <w:t>31 争议</w:t>
      </w:r>
      <w:bookmarkEnd w:id="4615"/>
      <w:bookmarkEnd w:id="4616"/>
      <w:r>
        <w:rPr>
          <w:rFonts w:hint="eastAsia" w:ascii="华文细黑" w:hAnsi="宋体" w:eastAsia="宋体" w:cs="Times New Roman"/>
          <w:b/>
          <w:bCs/>
          <w:snapToGrid w:val="0"/>
          <w:color w:val="auto"/>
          <w:kern w:val="0"/>
          <w:sz w:val="28"/>
          <w:szCs w:val="44"/>
          <w:highlight w:val="none"/>
          <w:lang w:val="en-US" w:eastAsia="zh-CN" w:bidi="ar-SA"/>
        </w:rPr>
        <w:t>解决</w:t>
      </w:r>
      <w:bookmarkEnd w:id="4617"/>
      <w:bookmarkEnd w:id="4636"/>
      <w:bookmarkEnd w:id="4637"/>
      <w:bookmarkEnd w:id="4638"/>
      <w:bookmarkEnd w:id="4639"/>
      <w:bookmarkEnd w:id="4640"/>
      <w:bookmarkEnd w:id="4641"/>
      <w:bookmarkEnd w:id="4642"/>
      <w:bookmarkEnd w:id="4643"/>
      <w:bookmarkEnd w:id="4644"/>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645" w:name="_Toc28775"/>
      <w:bookmarkStart w:id="4646" w:name="_Toc305331524"/>
      <w:bookmarkStart w:id="4647" w:name="_Toc3494"/>
      <w:bookmarkStart w:id="4648" w:name="_Toc17300"/>
      <w:bookmarkStart w:id="4649" w:name="_Toc23008"/>
      <w:bookmarkStart w:id="4650" w:name="_Toc26384"/>
      <w:bookmarkStart w:id="4651" w:name="_Toc2197"/>
      <w:bookmarkStart w:id="4652" w:name="_Toc5036"/>
      <w:bookmarkStart w:id="4653" w:name="_Toc8749"/>
      <w:bookmarkStart w:id="4654" w:name="_Toc4478"/>
      <w:bookmarkStart w:id="4655" w:name="_Toc302636050"/>
      <w:r>
        <w:rPr>
          <w:rFonts w:hint="eastAsia" w:ascii="宋体" w:hAnsi="宋体" w:eastAsia="宋体" w:cs="Times New Roman"/>
          <w:b/>
          <w:bCs/>
          <w:color w:val="auto"/>
          <w:kern w:val="0"/>
          <w:sz w:val="24"/>
          <w:szCs w:val="32"/>
          <w:highlight w:val="none"/>
          <w:lang w:val="en-US" w:eastAsia="zh-CN" w:bidi="ar-SA"/>
        </w:rPr>
        <w:t>31.1 争议的解决方式</w:t>
      </w:r>
      <w:bookmarkEnd w:id="4645"/>
      <w:bookmarkEnd w:id="4646"/>
      <w:bookmarkEnd w:id="4647"/>
      <w:bookmarkEnd w:id="4648"/>
      <w:bookmarkEnd w:id="4649"/>
      <w:bookmarkEnd w:id="4650"/>
      <w:bookmarkEnd w:id="4651"/>
      <w:bookmarkEnd w:id="4652"/>
      <w:bookmarkEnd w:id="4653"/>
      <w:bookmarkEnd w:id="4654"/>
      <w:bookmarkEnd w:id="4655"/>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(1)发包人与承包人共同指定的调解机构为：</w:t>
      </w:r>
      <w:r>
        <w:rPr>
          <w:rFonts w:hint="eastAsia" w:ascii="宋体" w:hAnsi="宋体" w:eastAsia="宋体" w:cs="Times New Roman"/>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(2)发包人或承包人一方不愿调解或调解不成的，应采用下列方式之一解决争议(注：只能选择一种方式，在选定的方式前的“□”内打“</w:t>
      </w:r>
      <w:r>
        <w:rPr>
          <w:rFonts w:hint="eastAsia" w:ascii="宋体" w:hAnsi="宋体" w:eastAsia="宋体" w:cs="Times New Roman"/>
          <w:color w:val="auto"/>
          <w:sz w:val="24"/>
          <w:szCs w:val="24"/>
          <w:highlight w:val="none"/>
        </w:rPr>
        <w:sym w:font="Symbol" w:char="F0D6"/>
      </w:r>
      <w:r>
        <w:rPr>
          <w:rFonts w:hint="eastAsia" w:ascii="宋体" w:hAnsi="宋体" w:eastAsia="宋体" w:cs="Times New Roman"/>
          <w:color w:val="auto"/>
          <w:sz w:val="24"/>
          <w:szCs w:val="24"/>
          <w:highlight w:val="none"/>
        </w:rPr>
        <w:t>”)：</w:t>
      </w:r>
    </w:p>
    <w:p>
      <w:pPr>
        <w:spacing w:line="360" w:lineRule="auto"/>
        <w:ind w:left="178"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90" name="图片 7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0" name="图片 70"/>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提交深圳国际仲裁院(深圳仲裁委员会)仲裁；</w:t>
      </w:r>
    </w:p>
    <w:p>
      <w:pPr>
        <w:spacing w:line="360" w:lineRule="auto"/>
        <w:ind w:left="178" w:firstLine="48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111" name="图片 7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 name="图片 71"/>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向有管辖权的人民法院提起诉讼。</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4656" w:name="_Toc2535"/>
      <w:bookmarkStart w:id="4657" w:name="_Toc18670"/>
      <w:bookmarkStart w:id="4658" w:name="_Toc7330"/>
      <w:bookmarkStart w:id="4659" w:name="_Toc31691"/>
      <w:bookmarkStart w:id="4660" w:name="_Toc7824"/>
      <w:bookmarkStart w:id="4661" w:name="_Toc29052"/>
      <w:bookmarkStart w:id="4662" w:name="_Toc4074"/>
      <w:bookmarkStart w:id="4663" w:name="_Toc15235"/>
      <w:bookmarkStart w:id="4664" w:name="_Toc5416"/>
      <w:bookmarkStart w:id="4665" w:name="_Toc302636051"/>
      <w:bookmarkStart w:id="4666" w:name="_Toc305331525"/>
      <w:bookmarkStart w:id="4667" w:name="_Toc35656553"/>
      <w:r>
        <w:rPr>
          <w:rFonts w:hint="eastAsia" w:ascii="华文细黑" w:hAnsi="宋体" w:eastAsia="宋体" w:cs="Times New Roman"/>
          <w:b/>
          <w:bCs/>
          <w:snapToGrid w:val="0"/>
          <w:color w:val="auto"/>
          <w:kern w:val="0"/>
          <w:sz w:val="28"/>
          <w:szCs w:val="44"/>
          <w:highlight w:val="none"/>
          <w:lang w:val="en-US" w:eastAsia="zh-CN" w:bidi="ar-SA"/>
        </w:rPr>
        <w:t>32 工程质量缺陷保修</w:t>
      </w:r>
      <w:bookmarkEnd w:id="4656"/>
      <w:bookmarkEnd w:id="4657"/>
      <w:bookmarkEnd w:id="4658"/>
      <w:bookmarkEnd w:id="4659"/>
      <w:bookmarkEnd w:id="4660"/>
      <w:bookmarkEnd w:id="4661"/>
      <w:bookmarkEnd w:id="4662"/>
      <w:bookmarkEnd w:id="4663"/>
      <w:bookmarkEnd w:id="4664"/>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668" w:name="_Toc11864"/>
      <w:bookmarkStart w:id="4669" w:name="_Toc29770"/>
      <w:bookmarkStart w:id="4670" w:name="_Toc26392"/>
      <w:bookmarkStart w:id="4671" w:name="_Toc9045"/>
      <w:bookmarkStart w:id="4672" w:name="_Toc23860"/>
      <w:bookmarkStart w:id="4673" w:name="_Toc6512"/>
      <w:bookmarkStart w:id="4674" w:name="_Toc21468"/>
      <w:bookmarkStart w:id="4675" w:name="_Toc17631"/>
      <w:bookmarkStart w:id="4676" w:name="_Toc1906"/>
      <w:r>
        <w:rPr>
          <w:rFonts w:hint="eastAsia" w:ascii="宋体" w:hAnsi="宋体" w:eastAsia="宋体" w:cs="Times New Roman"/>
          <w:b/>
          <w:bCs/>
          <w:color w:val="auto"/>
          <w:kern w:val="0"/>
          <w:sz w:val="24"/>
          <w:szCs w:val="32"/>
          <w:highlight w:val="none"/>
          <w:lang w:val="en-US" w:eastAsia="zh-CN" w:bidi="ar-SA"/>
        </w:rPr>
        <w:t>32.2 缺陷责任期</w:t>
      </w:r>
      <w:bookmarkEnd w:id="4668"/>
      <w:bookmarkEnd w:id="4669"/>
      <w:bookmarkEnd w:id="4670"/>
      <w:bookmarkEnd w:id="4671"/>
      <w:bookmarkEnd w:id="4672"/>
      <w:bookmarkEnd w:id="4673"/>
      <w:bookmarkEnd w:id="4674"/>
      <w:bookmarkEnd w:id="4675"/>
      <w:bookmarkEnd w:id="4676"/>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)本工程缺陷责任期期限为：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spacing w:line="360" w:lineRule="auto"/>
        <w:ind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承包人向发包人发出缺陷责任期届满通知的时间：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677" w:name="_Toc6868"/>
      <w:bookmarkStart w:id="4678" w:name="_Toc7604"/>
      <w:bookmarkStart w:id="4679" w:name="_Toc3542"/>
      <w:bookmarkStart w:id="4680" w:name="_Toc10818"/>
      <w:bookmarkStart w:id="4681" w:name="_Toc3937"/>
      <w:bookmarkStart w:id="4682" w:name="_Toc15738"/>
      <w:bookmarkStart w:id="4683" w:name="_Toc29339"/>
      <w:bookmarkStart w:id="4684" w:name="_Toc32686"/>
      <w:bookmarkStart w:id="4685" w:name="_Toc8757"/>
      <w:r>
        <w:rPr>
          <w:rFonts w:hint="eastAsia" w:ascii="宋体" w:hAnsi="宋体" w:eastAsia="宋体" w:cs="Times New Roman"/>
          <w:b/>
          <w:bCs/>
          <w:color w:val="auto"/>
          <w:kern w:val="0"/>
          <w:sz w:val="24"/>
          <w:szCs w:val="32"/>
          <w:highlight w:val="none"/>
          <w:lang w:val="en-US" w:eastAsia="zh-CN" w:bidi="ar-SA"/>
        </w:rPr>
        <w:t>32.3 质量保证金</w:t>
      </w:r>
      <w:bookmarkEnd w:id="4677"/>
      <w:bookmarkEnd w:id="4678"/>
      <w:bookmarkEnd w:id="4679"/>
      <w:bookmarkEnd w:id="4680"/>
      <w:bookmarkEnd w:id="4681"/>
      <w:bookmarkEnd w:id="4682"/>
      <w:bookmarkEnd w:id="4683"/>
      <w:bookmarkEnd w:id="4684"/>
      <w:bookmarkEnd w:id="4685"/>
    </w:p>
    <w:p>
      <w:pPr>
        <w:spacing w:line="360" w:lineRule="auto"/>
        <w:ind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本工程扣留质量保证金的约定：</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adjustRightIn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质量保证金的提供方式为：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spacing w:line="360" w:lineRule="auto"/>
        <w:ind w:firstLine="48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质量保证金的扣留方式为：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686" w:name="_Toc27069"/>
      <w:bookmarkStart w:id="4687" w:name="_Toc24762"/>
      <w:bookmarkStart w:id="4688" w:name="_Toc1586"/>
      <w:bookmarkStart w:id="4689" w:name="_Toc32107"/>
      <w:bookmarkStart w:id="4690" w:name="_Toc22111"/>
      <w:bookmarkStart w:id="4691" w:name="_Toc14123"/>
      <w:bookmarkStart w:id="4692" w:name="_Toc25666"/>
      <w:bookmarkStart w:id="4693" w:name="_Toc8033"/>
      <w:bookmarkStart w:id="4694" w:name="_Toc6502"/>
      <w:r>
        <w:rPr>
          <w:rFonts w:hint="eastAsia" w:ascii="宋体" w:hAnsi="宋体" w:eastAsia="宋体" w:cs="Times New Roman"/>
          <w:b/>
          <w:bCs/>
          <w:color w:val="auto"/>
          <w:kern w:val="0"/>
          <w:sz w:val="24"/>
          <w:szCs w:val="32"/>
          <w:highlight w:val="none"/>
          <w:lang w:val="en-US" w:eastAsia="zh-CN" w:bidi="ar-SA"/>
        </w:rPr>
        <w:t>32.4 保修责任</w:t>
      </w:r>
      <w:bookmarkEnd w:id="4686"/>
      <w:bookmarkEnd w:id="4687"/>
      <w:bookmarkEnd w:id="4688"/>
      <w:bookmarkEnd w:id="4689"/>
      <w:bookmarkEnd w:id="4690"/>
      <w:bookmarkEnd w:id="4691"/>
      <w:bookmarkEnd w:id="4692"/>
      <w:bookmarkEnd w:id="4693"/>
      <w:bookmarkEnd w:id="4694"/>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本工程分部分项工程保修期为：</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695" w:name="_Toc3959"/>
      <w:bookmarkStart w:id="4696" w:name="_Toc24300"/>
      <w:bookmarkStart w:id="4697" w:name="_Toc22005"/>
      <w:bookmarkStart w:id="4698" w:name="_Toc31502"/>
      <w:bookmarkStart w:id="4699" w:name="_Toc4893"/>
      <w:bookmarkStart w:id="4700" w:name="_Toc18664"/>
      <w:bookmarkStart w:id="4701" w:name="_Toc1165"/>
      <w:bookmarkStart w:id="4702" w:name="_Toc14523"/>
      <w:bookmarkStart w:id="4703" w:name="_Toc12003"/>
      <w:r>
        <w:rPr>
          <w:rFonts w:hint="eastAsia" w:ascii="宋体" w:hAnsi="宋体" w:eastAsia="宋体" w:cs="Times New Roman"/>
          <w:b/>
          <w:bCs/>
          <w:color w:val="auto"/>
          <w:kern w:val="0"/>
          <w:sz w:val="24"/>
          <w:szCs w:val="32"/>
          <w:highlight w:val="none"/>
          <w:lang w:val="en-US" w:eastAsia="zh-CN" w:bidi="ar-SA"/>
        </w:rPr>
        <w:t>32.6 修复通知</w:t>
      </w:r>
      <w:bookmarkEnd w:id="4695"/>
      <w:bookmarkEnd w:id="4696"/>
      <w:bookmarkEnd w:id="4697"/>
      <w:bookmarkEnd w:id="4698"/>
      <w:bookmarkEnd w:id="4699"/>
      <w:bookmarkEnd w:id="4700"/>
      <w:bookmarkEnd w:id="4701"/>
      <w:bookmarkEnd w:id="4702"/>
      <w:bookmarkEnd w:id="4703"/>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承包人收到保修通知并到达工程现场的合理时间为：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4704" w:name="_Toc27171"/>
      <w:bookmarkStart w:id="4705" w:name="_Toc13843"/>
      <w:bookmarkStart w:id="4706" w:name="_Toc29834"/>
      <w:bookmarkStart w:id="4707" w:name="_Toc15951"/>
      <w:bookmarkStart w:id="4708" w:name="_Toc21469"/>
      <w:bookmarkStart w:id="4709" w:name="_Toc31058"/>
      <w:bookmarkStart w:id="4710" w:name="_Toc10921"/>
      <w:bookmarkStart w:id="4711" w:name="_Toc22566"/>
      <w:bookmarkStart w:id="4712" w:name="_Toc6275"/>
      <w:r>
        <w:rPr>
          <w:rFonts w:hint="eastAsia" w:ascii="华文细黑" w:hAnsi="宋体" w:eastAsia="宋体" w:cs="Times New Roman"/>
          <w:b/>
          <w:bCs/>
          <w:snapToGrid w:val="0"/>
          <w:color w:val="auto"/>
          <w:kern w:val="0"/>
          <w:sz w:val="28"/>
          <w:szCs w:val="44"/>
          <w:highlight w:val="none"/>
          <w:lang w:val="en-US" w:eastAsia="zh-CN" w:bidi="ar-SA"/>
        </w:rPr>
        <w:t>33 不可抗力</w:t>
      </w:r>
      <w:bookmarkEnd w:id="4665"/>
      <w:bookmarkEnd w:id="4666"/>
      <w:bookmarkEnd w:id="4667"/>
      <w:bookmarkEnd w:id="4704"/>
      <w:bookmarkEnd w:id="4705"/>
      <w:bookmarkEnd w:id="4706"/>
      <w:bookmarkEnd w:id="4707"/>
      <w:bookmarkEnd w:id="4708"/>
      <w:bookmarkEnd w:id="4709"/>
      <w:bookmarkEnd w:id="4710"/>
      <w:bookmarkEnd w:id="4711"/>
      <w:bookmarkEnd w:id="4712"/>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713" w:name="_Toc26922"/>
      <w:bookmarkStart w:id="4714" w:name="_Toc11362"/>
      <w:bookmarkStart w:id="4715" w:name="_Toc302636052"/>
      <w:bookmarkStart w:id="4716" w:name="_Toc291"/>
      <w:bookmarkStart w:id="4717" w:name="_Toc305331526"/>
      <w:bookmarkStart w:id="4718" w:name="_Toc28078"/>
      <w:bookmarkStart w:id="4719" w:name="_Toc10495"/>
      <w:bookmarkStart w:id="4720" w:name="_Toc16580"/>
      <w:bookmarkStart w:id="4721" w:name="_Toc16661"/>
      <w:bookmarkStart w:id="4722" w:name="_Toc747"/>
      <w:bookmarkStart w:id="4723" w:name="_Toc2069"/>
      <w:r>
        <w:rPr>
          <w:rFonts w:hint="eastAsia" w:ascii="宋体" w:hAnsi="宋体" w:eastAsia="宋体" w:cs="Times New Roman"/>
          <w:b/>
          <w:bCs/>
          <w:color w:val="auto"/>
          <w:kern w:val="0"/>
          <w:sz w:val="24"/>
          <w:szCs w:val="32"/>
          <w:highlight w:val="none"/>
          <w:lang w:val="en-US" w:eastAsia="zh-CN" w:bidi="ar-SA"/>
        </w:rPr>
        <w:t>33.1 不可抗力包括范围</w:t>
      </w:r>
      <w:bookmarkEnd w:id="4713"/>
      <w:bookmarkEnd w:id="4714"/>
      <w:bookmarkEnd w:id="4715"/>
      <w:bookmarkEnd w:id="4716"/>
      <w:bookmarkEnd w:id="4717"/>
      <w:bookmarkEnd w:id="4718"/>
      <w:bookmarkEnd w:id="4719"/>
      <w:bookmarkEnd w:id="4720"/>
      <w:bookmarkEnd w:id="4721"/>
      <w:bookmarkEnd w:id="4722"/>
      <w:bookmarkEnd w:id="4723"/>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发包人与承包人约定的其他不可抗力：</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(1)平均风力</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级以上的大风(一般为8级)；</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(2)3个小时内降雨量为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以上的暴雨(一般为50mm)；</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摄氏度以上的高温天气(一般为37摄氏度)；</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(4)其它：</w:t>
      </w:r>
      <w:r>
        <w:rPr>
          <w:rFonts w:hint="eastAsia" w:ascii="宋体" w:hAnsi="宋体" w:eastAsia="宋体" w:cs="Times New Roman"/>
          <w:color w:val="auto"/>
          <w:sz w:val="24"/>
          <w:szCs w:val="24"/>
          <w:highlight w:val="none"/>
          <w:u w:val="single"/>
        </w:rPr>
        <w:t xml:space="preserve">                                                               </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4724" w:name="_Toc35656556"/>
      <w:bookmarkStart w:id="4725" w:name="_Toc10186"/>
      <w:bookmarkStart w:id="4726" w:name="_Toc1298"/>
      <w:bookmarkStart w:id="4727" w:name="_Toc12333"/>
      <w:bookmarkStart w:id="4728" w:name="_Toc305331527"/>
      <w:bookmarkStart w:id="4729" w:name="_Toc302636053"/>
      <w:bookmarkStart w:id="4730" w:name="_Toc22283"/>
      <w:bookmarkStart w:id="4731" w:name="_Toc11915"/>
      <w:bookmarkStart w:id="4732" w:name="_Toc22301"/>
      <w:bookmarkStart w:id="4733" w:name="_Toc28063"/>
      <w:bookmarkStart w:id="4734" w:name="_Toc12913"/>
      <w:bookmarkStart w:id="4735" w:name="_Toc28878"/>
      <w:r>
        <w:rPr>
          <w:rFonts w:hint="eastAsia" w:ascii="华文细黑" w:hAnsi="宋体" w:eastAsia="宋体" w:cs="Times New Roman"/>
          <w:b/>
          <w:bCs/>
          <w:snapToGrid w:val="0"/>
          <w:color w:val="auto"/>
          <w:kern w:val="0"/>
          <w:sz w:val="28"/>
          <w:szCs w:val="44"/>
          <w:highlight w:val="none"/>
          <w:lang w:val="en-US" w:eastAsia="zh-CN" w:bidi="ar-SA"/>
        </w:rPr>
        <w:t>34 工程保险</w:t>
      </w:r>
      <w:bookmarkEnd w:id="4724"/>
      <w:bookmarkEnd w:id="4725"/>
      <w:bookmarkEnd w:id="4726"/>
      <w:bookmarkEnd w:id="4727"/>
      <w:bookmarkEnd w:id="4728"/>
      <w:bookmarkEnd w:id="4729"/>
      <w:bookmarkEnd w:id="4730"/>
      <w:bookmarkEnd w:id="4731"/>
      <w:bookmarkEnd w:id="4732"/>
      <w:bookmarkEnd w:id="4733"/>
      <w:bookmarkEnd w:id="4734"/>
      <w:bookmarkEnd w:id="4735"/>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736" w:name="_Toc23468"/>
      <w:bookmarkStart w:id="4737" w:name="_Toc302636054"/>
      <w:bookmarkStart w:id="4738" w:name="_Toc28283"/>
      <w:bookmarkStart w:id="4739" w:name="_Toc2033"/>
      <w:bookmarkStart w:id="4740" w:name="_Toc891"/>
      <w:bookmarkStart w:id="4741" w:name="_Toc14137"/>
      <w:bookmarkStart w:id="4742" w:name="_Toc13198"/>
      <w:bookmarkStart w:id="4743" w:name="_Toc826"/>
      <w:bookmarkStart w:id="4744" w:name="_Toc305331528"/>
      <w:bookmarkStart w:id="4745" w:name="_Toc10443"/>
      <w:bookmarkStart w:id="4746" w:name="_Toc31494"/>
      <w:r>
        <w:rPr>
          <w:rFonts w:hint="eastAsia" w:ascii="宋体" w:hAnsi="宋体" w:eastAsia="宋体" w:cs="Times New Roman"/>
          <w:b/>
          <w:bCs/>
          <w:color w:val="auto"/>
          <w:kern w:val="0"/>
          <w:sz w:val="24"/>
          <w:szCs w:val="32"/>
          <w:highlight w:val="none"/>
          <w:lang w:val="en-US" w:eastAsia="zh-CN" w:bidi="ar-SA"/>
        </w:rPr>
        <w:t>34.1 发包人办理的保险</w:t>
      </w:r>
      <w:bookmarkEnd w:id="4736"/>
      <w:bookmarkEnd w:id="4737"/>
      <w:bookmarkEnd w:id="4738"/>
      <w:bookmarkEnd w:id="4739"/>
      <w:bookmarkEnd w:id="4740"/>
      <w:bookmarkEnd w:id="4741"/>
      <w:bookmarkEnd w:id="4742"/>
      <w:bookmarkEnd w:id="4743"/>
      <w:bookmarkEnd w:id="4744"/>
      <w:bookmarkEnd w:id="4745"/>
      <w:bookmarkEnd w:id="4746"/>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发包人委托承包人办理的保险事项的约定：</w:t>
      </w: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spacing w:line="360" w:lineRule="auto"/>
        <w:ind w:firstLine="48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本工程发包人委托承包人办理的保险事项：</w:t>
      </w:r>
    </w:p>
    <w:p>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rPr>
        <w:drawing>
          <wp:inline distT="0" distB="0" distL="114300" distR="114300">
            <wp:extent cx="152400" cy="142875"/>
            <wp:effectExtent l="0" t="0" r="0" b="9525"/>
            <wp:docPr id="112" name="图片 7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2" name="图片 72"/>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建筑工程一切险；</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该项保险保险费：</w:t>
      </w:r>
      <w:r>
        <w:rPr>
          <w:rFonts w:ascii="宋体" w:hAnsi="宋体" w:eastAsia="宋体" w:cs="Times New Roman"/>
          <w:color w:val="auto"/>
          <w:sz w:val="24"/>
          <w:szCs w:val="24"/>
          <w:highlight w:val="none"/>
        </w:rPr>
        <w:drawing>
          <wp:inline distT="0" distB="0" distL="114300" distR="114300">
            <wp:extent cx="152400" cy="142875"/>
            <wp:effectExtent l="0" t="0" r="0" b="9525"/>
            <wp:docPr id="113" name="图片 7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3" name="图片 73"/>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已包含在投标报价(签约合同价)中，结算时不予调整；</w:t>
      </w:r>
    </w:p>
    <w:p>
      <w:pPr>
        <w:spacing w:line="360" w:lineRule="auto"/>
        <w:ind w:firstLine="24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114" name="图片 7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4" name="图片 74"/>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未包含在投标报价(签约合同价)中，由发包人另行支付；</w:t>
      </w:r>
    </w:p>
    <w:p>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rPr>
        <w:drawing>
          <wp:inline distT="0" distB="0" distL="114300" distR="114300">
            <wp:extent cx="152400" cy="142875"/>
            <wp:effectExtent l="0" t="0" r="0" b="9525"/>
            <wp:docPr id="115" name="图片 7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5" name="图片 75"/>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安装工程一切险；</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该项保险保险费：</w:t>
      </w:r>
      <w:r>
        <w:rPr>
          <w:rFonts w:ascii="宋体" w:hAnsi="宋体" w:eastAsia="宋体" w:cs="Times New Roman"/>
          <w:color w:val="auto"/>
          <w:sz w:val="24"/>
          <w:szCs w:val="24"/>
          <w:highlight w:val="none"/>
        </w:rPr>
        <w:drawing>
          <wp:inline distT="0" distB="0" distL="114300" distR="114300">
            <wp:extent cx="152400" cy="142875"/>
            <wp:effectExtent l="0" t="0" r="0" b="9525"/>
            <wp:docPr id="116" name="图片 7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6" name="图片 76"/>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已包含在投标报价中(签约合同价)，结算时不予调整；</w:t>
      </w:r>
    </w:p>
    <w:p>
      <w:pPr>
        <w:spacing w:line="360" w:lineRule="auto"/>
        <w:ind w:firstLine="24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117" name="图片 7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7" name="图片 77"/>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未包含在投标报价中(签约合同价)，由发包人另行支付；</w:t>
      </w:r>
    </w:p>
    <w:p>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rPr>
        <w:drawing>
          <wp:inline distT="0" distB="0" distL="114300" distR="114300">
            <wp:extent cx="152400" cy="142875"/>
            <wp:effectExtent l="0" t="0" r="0" b="9525"/>
            <wp:docPr id="118" name="图片 7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8" name="图片 78"/>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第三者责任险；</w:t>
      </w:r>
    </w:p>
    <w:p>
      <w:pPr>
        <w:spacing w:line="360" w:lineRule="auto"/>
        <w:ind w:firstLine="48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该项保险保险费：</w:t>
      </w:r>
      <w:r>
        <w:rPr>
          <w:rFonts w:ascii="宋体" w:hAnsi="宋体" w:eastAsia="宋体" w:cs="Times New Roman"/>
          <w:color w:val="auto"/>
          <w:sz w:val="24"/>
          <w:szCs w:val="24"/>
          <w:highlight w:val="none"/>
        </w:rPr>
        <w:drawing>
          <wp:inline distT="0" distB="0" distL="114300" distR="114300">
            <wp:extent cx="152400" cy="142875"/>
            <wp:effectExtent l="0" t="0" r="0" b="9525"/>
            <wp:docPr id="119" name="图片 7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9" name="图片 79"/>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已包含在投标报价中(签约合同价)，结算时不予调整；</w:t>
      </w:r>
    </w:p>
    <w:p>
      <w:pPr>
        <w:spacing w:line="360" w:lineRule="auto"/>
        <w:ind w:firstLine="24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drawing>
          <wp:inline distT="0" distB="0" distL="114300" distR="114300">
            <wp:extent cx="152400" cy="142875"/>
            <wp:effectExtent l="0" t="0" r="0" b="9525"/>
            <wp:docPr id="120" name="图片 8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0" name="图片 80"/>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未包含在投标报价中(签约合同价)，由发包人另行支付；</w:t>
      </w:r>
    </w:p>
    <w:p>
      <w:pPr>
        <w:spacing w:line="360" w:lineRule="auto"/>
        <w:ind w:firstLine="480"/>
        <w:rPr>
          <w:rFonts w:hint="eastAsia"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drawing>
          <wp:inline distT="0" distB="0" distL="114300" distR="114300">
            <wp:extent cx="152400" cy="142875"/>
            <wp:effectExtent l="0" t="0" r="0" b="9525"/>
            <wp:docPr id="121" name="图片 8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1" name="图片 81"/>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Times New Roman"/>
          <w:color w:val="auto"/>
          <w:sz w:val="24"/>
          <w:szCs w:val="24"/>
          <w:highlight w:val="none"/>
        </w:rPr>
        <w:t>其他：</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4747" w:name="_Toc20693"/>
      <w:bookmarkStart w:id="4748" w:name="_Toc30380"/>
      <w:bookmarkStart w:id="4749" w:name="_Toc30381"/>
      <w:bookmarkStart w:id="4750" w:name="_Toc28214"/>
      <w:bookmarkStart w:id="4751" w:name="_Toc31355"/>
      <w:bookmarkStart w:id="4752" w:name="_Toc302636055"/>
      <w:bookmarkStart w:id="4753" w:name="_Toc305331529"/>
      <w:bookmarkStart w:id="4754" w:name="_Toc20670"/>
      <w:bookmarkStart w:id="4755" w:name="_Toc12974"/>
      <w:bookmarkStart w:id="4756" w:name="_Toc27218"/>
      <w:bookmarkStart w:id="4757" w:name="_Toc35656557"/>
      <w:bookmarkStart w:id="4758" w:name="_Toc21245"/>
      <w:r>
        <w:rPr>
          <w:rFonts w:hint="eastAsia" w:ascii="华文细黑" w:hAnsi="宋体" w:eastAsia="宋体" w:cs="Times New Roman"/>
          <w:b/>
          <w:bCs/>
          <w:snapToGrid w:val="0"/>
          <w:color w:val="auto"/>
          <w:kern w:val="0"/>
          <w:sz w:val="28"/>
          <w:szCs w:val="44"/>
          <w:highlight w:val="none"/>
          <w:lang w:val="en-US" w:eastAsia="zh-CN" w:bidi="ar-SA"/>
        </w:rPr>
        <w:t>35 工程担保</w:t>
      </w:r>
      <w:bookmarkEnd w:id="4747"/>
      <w:bookmarkEnd w:id="4748"/>
      <w:bookmarkEnd w:id="4749"/>
      <w:bookmarkEnd w:id="4750"/>
      <w:bookmarkEnd w:id="4751"/>
      <w:bookmarkEnd w:id="4752"/>
      <w:bookmarkEnd w:id="4753"/>
      <w:bookmarkEnd w:id="4754"/>
      <w:bookmarkEnd w:id="4755"/>
      <w:bookmarkEnd w:id="4756"/>
      <w:bookmarkEnd w:id="4757"/>
      <w:bookmarkEnd w:id="4758"/>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759" w:name="_Toc970"/>
      <w:bookmarkStart w:id="4760" w:name="_Toc18268"/>
      <w:bookmarkStart w:id="4761" w:name="_Toc305331530"/>
      <w:bookmarkStart w:id="4762" w:name="_Toc9001"/>
      <w:bookmarkStart w:id="4763" w:name="_Toc11586"/>
      <w:bookmarkStart w:id="4764" w:name="_Toc13623"/>
      <w:bookmarkStart w:id="4765" w:name="_Toc22807"/>
      <w:bookmarkStart w:id="4766" w:name="_Toc10745"/>
      <w:bookmarkStart w:id="4767" w:name="_Toc11253"/>
      <w:bookmarkStart w:id="4768" w:name="_Toc302636056"/>
      <w:bookmarkStart w:id="4769" w:name="_Toc31436"/>
      <w:r>
        <w:rPr>
          <w:rFonts w:hint="eastAsia" w:ascii="宋体" w:hAnsi="宋体" w:eastAsia="宋体" w:cs="Times New Roman"/>
          <w:b/>
          <w:bCs/>
          <w:color w:val="auto"/>
          <w:kern w:val="0"/>
          <w:sz w:val="24"/>
          <w:szCs w:val="32"/>
          <w:highlight w:val="none"/>
          <w:lang w:val="en-US" w:eastAsia="zh-CN" w:bidi="ar-SA"/>
        </w:rPr>
        <w:t>35.1 履约担保</w:t>
      </w:r>
      <w:bookmarkEnd w:id="4759"/>
      <w:bookmarkEnd w:id="4760"/>
      <w:bookmarkEnd w:id="4761"/>
      <w:bookmarkEnd w:id="4762"/>
      <w:bookmarkEnd w:id="4763"/>
      <w:bookmarkEnd w:id="4764"/>
      <w:bookmarkEnd w:id="4765"/>
      <w:bookmarkEnd w:id="4766"/>
      <w:bookmarkEnd w:id="4767"/>
      <w:bookmarkEnd w:id="4768"/>
      <w:bookmarkEnd w:id="4769"/>
      <w:r>
        <w:rPr>
          <w:rFonts w:hint="eastAsia" w:ascii="宋体" w:hAnsi="宋体" w:eastAsia="宋体" w:cs="Times New Roman"/>
          <w:b/>
          <w:bCs/>
          <w:color w:val="auto"/>
          <w:kern w:val="0"/>
          <w:sz w:val="24"/>
          <w:szCs w:val="32"/>
          <w:highlight w:val="none"/>
          <w:lang w:val="en-US" w:eastAsia="zh-CN" w:bidi="ar-SA"/>
        </w:rPr>
        <w:t xml:space="preserve"> </w:t>
      </w:r>
    </w:p>
    <w:p>
      <w:pPr>
        <w:spacing w:line="360" w:lineRule="auto"/>
        <w:ind w:firstLine="48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(1)本工程履约担保应采用</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的形式，金额为：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770" w:name="_Toc14391"/>
      <w:bookmarkStart w:id="4771" w:name="_Toc19035"/>
      <w:bookmarkStart w:id="4772" w:name="_Toc16679"/>
      <w:bookmarkStart w:id="4773" w:name="_Toc302636057"/>
      <w:bookmarkStart w:id="4774" w:name="_Toc3118"/>
      <w:bookmarkStart w:id="4775" w:name="_Toc16873"/>
      <w:bookmarkStart w:id="4776" w:name="_Toc14585"/>
      <w:bookmarkStart w:id="4777" w:name="_Toc2415"/>
      <w:bookmarkStart w:id="4778" w:name="_Toc32439"/>
      <w:bookmarkStart w:id="4779" w:name="_Toc305331531"/>
      <w:bookmarkStart w:id="4780" w:name="_Toc11155"/>
      <w:r>
        <w:rPr>
          <w:rFonts w:hint="eastAsia" w:ascii="宋体" w:hAnsi="宋体" w:eastAsia="宋体" w:cs="Times New Roman"/>
          <w:b/>
          <w:bCs/>
          <w:color w:val="auto"/>
          <w:kern w:val="0"/>
          <w:sz w:val="24"/>
          <w:szCs w:val="32"/>
          <w:highlight w:val="none"/>
          <w:lang w:val="en-US" w:eastAsia="zh-CN" w:bidi="ar-SA"/>
        </w:rPr>
        <w:t>35.2 支付担保</w:t>
      </w:r>
      <w:bookmarkEnd w:id="4770"/>
      <w:bookmarkEnd w:id="4771"/>
      <w:bookmarkEnd w:id="4772"/>
      <w:bookmarkEnd w:id="4773"/>
      <w:bookmarkEnd w:id="4774"/>
      <w:bookmarkEnd w:id="4775"/>
      <w:bookmarkEnd w:id="4776"/>
      <w:bookmarkEnd w:id="4777"/>
      <w:bookmarkEnd w:id="4778"/>
      <w:bookmarkEnd w:id="4779"/>
      <w:bookmarkEnd w:id="4780"/>
      <w:r>
        <w:rPr>
          <w:rFonts w:hint="eastAsia" w:ascii="宋体" w:hAnsi="宋体" w:eastAsia="宋体" w:cs="Times New Roman"/>
          <w:b/>
          <w:bCs/>
          <w:color w:val="auto"/>
          <w:kern w:val="0"/>
          <w:sz w:val="24"/>
          <w:szCs w:val="32"/>
          <w:highlight w:val="none"/>
          <w:lang w:val="en-US" w:eastAsia="zh-CN" w:bidi="ar-SA"/>
        </w:rPr>
        <w:t xml:space="preserve"> </w:t>
      </w:r>
    </w:p>
    <w:p>
      <w:pPr>
        <w:spacing w:line="360" w:lineRule="auto"/>
        <w:ind w:firstLine="48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(1)本工程支付担保应采用</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的形式，金额为：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 xml:space="preserve">                                                                            </w:t>
      </w:r>
    </w:p>
    <w:p>
      <w:pPr>
        <w:keepNext w:val="0"/>
        <w:keepLines w:val="0"/>
        <w:widowControl/>
        <w:numPr>
          <w:ilvl w:val="0"/>
          <w:numId w:val="0"/>
        </w:numPr>
        <w:tabs>
          <w:tab w:val="left" w:pos="540"/>
          <w:tab w:val="left" w:pos="720"/>
          <w:tab w:val="left" w:pos="1620"/>
          <w:tab w:val="left" w:pos="2340"/>
        </w:tabs>
        <w:spacing w:before="120" w:after="120"/>
        <w:ind w:left="178"/>
        <w:jc w:val="left"/>
        <w:outlineLvl w:val="0"/>
        <w:rPr>
          <w:rFonts w:ascii="华文细黑" w:hAnsi="宋体" w:eastAsia="宋体" w:cs="Times New Roman"/>
          <w:b/>
          <w:bCs/>
          <w:snapToGrid w:val="0"/>
          <w:color w:val="auto"/>
          <w:kern w:val="0"/>
          <w:sz w:val="28"/>
          <w:szCs w:val="44"/>
          <w:highlight w:val="none"/>
          <w:lang w:val="en-US" w:eastAsia="zh-CN" w:bidi="ar-SA"/>
        </w:rPr>
      </w:pPr>
      <w:bookmarkStart w:id="4781" w:name="_Toc25507"/>
      <w:bookmarkStart w:id="4782" w:name="_Toc29325"/>
      <w:bookmarkStart w:id="4783" w:name="_Toc30829"/>
      <w:bookmarkStart w:id="4784" w:name="_Toc9453"/>
      <w:bookmarkStart w:id="4785" w:name="_Toc9392"/>
      <w:bookmarkStart w:id="4786" w:name="_Toc16870"/>
      <w:bookmarkStart w:id="4787" w:name="_Toc22655"/>
      <w:bookmarkStart w:id="4788" w:name="_Toc19770"/>
      <w:bookmarkStart w:id="4789" w:name="_Toc35656559"/>
      <w:bookmarkStart w:id="4790" w:name="_Toc305331532"/>
      <w:bookmarkStart w:id="4791" w:name="_Toc302636058"/>
      <w:bookmarkStart w:id="4792" w:name="_Toc6978"/>
      <w:r>
        <w:rPr>
          <w:rFonts w:hint="eastAsia" w:ascii="华文细黑" w:hAnsi="宋体" w:eastAsia="宋体" w:cs="Times New Roman"/>
          <w:b/>
          <w:bCs/>
          <w:snapToGrid w:val="0"/>
          <w:color w:val="auto"/>
          <w:kern w:val="0"/>
          <w:sz w:val="28"/>
          <w:szCs w:val="44"/>
          <w:highlight w:val="none"/>
          <w:lang w:val="en-US" w:eastAsia="zh-CN" w:bidi="ar-SA"/>
        </w:rPr>
        <w:t>37 合同份数</w:t>
      </w:r>
      <w:bookmarkEnd w:id="4781"/>
      <w:bookmarkEnd w:id="4782"/>
      <w:bookmarkEnd w:id="4783"/>
      <w:bookmarkEnd w:id="4784"/>
      <w:bookmarkEnd w:id="4785"/>
      <w:bookmarkEnd w:id="4786"/>
      <w:bookmarkEnd w:id="4787"/>
      <w:bookmarkEnd w:id="4788"/>
      <w:bookmarkEnd w:id="4789"/>
      <w:bookmarkEnd w:id="4790"/>
      <w:bookmarkEnd w:id="4791"/>
      <w:bookmarkEnd w:id="4792"/>
    </w:p>
    <w:p>
      <w:pPr>
        <w:widowControl w:val="0"/>
        <w:numPr>
          <w:ilvl w:val="0"/>
          <w:numId w:val="0"/>
        </w:numPr>
        <w:tabs>
          <w:tab w:val="left" w:pos="540"/>
          <w:tab w:val="left" w:pos="900"/>
          <w:tab w:val="left" w:pos="2340"/>
          <w:tab w:val="left" w:pos="4032"/>
        </w:tabs>
        <w:spacing w:before="120" w:after="156"/>
        <w:ind w:left="359"/>
        <w:jc w:val="left"/>
        <w:outlineLvl w:val="1"/>
        <w:rPr>
          <w:rFonts w:hint="eastAsia" w:ascii="宋体" w:hAnsi="宋体" w:eastAsia="宋体" w:cs="Times New Roman"/>
          <w:b/>
          <w:bCs/>
          <w:color w:val="auto"/>
          <w:kern w:val="0"/>
          <w:sz w:val="24"/>
          <w:szCs w:val="32"/>
          <w:highlight w:val="none"/>
          <w:lang w:val="en-US" w:eastAsia="zh-CN" w:bidi="ar-SA"/>
        </w:rPr>
      </w:pPr>
      <w:bookmarkStart w:id="4793" w:name="_Toc6916"/>
      <w:bookmarkStart w:id="4794" w:name="_Toc25962"/>
      <w:bookmarkStart w:id="4795" w:name="_Toc5364"/>
      <w:bookmarkStart w:id="4796" w:name="_Toc6106"/>
      <w:bookmarkStart w:id="4797" w:name="_Toc19446"/>
      <w:bookmarkStart w:id="4798" w:name="_Toc30311"/>
      <w:bookmarkStart w:id="4799" w:name="_Toc305331533"/>
      <w:bookmarkStart w:id="4800" w:name="_Toc1506"/>
      <w:bookmarkStart w:id="4801" w:name="_Toc4169"/>
      <w:bookmarkStart w:id="4802" w:name="_Toc302636059"/>
      <w:bookmarkStart w:id="4803" w:name="_Toc7514"/>
      <w:r>
        <w:rPr>
          <w:rFonts w:hint="eastAsia" w:ascii="宋体" w:hAnsi="宋体" w:eastAsia="宋体" w:cs="Times New Roman"/>
          <w:b/>
          <w:bCs/>
          <w:color w:val="auto"/>
          <w:kern w:val="0"/>
          <w:sz w:val="24"/>
          <w:szCs w:val="32"/>
          <w:highlight w:val="none"/>
          <w:lang w:val="en-US" w:eastAsia="zh-CN" w:bidi="ar-SA"/>
        </w:rPr>
        <w:t>37.1 合同份数</w:t>
      </w:r>
      <w:bookmarkEnd w:id="4793"/>
      <w:bookmarkEnd w:id="4794"/>
      <w:bookmarkEnd w:id="4795"/>
      <w:bookmarkEnd w:id="4796"/>
      <w:bookmarkEnd w:id="4797"/>
      <w:bookmarkEnd w:id="4798"/>
      <w:bookmarkEnd w:id="4799"/>
      <w:bookmarkEnd w:id="4800"/>
      <w:bookmarkEnd w:id="4801"/>
      <w:bookmarkEnd w:id="4802"/>
      <w:bookmarkEnd w:id="4803"/>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(2)合同副本份数：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份，其中发包人：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份，承包人：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份。</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合同副本其它保存单位及份数：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保存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份。                                  </w:t>
      </w:r>
    </w:p>
    <w:p>
      <w:pPr>
        <w:keepNext w:val="0"/>
        <w:keepLines/>
        <w:widowControl/>
        <w:numPr>
          <w:ilvl w:val="0"/>
          <w:numId w:val="0"/>
        </w:numPr>
        <w:spacing w:before="340" w:after="330"/>
        <w:jc w:val="center"/>
        <w:outlineLvl w:val="0"/>
        <w:rPr>
          <w:rFonts w:hint="eastAsia" w:ascii="宋体" w:hAnsi="宋体" w:eastAsia="宋体" w:cs="Times New Roman"/>
          <w:b/>
          <w:bCs/>
          <w:snapToGrid w:val="0"/>
          <w:color w:val="auto"/>
          <w:kern w:val="0"/>
          <w:sz w:val="32"/>
          <w:szCs w:val="44"/>
          <w:highlight w:val="none"/>
          <w:lang w:val="en-US" w:eastAsia="zh-CN" w:bidi="ar-SA"/>
        </w:rPr>
      </w:pPr>
      <w:bookmarkStart w:id="4804" w:name="_Toc35656560"/>
      <w:r>
        <w:rPr>
          <w:rFonts w:ascii="宋体" w:hAnsi="宋体" w:eastAsia="宋体" w:cs="Times New Roman"/>
          <w:b w:val="0"/>
          <w:bCs/>
          <w:snapToGrid w:val="0"/>
          <w:color w:val="auto"/>
          <w:kern w:val="0"/>
          <w:sz w:val="32"/>
          <w:szCs w:val="32"/>
          <w:highlight w:val="none"/>
          <w:lang w:val="en-US" w:eastAsia="zh-CN" w:bidi="ar-SA"/>
        </w:rPr>
        <w:br w:type="page"/>
      </w:r>
      <w:bookmarkStart w:id="4805" w:name="_Toc20840"/>
      <w:bookmarkStart w:id="4806" w:name="_Toc305331534"/>
      <w:bookmarkStart w:id="4807" w:name="_Toc5435"/>
      <w:bookmarkStart w:id="4808" w:name="_Toc16087"/>
      <w:bookmarkStart w:id="4809" w:name="_Toc716"/>
      <w:bookmarkStart w:id="4810" w:name="_Toc19131"/>
      <w:bookmarkStart w:id="4811" w:name="_Toc9538"/>
      <w:bookmarkStart w:id="4812" w:name="_Toc25983"/>
      <w:bookmarkStart w:id="4813" w:name="_Toc27179"/>
      <w:bookmarkStart w:id="4814" w:name="_Toc302636060"/>
      <w:bookmarkStart w:id="4815" w:name="_Toc23552"/>
      <w:r>
        <w:rPr>
          <w:rFonts w:hint="eastAsia" w:ascii="黑体" w:hAnsi="黑体" w:eastAsia="黑体" w:cs="黑体"/>
          <w:b/>
          <w:bCs w:val="0"/>
          <w:snapToGrid/>
          <w:color w:val="auto"/>
          <w:kern w:val="2"/>
          <w:sz w:val="32"/>
          <w:szCs w:val="32"/>
          <w:highlight w:val="none"/>
          <w:lang w:val="en-US" w:eastAsia="zh-CN" w:bidi="ar-SA"/>
        </w:rPr>
        <w:t>第四部分 补充条款</w:t>
      </w:r>
      <w:bookmarkEnd w:id="4804"/>
      <w:bookmarkEnd w:id="4805"/>
      <w:bookmarkEnd w:id="4806"/>
      <w:bookmarkEnd w:id="4807"/>
      <w:bookmarkEnd w:id="4808"/>
      <w:bookmarkEnd w:id="4809"/>
      <w:bookmarkEnd w:id="4810"/>
      <w:bookmarkEnd w:id="4811"/>
      <w:bookmarkEnd w:id="4812"/>
      <w:bookmarkEnd w:id="4813"/>
      <w:bookmarkEnd w:id="4814"/>
      <w:bookmarkEnd w:id="4815"/>
    </w:p>
    <w:p>
      <w:pPr>
        <w:rPr>
          <w:rFonts w:hint="eastAsia" w:ascii="Times New Roman" w:hAnsi="Times New Roman" w:eastAsia="宋体" w:cs="Times New Roman"/>
          <w:color w:val="auto"/>
          <w:szCs w:val="24"/>
          <w:highlight w:val="none"/>
        </w:rPr>
      </w:pPr>
    </w:p>
    <w:p>
      <w:pPr>
        <w:adjustRightInd w:val="0"/>
        <w:snapToGrid w:val="0"/>
        <w:spacing w:line="360" w:lineRule="auto"/>
        <w:jc w:val="center"/>
        <w:outlineLvl w:val="0"/>
        <w:rPr>
          <w:rFonts w:hint="eastAsia" w:ascii="黑体" w:hAnsi="黑体" w:eastAsia="黑体" w:cs="黑体"/>
          <w:bCs/>
          <w:color w:val="auto"/>
          <w:sz w:val="32"/>
          <w:szCs w:val="32"/>
          <w:highlight w:val="none"/>
          <w:lang w:eastAsia="zh-CN"/>
        </w:rPr>
      </w:pPr>
      <w:r>
        <w:rPr>
          <w:rFonts w:ascii="宋体" w:hAnsi="宋体" w:eastAsia="宋体" w:cs="Times New Roman"/>
          <w:color w:val="auto"/>
          <w:sz w:val="24"/>
          <w:szCs w:val="24"/>
          <w:highlight w:val="none"/>
        </w:rPr>
        <w:br w:type="page"/>
      </w:r>
      <w:bookmarkStart w:id="4816" w:name="_Toc29172"/>
      <w:bookmarkStart w:id="4817" w:name="_Toc31038"/>
      <w:bookmarkStart w:id="4818" w:name="_Toc17066"/>
      <w:bookmarkStart w:id="4819" w:name="_Toc1883"/>
      <w:bookmarkStart w:id="4820" w:name="_Toc2854"/>
      <w:r>
        <w:rPr>
          <w:rFonts w:hint="eastAsia" w:ascii="黑体" w:hAnsi="黑体" w:eastAsia="黑体" w:cs="黑体"/>
          <w:b/>
          <w:bCs w:val="0"/>
          <w:color w:val="auto"/>
          <w:sz w:val="32"/>
          <w:szCs w:val="32"/>
          <w:highlight w:val="none"/>
        </w:rPr>
        <w:t>第</w:t>
      </w:r>
      <w:r>
        <w:rPr>
          <w:rFonts w:hint="eastAsia" w:ascii="黑体" w:hAnsi="黑体" w:eastAsia="黑体" w:cs="黑体"/>
          <w:b/>
          <w:bCs w:val="0"/>
          <w:color w:val="auto"/>
          <w:sz w:val="32"/>
          <w:szCs w:val="32"/>
          <w:highlight w:val="none"/>
          <w:lang w:eastAsia="zh-CN"/>
        </w:rPr>
        <w:t>五</w:t>
      </w:r>
      <w:r>
        <w:rPr>
          <w:rFonts w:hint="eastAsia" w:ascii="黑体" w:hAnsi="黑体" w:eastAsia="黑体" w:cs="黑体"/>
          <w:b/>
          <w:bCs w:val="0"/>
          <w:color w:val="auto"/>
          <w:sz w:val="32"/>
          <w:szCs w:val="32"/>
          <w:highlight w:val="none"/>
        </w:rPr>
        <w:t xml:space="preserve">章  </w:t>
      </w:r>
      <w:r>
        <w:rPr>
          <w:rFonts w:hint="eastAsia" w:ascii="黑体" w:hAnsi="黑体" w:eastAsia="黑体" w:cs="黑体"/>
          <w:b/>
          <w:bCs w:val="0"/>
          <w:color w:val="auto"/>
          <w:sz w:val="32"/>
          <w:szCs w:val="32"/>
          <w:highlight w:val="none"/>
          <w:lang w:eastAsia="zh-CN"/>
        </w:rPr>
        <w:t>合同附件格式</w:t>
      </w:r>
      <w:bookmarkEnd w:id="4816"/>
      <w:bookmarkEnd w:id="4817"/>
      <w:bookmarkEnd w:id="4818"/>
      <w:bookmarkEnd w:id="4819"/>
      <w:bookmarkEnd w:id="4820"/>
    </w:p>
    <w:p>
      <w:pPr>
        <w:keepNext w:val="0"/>
        <w:keepLines w:val="0"/>
        <w:widowControl/>
        <w:numPr>
          <w:ilvl w:val="0"/>
          <w:numId w:val="0"/>
        </w:numPr>
        <w:spacing w:before="120" w:after="120"/>
        <w:jc w:val="center"/>
        <w:outlineLvl w:val="0"/>
        <w:rPr>
          <w:rFonts w:ascii="宋体" w:hAnsi="宋体" w:eastAsia="宋体" w:cs="Times New Roman"/>
          <w:b/>
          <w:bCs w:val="0"/>
          <w:snapToGrid w:val="0"/>
          <w:color w:val="auto"/>
          <w:kern w:val="0"/>
          <w:sz w:val="32"/>
          <w:szCs w:val="32"/>
          <w:highlight w:val="none"/>
          <w:lang w:val="en-US" w:eastAsia="zh-CN" w:bidi="ar-SA"/>
        </w:rPr>
      </w:pPr>
      <w:bookmarkStart w:id="4821" w:name="_Toc30276"/>
      <w:bookmarkStart w:id="4822" w:name="_Toc15969"/>
      <w:bookmarkStart w:id="4823" w:name="_Toc67418424"/>
      <w:bookmarkStart w:id="4824" w:name="_Toc30218"/>
      <w:bookmarkStart w:id="4825" w:name="_Toc7947"/>
      <w:bookmarkStart w:id="4826" w:name="_Toc31510"/>
      <w:bookmarkStart w:id="4827" w:name="_Toc67327371"/>
      <w:bookmarkStart w:id="4828" w:name="_Toc14500"/>
      <w:bookmarkStart w:id="4829" w:name="_Toc453616673"/>
      <w:bookmarkStart w:id="4830" w:name="_Toc302636061"/>
      <w:bookmarkStart w:id="4831" w:name="_Toc16942"/>
      <w:bookmarkStart w:id="4832" w:name="_Toc27921"/>
      <w:bookmarkStart w:id="4833" w:name="_Toc21144"/>
      <w:r>
        <w:rPr>
          <w:rFonts w:hint="eastAsia" w:ascii="宋体" w:hAnsi="宋体" w:eastAsia="宋体" w:cs="Times New Roman"/>
          <w:b/>
          <w:bCs w:val="0"/>
          <w:snapToGrid w:val="0"/>
          <w:color w:val="auto"/>
          <w:kern w:val="0"/>
          <w:sz w:val="32"/>
          <w:szCs w:val="32"/>
          <w:highlight w:val="none"/>
          <w:lang w:val="en-US" w:eastAsia="zh-CN" w:bidi="ar-SA"/>
        </w:rPr>
        <w:t>工程质量保修书</w:t>
      </w:r>
      <w:bookmarkEnd w:id="4821"/>
      <w:bookmarkEnd w:id="4822"/>
      <w:bookmarkEnd w:id="4823"/>
      <w:bookmarkEnd w:id="4824"/>
      <w:bookmarkEnd w:id="4825"/>
      <w:bookmarkEnd w:id="4826"/>
      <w:bookmarkEnd w:id="4827"/>
      <w:bookmarkEnd w:id="4828"/>
      <w:bookmarkEnd w:id="4829"/>
      <w:bookmarkEnd w:id="4830"/>
      <w:bookmarkEnd w:id="4831"/>
      <w:bookmarkEnd w:id="4832"/>
      <w:bookmarkEnd w:id="4833"/>
    </w:p>
    <w:p>
      <w:pPr>
        <w:spacing w:line="360" w:lineRule="auto"/>
        <w:rPr>
          <w:rFonts w:ascii="宋体" w:hAnsi="宋体" w:eastAsia="宋体" w:cs="Times New Roman"/>
          <w:color w:val="auto"/>
          <w:sz w:val="24"/>
          <w:szCs w:val="24"/>
          <w:highlight w:val="none"/>
        </w:rPr>
      </w:pP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发包人(全称)：</w:t>
      </w:r>
      <w:r>
        <w:rPr>
          <w:rFonts w:hint="eastAsia" w:ascii="宋体" w:hAnsi="宋体" w:eastAsia="宋体" w:cs="Times New Roman"/>
          <w:b/>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承包人(全称)：</w:t>
      </w:r>
      <w:r>
        <w:rPr>
          <w:rFonts w:hint="eastAsia" w:ascii="宋体" w:hAnsi="宋体" w:eastAsia="宋体" w:cs="Times New Roman"/>
          <w:color w:val="auto"/>
          <w:sz w:val="24"/>
          <w:szCs w:val="24"/>
          <w:highlight w:val="none"/>
          <w:u w:val="single"/>
        </w:rPr>
        <w:t xml:space="preserve">                                </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为保证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工程名称)在合理使用期限内正常使用，发包人和承包人根据《中华人民共和国建筑法》、《建设工程质量管理条例》、《深圳特区建设工程质量管理条例》，经协商一致，签订工程质量保修书。承包人在质量保修期内按照有关规定及双方约定承担工程质量保修责任。</w:t>
      </w:r>
    </w:p>
    <w:p>
      <w:pPr>
        <w:spacing w:line="360" w:lineRule="auto"/>
        <w:ind w:firstLine="606"/>
        <w:outlineLvl w:val="0"/>
        <w:rPr>
          <w:rFonts w:ascii="宋体" w:hAnsi="宋体" w:eastAsia="宋体" w:cs="Times New Roman"/>
          <w:b/>
          <w:color w:val="auto"/>
          <w:sz w:val="28"/>
          <w:szCs w:val="24"/>
          <w:highlight w:val="none"/>
        </w:rPr>
      </w:pPr>
      <w:bookmarkStart w:id="4834" w:name="_Toc3872"/>
      <w:bookmarkStart w:id="4835" w:name="_Toc67418425"/>
      <w:bookmarkStart w:id="4836" w:name="_Toc11079"/>
      <w:bookmarkStart w:id="4837" w:name="_Toc16979"/>
      <w:bookmarkStart w:id="4838" w:name="_Toc448494344"/>
      <w:bookmarkStart w:id="4839" w:name="_Toc19108"/>
      <w:bookmarkStart w:id="4840" w:name="_Toc15693"/>
      <w:bookmarkStart w:id="4841" w:name="_Toc453616674"/>
      <w:bookmarkStart w:id="4842" w:name="_Toc15344"/>
      <w:bookmarkStart w:id="4843" w:name="_Toc22031"/>
      <w:bookmarkStart w:id="4844" w:name="_Toc67418858"/>
      <w:bookmarkStart w:id="4845" w:name="_Toc17922"/>
      <w:bookmarkStart w:id="4846" w:name="_Toc448841341"/>
      <w:bookmarkStart w:id="4847" w:name="_Toc22189"/>
      <w:bookmarkStart w:id="4848" w:name="_Toc22340"/>
      <w:bookmarkStart w:id="4849" w:name="_Toc492905339"/>
      <w:bookmarkStart w:id="4850" w:name="_Toc6948"/>
      <w:bookmarkStart w:id="4851" w:name="_Toc67327372"/>
      <w:r>
        <w:rPr>
          <w:rFonts w:hint="eastAsia" w:ascii="宋体" w:hAnsi="宋体" w:eastAsia="宋体" w:cs="Times New Roman"/>
          <w:b/>
          <w:color w:val="auto"/>
          <w:sz w:val="28"/>
          <w:szCs w:val="24"/>
          <w:highlight w:val="none"/>
        </w:rPr>
        <w:t>一、工程质量保修范围</w:t>
      </w:r>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质量保修范围包括地基基础工程、主体结构工程、屋面防水工程、有防水要求的卫生间/房间和外墙面的防渗漏工程、电气管线工程、给排水管道工程、设备安装工程、供热和供冷系统工程、装饰装修工程以及双方约定的其他项目。</w:t>
      </w:r>
    </w:p>
    <w:p>
      <w:pPr>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具体质量保修范围，双方约定如下：</w:t>
      </w: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ind w:firstLine="560"/>
        <w:outlineLvl w:val="0"/>
        <w:rPr>
          <w:rFonts w:ascii="宋体" w:hAnsi="宋体" w:eastAsia="宋体" w:cs="Times New Roman"/>
          <w:color w:val="auto"/>
          <w:sz w:val="28"/>
          <w:szCs w:val="24"/>
          <w:highlight w:val="none"/>
        </w:rPr>
      </w:pPr>
      <w:bookmarkStart w:id="4852" w:name="_Toc67418859"/>
      <w:bookmarkStart w:id="4853" w:name="_Toc4831"/>
      <w:bookmarkStart w:id="4854" w:name="_Toc6248"/>
      <w:bookmarkStart w:id="4855" w:name="_Toc67418426"/>
      <w:bookmarkStart w:id="4856" w:name="_Toc30277"/>
      <w:bookmarkStart w:id="4857" w:name="_Toc24359"/>
      <w:bookmarkStart w:id="4858" w:name="_Toc27834"/>
      <w:bookmarkStart w:id="4859" w:name="_Toc448494345"/>
      <w:bookmarkStart w:id="4860" w:name="_Toc10436"/>
      <w:bookmarkStart w:id="4861" w:name="_Toc14046"/>
      <w:bookmarkStart w:id="4862" w:name="_Toc818"/>
      <w:bookmarkStart w:id="4863" w:name="_Toc67327373"/>
      <w:bookmarkStart w:id="4864" w:name="_Toc492905340"/>
      <w:bookmarkStart w:id="4865" w:name="_Toc453616675"/>
      <w:bookmarkStart w:id="4866" w:name="_Toc7144"/>
      <w:bookmarkStart w:id="4867" w:name="_Toc448841342"/>
      <w:bookmarkStart w:id="4868" w:name="_Toc180"/>
      <w:bookmarkStart w:id="4869" w:name="_Toc10193"/>
      <w:r>
        <w:rPr>
          <w:rFonts w:hint="eastAsia" w:ascii="宋体" w:hAnsi="宋体" w:eastAsia="宋体" w:cs="Times New Roman"/>
          <w:color w:val="auto"/>
          <w:sz w:val="28"/>
          <w:szCs w:val="24"/>
          <w:highlight w:val="none"/>
        </w:rPr>
        <w:t>二、工程质量保修期</w:t>
      </w:r>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质量保修期从工程实际竣工之日算起。单项竣工验收的工程，按单项工程分别计算质量保修期。</w:t>
      </w:r>
    </w:p>
    <w:p>
      <w:pPr>
        <w:widowControl w:val="0"/>
        <w:snapToGrid w:val="0"/>
        <w:spacing w:line="346" w:lineRule="auto"/>
        <w:ind w:firstLine="48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双方约定本工程质量保修期如下：</w:t>
      </w:r>
    </w:p>
    <w:p>
      <w:pPr>
        <w:widowControl w:val="0"/>
        <w:snapToGrid w:val="0"/>
        <w:spacing w:line="346" w:lineRule="auto"/>
        <w:ind w:firstLine="396"/>
        <w:jc w:val="both"/>
        <w:rPr>
          <w:rFonts w:ascii="宋体" w:hAnsi="宋体" w:eastAsia="宋体" w:cs="Courier New"/>
          <w:color w:val="auto"/>
          <w:kern w:val="2"/>
          <w:sz w:val="24"/>
          <w:szCs w:val="24"/>
          <w:highlight w:val="none"/>
          <w:lang w:val="en-US" w:eastAsia="zh-CN" w:bidi="ar-SA"/>
        </w:rPr>
      </w:pPr>
      <w:r>
        <w:rPr>
          <w:rFonts w:ascii="宋体" w:hAnsi="宋体" w:eastAsia="宋体" w:cs="Courier New"/>
          <w:color w:val="auto"/>
          <w:kern w:val="2"/>
          <w:sz w:val="24"/>
          <w:szCs w:val="21"/>
          <w:highlight w:val="none"/>
          <w:lang w:val="en-US" w:eastAsia="zh-CN" w:bidi="ar-SA"/>
        </w:rPr>
        <w:drawing>
          <wp:inline distT="0" distB="0" distL="114300" distR="114300">
            <wp:extent cx="152400" cy="142875"/>
            <wp:effectExtent l="0" t="0" r="0" b="9525"/>
            <wp:docPr id="122" name="图片 8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2" name="图片 82"/>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Courier New"/>
          <w:color w:val="auto"/>
          <w:kern w:val="2"/>
          <w:sz w:val="24"/>
          <w:szCs w:val="24"/>
          <w:highlight w:val="none"/>
          <w:lang w:val="en-US" w:eastAsia="zh-CN" w:bidi="ar-SA"/>
        </w:rPr>
        <w:t>地基基础工程、主体结构工程为设计文件规定的合理使用年限；</w:t>
      </w:r>
    </w:p>
    <w:p>
      <w:pPr>
        <w:widowControl w:val="0"/>
        <w:snapToGrid w:val="0"/>
        <w:spacing w:line="346" w:lineRule="auto"/>
        <w:ind w:firstLine="396"/>
        <w:jc w:val="both"/>
        <w:rPr>
          <w:rFonts w:ascii="宋体" w:hAnsi="宋体" w:eastAsia="宋体" w:cs="Courier New"/>
          <w:color w:val="auto"/>
          <w:kern w:val="2"/>
          <w:sz w:val="24"/>
          <w:szCs w:val="24"/>
          <w:highlight w:val="none"/>
          <w:lang w:val="en-US" w:eastAsia="zh-CN" w:bidi="ar-SA"/>
        </w:rPr>
      </w:pPr>
      <w:r>
        <w:rPr>
          <w:rFonts w:ascii="宋体" w:hAnsi="宋体" w:eastAsia="宋体" w:cs="Courier New"/>
          <w:color w:val="auto"/>
          <w:kern w:val="2"/>
          <w:sz w:val="24"/>
          <w:szCs w:val="21"/>
          <w:highlight w:val="none"/>
          <w:lang w:val="en-US" w:eastAsia="zh-CN" w:bidi="ar-SA"/>
        </w:rPr>
        <w:drawing>
          <wp:inline distT="0" distB="0" distL="114300" distR="114300">
            <wp:extent cx="152400" cy="142875"/>
            <wp:effectExtent l="0" t="0" r="0" b="9525"/>
            <wp:docPr id="123" name="图片 8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3" name="图片 83"/>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Courier New"/>
          <w:color w:val="auto"/>
          <w:kern w:val="2"/>
          <w:sz w:val="24"/>
          <w:szCs w:val="24"/>
          <w:highlight w:val="none"/>
          <w:lang w:val="en-US" w:eastAsia="zh-CN" w:bidi="ar-SA"/>
        </w:rPr>
        <w:t>屋面防水工程、有防水要求的卫生间/房间和外墙面的防渗漏工程为</w:t>
      </w:r>
      <w:r>
        <w:rPr>
          <w:rFonts w:hint="eastAsia" w:ascii="宋体" w:hAnsi="宋体" w:eastAsia="宋体" w:cs="Courier New"/>
          <w:color w:val="auto"/>
          <w:kern w:val="2"/>
          <w:sz w:val="24"/>
          <w:szCs w:val="21"/>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年(最低为5年)；</w:t>
      </w:r>
    </w:p>
    <w:p>
      <w:pPr>
        <w:widowControl w:val="0"/>
        <w:snapToGrid w:val="0"/>
        <w:spacing w:line="346" w:lineRule="auto"/>
        <w:ind w:firstLine="396"/>
        <w:jc w:val="both"/>
        <w:rPr>
          <w:rFonts w:ascii="宋体" w:hAnsi="宋体" w:eastAsia="宋体" w:cs="Courier New"/>
          <w:color w:val="auto"/>
          <w:kern w:val="2"/>
          <w:sz w:val="24"/>
          <w:szCs w:val="24"/>
          <w:highlight w:val="none"/>
          <w:lang w:val="en-US" w:eastAsia="zh-CN" w:bidi="ar-SA"/>
        </w:rPr>
      </w:pPr>
      <w:r>
        <w:rPr>
          <w:rFonts w:ascii="宋体" w:hAnsi="宋体" w:eastAsia="宋体" w:cs="Courier New"/>
          <w:color w:val="auto"/>
          <w:kern w:val="2"/>
          <w:sz w:val="24"/>
          <w:szCs w:val="21"/>
          <w:highlight w:val="none"/>
          <w:lang w:val="en-US" w:eastAsia="zh-CN" w:bidi="ar-SA"/>
        </w:rPr>
        <w:drawing>
          <wp:inline distT="0" distB="0" distL="114300" distR="114300">
            <wp:extent cx="152400" cy="142875"/>
            <wp:effectExtent l="0" t="0" r="0" b="9525"/>
            <wp:docPr id="124" name="图片 8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4" name="图片 84"/>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Courier New"/>
          <w:color w:val="auto"/>
          <w:kern w:val="2"/>
          <w:sz w:val="24"/>
          <w:szCs w:val="24"/>
          <w:highlight w:val="none"/>
          <w:lang w:val="en-US" w:eastAsia="zh-CN" w:bidi="ar-SA"/>
        </w:rPr>
        <w:t>电气管线工程、给排水管道工程、设备安装工程为</w:t>
      </w:r>
      <w:r>
        <w:rPr>
          <w:rFonts w:hint="eastAsia" w:ascii="宋体" w:hAnsi="宋体" w:eastAsia="宋体" w:cs="Courier New"/>
          <w:color w:val="auto"/>
          <w:kern w:val="2"/>
          <w:sz w:val="24"/>
          <w:szCs w:val="21"/>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年(最低为2年)；</w:t>
      </w:r>
    </w:p>
    <w:p>
      <w:pPr>
        <w:widowControl w:val="0"/>
        <w:snapToGrid w:val="0"/>
        <w:spacing w:line="346" w:lineRule="auto"/>
        <w:ind w:firstLine="396"/>
        <w:jc w:val="both"/>
        <w:rPr>
          <w:rFonts w:ascii="宋体" w:hAnsi="宋体" w:eastAsia="宋体" w:cs="Courier New"/>
          <w:color w:val="auto"/>
          <w:kern w:val="2"/>
          <w:sz w:val="24"/>
          <w:szCs w:val="24"/>
          <w:highlight w:val="none"/>
          <w:lang w:val="en-US" w:eastAsia="zh-CN" w:bidi="ar-SA"/>
        </w:rPr>
      </w:pPr>
      <w:r>
        <w:rPr>
          <w:rFonts w:ascii="宋体" w:hAnsi="宋体" w:eastAsia="宋体" w:cs="Courier New"/>
          <w:color w:val="auto"/>
          <w:kern w:val="2"/>
          <w:sz w:val="24"/>
          <w:szCs w:val="21"/>
          <w:highlight w:val="none"/>
          <w:lang w:val="en-US" w:eastAsia="zh-CN" w:bidi="ar-SA"/>
        </w:rPr>
        <w:drawing>
          <wp:inline distT="0" distB="0" distL="114300" distR="114300">
            <wp:extent cx="152400" cy="142875"/>
            <wp:effectExtent l="0" t="0" r="0" b="9525"/>
            <wp:docPr id="125" name="图片 8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5" name="图片 85"/>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Courier New"/>
          <w:color w:val="auto"/>
          <w:kern w:val="2"/>
          <w:sz w:val="24"/>
          <w:szCs w:val="21"/>
          <w:highlight w:val="none"/>
          <w:lang w:val="en-US" w:eastAsia="zh-CN" w:bidi="ar-SA"/>
        </w:rPr>
        <w:t>供热和供冷系统工程</w:t>
      </w:r>
      <w:r>
        <w:rPr>
          <w:rFonts w:hint="eastAsia" w:ascii="宋体" w:hAnsi="宋体" w:eastAsia="宋体" w:cs="Courier New"/>
          <w:color w:val="auto"/>
          <w:kern w:val="2"/>
          <w:sz w:val="24"/>
          <w:szCs w:val="24"/>
          <w:highlight w:val="none"/>
          <w:lang w:val="en-US" w:eastAsia="zh-CN" w:bidi="ar-SA"/>
        </w:rPr>
        <w:t>为</w:t>
      </w:r>
      <w:r>
        <w:rPr>
          <w:rFonts w:hint="eastAsia" w:ascii="宋体" w:hAnsi="宋体" w:eastAsia="宋体" w:cs="Courier New"/>
          <w:color w:val="auto"/>
          <w:kern w:val="2"/>
          <w:sz w:val="24"/>
          <w:szCs w:val="21"/>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个(最低为2个)采暖期、供冷期；</w:t>
      </w:r>
    </w:p>
    <w:p>
      <w:pPr>
        <w:widowControl w:val="0"/>
        <w:snapToGrid w:val="0"/>
        <w:spacing w:line="346" w:lineRule="auto"/>
        <w:ind w:firstLine="396"/>
        <w:jc w:val="both"/>
        <w:rPr>
          <w:rFonts w:ascii="宋体" w:hAnsi="宋体" w:eastAsia="宋体" w:cs="Courier New"/>
          <w:color w:val="auto"/>
          <w:kern w:val="2"/>
          <w:sz w:val="24"/>
          <w:szCs w:val="24"/>
          <w:highlight w:val="none"/>
          <w:lang w:val="en-US" w:eastAsia="zh-CN" w:bidi="ar-SA"/>
        </w:rPr>
      </w:pPr>
      <w:r>
        <w:rPr>
          <w:rFonts w:ascii="宋体" w:hAnsi="宋体" w:eastAsia="宋体" w:cs="Courier New"/>
          <w:color w:val="auto"/>
          <w:kern w:val="2"/>
          <w:sz w:val="24"/>
          <w:szCs w:val="21"/>
          <w:highlight w:val="none"/>
          <w:lang w:val="en-US" w:eastAsia="zh-CN" w:bidi="ar-SA"/>
        </w:rPr>
        <w:drawing>
          <wp:inline distT="0" distB="0" distL="114300" distR="114300">
            <wp:extent cx="152400" cy="142875"/>
            <wp:effectExtent l="0" t="0" r="0" b="9525"/>
            <wp:docPr id="126" name="图片 8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6" name="图片 86"/>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Courier New"/>
          <w:color w:val="auto"/>
          <w:kern w:val="2"/>
          <w:sz w:val="24"/>
          <w:szCs w:val="21"/>
          <w:highlight w:val="none"/>
          <w:lang w:val="en-US" w:eastAsia="zh-CN" w:bidi="ar-SA"/>
        </w:rPr>
        <w:t>装饰装修工程为</w:t>
      </w:r>
      <w:r>
        <w:rPr>
          <w:rFonts w:hint="eastAsia" w:ascii="宋体" w:hAnsi="宋体" w:eastAsia="宋体" w:cs="Courier New"/>
          <w:color w:val="auto"/>
          <w:kern w:val="2"/>
          <w:sz w:val="24"/>
          <w:szCs w:val="21"/>
          <w:highlight w:val="none"/>
          <w:u w:val="single"/>
          <w:lang w:val="en-US" w:eastAsia="zh-CN" w:bidi="ar-SA"/>
        </w:rPr>
        <w:t xml:space="preserve">     </w:t>
      </w:r>
      <w:r>
        <w:rPr>
          <w:rFonts w:hint="eastAsia" w:ascii="宋体" w:hAnsi="宋体" w:eastAsia="宋体" w:cs="Courier New"/>
          <w:color w:val="auto"/>
          <w:kern w:val="2"/>
          <w:sz w:val="24"/>
          <w:szCs w:val="21"/>
          <w:highlight w:val="none"/>
          <w:lang w:val="en-US" w:eastAsia="zh-CN" w:bidi="ar-SA"/>
        </w:rPr>
        <w:t>年；</w:t>
      </w:r>
    </w:p>
    <w:p>
      <w:pPr>
        <w:widowControl w:val="0"/>
        <w:snapToGrid w:val="0"/>
        <w:spacing w:line="346" w:lineRule="auto"/>
        <w:ind w:firstLine="396"/>
        <w:jc w:val="both"/>
        <w:rPr>
          <w:rFonts w:ascii="宋体" w:hAnsi="宋体" w:eastAsia="宋体" w:cs="Courier New"/>
          <w:color w:val="auto"/>
          <w:kern w:val="2"/>
          <w:sz w:val="24"/>
          <w:szCs w:val="24"/>
          <w:highlight w:val="none"/>
          <w:u w:val="single"/>
          <w:lang w:val="en-US" w:eastAsia="zh-CN" w:bidi="ar-SA"/>
        </w:rPr>
      </w:pPr>
      <w:r>
        <w:rPr>
          <w:rFonts w:ascii="宋体" w:hAnsi="宋体" w:eastAsia="宋体" w:cs="Courier New"/>
          <w:color w:val="auto"/>
          <w:kern w:val="2"/>
          <w:sz w:val="24"/>
          <w:szCs w:val="21"/>
          <w:highlight w:val="none"/>
          <w:lang w:val="en-US" w:eastAsia="zh-CN" w:bidi="ar-SA"/>
        </w:rPr>
        <w:drawing>
          <wp:inline distT="0" distB="0" distL="114300" distR="114300">
            <wp:extent cx="152400" cy="142875"/>
            <wp:effectExtent l="0" t="0" r="0" b="9525"/>
            <wp:docPr id="127" name="图片 8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7" name="图片 87"/>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Courier New"/>
          <w:color w:val="auto"/>
          <w:kern w:val="2"/>
          <w:sz w:val="24"/>
          <w:szCs w:val="21"/>
          <w:highlight w:val="none"/>
          <w:lang w:val="en-US" w:eastAsia="zh-CN" w:bidi="ar-SA"/>
        </w:rPr>
        <w:t>其他项目保修期约定：</w:t>
      </w:r>
      <w:r>
        <w:rPr>
          <w:rFonts w:hint="eastAsia" w:ascii="宋体" w:hAnsi="宋体" w:eastAsia="宋体" w:cs="Courier New"/>
          <w:color w:val="auto"/>
          <w:kern w:val="2"/>
          <w:sz w:val="24"/>
          <w:szCs w:val="21"/>
          <w:highlight w:val="none"/>
          <w:u w:val="single"/>
          <w:lang w:val="en-US" w:eastAsia="zh-CN" w:bidi="ar-SA"/>
        </w:rPr>
        <w:t xml:space="preserve">       </w:t>
      </w:r>
      <w:r>
        <w:rPr>
          <w:rFonts w:hint="eastAsia" w:ascii="宋体" w:hAnsi="宋体" w:eastAsia="宋体" w:cs="Courier New"/>
          <w:color w:val="auto"/>
          <w:kern w:val="2"/>
          <w:sz w:val="24"/>
          <w:szCs w:val="24"/>
          <w:highlight w:val="none"/>
          <w:u w:val="single"/>
          <w:lang w:val="en-US" w:eastAsia="zh-CN" w:bidi="ar-SA"/>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ind w:firstLine="606"/>
        <w:outlineLvl w:val="0"/>
        <w:rPr>
          <w:rFonts w:ascii="宋体" w:hAnsi="宋体" w:eastAsia="宋体" w:cs="Times New Roman"/>
          <w:b/>
          <w:color w:val="auto"/>
          <w:sz w:val="28"/>
          <w:szCs w:val="24"/>
          <w:highlight w:val="none"/>
        </w:rPr>
      </w:pPr>
      <w:bookmarkStart w:id="4870" w:name="_Toc15955"/>
      <w:bookmarkStart w:id="4871" w:name="_Toc26473"/>
      <w:bookmarkStart w:id="4872" w:name="_Toc448841343"/>
      <w:bookmarkStart w:id="4873" w:name="_Toc67418427"/>
      <w:bookmarkStart w:id="4874" w:name="_Toc15642"/>
      <w:bookmarkStart w:id="4875" w:name="_Toc30681"/>
      <w:bookmarkStart w:id="4876" w:name="_Toc31802"/>
      <w:bookmarkStart w:id="4877" w:name="_Toc19127"/>
      <w:bookmarkStart w:id="4878" w:name="_Toc983"/>
      <w:bookmarkStart w:id="4879" w:name="_Toc22935"/>
      <w:bookmarkStart w:id="4880" w:name="_Toc30626"/>
      <w:bookmarkStart w:id="4881" w:name="_Toc67327374"/>
      <w:bookmarkStart w:id="4882" w:name="_Toc453616676"/>
      <w:bookmarkStart w:id="4883" w:name="_Toc28587"/>
      <w:bookmarkStart w:id="4884" w:name="_Toc492905341"/>
      <w:bookmarkStart w:id="4885" w:name="_Toc67418860"/>
      <w:bookmarkStart w:id="4886" w:name="_Toc448494346"/>
      <w:bookmarkStart w:id="4887" w:name="_Toc22226"/>
      <w:r>
        <w:rPr>
          <w:rFonts w:hint="eastAsia" w:ascii="宋体" w:hAnsi="宋体" w:eastAsia="宋体" w:cs="Times New Roman"/>
          <w:b/>
          <w:color w:val="auto"/>
          <w:sz w:val="28"/>
          <w:szCs w:val="24"/>
          <w:highlight w:val="none"/>
        </w:rPr>
        <w:t>三、工程质量保修责任</w:t>
      </w:r>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1.属于保修范围内的项目，在保修期内，承包人应在接到保修通知之日后７天内派人修理。承包人不在约定期限内派人修理，发包人可委托其他人员修理。</w:t>
      </w:r>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2.发生紧急抢修事故的，承包人接到事故通知后，应立即到达事故现场抢修。</w:t>
      </w:r>
    </w:p>
    <w:p>
      <w:pPr>
        <w:spacing w:line="360" w:lineRule="auto"/>
        <w:ind w:firstLine="606"/>
        <w:outlineLvl w:val="0"/>
        <w:rPr>
          <w:rFonts w:ascii="宋体" w:hAnsi="宋体" w:eastAsia="宋体" w:cs="Times New Roman"/>
          <w:b/>
          <w:color w:val="auto"/>
          <w:sz w:val="28"/>
          <w:szCs w:val="24"/>
          <w:highlight w:val="none"/>
        </w:rPr>
      </w:pPr>
      <w:bookmarkStart w:id="4888" w:name="_Toc6109"/>
      <w:bookmarkStart w:id="4889" w:name="_Toc67418861"/>
      <w:bookmarkStart w:id="4890" w:name="_Toc19192"/>
      <w:bookmarkStart w:id="4891" w:name="_Toc22456"/>
      <w:bookmarkStart w:id="4892" w:name="_Toc453616677"/>
      <w:bookmarkStart w:id="4893" w:name="_Toc27712"/>
      <w:bookmarkStart w:id="4894" w:name="_Toc448841344"/>
      <w:bookmarkStart w:id="4895" w:name="_Toc12080"/>
      <w:bookmarkStart w:id="4896" w:name="_Toc25270"/>
      <w:bookmarkStart w:id="4897" w:name="_Toc16644"/>
      <w:bookmarkStart w:id="4898" w:name="_Toc30787"/>
      <w:bookmarkStart w:id="4899" w:name="_Toc67327375"/>
      <w:bookmarkStart w:id="4900" w:name="_Toc492905342"/>
      <w:bookmarkStart w:id="4901" w:name="_Toc2474"/>
      <w:bookmarkStart w:id="4902" w:name="_Toc67418428"/>
      <w:bookmarkStart w:id="4903" w:name="_Toc23057"/>
      <w:bookmarkStart w:id="4904" w:name="_Toc448494347"/>
      <w:bookmarkStart w:id="4905" w:name="_Toc6170"/>
      <w:r>
        <w:rPr>
          <w:rFonts w:hint="eastAsia" w:ascii="宋体" w:hAnsi="宋体" w:eastAsia="宋体" w:cs="Times New Roman"/>
          <w:b/>
          <w:color w:val="auto"/>
          <w:sz w:val="28"/>
          <w:szCs w:val="24"/>
          <w:highlight w:val="none"/>
        </w:rPr>
        <w:t>四、工程质量保修费用</w:t>
      </w:r>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p>
    <w:p>
      <w:pPr>
        <w:spacing w:line="360" w:lineRule="auto"/>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工程质量保修费用及相关的损害赔偿责任由造成质量缺陷的责任方承担。</w:t>
      </w:r>
    </w:p>
    <w:p>
      <w:pPr>
        <w:spacing w:line="360" w:lineRule="auto"/>
        <w:ind w:firstLine="606"/>
        <w:outlineLvl w:val="0"/>
        <w:rPr>
          <w:rFonts w:ascii="宋体" w:hAnsi="宋体" w:eastAsia="宋体" w:cs="Times New Roman"/>
          <w:b/>
          <w:color w:val="auto"/>
          <w:sz w:val="28"/>
          <w:szCs w:val="24"/>
          <w:highlight w:val="none"/>
        </w:rPr>
      </w:pPr>
      <w:bookmarkStart w:id="4906" w:name="_Toc67327376"/>
      <w:bookmarkStart w:id="4907" w:name="_Toc17298"/>
      <w:bookmarkStart w:id="4908" w:name="_Toc453616678"/>
      <w:bookmarkStart w:id="4909" w:name="_Toc25496"/>
      <w:bookmarkStart w:id="4910" w:name="_Toc8792"/>
      <w:bookmarkStart w:id="4911" w:name="_Toc7291"/>
      <w:bookmarkStart w:id="4912" w:name="_Toc448494348"/>
      <w:bookmarkStart w:id="4913" w:name="_Toc25362"/>
      <w:bookmarkStart w:id="4914" w:name="_Toc7167"/>
      <w:bookmarkStart w:id="4915" w:name="_Toc67418429"/>
      <w:bookmarkStart w:id="4916" w:name="_Toc67418862"/>
      <w:bookmarkStart w:id="4917" w:name="_Toc448841345"/>
      <w:bookmarkStart w:id="4918" w:name="_Toc492905343"/>
      <w:bookmarkStart w:id="4919" w:name="_Toc18146"/>
      <w:bookmarkStart w:id="4920" w:name="_Toc24672"/>
      <w:bookmarkStart w:id="4921" w:name="_Toc12430"/>
      <w:bookmarkStart w:id="4922" w:name="_Toc17054"/>
      <w:bookmarkStart w:id="4923" w:name="_Toc32691"/>
      <w:r>
        <w:rPr>
          <w:rFonts w:hint="eastAsia" w:ascii="宋体" w:hAnsi="宋体" w:eastAsia="宋体" w:cs="Times New Roman"/>
          <w:b/>
          <w:color w:val="auto"/>
          <w:sz w:val="28"/>
          <w:szCs w:val="24"/>
          <w:highlight w:val="none"/>
        </w:rPr>
        <w:t>五、工程质量保证方式</w:t>
      </w:r>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p>
    <w:p>
      <w:pPr>
        <w:widowControl w:val="0"/>
        <w:snapToGrid w:val="0"/>
        <w:spacing w:line="346" w:lineRule="auto"/>
        <w:ind w:firstLine="48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工程质量保证方式可采用以下方式：</w:t>
      </w:r>
    </w:p>
    <w:p>
      <w:pPr>
        <w:widowControl w:val="0"/>
        <w:snapToGrid w:val="0"/>
        <w:spacing w:line="346" w:lineRule="auto"/>
        <w:ind w:firstLine="519"/>
        <w:jc w:val="both"/>
        <w:rPr>
          <w:rFonts w:ascii="宋体" w:hAnsi="宋体" w:eastAsia="宋体" w:cs="Courier New"/>
          <w:b/>
          <w:color w:val="auto"/>
          <w:kern w:val="2"/>
          <w:sz w:val="28"/>
          <w:szCs w:val="28"/>
          <w:highlight w:val="none"/>
          <w:lang w:val="en-US" w:eastAsia="zh-CN" w:bidi="ar-SA"/>
        </w:rPr>
      </w:pPr>
      <w:r>
        <w:rPr>
          <w:rFonts w:ascii="宋体" w:hAnsi="宋体" w:eastAsia="宋体" w:cs="Courier New"/>
          <w:b/>
          <w:color w:val="auto"/>
          <w:kern w:val="2"/>
          <w:sz w:val="24"/>
          <w:szCs w:val="21"/>
          <w:highlight w:val="none"/>
          <w:lang w:val="en-US" w:eastAsia="zh-CN" w:bidi="ar-SA"/>
        </w:rPr>
        <w:drawing>
          <wp:inline distT="0" distB="0" distL="114300" distR="114300">
            <wp:extent cx="152400" cy="142875"/>
            <wp:effectExtent l="0" t="0" r="0" b="9525"/>
            <wp:docPr id="128" name="图片 8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 name="图片 88"/>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Courier New"/>
          <w:b/>
          <w:color w:val="auto"/>
          <w:kern w:val="2"/>
          <w:sz w:val="28"/>
          <w:szCs w:val="28"/>
          <w:highlight w:val="none"/>
          <w:lang w:val="en-US" w:eastAsia="zh-CN" w:bidi="ar-SA"/>
        </w:rPr>
        <w:t>质量保证金：</w:t>
      </w:r>
    </w:p>
    <w:p>
      <w:pPr>
        <w:widowControl w:val="0"/>
        <w:snapToGrid w:val="0"/>
        <w:spacing w:line="346" w:lineRule="auto"/>
        <w:ind w:firstLine="48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质量保证金一般不超过结算合同价格的3％，发包人承包人约定本工程的质量保证金为结算合同价格的</w:t>
      </w:r>
      <w:r>
        <w:rPr>
          <w:rFonts w:hint="eastAsia" w:ascii="宋体" w:hAnsi="宋体" w:eastAsia="宋体" w:cs="Courier New"/>
          <w:color w:val="auto"/>
          <w:kern w:val="2"/>
          <w:sz w:val="24"/>
          <w:szCs w:val="21"/>
          <w:highlight w:val="none"/>
          <w:u w:val="single"/>
          <w:lang w:val="en-US" w:eastAsia="zh-CN" w:bidi="ar-SA"/>
        </w:rPr>
        <w:t xml:space="preserve">      </w:t>
      </w:r>
      <w:r>
        <w:rPr>
          <w:rFonts w:hint="eastAsia" w:ascii="宋体" w:hAnsi="宋体" w:eastAsia="宋体" w:cs="Courier New"/>
          <w:color w:val="auto"/>
          <w:kern w:val="2"/>
          <w:sz w:val="24"/>
          <w:szCs w:val="24"/>
          <w:highlight w:val="none"/>
          <w:lang w:val="en-US" w:eastAsia="zh-CN" w:bidi="ar-SA"/>
        </w:rPr>
        <w:t>％，具体为：</w:t>
      </w:r>
    </w:p>
    <w:p>
      <w:pPr>
        <w:spacing w:line="360" w:lineRule="auto"/>
        <w:ind w:firstLine="72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币种：</w:t>
      </w:r>
      <w:r>
        <w:rPr>
          <w:rFonts w:hint="eastAsia" w:ascii="宋体" w:hAnsi="宋体" w:eastAsia="宋体" w:cs="Times New Roman"/>
          <w:color w:val="auto"/>
          <w:sz w:val="24"/>
          <w:szCs w:val="24"/>
          <w:highlight w:val="none"/>
          <w:u w:val="single"/>
        </w:rPr>
        <w:t xml:space="preserve">        </w:t>
      </w:r>
    </w:p>
    <w:p>
      <w:pPr>
        <w:spacing w:line="360" w:lineRule="auto"/>
        <w:ind w:firstLine="72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金额(大写)：￥</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p>
    <w:p>
      <w:pPr>
        <w:spacing w:line="360" w:lineRule="auto"/>
        <w:ind w:firstLine="1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(小写)：￥</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p>
    <w:p>
      <w:pPr>
        <w:widowControl w:val="0"/>
        <w:snapToGrid w:val="0"/>
        <w:spacing w:line="346" w:lineRule="auto"/>
        <w:ind w:firstLine="644"/>
        <w:jc w:val="both"/>
        <w:rPr>
          <w:rFonts w:ascii="宋体" w:hAnsi="宋体" w:eastAsia="宋体" w:cs="Courier New"/>
          <w:color w:val="auto"/>
          <w:kern w:val="2"/>
          <w:sz w:val="24"/>
          <w:szCs w:val="24"/>
          <w:highlight w:val="none"/>
          <w:u w:val="single"/>
          <w:lang w:val="en-US" w:eastAsia="zh-CN" w:bidi="ar-SA"/>
        </w:rPr>
      </w:pPr>
      <w:r>
        <w:rPr>
          <w:rFonts w:hint="eastAsia" w:ascii="宋体" w:hAnsi="宋体" w:eastAsia="宋体" w:cs="Courier New"/>
          <w:color w:val="auto"/>
          <w:kern w:val="2"/>
          <w:sz w:val="24"/>
          <w:szCs w:val="24"/>
          <w:highlight w:val="none"/>
          <w:lang w:val="en-US" w:eastAsia="zh-CN" w:bidi="ar-SA"/>
        </w:rPr>
        <w:t>质量保证金银行利率为：</w:t>
      </w:r>
      <w:r>
        <w:rPr>
          <w:rFonts w:hint="eastAsia" w:ascii="宋体" w:hAnsi="宋体" w:eastAsia="宋体" w:cs="Courier New"/>
          <w:color w:val="auto"/>
          <w:kern w:val="2"/>
          <w:sz w:val="24"/>
          <w:szCs w:val="21"/>
          <w:highlight w:val="none"/>
          <w:u w:val="single"/>
          <w:lang w:val="en-US" w:eastAsia="zh-CN" w:bidi="ar-SA"/>
        </w:rPr>
        <w:t xml:space="preserve">                    </w:t>
      </w:r>
    </w:p>
    <w:p>
      <w:pPr>
        <w:widowControl w:val="0"/>
        <w:snapToGrid w:val="0"/>
        <w:spacing w:line="346" w:lineRule="auto"/>
        <w:ind w:firstLine="519"/>
        <w:jc w:val="both"/>
        <w:rPr>
          <w:rFonts w:hint="eastAsia" w:ascii="宋体" w:hAnsi="宋体" w:eastAsia="宋体" w:cs="Courier New"/>
          <w:color w:val="auto"/>
          <w:kern w:val="2"/>
          <w:sz w:val="28"/>
          <w:szCs w:val="21"/>
          <w:highlight w:val="none"/>
          <w:lang w:val="en-US" w:eastAsia="zh-CN" w:bidi="ar-SA"/>
        </w:rPr>
      </w:pPr>
      <w:r>
        <w:rPr>
          <w:rFonts w:ascii="宋体" w:hAnsi="宋体" w:eastAsia="宋体" w:cs="Courier New"/>
          <w:b/>
          <w:color w:val="auto"/>
          <w:kern w:val="2"/>
          <w:sz w:val="24"/>
          <w:szCs w:val="21"/>
          <w:highlight w:val="none"/>
          <w:lang w:val="en-US" w:eastAsia="zh-CN" w:bidi="ar-SA"/>
        </w:rPr>
        <w:drawing>
          <wp:inline distT="0" distB="0" distL="114300" distR="114300">
            <wp:extent cx="152400" cy="142875"/>
            <wp:effectExtent l="0" t="0" r="0" b="9525"/>
            <wp:docPr id="129" name="图片 8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9" name="图片 89"/>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Courier New"/>
          <w:b/>
          <w:color w:val="auto"/>
          <w:kern w:val="2"/>
          <w:sz w:val="28"/>
          <w:szCs w:val="21"/>
          <w:highlight w:val="none"/>
          <w:lang w:val="en-US" w:eastAsia="zh-CN" w:bidi="ar-SA"/>
        </w:rPr>
        <w:t>工程质量保证担保</w:t>
      </w:r>
      <w:r>
        <w:rPr>
          <w:rFonts w:hint="eastAsia" w:ascii="宋体" w:hAnsi="宋体" w:eastAsia="宋体" w:cs="Courier New"/>
          <w:color w:val="auto"/>
          <w:kern w:val="2"/>
          <w:sz w:val="28"/>
          <w:szCs w:val="21"/>
          <w:highlight w:val="none"/>
          <w:lang w:val="en-US" w:eastAsia="zh-CN" w:bidi="ar-SA"/>
        </w:rPr>
        <w:t>：</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widowControl w:val="0"/>
        <w:snapToGrid w:val="0"/>
        <w:spacing w:line="346" w:lineRule="auto"/>
        <w:ind w:firstLine="519"/>
        <w:jc w:val="both"/>
        <w:rPr>
          <w:rFonts w:hint="eastAsia" w:ascii="宋体" w:hAnsi="宋体" w:eastAsia="宋体" w:cs="Courier New"/>
          <w:color w:val="auto"/>
          <w:kern w:val="2"/>
          <w:sz w:val="28"/>
          <w:szCs w:val="21"/>
          <w:highlight w:val="none"/>
          <w:lang w:val="en-US" w:eastAsia="zh-CN" w:bidi="ar-SA"/>
        </w:rPr>
      </w:pPr>
      <w:r>
        <w:rPr>
          <w:rFonts w:ascii="宋体" w:hAnsi="宋体" w:eastAsia="宋体" w:cs="Courier New"/>
          <w:b/>
          <w:color w:val="auto"/>
          <w:kern w:val="2"/>
          <w:sz w:val="24"/>
          <w:szCs w:val="21"/>
          <w:highlight w:val="none"/>
          <w:lang w:val="en-US" w:eastAsia="zh-CN" w:bidi="ar-SA"/>
        </w:rPr>
        <w:drawing>
          <wp:inline distT="0" distB="0" distL="114300" distR="114300">
            <wp:extent cx="152400" cy="142875"/>
            <wp:effectExtent l="0" t="0" r="0" b="9525"/>
            <wp:docPr id="130" name="图片 9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 name="图片 90"/>
                    <pic:cNvPicPr>
                      <a:picLocks noChangeAspect="true"/>
                    </pic:cNvPicPr>
                  </pic:nvPicPr>
                  <pic:blipFill>
                    <a:blip r:embed="rId13"/>
                    <a:stretch>
                      <a:fillRect/>
                    </a:stretch>
                  </pic:blipFill>
                  <pic:spPr>
                    <a:xfrm>
                      <a:off x="0" y="0"/>
                      <a:ext cx="152400" cy="142875"/>
                    </a:xfrm>
                    <a:prstGeom prst="rect">
                      <a:avLst/>
                    </a:prstGeom>
                    <a:noFill/>
                    <a:ln>
                      <a:noFill/>
                    </a:ln>
                  </pic:spPr>
                </pic:pic>
              </a:graphicData>
            </a:graphic>
          </wp:inline>
        </w:drawing>
      </w:r>
      <w:r>
        <w:rPr>
          <w:rFonts w:hint="eastAsia" w:ascii="宋体" w:hAnsi="宋体" w:eastAsia="宋体" w:cs="Courier New"/>
          <w:b/>
          <w:color w:val="auto"/>
          <w:kern w:val="2"/>
          <w:sz w:val="28"/>
          <w:szCs w:val="21"/>
          <w:highlight w:val="none"/>
          <w:lang w:val="en-US" w:eastAsia="zh-CN" w:bidi="ar-SA"/>
        </w:rPr>
        <w:t>工程质量保险</w:t>
      </w:r>
      <w:r>
        <w:rPr>
          <w:rFonts w:hint="eastAsia" w:ascii="宋体" w:hAnsi="宋体" w:eastAsia="宋体" w:cs="Courier New"/>
          <w:color w:val="auto"/>
          <w:kern w:val="2"/>
          <w:sz w:val="28"/>
          <w:szCs w:val="21"/>
          <w:highlight w:val="none"/>
          <w:lang w:val="en-US" w:eastAsia="zh-CN" w:bidi="ar-SA"/>
        </w:rPr>
        <w:t>：</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ind w:firstLine="606"/>
        <w:outlineLvl w:val="0"/>
        <w:rPr>
          <w:rFonts w:ascii="宋体" w:hAnsi="宋体" w:eastAsia="宋体" w:cs="Times New Roman"/>
          <w:b/>
          <w:color w:val="auto"/>
          <w:sz w:val="28"/>
          <w:szCs w:val="24"/>
          <w:highlight w:val="none"/>
        </w:rPr>
      </w:pPr>
      <w:bookmarkStart w:id="4924" w:name="_Toc14235"/>
      <w:bookmarkStart w:id="4925" w:name="_Toc30286"/>
      <w:bookmarkStart w:id="4926" w:name="_Toc28460"/>
      <w:bookmarkStart w:id="4927" w:name="_Toc18234"/>
      <w:bookmarkStart w:id="4928" w:name="_Toc67327377"/>
      <w:bookmarkStart w:id="4929" w:name="_Toc448841346"/>
      <w:bookmarkStart w:id="4930" w:name="_Toc11745"/>
      <w:bookmarkStart w:id="4931" w:name="_Toc11768"/>
      <w:bookmarkStart w:id="4932" w:name="_Toc8058"/>
      <w:bookmarkStart w:id="4933" w:name="_Toc30614"/>
      <w:bookmarkStart w:id="4934" w:name="_Toc67418430"/>
      <w:bookmarkStart w:id="4935" w:name="_Toc453616679"/>
      <w:bookmarkStart w:id="4936" w:name="_Toc492905344"/>
      <w:bookmarkStart w:id="4937" w:name="_Toc27495"/>
      <w:bookmarkStart w:id="4938" w:name="_Toc2846"/>
      <w:bookmarkStart w:id="4939" w:name="_Toc12941"/>
      <w:bookmarkStart w:id="4940" w:name="_Toc448494349"/>
      <w:bookmarkStart w:id="4941" w:name="_Toc67418863"/>
      <w:r>
        <w:rPr>
          <w:rFonts w:hint="eastAsia" w:ascii="宋体" w:hAnsi="宋体" w:eastAsia="宋体" w:cs="Times New Roman"/>
          <w:b/>
          <w:color w:val="auto"/>
          <w:sz w:val="28"/>
          <w:szCs w:val="24"/>
          <w:highlight w:val="none"/>
        </w:rPr>
        <w:t>六、质量保证金的支付</w:t>
      </w:r>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p>
    <w:p>
      <w:pPr>
        <w:widowControl w:val="0"/>
        <w:snapToGrid w:val="0"/>
        <w:spacing w:line="346" w:lineRule="auto"/>
        <w:ind w:firstLine="480"/>
        <w:jc w:val="both"/>
        <w:rPr>
          <w:rFonts w:hint="eastAsia" w:ascii="宋体" w:hAnsi="宋体" w:eastAsia="宋体" w:cs="Courier New"/>
          <w:color w:val="auto"/>
          <w:kern w:val="2"/>
          <w:sz w:val="24"/>
          <w:szCs w:val="21"/>
          <w:highlight w:val="none"/>
          <w:lang w:val="en-US" w:eastAsia="zh-CN" w:bidi="ar-SA"/>
        </w:rPr>
      </w:pPr>
      <w:r>
        <w:rPr>
          <w:rFonts w:hint="eastAsia" w:ascii="宋体" w:hAnsi="宋体" w:eastAsia="宋体" w:cs="Courier New"/>
          <w:color w:val="auto"/>
          <w:kern w:val="2"/>
          <w:sz w:val="24"/>
          <w:szCs w:val="21"/>
          <w:highlight w:val="none"/>
          <w:lang w:val="en-US" w:eastAsia="zh-CN" w:bidi="ar-SA"/>
        </w:rPr>
        <w:t>采用质量保证金方式时，发包人在工程竣工验收合格满二年后第14天内，将剩余质量保证金和利息支付给承包人，但并不免除承包人在保修期内的保修责任。</w:t>
      </w:r>
    </w:p>
    <w:p>
      <w:pPr>
        <w:widowControl w:val="0"/>
        <w:snapToGrid w:val="0"/>
        <w:spacing w:line="346" w:lineRule="auto"/>
        <w:ind w:firstLine="480"/>
        <w:jc w:val="both"/>
        <w:rPr>
          <w:rFonts w:hint="eastAsia" w:ascii="宋体" w:hAnsi="宋体" w:eastAsia="宋体" w:cs="Courier New"/>
          <w:color w:val="auto"/>
          <w:kern w:val="2"/>
          <w:sz w:val="24"/>
          <w:szCs w:val="21"/>
          <w:highlight w:val="none"/>
          <w:lang w:val="en-US" w:eastAsia="zh-CN" w:bidi="ar-SA"/>
        </w:rPr>
      </w:pPr>
      <w:r>
        <w:rPr>
          <w:rFonts w:hint="eastAsia" w:ascii="宋体" w:hAnsi="宋体" w:eastAsia="宋体" w:cs="Courier New"/>
          <w:color w:val="auto"/>
          <w:kern w:val="2"/>
          <w:sz w:val="24"/>
          <w:szCs w:val="21"/>
          <w:highlight w:val="none"/>
          <w:lang w:val="en-US" w:eastAsia="zh-CN" w:bidi="ar-SA"/>
        </w:rPr>
        <w:t>如发包人不在约定时限内足额向承包人支付剩余质量保证金和利息的，发包人应从约定应付之日起按同期银行贷款利率向承包人支付拖欠款额的贷款利息，并按每延期一天向承包人赔偿拖欠款额的千分之一的标准承担违约责任。</w:t>
      </w:r>
    </w:p>
    <w:p>
      <w:pPr>
        <w:spacing w:line="360" w:lineRule="auto"/>
        <w:ind w:firstLine="606"/>
        <w:outlineLvl w:val="0"/>
        <w:rPr>
          <w:rFonts w:ascii="宋体" w:hAnsi="宋体" w:eastAsia="宋体" w:cs="Times New Roman"/>
          <w:b/>
          <w:color w:val="auto"/>
          <w:sz w:val="28"/>
          <w:szCs w:val="24"/>
          <w:highlight w:val="none"/>
        </w:rPr>
      </w:pPr>
      <w:bookmarkStart w:id="4942" w:name="_Toc24167"/>
      <w:bookmarkStart w:id="4943" w:name="_Toc26869"/>
      <w:bookmarkStart w:id="4944" w:name="_Toc26219"/>
      <w:bookmarkStart w:id="4945" w:name="_Toc448841347"/>
      <w:bookmarkStart w:id="4946" w:name="_Toc4442"/>
      <w:bookmarkStart w:id="4947" w:name="_Toc67327378"/>
      <w:bookmarkStart w:id="4948" w:name="_Toc16141"/>
      <w:bookmarkStart w:id="4949" w:name="_Toc67418864"/>
      <w:bookmarkStart w:id="4950" w:name="_Toc492905345"/>
      <w:bookmarkStart w:id="4951" w:name="_Toc67418431"/>
      <w:bookmarkStart w:id="4952" w:name="_Toc6432"/>
      <w:bookmarkStart w:id="4953" w:name="_Toc4822"/>
      <w:bookmarkStart w:id="4954" w:name="_Toc3338"/>
      <w:bookmarkStart w:id="4955" w:name="_Toc16741"/>
      <w:bookmarkStart w:id="4956" w:name="_Toc229"/>
      <w:bookmarkStart w:id="4957" w:name="_Toc448494350"/>
      <w:bookmarkStart w:id="4958" w:name="_Toc453616680"/>
      <w:bookmarkStart w:id="4959" w:name="_Toc29549"/>
      <w:r>
        <w:rPr>
          <w:rFonts w:hint="eastAsia" w:ascii="宋体" w:hAnsi="宋体" w:eastAsia="宋体" w:cs="Times New Roman"/>
          <w:b/>
          <w:color w:val="auto"/>
          <w:sz w:val="28"/>
          <w:szCs w:val="24"/>
          <w:highlight w:val="none"/>
        </w:rPr>
        <w:t>七、其他</w:t>
      </w:r>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p>
    <w:p>
      <w:pPr>
        <w:widowControl w:val="0"/>
        <w:snapToGrid w:val="0"/>
        <w:spacing w:line="346" w:lineRule="auto"/>
        <w:ind w:firstLine="480"/>
        <w:jc w:val="both"/>
        <w:rPr>
          <w:rFonts w:ascii="宋体" w:hAnsi="宋体" w:eastAsia="宋体" w:cs="Courier New"/>
          <w:color w:val="auto"/>
          <w:kern w:val="2"/>
          <w:sz w:val="24"/>
          <w:szCs w:val="24"/>
          <w:highlight w:val="none"/>
          <w:u w:val="single"/>
          <w:lang w:val="en-US" w:eastAsia="zh-CN" w:bidi="ar-SA"/>
        </w:rPr>
      </w:pPr>
      <w:r>
        <w:rPr>
          <w:rFonts w:hint="eastAsia" w:ascii="宋体" w:hAnsi="宋体" w:eastAsia="宋体" w:cs="Courier New"/>
          <w:color w:val="auto"/>
          <w:kern w:val="2"/>
          <w:sz w:val="24"/>
          <w:szCs w:val="21"/>
          <w:highlight w:val="none"/>
          <w:lang w:val="en-US" w:eastAsia="zh-CN" w:bidi="ar-SA"/>
        </w:rPr>
        <w:t>发包人承包人约定的其他工程质量保修事项：</w:t>
      </w:r>
      <w:r>
        <w:rPr>
          <w:rFonts w:hint="eastAsia" w:ascii="宋体" w:hAnsi="宋体" w:eastAsia="宋体" w:cs="Courier New"/>
          <w:color w:val="auto"/>
          <w:kern w:val="2"/>
          <w:sz w:val="24"/>
          <w:szCs w:val="21"/>
          <w:highlight w:val="none"/>
          <w:u w:val="single"/>
          <w:lang w:val="en-US" w:eastAsia="zh-CN" w:bidi="ar-SA"/>
        </w:rPr>
        <w:t xml:space="preserve">  </w:t>
      </w:r>
      <w:r>
        <w:rPr>
          <w:rFonts w:hint="eastAsia" w:ascii="宋体" w:hAnsi="宋体" w:eastAsia="宋体" w:cs="Courier New"/>
          <w:color w:val="auto"/>
          <w:kern w:val="2"/>
          <w:sz w:val="24"/>
          <w:szCs w:val="24"/>
          <w:highlight w:val="none"/>
          <w:u w:val="single"/>
          <w:lang w:val="en-US" w:eastAsia="zh-CN" w:bidi="ar-SA"/>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p>
    <w:p>
      <w:pPr>
        <w:widowControl w:val="0"/>
        <w:snapToGrid w:val="0"/>
        <w:spacing w:line="346" w:lineRule="auto"/>
        <w:ind w:firstLine="644"/>
        <w:jc w:val="both"/>
        <w:rPr>
          <w:rFonts w:hint="eastAsia" w:ascii="宋体" w:hAnsi="宋体" w:eastAsia="宋体" w:cs="Courier New"/>
          <w:color w:val="auto"/>
          <w:kern w:val="2"/>
          <w:sz w:val="24"/>
          <w:szCs w:val="24"/>
          <w:highlight w:val="none"/>
          <w:lang w:val="en-US" w:eastAsia="zh-CN" w:bidi="ar-SA"/>
        </w:rPr>
      </w:pPr>
    </w:p>
    <w:p>
      <w:pPr>
        <w:widowControl w:val="0"/>
        <w:snapToGrid w:val="0"/>
        <w:spacing w:line="346" w:lineRule="auto"/>
        <w:ind w:firstLine="644"/>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本</w:t>
      </w:r>
      <w:r>
        <w:rPr>
          <w:rFonts w:hint="eastAsia" w:ascii="宋体" w:hAnsi="宋体" w:eastAsia="宋体" w:cs="Courier New"/>
          <w:color w:val="auto"/>
          <w:kern w:val="2"/>
          <w:sz w:val="24"/>
          <w:szCs w:val="21"/>
          <w:highlight w:val="none"/>
          <w:lang w:val="en-US" w:eastAsia="zh-CN" w:bidi="ar-SA"/>
        </w:rPr>
        <w:t>《</w:t>
      </w:r>
      <w:r>
        <w:rPr>
          <w:rFonts w:hint="eastAsia" w:ascii="宋体" w:hAnsi="宋体" w:eastAsia="宋体" w:cs="Courier New"/>
          <w:color w:val="auto"/>
          <w:kern w:val="2"/>
          <w:sz w:val="24"/>
          <w:szCs w:val="24"/>
          <w:highlight w:val="none"/>
          <w:lang w:val="en-US" w:eastAsia="zh-CN" w:bidi="ar-SA"/>
        </w:rPr>
        <w:t>工程质量保修书</w:t>
      </w:r>
      <w:r>
        <w:rPr>
          <w:rFonts w:hint="eastAsia" w:ascii="宋体" w:hAnsi="宋体" w:eastAsia="宋体" w:cs="Courier New"/>
          <w:color w:val="auto"/>
          <w:kern w:val="2"/>
          <w:sz w:val="24"/>
          <w:szCs w:val="21"/>
          <w:highlight w:val="none"/>
          <w:lang w:val="en-US" w:eastAsia="zh-CN" w:bidi="ar-SA"/>
        </w:rPr>
        <w:t>》</w:t>
      </w:r>
      <w:r>
        <w:rPr>
          <w:rFonts w:hint="eastAsia" w:ascii="宋体" w:hAnsi="宋体" w:eastAsia="宋体" w:cs="Courier New"/>
          <w:color w:val="auto"/>
          <w:kern w:val="2"/>
          <w:sz w:val="24"/>
          <w:szCs w:val="24"/>
          <w:highlight w:val="none"/>
          <w:lang w:val="en-US" w:eastAsia="zh-CN" w:bidi="ar-SA"/>
        </w:rPr>
        <w:t>作为施工合同附件由发包人承包人双方共同签署。</w:t>
      </w:r>
    </w:p>
    <w:p>
      <w:pPr>
        <w:widowControl w:val="0"/>
        <w:snapToGrid w:val="0"/>
        <w:spacing w:line="346" w:lineRule="auto"/>
        <w:ind w:firstLine="644"/>
        <w:jc w:val="both"/>
        <w:rPr>
          <w:rFonts w:ascii="宋体" w:hAnsi="宋体" w:eastAsia="宋体" w:cs="Courier New"/>
          <w:color w:val="auto"/>
          <w:spacing w:val="14"/>
          <w:kern w:val="2"/>
          <w:sz w:val="30"/>
          <w:szCs w:val="21"/>
          <w:highlight w:val="none"/>
          <w:lang w:val="en-US" w:eastAsia="zh-CN" w:bidi="ar-SA"/>
        </w:rPr>
      </w:pPr>
    </w:p>
    <w:p>
      <w:pPr>
        <w:widowControl w:val="0"/>
        <w:snapToGrid w:val="0"/>
        <w:spacing w:line="346" w:lineRule="auto"/>
        <w:ind w:firstLine="644"/>
        <w:jc w:val="both"/>
        <w:rPr>
          <w:rFonts w:ascii="宋体" w:hAnsi="宋体" w:eastAsia="宋体" w:cs="Courier New"/>
          <w:color w:val="auto"/>
          <w:spacing w:val="14"/>
          <w:kern w:val="2"/>
          <w:sz w:val="30"/>
          <w:szCs w:val="21"/>
          <w:highlight w:val="none"/>
          <w:lang w:val="en-US" w:eastAsia="zh-CN" w:bidi="ar-SA"/>
        </w:rPr>
      </w:pPr>
    </w:p>
    <w:p>
      <w:pPr>
        <w:widowControl w:val="0"/>
        <w:snapToGrid w:val="0"/>
        <w:spacing w:line="346" w:lineRule="auto"/>
        <w:ind w:firstLine="644"/>
        <w:jc w:val="both"/>
        <w:rPr>
          <w:rFonts w:ascii="宋体" w:hAnsi="宋体" w:eastAsia="宋体" w:cs="Courier New"/>
          <w:color w:val="auto"/>
          <w:spacing w:val="14"/>
          <w:kern w:val="2"/>
          <w:sz w:val="30"/>
          <w:szCs w:val="21"/>
          <w:highlight w:val="none"/>
          <w:lang w:val="en-US" w:eastAsia="zh-CN" w:bidi="ar-SA"/>
        </w:rPr>
      </w:pPr>
    </w:p>
    <w:p>
      <w:pPr>
        <w:widowControl w:val="0"/>
        <w:snapToGrid w:val="0"/>
        <w:spacing w:line="346" w:lineRule="auto"/>
        <w:ind w:firstLine="644"/>
        <w:jc w:val="both"/>
        <w:rPr>
          <w:rFonts w:ascii="宋体" w:hAnsi="宋体" w:eastAsia="宋体" w:cs="Courier New"/>
          <w:color w:val="auto"/>
          <w:spacing w:val="14"/>
          <w:kern w:val="2"/>
          <w:sz w:val="30"/>
          <w:szCs w:val="21"/>
          <w:highlight w:val="none"/>
          <w:lang w:val="en-US" w:eastAsia="zh-CN" w:bidi="ar-SA"/>
        </w:rPr>
      </w:pPr>
    </w:p>
    <w:p>
      <w:pPr>
        <w:widowControl w:val="0"/>
        <w:snapToGrid w:val="0"/>
        <w:spacing w:line="346" w:lineRule="auto"/>
        <w:jc w:val="both"/>
        <w:rPr>
          <w:rFonts w:ascii="宋体" w:hAnsi="宋体" w:eastAsia="宋体" w:cs="Courier New"/>
          <w:color w:val="auto"/>
          <w:spacing w:val="14"/>
          <w:kern w:val="2"/>
          <w:sz w:val="24"/>
          <w:szCs w:val="21"/>
          <w:highlight w:val="none"/>
          <w:lang w:val="en-US" w:eastAsia="zh-CN" w:bidi="ar-SA"/>
        </w:rPr>
      </w:pPr>
    </w:p>
    <w:p>
      <w:pPr>
        <w:widowControl w:val="0"/>
        <w:snapToGrid w:val="0"/>
        <w:spacing w:line="346" w:lineRule="auto"/>
        <w:ind w:left="420" w:firstLine="12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发  包  人(公章) ：                   承  包  人(公章)：</w:t>
      </w:r>
    </w:p>
    <w:p>
      <w:pPr>
        <w:widowControl w:val="0"/>
        <w:snapToGrid w:val="0"/>
        <w:spacing w:line="346" w:lineRule="auto"/>
        <w:jc w:val="both"/>
        <w:rPr>
          <w:rFonts w:ascii="宋体" w:hAnsi="宋体" w:eastAsia="宋体" w:cs="Courier New"/>
          <w:color w:val="auto"/>
          <w:kern w:val="2"/>
          <w:sz w:val="24"/>
          <w:szCs w:val="24"/>
          <w:highlight w:val="none"/>
          <w:lang w:val="en-US" w:eastAsia="zh-CN" w:bidi="ar-SA"/>
        </w:rPr>
      </w:pPr>
    </w:p>
    <w:p>
      <w:pPr>
        <w:widowControl w:val="0"/>
        <w:snapToGrid w:val="0"/>
        <w:spacing w:line="346" w:lineRule="auto"/>
        <w:ind w:firstLine="480"/>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法定代表人(签字) ：                   法定代表人(签字)：</w:t>
      </w:r>
    </w:p>
    <w:p>
      <w:pPr>
        <w:widowControl w:val="0"/>
        <w:snapToGrid w:val="0"/>
        <w:spacing w:line="346" w:lineRule="auto"/>
        <w:jc w:val="both"/>
        <w:rPr>
          <w:rFonts w:ascii="宋体" w:hAnsi="宋体" w:eastAsia="宋体" w:cs="Courier New"/>
          <w:color w:val="auto"/>
          <w:kern w:val="2"/>
          <w:sz w:val="24"/>
          <w:szCs w:val="24"/>
          <w:highlight w:val="none"/>
          <w:lang w:val="en-US" w:eastAsia="zh-CN" w:bidi="ar-SA"/>
        </w:rPr>
      </w:pPr>
    </w:p>
    <w:p>
      <w:pPr>
        <w:widowControl w:val="0"/>
        <w:snapToGrid w:val="0"/>
        <w:spacing w:line="346" w:lineRule="auto"/>
        <w:ind w:firstLine="644"/>
        <w:jc w:val="both"/>
        <w:rPr>
          <w:rFonts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 xml:space="preserve">      年    月   日                        年   月    日</w:t>
      </w:r>
    </w:p>
    <w:p>
      <w:pPr>
        <w:rPr>
          <w:rFonts w:ascii="Times New Roman" w:hAnsi="Times New Roman" w:eastAsia="宋体" w:cs="Times New Roman"/>
          <w:color w:val="auto"/>
          <w:szCs w:val="24"/>
          <w:highlight w:val="none"/>
        </w:rPr>
      </w:pPr>
    </w:p>
    <w:p>
      <w:pPr>
        <w:spacing w:line="360" w:lineRule="auto"/>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xml:space="preserve"> </w:t>
      </w:r>
    </w:p>
    <w:p>
      <w:pPr>
        <w:spacing w:line="360" w:lineRule="auto"/>
        <w:ind w:firstLine="5292"/>
        <w:rPr>
          <w:rFonts w:hint="eastAsia" w:ascii="宋体" w:hAnsi="宋体" w:eastAsia="宋体" w:cs="Times New Roman"/>
          <w:color w:val="auto"/>
          <w:sz w:val="24"/>
          <w:szCs w:val="24"/>
          <w:highlight w:val="none"/>
        </w:rPr>
      </w:pPr>
    </w:p>
    <w:p>
      <w:pPr>
        <w:rPr>
          <w:color w:val="auto"/>
          <w:highlight w:val="none"/>
        </w:rPr>
      </w:pPr>
    </w:p>
    <w:bookmarkEnd w:id="101"/>
    <w:p>
      <w:pPr>
        <w:spacing w:line="360" w:lineRule="auto"/>
        <w:rPr>
          <w:color w:val="auto"/>
          <w:highlight w:val="none"/>
        </w:rPr>
      </w:pPr>
      <w:r>
        <w:rPr>
          <w:color w:val="auto"/>
          <w:highlight w:val="none"/>
        </w:rPr>
        <w:br w:type="page"/>
      </w:r>
    </w:p>
    <w:p>
      <w:pPr>
        <w:adjustRightInd w:val="0"/>
        <w:snapToGrid w:val="0"/>
        <w:spacing w:line="360" w:lineRule="auto"/>
        <w:rPr>
          <w:color w:val="auto"/>
          <w:highlight w:val="none"/>
        </w:rPr>
      </w:pPr>
      <w:r>
        <w:rPr>
          <w:color w:val="auto"/>
          <w:highlight w:val="none"/>
        </w:rPr>
        <w:br w:type="page"/>
      </w:r>
    </w:p>
    <w:p>
      <w:pPr>
        <w:adjustRightInd w:val="0"/>
        <w:snapToGrid w:val="0"/>
        <w:spacing w:line="360" w:lineRule="auto"/>
        <w:jc w:val="center"/>
        <w:outlineLvl w:val="0"/>
        <w:rPr>
          <w:rFonts w:ascii="黑体" w:hAnsi="黑体" w:eastAsia="黑体" w:cs="黑体"/>
          <w:bCs/>
          <w:color w:val="auto"/>
          <w:sz w:val="32"/>
          <w:szCs w:val="32"/>
          <w:highlight w:val="none"/>
        </w:rPr>
      </w:pPr>
      <w:bookmarkStart w:id="4960" w:name="_Toc1777"/>
      <w:bookmarkStart w:id="4961" w:name="_Toc4197"/>
      <w:bookmarkStart w:id="4962" w:name="_Toc32256"/>
      <w:bookmarkStart w:id="4963" w:name="_Toc14514"/>
      <w:bookmarkStart w:id="4964" w:name="_Toc12794"/>
      <w:bookmarkStart w:id="4965" w:name="_Toc21821"/>
      <w:r>
        <w:rPr>
          <w:rFonts w:hint="eastAsia" w:ascii="黑体" w:hAnsi="黑体" w:eastAsia="黑体" w:cs="黑体"/>
          <w:bCs/>
          <w:color w:val="auto"/>
          <w:sz w:val="32"/>
          <w:szCs w:val="32"/>
          <w:highlight w:val="none"/>
        </w:rPr>
        <w:t>第六章  标准、规范和技术要求</w:t>
      </w:r>
      <w:bookmarkEnd w:id="4960"/>
      <w:bookmarkEnd w:id="4961"/>
      <w:bookmarkEnd w:id="4962"/>
      <w:bookmarkEnd w:id="4963"/>
      <w:bookmarkEnd w:id="4964"/>
      <w:bookmarkEnd w:id="4965"/>
    </w:p>
    <w:p>
      <w:pPr>
        <w:spacing w:line="360" w:lineRule="auto"/>
        <w:jc w:val="center"/>
        <w:outlineLvl w:val="1"/>
        <w:rPr>
          <w:b/>
          <w:color w:val="auto"/>
          <w:sz w:val="44"/>
          <w:highlight w:val="none"/>
        </w:rPr>
      </w:pPr>
      <w:bookmarkStart w:id="4966" w:name="_Toc21838"/>
      <w:bookmarkStart w:id="4967" w:name="_Toc24551"/>
      <w:bookmarkStart w:id="4968" w:name="_Toc28580"/>
      <w:bookmarkStart w:id="4969" w:name="_Toc16207"/>
      <w:bookmarkStart w:id="4970" w:name="_Toc19162"/>
      <w:bookmarkStart w:id="4971" w:name="_Toc9098"/>
      <w:r>
        <w:rPr>
          <w:rFonts w:hint="eastAsia" w:ascii="黑体" w:hAnsi="黑体" w:eastAsia="黑体" w:cs="黑体"/>
          <w:bCs/>
          <w:color w:val="auto"/>
          <w:sz w:val="32"/>
          <w:szCs w:val="32"/>
          <w:highlight w:val="none"/>
        </w:rPr>
        <w:t>一、一般标准和技术规范</w:t>
      </w:r>
      <w:bookmarkEnd w:id="4966"/>
      <w:bookmarkEnd w:id="4967"/>
      <w:bookmarkEnd w:id="4968"/>
      <w:bookmarkEnd w:id="4969"/>
      <w:bookmarkEnd w:id="4970"/>
      <w:bookmarkEnd w:id="4971"/>
    </w:p>
    <w:p>
      <w:pPr>
        <w:adjustRightInd w:val="0"/>
        <w:snapToGrid w:val="0"/>
        <w:spacing w:line="360" w:lineRule="auto"/>
        <w:ind w:firstLine="421"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1.一般标准和技术规范</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1.1本招标工程的材料、设备、施工必须符合现行国家、行业及工程所在地地方标准和技术规范的要求。</w:t>
      </w:r>
    </w:p>
    <w:p>
      <w:pPr>
        <w:spacing w:line="360" w:lineRule="auto"/>
        <w:jc w:val="center"/>
        <w:outlineLvl w:val="1"/>
        <w:rPr>
          <w:b/>
          <w:color w:val="auto"/>
          <w:sz w:val="44"/>
          <w:highlight w:val="none"/>
        </w:rPr>
      </w:pPr>
      <w:bookmarkStart w:id="4972" w:name="_Toc23021"/>
      <w:bookmarkStart w:id="4973" w:name="_Toc6918"/>
      <w:bookmarkStart w:id="4974" w:name="_Toc5154"/>
      <w:bookmarkStart w:id="4975" w:name="_Toc19484"/>
      <w:bookmarkStart w:id="4976" w:name="_Toc1017"/>
      <w:bookmarkStart w:id="4977" w:name="_Toc13031"/>
      <w:r>
        <w:rPr>
          <w:rFonts w:hint="eastAsia" w:ascii="黑体" w:hAnsi="黑体" w:eastAsia="黑体" w:cs="黑体"/>
          <w:bCs/>
          <w:color w:val="auto"/>
          <w:sz w:val="32"/>
          <w:szCs w:val="32"/>
          <w:highlight w:val="none"/>
        </w:rPr>
        <w:t>二、特殊标准和技术规范</w:t>
      </w:r>
      <w:bookmarkEnd w:id="4972"/>
      <w:bookmarkEnd w:id="4973"/>
      <w:bookmarkEnd w:id="4974"/>
      <w:bookmarkEnd w:id="4975"/>
      <w:bookmarkEnd w:id="4976"/>
      <w:bookmarkEnd w:id="4977"/>
    </w:p>
    <w:p>
      <w:pPr>
        <w:adjustRightInd w:val="0"/>
        <w:snapToGrid w:val="0"/>
        <w:spacing w:line="360" w:lineRule="auto"/>
        <w:ind w:firstLine="421"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2.特殊标准和技术规范</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2.1根据设计要求，本招标工程中下列材料、设备、施工必须相应符合下列标准和技术规范的要求（列出特殊的材料、设备、施工及相应标准和技术规范名称）：</w:t>
      </w:r>
    </w:p>
    <w:p>
      <w:pPr>
        <w:adjustRightInd w:val="0"/>
        <w:snapToGrid w:val="0"/>
        <w:spacing w:line="360" w:lineRule="auto"/>
        <w:rPr>
          <w:color w:val="auto"/>
          <w:szCs w:val="21"/>
          <w:highlight w:val="none"/>
          <w:u w:val="single"/>
        </w:rPr>
      </w:pPr>
      <w:r>
        <w:rPr>
          <w:rFonts w:hint="eastAsia" w:ascii="宋体" w:hAnsi="宋体" w:eastAsia="宋体" w:cs="宋体"/>
          <w:color w:val="auto"/>
          <w:highlight w:val="none"/>
        </w:rPr>
        <w:t>特殊标准和技术规范</w:t>
      </w:r>
      <w:r>
        <w:rPr>
          <w:color w:val="auto"/>
          <w:highlight w:val="none"/>
        </w:rPr>
        <w:br w:type="page"/>
      </w:r>
    </w:p>
    <w:p>
      <w:pPr>
        <w:spacing w:line="360" w:lineRule="auto"/>
        <w:jc w:val="center"/>
        <w:outlineLvl w:val="1"/>
        <w:rPr>
          <w:rFonts w:ascii="黑体" w:hAnsi="黑体" w:eastAsia="黑体" w:cs="黑体"/>
          <w:bCs/>
          <w:color w:val="auto"/>
          <w:sz w:val="32"/>
          <w:szCs w:val="32"/>
          <w:highlight w:val="none"/>
        </w:rPr>
      </w:pPr>
      <w:bookmarkStart w:id="4978" w:name="_Toc16977"/>
      <w:bookmarkStart w:id="4979" w:name="_Toc22470"/>
      <w:bookmarkStart w:id="4980" w:name="_Toc9573"/>
      <w:bookmarkStart w:id="4981" w:name="_Toc21379"/>
      <w:bookmarkStart w:id="4982" w:name="_Toc20792"/>
      <w:bookmarkStart w:id="4983" w:name="_Toc4598"/>
      <w:r>
        <w:rPr>
          <w:rFonts w:hint="eastAsia" w:ascii="黑体" w:hAnsi="黑体" w:eastAsia="黑体" w:cs="黑体"/>
          <w:bCs/>
          <w:color w:val="auto"/>
          <w:sz w:val="32"/>
          <w:szCs w:val="32"/>
          <w:highlight w:val="none"/>
        </w:rPr>
        <w:t>三、工程技术要求</w:t>
      </w:r>
      <w:bookmarkEnd w:id="4978"/>
      <w:bookmarkEnd w:id="4979"/>
      <w:bookmarkEnd w:id="4980"/>
      <w:bookmarkEnd w:id="4981"/>
      <w:bookmarkEnd w:id="4982"/>
      <w:bookmarkEnd w:id="4983"/>
    </w:p>
    <w:p>
      <w:pPr>
        <w:adjustRightInd w:val="0"/>
        <w:snapToGrid w:val="0"/>
        <w:spacing w:line="360" w:lineRule="auto"/>
        <w:ind w:firstLine="420" w:firstLineChars="200"/>
        <w:rPr>
          <w:color w:val="auto"/>
          <w:highlight w:val="none"/>
        </w:rPr>
      </w:pPr>
      <w:r>
        <w:rPr>
          <w:rFonts w:hint="eastAsia" w:ascii="宋体" w:hAnsi="宋体" w:eastAsia="宋体" w:cs="宋体"/>
          <w:color w:val="auto"/>
          <w:szCs w:val="21"/>
          <w:highlight w:val="none"/>
        </w:rPr>
        <w:t>工程技术要求</w:t>
      </w:r>
      <w:r>
        <w:rPr>
          <w:color w:val="auto"/>
          <w:highlight w:val="none"/>
        </w:rPr>
        <w:br w:type="page"/>
      </w:r>
    </w:p>
    <w:p>
      <w:pPr>
        <w:adjustRightInd w:val="0"/>
        <w:snapToGrid w:val="0"/>
        <w:spacing w:line="360" w:lineRule="auto"/>
        <w:jc w:val="center"/>
        <w:outlineLvl w:val="0"/>
        <w:rPr>
          <w:rFonts w:ascii="黑体" w:hAnsi="黑体" w:eastAsia="黑体" w:cs="黑体"/>
          <w:b/>
          <w:color w:val="auto"/>
          <w:sz w:val="32"/>
          <w:szCs w:val="32"/>
          <w:highlight w:val="none"/>
        </w:rPr>
      </w:pPr>
      <w:bookmarkStart w:id="4984" w:name="_Toc28885"/>
      <w:bookmarkStart w:id="4985" w:name="_Toc15927"/>
      <w:bookmarkStart w:id="4986" w:name="_Toc28631"/>
      <w:bookmarkStart w:id="4987" w:name="_Toc22286"/>
      <w:bookmarkStart w:id="4988" w:name="_Toc27841"/>
      <w:bookmarkStart w:id="4989" w:name="_Toc9826"/>
      <w:r>
        <w:rPr>
          <w:rFonts w:hint="eastAsia" w:ascii="黑体" w:hAnsi="黑体" w:eastAsia="黑体" w:cs="黑体"/>
          <w:b/>
          <w:color w:val="auto"/>
          <w:sz w:val="32"/>
          <w:szCs w:val="32"/>
          <w:highlight w:val="none"/>
        </w:rPr>
        <w:t>第七章  图纸</w:t>
      </w:r>
      <w:bookmarkEnd w:id="4984"/>
      <w:bookmarkEnd w:id="4985"/>
      <w:bookmarkEnd w:id="4986"/>
      <w:bookmarkEnd w:id="4987"/>
      <w:bookmarkEnd w:id="4988"/>
      <w:bookmarkEnd w:id="4989"/>
    </w:p>
    <w:p>
      <w:pPr>
        <w:spacing w:line="360" w:lineRule="auto"/>
        <w:jc w:val="center"/>
        <w:outlineLvl w:val="1"/>
        <w:rPr>
          <w:rFonts w:ascii="黑体" w:hAnsi="黑体" w:eastAsia="黑体" w:cs="黑体"/>
          <w:b/>
          <w:color w:val="auto"/>
          <w:sz w:val="32"/>
          <w:szCs w:val="32"/>
          <w:highlight w:val="none"/>
        </w:rPr>
      </w:pPr>
      <w:bookmarkStart w:id="4990" w:name="_Toc26963"/>
      <w:bookmarkStart w:id="4991" w:name="_Toc26237"/>
      <w:bookmarkStart w:id="4992" w:name="_Toc1803"/>
      <w:bookmarkStart w:id="4993" w:name="_Toc29501"/>
      <w:bookmarkStart w:id="4994" w:name="_Toc4802"/>
      <w:bookmarkStart w:id="4995" w:name="_Toc32512"/>
      <w:r>
        <w:rPr>
          <w:rFonts w:hint="eastAsia" w:ascii="黑体" w:hAnsi="黑体" w:eastAsia="黑体" w:cs="黑体"/>
          <w:b/>
          <w:color w:val="auto"/>
          <w:sz w:val="32"/>
          <w:szCs w:val="32"/>
          <w:highlight w:val="none"/>
        </w:rPr>
        <w:t>一、图纸清单</w:t>
      </w:r>
      <w:bookmarkEnd w:id="4990"/>
      <w:bookmarkEnd w:id="4991"/>
      <w:bookmarkEnd w:id="4992"/>
      <w:bookmarkEnd w:id="4993"/>
      <w:bookmarkEnd w:id="4994"/>
      <w:bookmarkEnd w:id="4995"/>
    </w:p>
    <w:p>
      <w:pPr>
        <w:adjustRightInd w:val="0"/>
        <w:snapToGrid w:val="0"/>
        <w:spacing w:line="360" w:lineRule="auto"/>
        <w:ind w:firstLine="420" w:firstLineChars="200"/>
        <w:rPr>
          <w:color w:val="auto"/>
          <w:highlight w:val="none"/>
        </w:rPr>
      </w:pPr>
      <w:r>
        <w:rPr>
          <w:rFonts w:hint="eastAsia" w:ascii="宋体" w:hAnsi="宋体" w:eastAsia="宋体" w:cs="宋体"/>
          <w:color w:val="auto"/>
          <w:szCs w:val="21"/>
          <w:highlight w:val="none"/>
        </w:rPr>
        <w:t>图纸清单</w:t>
      </w:r>
      <w:r>
        <w:rPr>
          <w:color w:val="auto"/>
          <w:highlight w:val="none"/>
        </w:rPr>
        <w:br w:type="page"/>
      </w:r>
    </w:p>
    <w:p>
      <w:pPr>
        <w:spacing w:line="360" w:lineRule="auto"/>
        <w:jc w:val="center"/>
        <w:outlineLvl w:val="1"/>
        <w:rPr>
          <w:rFonts w:ascii="黑体" w:hAnsi="黑体" w:eastAsia="黑体" w:cs="黑体"/>
          <w:bCs/>
          <w:color w:val="auto"/>
          <w:sz w:val="32"/>
          <w:szCs w:val="32"/>
          <w:highlight w:val="none"/>
        </w:rPr>
      </w:pPr>
      <w:bookmarkStart w:id="4996" w:name="_Toc20106"/>
      <w:bookmarkStart w:id="4997" w:name="_Toc25177"/>
      <w:bookmarkStart w:id="4998" w:name="_Toc24305"/>
      <w:bookmarkStart w:id="4999" w:name="_Toc29236"/>
      <w:bookmarkStart w:id="5000" w:name="_Toc19817"/>
      <w:bookmarkStart w:id="5001" w:name="_Toc12287"/>
      <w:r>
        <w:rPr>
          <w:rFonts w:hint="eastAsia" w:ascii="黑体" w:hAnsi="黑体" w:eastAsia="黑体" w:cs="黑体"/>
          <w:bCs/>
          <w:color w:val="auto"/>
          <w:sz w:val="32"/>
          <w:szCs w:val="32"/>
          <w:highlight w:val="none"/>
        </w:rPr>
        <w:t>二、标准图集清单</w:t>
      </w:r>
      <w:bookmarkEnd w:id="4996"/>
      <w:bookmarkEnd w:id="4997"/>
      <w:bookmarkEnd w:id="4998"/>
      <w:bookmarkEnd w:id="4999"/>
      <w:bookmarkEnd w:id="5000"/>
      <w:bookmarkEnd w:id="5001"/>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以下标准图集，限于招标文件中指明的章节和内容，构成图纸的一部分。</w:t>
      </w:r>
    </w:p>
    <w:p>
      <w:pPr>
        <w:adjustRightInd w:val="0"/>
        <w:snapToGrid w:val="0"/>
        <w:spacing w:line="360" w:lineRule="auto"/>
        <w:ind w:firstLine="420" w:firstLineChars="200"/>
        <w:rPr>
          <w:color w:val="auto"/>
          <w:highlight w:val="none"/>
        </w:rPr>
      </w:pPr>
      <w:r>
        <w:rPr>
          <w:rFonts w:hint="eastAsia" w:ascii="宋体" w:hAnsi="宋体" w:eastAsia="宋体" w:cs="宋体"/>
          <w:color w:val="auto"/>
          <w:szCs w:val="21"/>
          <w:highlight w:val="none"/>
        </w:rPr>
        <w:t>标准图集清单</w:t>
      </w:r>
      <w:r>
        <w:rPr>
          <w:rFonts w:hint="eastAsia" w:ascii="宋体" w:hAnsi="宋体" w:eastAsia="宋体" w:cs="宋体"/>
          <w:color w:val="auto"/>
          <w:highlight w:val="none"/>
        </w:rPr>
        <w:br w:type="page"/>
      </w:r>
    </w:p>
    <w:p>
      <w:pPr>
        <w:adjustRightInd w:val="0"/>
        <w:snapToGrid w:val="0"/>
        <w:spacing w:line="360" w:lineRule="auto"/>
        <w:jc w:val="center"/>
        <w:outlineLvl w:val="0"/>
        <w:rPr>
          <w:rFonts w:ascii="黑体" w:hAnsi="黑体" w:eastAsia="黑体" w:cs="黑体"/>
          <w:bCs/>
          <w:color w:val="auto"/>
          <w:sz w:val="32"/>
          <w:szCs w:val="32"/>
          <w:highlight w:val="none"/>
        </w:rPr>
      </w:pPr>
      <w:bookmarkStart w:id="5002" w:name="_Toc2198"/>
      <w:bookmarkStart w:id="5003" w:name="_Toc10843"/>
      <w:bookmarkStart w:id="5004" w:name="_Toc5243"/>
      <w:bookmarkStart w:id="5005" w:name="_Toc27494"/>
      <w:bookmarkStart w:id="5006" w:name="_Toc28685"/>
      <w:bookmarkStart w:id="5007" w:name="_Toc25330"/>
      <w:r>
        <w:rPr>
          <w:rFonts w:hint="eastAsia" w:ascii="黑体" w:hAnsi="黑体" w:eastAsia="黑体" w:cs="黑体"/>
          <w:bCs/>
          <w:color w:val="auto"/>
          <w:sz w:val="32"/>
          <w:szCs w:val="32"/>
          <w:highlight w:val="none"/>
        </w:rPr>
        <w:t>第八章  工程量清单</w:t>
      </w:r>
      <w:bookmarkEnd w:id="5002"/>
      <w:bookmarkEnd w:id="5003"/>
      <w:bookmarkEnd w:id="5004"/>
      <w:bookmarkEnd w:id="5005"/>
      <w:bookmarkEnd w:id="5006"/>
      <w:bookmarkEnd w:id="5007"/>
    </w:p>
    <w:p>
      <w:pPr>
        <w:adjustRightInd w:val="0"/>
        <w:snapToGrid w:val="0"/>
        <w:spacing w:line="360" w:lineRule="auto"/>
        <w:jc w:val="center"/>
        <w:outlineLvl w:val="1"/>
        <w:rPr>
          <w:rFonts w:ascii="黑体" w:hAnsi="黑体" w:eastAsia="黑体" w:cs="黑体"/>
          <w:bCs/>
          <w:color w:val="auto"/>
          <w:sz w:val="32"/>
          <w:szCs w:val="32"/>
          <w:highlight w:val="none"/>
        </w:rPr>
      </w:pPr>
      <w:bookmarkStart w:id="5008" w:name="_Toc3891"/>
      <w:bookmarkStart w:id="5009" w:name="_Toc32656"/>
      <w:bookmarkStart w:id="5010" w:name="_Toc9301"/>
      <w:bookmarkStart w:id="5011" w:name="_Toc30457"/>
      <w:bookmarkStart w:id="5012" w:name="_Toc2822"/>
      <w:bookmarkStart w:id="5013" w:name="_Toc16720"/>
      <w:r>
        <w:rPr>
          <w:rFonts w:hint="eastAsia" w:ascii="黑体" w:hAnsi="黑体" w:eastAsia="黑体" w:cs="黑体"/>
          <w:bCs/>
          <w:color w:val="auto"/>
          <w:sz w:val="32"/>
          <w:szCs w:val="32"/>
          <w:highlight w:val="none"/>
        </w:rPr>
        <w:t>一、工程量清单的说明及投标报价要求</w:t>
      </w:r>
      <w:bookmarkEnd w:id="5008"/>
      <w:bookmarkEnd w:id="5009"/>
      <w:bookmarkEnd w:id="5010"/>
      <w:bookmarkEnd w:id="5011"/>
      <w:bookmarkEnd w:id="5012"/>
      <w:bookmarkEnd w:id="5013"/>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1.工程量清单应与投标须知、合同条件、工程建设标准及技术要求和图纸等文件结合起来理解或解释。</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2.按照《计价规程》、《13清单计价规范》的规定，“工程量清单格式”组成和主要内容如下：</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(1)清单封面；</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总说明：应包括工程概况（建设规模、工程招标范围、工程特征、自然地理条件）、工期要求、环境保护要求、工程质量、材料、施工的特殊要求、暂列金额、专业工程暂估价及优质优价奖励费情况、工程清单编制依据等；</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(3)工程项目/单项工程汇总表：指本次招标的工程项目所包含的单项工程及每个单项工程所包含的单位工程的汇总，只有一个单位工程时只填写单项工程汇总表。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(4)分部分项工程量清单；</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(5)措施项目清单汇总表；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(6)措施项目清单（一）：指按分部分项工程量清单的方式采用综合单价计价的措施项目；</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(7)其他项目清单汇总表；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(8)材料设备暂估价表；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(9)计日工表；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(10)总承包服务费表；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(11)发包人供应材料设备明细表：指招标人计划自行采购的材料设备的数量价格等情况。</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(12)规费、税金项目清单；</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(13)暂列金额明细表；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(14)工程建设其他费：指招标人要求投标人完成的工程建设其他费项目。</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(15)设备及工器具购置费：指招标工程中包含的不计算营业税的设备名称、规格、数量等情况。</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3.本工程量清单是根据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（设计院名称）设计的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（工程项目名称）图号为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的设计文件编制的。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4.本工程要求采用的工程量计算规则，应作为本工程招投标双方进行工程招投标和结算计量、计价的共同依据。</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5.本工程要求采用的工程量计算规则是《13清单计价规范》及《13清单计价规范》补充规范（深圳2013）。</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6.对“分部分项工程量清单”的说明和报价要求：</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⑴.该清单所列的工程量系招标人的估算，是临时的，是投标人报价的共同基础。不被理解为是对招标人要求工作内容的全部定义，也不能作为投标人应完成的实际工程量。结算时，应以由发、承包双方在合同中约定应予计量且实际完成的工程量确定。</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⑵.该清单中所填入的综合单价和合价应包括人工费、材料费、施工机械使用费和企业管理费与利润，以及一定范围内的风险费用。招标人计划自行采购的材料设备单价不计入综合单价报价中。</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⑶.该清单中的每一单项均需填写综合单价和合价，对没有填写综合单价和合价的项目，其费用视为已包括在清单的其他综合单价或合价之中，同时投标人应清楚地加以说明。</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⑷.该清单中不再重复或概括工程及材料的一般说明，在编制和填写工程量清单的每一项的综合单价和合价时应参考投标须知和合同条件的有关条款。</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⑸.针对该清单，要求投标人报价时提供“工程量清单综合单价分析表”。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7.对“措施项目清单”的说明和报价要求：</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⑴.该清单所列项目是招标人根据一般情况估计的项目，投标人实际措施项目不同的，可以对具体列项内容进行调整或补充。增补的内容列在措施项目清单“其他”项目中。</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⑵.该清单中以“项”为单位的措施项目，投标人填报的价格应包括除规费、税金外的全部费用。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措施项目中可以计算工程量的项目，投标人应根据招标人在“措施项目清单（一）”提供的工程量填报综合单价和合价。该清单所列的工程量系招标人的估算，是临时的，是投标人报价的共同基础。不被理解为是对招标人要求工作内容的全部定义，也不能作为投标人应完成的实际工程量。所填入的综合单价和合价应包括人工费、材料费、施工机械使用费和企业管理费与利润，以及一定范围内的风险费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⑶.针对该清单，要求投标人报价时提供“措施项目清单与计价表（二）”。</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⑷.该清单中列入了“安全文明施工措施费”，该费用包括临时设施费、安全施工费、文明施工费、环境保护费。编制招标控制价时，招标人将按《〈建设工程工程清单计价规范〉补充规范（深圳2013）》中安全文明施工措施费详细清单所列基本项目和现行《深圳市建设工程计价费率标准》中的费率确定“安全文明施工措施费”费用，计入招标控制价，并在公布招标控制价时明确该项费用的具体金额，作为非竞争性费用。不编制招标控制价时，招标人按现行《深圳市建设工程计价费率标准》中的费率确定“安全文明施工措施费”费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应当按照本招标文件的规定，在《〈建设工程工程清单计价规范〉补充规范（深圳2013）》中“安全文明施工措施费详细清单”所列基本项目基础上，结合工程实际及施工组织设计或施工方案，补充所需的特定安全文明施工措施项目，编制“安全文明施工措施费详细清单”，列出项目编码、项目名称、项目特征、计量单位和工程量，填报综合单价，并将该表合价合计金额计入投标总价。</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⑸.计划施工总工期相比按《深圳市建设工程施工工期标准》计算所得标准工期压缩超过30%时，该清单中列入“夜间施工费和赶工措施费”，该费用为工期压缩导致施工投入增加的补偿。编制招标控制价时，招标人将按现行的《深圳市建设工程计价费率标准》中的费率确定“夜间施工费和赶工措施费”费用，计入招标控制价。</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投标人应当按照本招标文件的规定，结合自身实际及施工组织设计或施工方案，确定投标工期，自主填报夜间施工费和赶工措施费，并计入投标总价。</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8.对“其他项目清单”的说明和报价要求：</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材料设备暂估价指招标人提供的用于支付必然发生但暂时不能确定价格的材料、设备的清单。投标时，投标人应将材料设备的暂估单价计入分部分项工程量清单综合单价报价中。结算时，按发、承包双方最终确认的价格调整价差，价差部分不计利润。</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(2)计日工指招标人提出的施工图纸以外的零星项目或工作。投标时，投标人应根据招标人提出的计日工表的要求自主确定综合单价，计算汇总后计入其他项目清单汇总表。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总承包服务费包括分包管理费、总分包配合费、发包人供应材料设备保管费。投标时，投标人根据招标人提出的分包专业工程内容和供应材料、设备情况，按照招标人提出的协调、配合与服务内容和施工现场管理需要，自主确定总承包服务费各项目费率。其中分包管理费和总分包配合费以分包工程合同造价为计算基数；发包人供应材料设备保管费应根据“发包人供应材料设备明细表”中合计金额为计算基数。</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9.工程量清单作为本招标文件的组成部分，其准确性和完整性由招标人负责。如发现招标人提供的工程量清单的项目及工程量与图纸实际不符时，除招标文件另有要求外，投标人应在截标前</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天向招标人提出，招标人应进行复核并用书面发出修正，分送所有投标人。如招标人没有做出修正，投标人仍应按原提供的项目及工程量报价。</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10.所有报价应以本招标文件投标须知前附表约定的币种表示。</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11.特别提示：</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*规费税金项目应按国家和深圳市法律法规计算，作为非竞争性费用。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暂列金额是招标人在工程量清单中暂定并包括在合同价款中的一笔款项。用于施工合同签订时尚未确定或者不可预见的所需材料、设备、服务的采购，施工中可能发生的工程变更、合同约定调整因素出现时的工程价款调整以及发生的索赔、现场签证确认等的费用。投标时，投标人按照招标人提供的“暂列金额明细表”中所列项目和金额填报，不得修改，且计入投标总价。</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*专业工程暂估价是招标人提供的用于支付必然发生但暂时不能确定的专业工程金额。投标人按招标人所列金额填报并计入投标总价。</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*为鼓励承包人提供优质服务、建设优质工程，本招标工程设置优质优价奖励费。招标人按照本招标文件对优质优价工程的评价与奖励标准计算优质优质奖励费。投标时，投标人按招标人列出的金额填写。</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*投标人按本招标文件要求和招标人提供的工程建设其他费项目内容填报价格。工程建设其他费不作为规费、税金的计算基数，结算时，发、承包双方依据合同约定确定。</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*投标人按招标人提供的“设备及工器具购置费表”中所列设备名称、型号规格、单位和数量填报价格。设备及工器具购置费不作为规费、税金的计算基数，结算时，发、承包双方依据合同约定计算。</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12.投标人在投标文件中列明的工程机械、装卸机械应满足国家现阶段非道路移动机械用柴油机排放标准，鼓励使用LNG或电动工程机械、装卸机械。</w:t>
      </w:r>
    </w:p>
    <w:p>
      <w:pPr>
        <w:adjustRightInd w:val="0"/>
        <w:snapToGrid w:val="0"/>
        <w:spacing w:line="360" w:lineRule="auto"/>
        <w:ind w:firstLine="420" w:firstLineChars="200"/>
        <w:rPr>
          <w:color w:val="auto"/>
          <w:highlight w:val="none"/>
        </w:rPr>
      </w:pPr>
      <w:r>
        <w:rPr>
          <w:rFonts w:hint="eastAsia" w:ascii="宋体" w:hAnsi="宋体" w:eastAsia="宋体" w:cs="宋体"/>
          <w:color w:val="auto"/>
          <w:szCs w:val="21"/>
          <w:highlight w:val="none"/>
        </w:rPr>
        <w:t>13.其他。</w:t>
      </w:r>
      <w:r>
        <w:rPr>
          <w:color w:val="auto"/>
          <w:highlight w:val="none"/>
        </w:rPr>
        <w:br w:type="page"/>
      </w:r>
    </w:p>
    <w:p>
      <w:pPr>
        <w:adjustRightInd w:val="0"/>
        <w:snapToGrid w:val="0"/>
        <w:spacing w:line="360" w:lineRule="auto"/>
        <w:jc w:val="center"/>
        <w:outlineLvl w:val="1"/>
        <w:rPr>
          <w:rFonts w:ascii="黑体" w:hAnsi="黑体" w:eastAsia="黑体" w:cs="黑体"/>
          <w:bCs/>
          <w:color w:val="auto"/>
          <w:sz w:val="32"/>
          <w:szCs w:val="32"/>
          <w:highlight w:val="none"/>
        </w:rPr>
      </w:pPr>
      <w:bookmarkStart w:id="5014" w:name="_Toc11872"/>
      <w:bookmarkStart w:id="5015" w:name="_Toc18054"/>
      <w:bookmarkStart w:id="5016" w:name="_Toc7121"/>
      <w:bookmarkStart w:id="5017" w:name="_Toc27364"/>
      <w:bookmarkStart w:id="5018" w:name="_Toc27190"/>
      <w:bookmarkStart w:id="5019" w:name="_Toc30770"/>
      <w:r>
        <w:rPr>
          <w:rFonts w:hint="eastAsia" w:ascii="黑体" w:hAnsi="黑体" w:eastAsia="黑体" w:cs="黑体"/>
          <w:bCs/>
          <w:color w:val="auto"/>
          <w:sz w:val="32"/>
          <w:szCs w:val="32"/>
          <w:highlight w:val="none"/>
        </w:rPr>
        <w:t>二、工程量清单格式</w:t>
      </w:r>
      <w:bookmarkEnd w:id="5014"/>
      <w:bookmarkEnd w:id="5015"/>
      <w:bookmarkEnd w:id="5016"/>
      <w:bookmarkEnd w:id="5017"/>
      <w:bookmarkEnd w:id="5018"/>
      <w:bookmarkEnd w:id="5019"/>
    </w:p>
    <w:p>
      <w:pPr>
        <w:adjustRightInd w:val="0"/>
        <w:snapToGrid w:val="0"/>
        <w:spacing w:line="360" w:lineRule="auto"/>
        <w:rPr>
          <w:color w:val="auto"/>
          <w:sz w:val="30"/>
          <w:szCs w:val="30"/>
          <w:highlight w:val="none"/>
        </w:rPr>
      </w:pPr>
    </w:p>
    <w:tbl>
      <w:tblPr>
        <w:tblStyle w:val="41"/>
        <w:tblW w:w="9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6"/>
        <w:gridCol w:w="3191"/>
        <w:gridCol w:w="1631"/>
        <w:gridCol w:w="2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289" w:type="dxa"/>
            <w:gridSpan w:val="4"/>
            <w:shd w:val="clear" w:color="auto" w:fill="auto"/>
            <w:vAlign w:val="center"/>
          </w:tcPr>
          <w:p>
            <w:pPr>
              <w:adjustRightInd w:val="0"/>
              <w:snapToGrid w:val="0"/>
              <w:spacing w:line="360" w:lineRule="auto"/>
              <w:jc w:val="center"/>
              <w:rPr>
                <w:rFonts w:ascii="Times New Roman" w:hAnsi="Times New Roman" w:eastAsia="宋体" w:cs="Times New Roman"/>
                <w:b/>
                <w:bCs/>
                <w:color w:val="auto"/>
                <w:kern w:val="0"/>
                <w:sz w:val="20"/>
                <w:szCs w:val="20"/>
                <w:highlight w:val="none"/>
                <w:u w:val="single"/>
              </w:rPr>
            </w:pPr>
            <w:r>
              <w:rPr>
                <w:rFonts w:ascii="Times New Roman" w:hAnsi="Times New Roman" w:eastAsia="宋体" w:cs="Times New Roman"/>
                <w:b/>
                <w:bCs/>
                <w:color w:val="auto"/>
                <w:kern w:val="0"/>
                <w:sz w:val="20"/>
                <w:szCs w:val="20"/>
                <w:highlight w:val="none"/>
                <w:u w:val="single"/>
              </w:rPr>
              <w:t>__________________________________</w:t>
            </w:r>
            <w:r>
              <w:rPr>
                <w:rFonts w:hint="eastAsia" w:ascii="Times New Roman" w:hAnsi="Times New Roman" w:eastAsia="宋体" w:cs="Times New Roman"/>
                <w:b/>
                <w:bCs/>
                <w:color w:val="auto"/>
                <w:kern w:val="0"/>
                <w:sz w:val="20"/>
                <w:szCs w:val="20"/>
                <w:highlight w:val="none"/>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289" w:type="dxa"/>
            <w:gridSpan w:val="4"/>
            <w:shd w:val="clear" w:color="auto" w:fill="auto"/>
            <w:vAlign w:val="center"/>
          </w:tcPr>
          <w:p>
            <w:pPr>
              <w:adjustRightInd w:val="0"/>
              <w:snapToGrid w:val="0"/>
              <w:spacing w:line="360" w:lineRule="auto"/>
              <w:jc w:val="center"/>
              <w:rPr>
                <w:rFonts w:ascii="Times New Roman" w:hAnsi="Times New Roman" w:eastAsia="宋体" w:cs="Times New Roman"/>
                <w:b/>
                <w:bCs/>
                <w:color w:val="auto"/>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289" w:type="dxa"/>
            <w:gridSpan w:val="4"/>
            <w:shd w:val="clear" w:color="auto" w:fill="auto"/>
            <w:vAlign w:val="center"/>
          </w:tcPr>
          <w:p>
            <w:pPr>
              <w:adjustRightInd w:val="0"/>
              <w:snapToGrid w:val="0"/>
              <w:spacing w:line="360" w:lineRule="auto"/>
              <w:jc w:val="center"/>
              <w:rPr>
                <w:rFonts w:ascii="Times New Roman" w:hAnsi="Times New Roman" w:eastAsia="宋体" w:cs="Times New Roman"/>
                <w:b/>
                <w:bCs/>
                <w:color w:val="auto"/>
                <w:kern w:val="0"/>
                <w:sz w:val="32"/>
                <w:szCs w:val="32"/>
                <w:highlight w:val="none"/>
              </w:rPr>
            </w:pPr>
            <w:r>
              <w:rPr>
                <w:rFonts w:hint="eastAsia" w:ascii="Times New Roman" w:hAnsi="Times New Roman" w:eastAsia="宋体" w:cs="Times New Roman"/>
                <w:b/>
                <w:bCs/>
                <w:color w:val="auto"/>
                <w:kern w:val="0"/>
                <w:sz w:val="32"/>
                <w:szCs w:val="32"/>
                <w:highlight w:val="none"/>
              </w:rPr>
              <w:t>工  程  量  清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289" w:type="dxa"/>
            <w:gridSpan w:val="4"/>
            <w:shd w:val="clear" w:color="auto" w:fill="auto"/>
            <w:vAlign w:val="center"/>
          </w:tcPr>
          <w:p>
            <w:pPr>
              <w:adjustRightInd w:val="0"/>
              <w:snapToGrid w:val="0"/>
              <w:spacing w:line="360" w:lineRule="auto"/>
              <w:jc w:val="left"/>
              <w:rPr>
                <w:rFonts w:ascii="Times New Roman" w:hAnsi="Times New Roman" w:eastAsia="宋体" w:cs="Times New Roman"/>
                <w:color w:val="auto"/>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76" w:type="dxa"/>
            <w:shd w:val="clear" w:color="auto" w:fill="auto"/>
            <w:vAlign w:val="center"/>
          </w:tcPr>
          <w:p>
            <w:pPr>
              <w:adjustRightInd w:val="0"/>
              <w:snapToGrid w:val="0"/>
              <w:spacing w:line="360" w:lineRule="auto"/>
              <w:jc w:val="left"/>
              <w:rPr>
                <w:rFonts w:ascii="Times New Roman" w:hAnsi="Times New Roman" w:eastAsia="宋体" w:cs="Times New Roman"/>
                <w:color w:val="auto"/>
                <w:kern w:val="0"/>
                <w:sz w:val="20"/>
                <w:szCs w:val="21"/>
                <w:highlight w:val="none"/>
              </w:rPr>
            </w:pPr>
          </w:p>
        </w:tc>
        <w:tc>
          <w:tcPr>
            <w:tcW w:w="3191" w:type="dxa"/>
            <w:shd w:val="clear" w:color="auto" w:fill="auto"/>
            <w:vAlign w:val="center"/>
          </w:tcPr>
          <w:p>
            <w:pPr>
              <w:adjustRightInd w:val="0"/>
              <w:snapToGrid w:val="0"/>
              <w:spacing w:line="360" w:lineRule="auto"/>
              <w:jc w:val="left"/>
              <w:rPr>
                <w:rFonts w:ascii="Times New Roman" w:hAnsi="Times New Roman" w:eastAsia="宋体" w:cs="Times New Roman"/>
                <w:color w:val="auto"/>
                <w:kern w:val="0"/>
                <w:sz w:val="20"/>
                <w:szCs w:val="21"/>
                <w:highlight w:val="none"/>
              </w:rPr>
            </w:pPr>
          </w:p>
        </w:tc>
        <w:tc>
          <w:tcPr>
            <w:tcW w:w="1631" w:type="dxa"/>
            <w:shd w:val="clear" w:color="auto" w:fill="auto"/>
            <w:vAlign w:val="center"/>
          </w:tcPr>
          <w:p>
            <w:pPr>
              <w:adjustRightInd w:val="0"/>
              <w:snapToGrid w:val="0"/>
              <w:spacing w:line="360" w:lineRule="auto"/>
              <w:ind w:firstLine="200" w:firstLineChars="100"/>
              <w:jc w:val="left"/>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工 程 造 价</w:t>
            </w:r>
          </w:p>
        </w:tc>
        <w:tc>
          <w:tcPr>
            <w:tcW w:w="2891" w:type="dxa"/>
            <w:shd w:val="clear" w:color="auto" w:fill="auto"/>
            <w:vAlign w:val="center"/>
          </w:tcPr>
          <w:p>
            <w:pPr>
              <w:adjustRightInd w:val="0"/>
              <w:snapToGrid w:val="0"/>
              <w:spacing w:line="360" w:lineRule="auto"/>
              <w:jc w:val="left"/>
              <w:rPr>
                <w:rFonts w:ascii="Times New Roman" w:hAnsi="Times New Roman" w:eastAsia="宋体" w:cs="Times New Roman"/>
                <w:color w:val="auto"/>
                <w:kern w:val="0"/>
                <w:sz w:val="2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76" w:type="dxa"/>
            <w:shd w:val="clear" w:color="auto" w:fill="auto"/>
            <w:vAlign w:val="center"/>
          </w:tcPr>
          <w:p>
            <w:pPr>
              <w:adjustRightInd w:val="0"/>
              <w:snapToGrid w:val="0"/>
              <w:spacing w:line="360" w:lineRule="auto"/>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招  标  人：</w:t>
            </w:r>
          </w:p>
        </w:tc>
        <w:tc>
          <w:tcPr>
            <w:tcW w:w="3191"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u w:val="single"/>
              </w:rPr>
            </w:pPr>
            <w:r>
              <w:rPr>
                <w:rFonts w:ascii="Times New Roman" w:hAnsi="Times New Roman" w:eastAsia="宋体" w:cs="Times New Roman"/>
                <w:color w:val="auto"/>
                <w:kern w:val="0"/>
                <w:sz w:val="20"/>
                <w:szCs w:val="21"/>
                <w:highlight w:val="none"/>
                <w:u w:val="single"/>
              </w:rPr>
              <w:t>_________________________</w:t>
            </w:r>
          </w:p>
        </w:tc>
        <w:tc>
          <w:tcPr>
            <w:tcW w:w="1631" w:type="dxa"/>
            <w:shd w:val="clear" w:color="auto" w:fill="auto"/>
            <w:vAlign w:val="center"/>
          </w:tcPr>
          <w:p>
            <w:pPr>
              <w:adjustRightInd w:val="0"/>
              <w:snapToGrid w:val="0"/>
              <w:spacing w:line="360" w:lineRule="auto"/>
              <w:jc w:val="right"/>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咨  询  人：</w:t>
            </w:r>
          </w:p>
        </w:tc>
        <w:tc>
          <w:tcPr>
            <w:tcW w:w="2891" w:type="dxa"/>
            <w:shd w:val="clear" w:color="auto" w:fill="auto"/>
            <w:vAlign w:val="center"/>
          </w:tcPr>
          <w:p>
            <w:pPr>
              <w:adjustRightInd w:val="0"/>
              <w:snapToGrid w:val="0"/>
              <w:spacing w:line="360" w:lineRule="auto"/>
              <w:rPr>
                <w:rFonts w:ascii="Times New Roman" w:hAnsi="Times New Roman" w:eastAsia="宋体" w:cs="Times New Roman"/>
                <w:color w:val="auto"/>
                <w:kern w:val="0"/>
                <w:sz w:val="20"/>
                <w:szCs w:val="21"/>
                <w:highlight w:val="none"/>
                <w:u w:val="single"/>
              </w:rPr>
            </w:pPr>
            <w:r>
              <w:rPr>
                <w:rFonts w:ascii="Times New Roman" w:hAnsi="Times New Roman" w:eastAsia="宋体" w:cs="Times New Roman"/>
                <w:color w:val="auto"/>
                <w:kern w:val="0"/>
                <w:sz w:val="20"/>
                <w:szCs w:val="21"/>
                <w:highlight w:val="none"/>
                <w:u w:val="single"/>
              </w:rPr>
              <w:t>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76" w:type="dxa"/>
            <w:shd w:val="clear" w:color="auto" w:fill="auto"/>
            <w:vAlign w:val="center"/>
          </w:tcPr>
          <w:p>
            <w:pPr>
              <w:adjustRightInd w:val="0"/>
              <w:snapToGrid w:val="0"/>
              <w:spacing w:line="360" w:lineRule="auto"/>
              <w:jc w:val="left"/>
              <w:rPr>
                <w:rFonts w:ascii="Times New Roman" w:hAnsi="Times New Roman" w:eastAsia="宋体" w:cs="Times New Roman"/>
                <w:color w:val="auto"/>
                <w:kern w:val="0"/>
                <w:sz w:val="20"/>
                <w:szCs w:val="21"/>
                <w:highlight w:val="none"/>
              </w:rPr>
            </w:pPr>
          </w:p>
        </w:tc>
        <w:tc>
          <w:tcPr>
            <w:tcW w:w="3191"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15"/>
                <w:szCs w:val="15"/>
                <w:highlight w:val="none"/>
              </w:rPr>
              <w:t>（单位盖章）</w:t>
            </w:r>
          </w:p>
        </w:tc>
        <w:tc>
          <w:tcPr>
            <w:tcW w:w="1631" w:type="dxa"/>
            <w:shd w:val="clear" w:color="auto" w:fill="auto"/>
            <w:vAlign w:val="center"/>
          </w:tcPr>
          <w:p>
            <w:pPr>
              <w:adjustRightInd w:val="0"/>
              <w:snapToGrid w:val="0"/>
              <w:spacing w:line="360" w:lineRule="auto"/>
              <w:jc w:val="left"/>
              <w:rPr>
                <w:rFonts w:ascii="Times New Roman" w:hAnsi="Times New Roman" w:eastAsia="宋体" w:cs="Times New Roman"/>
                <w:color w:val="auto"/>
                <w:kern w:val="0"/>
                <w:sz w:val="20"/>
                <w:szCs w:val="21"/>
                <w:highlight w:val="none"/>
              </w:rPr>
            </w:pPr>
          </w:p>
        </w:tc>
        <w:tc>
          <w:tcPr>
            <w:tcW w:w="2891"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（单位公章及资质专用章）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289" w:type="dxa"/>
            <w:gridSpan w:val="4"/>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76"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法定代表人</w:t>
            </w:r>
          </w:p>
        </w:tc>
        <w:tc>
          <w:tcPr>
            <w:tcW w:w="3191"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1631" w:type="dxa"/>
            <w:shd w:val="clear" w:color="auto" w:fill="auto"/>
            <w:vAlign w:val="center"/>
          </w:tcPr>
          <w:p>
            <w:pPr>
              <w:adjustRightInd w:val="0"/>
              <w:snapToGrid w:val="0"/>
              <w:spacing w:line="360" w:lineRule="auto"/>
              <w:ind w:firstLine="100" w:firstLineChars="50"/>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法定代表人</w:t>
            </w:r>
          </w:p>
        </w:tc>
        <w:tc>
          <w:tcPr>
            <w:tcW w:w="2891"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76" w:type="dxa"/>
            <w:shd w:val="clear" w:color="auto" w:fill="auto"/>
            <w:vAlign w:val="center"/>
          </w:tcPr>
          <w:p>
            <w:pPr>
              <w:adjustRightInd w:val="0"/>
              <w:snapToGrid w:val="0"/>
              <w:spacing w:line="360" w:lineRule="auto"/>
              <w:ind w:right="105"/>
              <w:jc w:val="right"/>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或其授权人：</w:t>
            </w:r>
          </w:p>
        </w:tc>
        <w:tc>
          <w:tcPr>
            <w:tcW w:w="3191"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u w:val="single"/>
              </w:rPr>
            </w:pPr>
            <w:r>
              <w:rPr>
                <w:rFonts w:ascii="Times New Roman" w:hAnsi="Times New Roman" w:eastAsia="宋体" w:cs="Times New Roman"/>
                <w:color w:val="auto"/>
                <w:kern w:val="0"/>
                <w:sz w:val="20"/>
                <w:szCs w:val="21"/>
                <w:highlight w:val="none"/>
                <w:u w:val="single"/>
              </w:rPr>
              <w:t>_________________________</w:t>
            </w:r>
          </w:p>
        </w:tc>
        <w:tc>
          <w:tcPr>
            <w:tcW w:w="1631" w:type="dxa"/>
            <w:shd w:val="clear" w:color="auto" w:fill="auto"/>
            <w:vAlign w:val="center"/>
          </w:tcPr>
          <w:p>
            <w:pPr>
              <w:adjustRightInd w:val="0"/>
              <w:snapToGrid w:val="0"/>
              <w:spacing w:line="360" w:lineRule="auto"/>
              <w:ind w:right="-164" w:rightChars="-78" w:firstLine="100" w:firstLineChars="50"/>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或其授权人：</w:t>
            </w:r>
          </w:p>
        </w:tc>
        <w:tc>
          <w:tcPr>
            <w:tcW w:w="2891" w:type="dxa"/>
            <w:shd w:val="clear" w:color="auto" w:fill="auto"/>
            <w:vAlign w:val="center"/>
          </w:tcPr>
          <w:p>
            <w:pPr>
              <w:adjustRightInd w:val="0"/>
              <w:snapToGrid w:val="0"/>
              <w:spacing w:line="360" w:lineRule="auto"/>
              <w:rPr>
                <w:rFonts w:ascii="Times New Roman" w:hAnsi="Times New Roman" w:eastAsia="宋体" w:cs="Times New Roman"/>
                <w:color w:val="auto"/>
                <w:kern w:val="0"/>
                <w:sz w:val="20"/>
                <w:szCs w:val="21"/>
                <w:highlight w:val="none"/>
                <w:u w:val="single"/>
              </w:rPr>
            </w:pPr>
            <w:r>
              <w:rPr>
                <w:rFonts w:ascii="Times New Roman" w:hAnsi="Times New Roman" w:eastAsia="宋体" w:cs="Times New Roman"/>
                <w:color w:val="auto"/>
                <w:kern w:val="0"/>
                <w:sz w:val="20"/>
                <w:szCs w:val="21"/>
                <w:highlight w:val="none"/>
                <w:u w:val="single"/>
              </w:rPr>
              <w:t>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76"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3191"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15"/>
                <w:szCs w:val="15"/>
                <w:highlight w:val="none"/>
              </w:rPr>
              <w:t>（签字或盖章）</w:t>
            </w:r>
          </w:p>
        </w:tc>
        <w:tc>
          <w:tcPr>
            <w:tcW w:w="1631"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2891"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289" w:type="dxa"/>
            <w:gridSpan w:val="4"/>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76" w:type="dxa"/>
            <w:shd w:val="clear" w:color="auto" w:fill="auto"/>
            <w:vAlign w:val="center"/>
          </w:tcPr>
          <w:p>
            <w:pPr>
              <w:adjustRightInd w:val="0"/>
              <w:snapToGrid w:val="0"/>
              <w:spacing w:line="360" w:lineRule="auto"/>
              <w:ind w:right="105"/>
              <w:jc w:val="right"/>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编  制  人：</w:t>
            </w:r>
          </w:p>
        </w:tc>
        <w:tc>
          <w:tcPr>
            <w:tcW w:w="3191"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u w:val="single"/>
              </w:rPr>
            </w:pPr>
            <w:r>
              <w:rPr>
                <w:rFonts w:ascii="Times New Roman" w:hAnsi="Times New Roman" w:eastAsia="宋体" w:cs="Times New Roman"/>
                <w:color w:val="auto"/>
                <w:kern w:val="0"/>
                <w:sz w:val="20"/>
                <w:szCs w:val="21"/>
                <w:highlight w:val="none"/>
                <w:u w:val="single"/>
              </w:rPr>
              <w:t>_________________________</w:t>
            </w:r>
          </w:p>
        </w:tc>
        <w:tc>
          <w:tcPr>
            <w:tcW w:w="1631" w:type="dxa"/>
            <w:shd w:val="clear" w:color="auto" w:fill="auto"/>
            <w:vAlign w:val="center"/>
          </w:tcPr>
          <w:p>
            <w:pPr>
              <w:adjustRightInd w:val="0"/>
              <w:snapToGrid w:val="0"/>
              <w:spacing w:line="360" w:lineRule="auto"/>
              <w:jc w:val="right"/>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复  核  人：</w:t>
            </w:r>
          </w:p>
        </w:tc>
        <w:tc>
          <w:tcPr>
            <w:tcW w:w="2891" w:type="dxa"/>
            <w:shd w:val="clear" w:color="auto" w:fill="auto"/>
            <w:vAlign w:val="center"/>
          </w:tcPr>
          <w:p>
            <w:pPr>
              <w:adjustRightInd w:val="0"/>
              <w:snapToGrid w:val="0"/>
              <w:spacing w:line="360" w:lineRule="auto"/>
              <w:rPr>
                <w:rFonts w:ascii="Times New Roman" w:hAnsi="Times New Roman" w:eastAsia="宋体" w:cs="Times New Roman"/>
                <w:color w:val="auto"/>
                <w:kern w:val="0"/>
                <w:sz w:val="20"/>
                <w:szCs w:val="21"/>
                <w:highlight w:val="none"/>
                <w:u w:val="single"/>
              </w:rPr>
            </w:pPr>
            <w:r>
              <w:rPr>
                <w:rFonts w:ascii="Times New Roman" w:hAnsi="Times New Roman" w:eastAsia="宋体" w:cs="Times New Roman"/>
                <w:color w:val="auto"/>
                <w:kern w:val="0"/>
                <w:sz w:val="20"/>
                <w:szCs w:val="21"/>
                <w:highlight w:val="none"/>
                <w:u w:val="single"/>
              </w:rPr>
              <w:t>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76"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3191"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15"/>
                <w:szCs w:val="15"/>
                <w:highlight w:val="none"/>
              </w:rPr>
              <w:t>（造价人员签字盖专用章）</w:t>
            </w:r>
          </w:p>
        </w:tc>
        <w:tc>
          <w:tcPr>
            <w:tcW w:w="1631"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rPr>
            </w:pPr>
          </w:p>
        </w:tc>
        <w:tc>
          <w:tcPr>
            <w:tcW w:w="2891" w:type="dxa"/>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（造价工程师签字盖专用章）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289" w:type="dxa"/>
            <w:gridSpan w:val="4"/>
            <w:shd w:val="clear" w:color="auto" w:fill="auto"/>
            <w:vAlign w:val="center"/>
          </w:tcPr>
          <w:p>
            <w:pPr>
              <w:adjustRightInd w:val="0"/>
              <w:snapToGrid w:val="0"/>
              <w:spacing w:line="360" w:lineRule="auto"/>
              <w:jc w:val="center"/>
              <w:rPr>
                <w:rFonts w:ascii="Times New Roman" w:hAnsi="Times New Roman" w:eastAsia="宋体" w:cs="Times New Roman"/>
                <w:color w:val="auto"/>
                <w:kern w:val="0"/>
                <w:sz w:val="2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76" w:type="dxa"/>
            <w:shd w:val="clear" w:color="auto" w:fill="auto"/>
            <w:vAlign w:val="center"/>
          </w:tcPr>
          <w:p>
            <w:pPr>
              <w:adjustRightInd w:val="0"/>
              <w:snapToGrid w:val="0"/>
              <w:spacing w:line="360" w:lineRule="auto"/>
              <w:ind w:right="-212" w:rightChars="-101"/>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编 制 时 间：</w:t>
            </w:r>
          </w:p>
        </w:tc>
        <w:tc>
          <w:tcPr>
            <w:tcW w:w="3191" w:type="dxa"/>
            <w:shd w:val="clear" w:color="auto" w:fill="auto"/>
            <w:vAlign w:val="center"/>
          </w:tcPr>
          <w:p>
            <w:pPr>
              <w:adjustRightInd w:val="0"/>
              <w:snapToGrid w:val="0"/>
              <w:spacing w:line="360" w:lineRule="auto"/>
              <w:jc w:val="right"/>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 xml:space="preserve">        年     月     日</w:t>
            </w:r>
          </w:p>
        </w:tc>
        <w:tc>
          <w:tcPr>
            <w:tcW w:w="1631" w:type="dxa"/>
            <w:shd w:val="clear" w:color="auto" w:fill="auto"/>
            <w:vAlign w:val="center"/>
          </w:tcPr>
          <w:p>
            <w:pPr>
              <w:adjustRightInd w:val="0"/>
              <w:snapToGrid w:val="0"/>
              <w:spacing w:line="360" w:lineRule="auto"/>
              <w:ind w:right="-88" w:rightChars="-42"/>
              <w:jc w:val="center"/>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复 核 时 间：</w:t>
            </w:r>
          </w:p>
        </w:tc>
        <w:tc>
          <w:tcPr>
            <w:tcW w:w="2891" w:type="dxa"/>
            <w:shd w:val="clear" w:color="auto" w:fill="auto"/>
            <w:vAlign w:val="center"/>
          </w:tcPr>
          <w:p>
            <w:pPr>
              <w:adjustRightInd w:val="0"/>
              <w:snapToGrid w:val="0"/>
              <w:spacing w:line="360" w:lineRule="auto"/>
              <w:jc w:val="left"/>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 xml:space="preserve">        年     月     日</w:t>
            </w:r>
          </w:p>
        </w:tc>
      </w:tr>
    </w:tbl>
    <w:p>
      <w:pPr>
        <w:spacing w:line="20" w:lineRule="exact"/>
        <w:rPr>
          <w:color w:val="auto"/>
          <w:highlight w:val="none"/>
        </w:rPr>
      </w:pPr>
      <w:r>
        <w:rPr>
          <w:color w:val="auto"/>
          <w:highlight w:val="none"/>
        </w:rPr>
        <w:br w:type="page"/>
      </w:r>
    </w:p>
    <w:p>
      <w:pPr>
        <w:adjustRightInd w:val="0"/>
        <w:snapToGrid w:val="0"/>
        <w:spacing w:line="360" w:lineRule="auto"/>
        <w:rPr>
          <w:color w:val="auto"/>
          <w:sz w:val="30"/>
          <w:szCs w:val="30"/>
          <w:highlight w:val="none"/>
        </w:rPr>
      </w:pPr>
    </w:p>
    <w:p>
      <w:pPr>
        <w:adjustRightInd w:val="0"/>
        <w:snapToGrid w:val="0"/>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总   说   明</w:t>
      </w:r>
    </w:p>
    <w:p>
      <w:pPr>
        <w:adjustRightInd w:val="0"/>
        <w:snapToGrid w:val="0"/>
        <w:spacing w:line="360" w:lineRule="auto"/>
        <w:rPr>
          <w:rFonts w:ascii="宋体" w:hAnsi="宋体" w:eastAsia="宋体" w:cs="宋体"/>
          <w:color w:val="auto"/>
          <w:sz w:val="30"/>
          <w:szCs w:val="30"/>
          <w:highlight w:val="none"/>
        </w:rPr>
      </w:pPr>
      <w:r>
        <w:rPr>
          <w:rFonts w:hint="eastAsia" w:ascii="宋体" w:hAnsi="宋体" w:eastAsia="宋体" w:cs="宋体"/>
          <w:color w:val="auto"/>
          <w:szCs w:val="21"/>
          <w:highlight w:val="none"/>
        </w:rPr>
        <w:t>工程名称：                                                               第  页 共  页</w:t>
      </w:r>
    </w:p>
    <w:tbl>
      <w:tblPr>
        <w:tblStyle w:val="41"/>
        <w:tblW w:w="8936"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8936"/>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10" w:hRule="atLeast"/>
          <w:jc w:val="center"/>
        </w:trPr>
        <w:tc>
          <w:tcPr>
            <w:tcW w:w="8936" w:type="dxa"/>
            <w:shd w:val="clear" w:color="auto" w:fill="auto"/>
            <w:vAlign w:val="center"/>
          </w:tcPr>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p>
            <w:pPr>
              <w:adjustRightInd w:val="0"/>
              <w:snapToGrid w:val="0"/>
              <w:spacing w:line="360" w:lineRule="auto"/>
              <w:jc w:val="left"/>
              <w:rPr>
                <w:rFonts w:ascii="Times New Roman" w:hAnsi="Times New Roman" w:eastAsia="宋体" w:cs="Times New Roman"/>
                <w:color w:val="auto"/>
                <w:kern w:val="0"/>
                <w:sz w:val="20"/>
                <w:szCs w:val="20"/>
                <w:highlight w:val="none"/>
              </w:rPr>
            </w:pPr>
          </w:p>
        </w:tc>
      </w:tr>
    </w:tbl>
    <w:p>
      <w:pPr>
        <w:spacing w:line="20" w:lineRule="exact"/>
        <w:rPr>
          <w:color w:val="auto"/>
          <w:highlight w:val="none"/>
        </w:rPr>
      </w:pPr>
      <w:r>
        <w:rPr>
          <w:color w:val="auto"/>
          <w:highlight w:val="none"/>
        </w:rPr>
        <w:br w:type="page"/>
      </w:r>
    </w:p>
    <w:p>
      <w:pPr>
        <w:rPr>
          <w:color w:val="auto"/>
          <w:highlight w:val="none"/>
        </w:rPr>
      </w:pPr>
    </w:p>
    <w:p>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分部分项工程量清单</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工程名称：                                标段：               第  页 共  页</w:t>
      </w:r>
    </w:p>
    <w:tbl>
      <w:tblPr>
        <w:tblStyle w:val="41"/>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35"/>
        <w:gridCol w:w="1275"/>
        <w:gridCol w:w="2112"/>
        <w:gridCol w:w="1151"/>
        <w:gridCol w:w="155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13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项目编码</w:t>
            </w:r>
          </w:p>
        </w:tc>
        <w:tc>
          <w:tcPr>
            <w:tcW w:w="127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2112"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项目特征描述</w:t>
            </w:r>
          </w:p>
        </w:tc>
        <w:tc>
          <w:tcPr>
            <w:tcW w:w="1151"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计量单位</w:t>
            </w:r>
          </w:p>
        </w:tc>
        <w:tc>
          <w:tcPr>
            <w:tcW w:w="155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工程量</w:t>
            </w:r>
          </w:p>
        </w:tc>
        <w:tc>
          <w:tcPr>
            <w:tcW w:w="1087"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3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275" w:type="dxa"/>
            <w:shd w:val="clear" w:color="auto" w:fill="auto"/>
            <w:vAlign w:val="center"/>
          </w:tcPr>
          <w:p>
            <w:pPr>
              <w:adjustRightInd w:val="0"/>
              <w:snapToGrid w:val="0"/>
              <w:rPr>
                <w:rFonts w:ascii="宋体" w:hAnsi="宋体" w:eastAsia="宋体" w:cs="宋体"/>
                <w:color w:val="auto"/>
                <w:kern w:val="0"/>
                <w:szCs w:val="21"/>
                <w:highlight w:val="none"/>
              </w:rPr>
            </w:pPr>
          </w:p>
        </w:tc>
        <w:tc>
          <w:tcPr>
            <w:tcW w:w="2112"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151"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558" w:type="dxa"/>
            <w:shd w:val="clear" w:color="auto" w:fill="auto"/>
            <w:vAlign w:val="center"/>
          </w:tcPr>
          <w:p>
            <w:pPr>
              <w:adjustRightInd w:val="0"/>
              <w:snapToGrid w:val="0"/>
              <w:rPr>
                <w:rFonts w:ascii="宋体" w:hAnsi="宋体" w:eastAsia="宋体" w:cs="宋体"/>
                <w:color w:val="auto"/>
                <w:kern w:val="0"/>
                <w:szCs w:val="21"/>
                <w:highlight w:val="none"/>
              </w:rPr>
            </w:pPr>
          </w:p>
        </w:tc>
        <w:tc>
          <w:tcPr>
            <w:tcW w:w="1087" w:type="dxa"/>
            <w:shd w:val="clear" w:color="auto" w:fill="auto"/>
            <w:vAlign w:val="center"/>
          </w:tcPr>
          <w:p>
            <w:pPr>
              <w:adjustRightInd w:val="0"/>
              <w:snapToGrid w:val="0"/>
              <w:rPr>
                <w:rFonts w:ascii="宋体" w:hAnsi="宋体" w:eastAsia="宋体" w:cs="宋体"/>
                <w:color w:val="auto"/>
                <w:kern w:val="0"/>
                <w:szCs w:val="21"/>
                <w:highlight w:val="none"/>
              </w:rPr>
            </w:pPr>
          </w:p>
        </w:tc>
      </w:tr>
    </w:tbl>
    <w:p>
      <w:pPr>
        <w:spacing w:line="20" w:lineRule="exact"/>
        <w:rPr>
          <w:color w:val="auto"/>
          <w:highlight w:val="none"/>
        </w:rPr>
      </w:pPr>
      <w:r>
        <w:rPr>
          <w:color w:val="auto"/>
          <w:highlight w:val="none"/>
        </w:rPr>
        <w:br w:type="page"/>
      </w:r>
    </w:p>
    <w:p>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措施项目清单汇总表</w:t>
      </w:r>
    </w:p>
    <w:p>
      <w:pPr>
        <w:rPr>
          <w:color w:val="auto"/>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工程名称：                                标段：               第  页 共  页</w:t>
      </w:r>
    </w:p>
    <w:tbl>
      <w:tblPr>
        <w:tblStyle w:val="4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5558"/>
        <w:gridCol w:w="3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序号</w:t>
            </w:r>
          </w:p>
        </w:tc>
        <w:tc>
          <w:tcPr>
            <w:tcW w:w="555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项 目 名 称</w:t>
            </w:r>
          </w:p>
        </w:tc>
        <w:tc>
          <w:tcPr>
            <w:tcW w:w="303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w:t>
            </w:r>
          </w:p>
        </w:tc>
        <w:tc>
          <w:tcPr>
            <w:tcW w:w="5558"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安全文明施工措施费</w:t>
            </w:r>
          </w:p>
        </w:tc>
        <w:tc>
          <w:tcPr>
            <w:tcW w:w="3032"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(1)临时设施费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(2)文明施工费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(3)安全施工费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(4)环境保护费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w:t>
            </w: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履约担保手续费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w:t>
            </w: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夜间施工费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4</w:t>
            </w:r>
          </w:p>
        </w:tc>
        <w:tc>
          <w:tcPr>
            <w:tcW w:w="5558"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赶工措施费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5</w:t>
            </w: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冬雨季施工费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6</w:t>
            </w: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已完工程及设备保护费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7</w:t>
            </w: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地上地下设施及建筑物的临时保护费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8</w:t>
            </w: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混凝土钢筋混凝土模板及支架费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9</w:t>
            </w: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二次搬运费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10</w:t>
            </w: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脚手架费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11</w:t>
            </w: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垂直运输机械费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12</w:t>
            </w: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大型机械设备进出场及安拆费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13</w:t>
            </w: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施工排水降水费</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14</w:t>
            </w:r>
          </w:p>
        </w:tc>
        <w:tc>
          <w:tcPr>
            <w:tcW w:w="555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其他</w:t>
            </w: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555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9" w:type="dxa"/>
            <w:shd w:val="clear" w:color="auto" w:fill="auto"/>
            <w:vAlign w:val="center"/>
          </w:tcPr>
          <w:p>
            <w:pPr>
              <w:adjustRightInd w:val="0"/>
              <w:snapToGrid w:val="0"/>
              <w:jc w:val="center"/>
              <w:rPr>
                <w:rFonts w:ascii="Times New Roman" w:hAnsi="Times New Roman" w:eastAsia="宋体" w:cs="Times New Roman"/>
                <w:color w:val="auto"/>
                <w:kern w:val="0"/>
                <w:sz w:val="20"/>
                <w:szCs w:val="21"/>
                <w:highlight w:val="none"/>
              </w:rPr>
            </w:pPr>
          </w:p>
        </w:tc>
        <w:tc>
          <w:tcPr>
            <w:tcW w:w="5558" w:type="dxa"/>
            <w:shd w:val="clear" w:color="auto" w:fill="auto"/>
            <w:vAlign w:val="center"/>
          </w:tcPr>
          <w:p>
            <w:pPr>
              <w:adjustRightInd w:val="0"/>
              <w:snapToGrid w:val="0"/>
              <w:jc w:val="center"/>
              <w:rPr>
                <w:rFonts w:ascii="Times New Roman" w:hAnsi="Times New Roman" w:eastAsia="宋体" w:cs="Times New Roman"/>
                <w:color w:val="auto"/>
                <w:kern w:val="0"/>
                <w:sz w:val="20"/>
                <w:szCs w:val="21"/>
                <w:highlight w:val="none"/>
              </w:rPr>
            </w:pPr>
          </w:p>
        </w:tc>
        <w:tc>
          <w:tcPr>
            <w:tcW w:w="3032" w:type="dxa"/>
            <w:shd w:val="clear" w:color="auto" w:fill="auto"/>
            <w:vAlign w:val="center"/>
          </w:tcPr>
          <w:p>
            <w:pPr>
              <w:adjustRightInd w:val="0"/>
              <w:snapToGrid w:val="0"/>
              <w:jc w:val="left"/>
              <w:rPr>
                <w:rFonts w:ascii="Times New Roman" w:hAnsi="Times New Roman" w:eastAsia="宋体" w:cs="Times New Roman"/>
                <w:color w:val="auto"/>
                <w:kern w:val="0"/>
                <w:sz w:val="20"/>
                <w:szCs w:val="21"/>
                <w:highlight w:val="none"/>
              </w:rPr>
            </w:pPr>
          </w:p>
        </w:tc>
      </w:tr>
    </w:tbl>
    <w:p>
      <w:pPr>
        <w:spacing w:line="20" w:lineRule="exact"/>
        <w:rPr>
          <w:color w:val="auto"/>
          <w:highlight w:val="none"/>
        </w:rPr>
      </w:pPr>
      <w:r>
        <w:rPr>
          <w:color w:val="auto"/>
          <w:highlight w:val="none"/>
        </w:rPr>
        <w:br w:type="page"/>
      </w:r>
    </w:p>
    <w:p>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措施项目清单表（一）</w:t>
      </w:r>
    </w:p>
    <w:p>
      <w:pPr>
        <w:rPr>
          <w:color w:val="auto"/>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工程名称：                                标段：               第  页 共  页</w:t>
      </w:r>
    </w:p>
    <w:tbl>
      <w:tblPr>
        <w:tblStyle w:val="4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84"/>
        <w:gridCol w:w="1451"/>
        <w:gridCol w:w="1934"/>
        <w:gridCol w:w="1185"/>
        <w:gridCol w:w="1276"/>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序号</w:t>
            </w: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项目编码</w:t>
            </w: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项目名称</w:t>
            </w: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项目特征描述</w:t>
            </w: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计量单位</w:t>
            </w: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工程量</w:t>
            </w: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45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93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7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8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bl>
    <w:p>
      <w:pPr>
        <w:spacing w:line="20" w:lineRule="exact"/>
        <w:rPr>
          <w:color w:val="auto"/>
          <w:highlight w:val="none"/>
        </w:rPr>
      </w:pPr>
      <w:r>
        <w:rPr>
          <w:color w:val="auto"/>
          <w:highlight w:val="none"/>
        </w:rPr>
        <w:br w:type="page"/>
      </w:r>
    </w:p>
    <w:p>
      <w:pPr>
        <w:jc w:val="center"/>
        <w:rPr>
          <w:rFonts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其他项目清单汇总表</w:t>
      </w:r>
    </w:p>
    <w:p>
      <w:pPr>
        <w:rPr>
          <w:color w:val="auto"/>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工程名称：                                标段：               第  页 共  页</w:t>
      </w:r>
    </w:p>
    <w:tbl>
      <w:tblPr>
        <w:tblStyle w:val="41"/>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267"/>
        <w:gridCol w:w="3262"/>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序号</w:t>
            </w:r>
          </w:p>
        </w:tc>
        <w:tc>
          <w:tcPr>
            <w:tcW w:w="3267"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项 目 名 称</w:t>
            </w:r>
          </w:p>
        </w:tc>
        <w:tc>
          <w:tcPr>
            <w:tcW w:w="326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金额（元）</w:t>
            </w: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w:t>
            </w: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材料设备暂估价</w:t>
            </w: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w:t>
            </w: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计日工</w:t>
            </w:r>
          </w:p>
        </w:tc>
        <w:tc>
          <w:tcPr>
            <w:tcW w:w="3262"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w:t>
            </w: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总承包服务费</w:t>
            </w: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3267"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 w:val="20"/>
                <w:szCs w:val="20"/>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81" w:type="dxa"/>
            <w:gridSpan w:val="2"/>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合        计</w:t>
            </w:r>
          </w:p>
        </w:tc>
        <w:tc>
          <w:tcPr>
            <w:tcW w:w="326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37"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w:t>
            </w:r>
          </w:p>
        </w:tc>
      </w:tr>
    </w:tbl>
    <w:p>
      <w:pPr>
        <w:spacing w:line="20" w:lineRule="exact"/>
        <w:rPr>
          <w:color w:val="auto"/>
          <w:highlight w:val="none"/>
        </w:rPr>
      </w:pPr>
      <w:r>
        <w:rPr>
          <w:color w:val="auto"/>
          <w:highlight w:val="none"/>
        </w:rPr>
        <w:br w:type="page"/>
      </w:r>
    </w:p>
    <w:p>
      <w:pPr>
        <w:jc w:val="center"/>
        <w:rPr>
          <w:rFonts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材料设备暂估价表</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工程名称：                                标段：               第  页 共  页</w:t>
      </w:r>
    </w:p>
    <w:tbl>
      <w:tblPr>
        <w:tblStyle w:val="4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14"/>
        <w:gridCol w:w="828"/>
        <w:gridCol w:w="711"/>
        <w:gridCol w:w="1326"/>
        <w:gridCol w:w="1800"/>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序号</w:t>
            </w: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材料名称、规格、型号</w:t>
            </w: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计量单位</w:t>
            </w: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数量</w:t>
            </w: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暂估单价</w:t>
            </w:r>
          </w:p>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（元）</w:t>
            </w: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暂估合价</w:t>
            </w:r>
          </w:p>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（元）</w:t>
            </w: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51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828"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71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32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94" w:type="dxa"/>
            <w:gridSpan w:val="5"/>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合    计</w:t>
            </w:r>
          </w:p>
        </w:tc>
        <w:tc>
          <w:tcPr>
            <w:tcW w:w="18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29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bl>
    <w:p>
      <w:pPr>
        <w:spacing w:line="20" w:lineRule="exact"/>
        <w:rPr>
          <w:color w:val="auto"/>
          <w:highlight w:val="none"/>
        </w:rPr>
      </w:pPr>
      <w:r>
        <w:rPr>
          <w:color w:val="auto"/>
          <w:highlight w:val="none"/>
        </w:rPr>
        <w:br w:type="page"/>
      </w:r>
    </w:p>
    <w:p>
      <w:pPr>
        <w:jc w:val="center"/>
        <w:rPr>
          <w:rFonts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计 日 工 表</w:t>
      </w:r>
    </w:p>
    <w:p>
      <w:pPr>
        <w:rPr>
          <w:color w:val="auto"/>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工程名称：                                标段：               第  页 共  页</w:t>
      </w:r>
    </w:p>
    <w:tbl>
      <w:tblPr>
        <w:tblStyle w:val="4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792"/>
        <w:gridCol w:w="803"/>
        <w:gridCol w:w="1778"/>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编号</w:t>
            </w:r>
          </w:p>
        </w:tc>
        <w:tc>
          <w:tcPr>
            <w:tcW w:w="379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项 目 名 称</w:t>
            </w:r>
          </w:p>
        </w:tc>
        <w:tc>
          <w:tcPr>
            <w:tcW w:w="803"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单位</w:t>
            </w:r>
          </w:p>
        </w:tc>
        <w:tc>
          <w:tcPr>
            <w:tcW w:w="177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暂定数量</w:t>
            </w: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一</w:t>
            </w:r>
          </w:p>
        </w:tc>
        <w:tc>
          <w:tcPr>
            <w:tcW w:w="379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人    工</w:t>
            </w: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w:t>
            </w: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w:t>
            </w: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w:t>
            </w: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4</w:t>
            </w: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二</w:t>
            </w:r>
          </w:p>
        </w:tc>
        <w:tc>
          <w:tcPr>
            <w:tcW w:w="379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材     料</w:t>
            </w: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w:t>
            </w: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w:t>
            </w: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w:t>
            </w: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4</w:t>
            </w: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5</w:t>
            </w: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三</w:t>
            </w:r>
          </w:p>
        </w:tc>
        <w:tc>
          <w:tcPr>
            <w:tcW w:w="379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施 工 机 械</w:t>
            </w: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w:t>
            </w: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w:t>
            </w: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w:t>
            </w: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4</w:t>
            </w: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792"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803"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778"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1916"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r>
    </w:tbl>
    <w:p>
      <w:pPr>
        <w:spacing w:line="20" w:lineRule="exact"/>
        <w:rPr>
          <w:color w:val="auto"/>
          <w:highlight w:val="none"/>
        </w:rPr>
      </w:pPr>
      <w:r>
        <w:rPr>
          <w:color w:val="auto"/>
          <w:highlight w:val="none"/>
        </w:rPr>
        <w:br w:type="page"/>
      </w:r>
    </w:p>
    <w:p>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总承包服务费表</w:t>
      </w:r>
    </w:p>
    <w:p>
      <w:pPr>
        <w:rPr>
          <w:color w:val="auto"/>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工程名称：                                标段：               第  页 共  页</w:t>
      </w:r>
    </w:p>
    <w:tbl>
      <w:tblPr>
        <w:tblStyle w:val="41"/>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3621"/>
        <w:gridCol w:w="2246"/>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序号</w:t>
            </w:r>
          </w:p>
        </w:tc>
        <w:tc>
          <w:tcPr>
            <w:tcW w:w="362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工 程 名 称</w:t>
            </w:r>
          </w:p>
        </w:tc>
        <w:tc>
          <w:tcPr>
            <w:tcW w:w="224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项目价值（元）</w:t>
            </w:r>
          </w:p>
        </w:tc>
        <w:tc>
          <w:tcPr>
            <w:tcW w:w="2365"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w:t>
            </w:r>
          </w:p>
        </w:tc>
        <w:tc>
          <w:tcPr>
            <w:tcW w:w="3621"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分包管理费</w:t>
            </w:r>
          </w:p>
        </w:tc>
        <w:tc>
          <w:tcPr>
            <w:tcW w:w="2246"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236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1.1</w:t>
            </w:r>
          </w:p>
        </w:tc>
        <w:tc>
          <w:tcPr>
            <w:tcW w:w="3621"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2246"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236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1.2</w:t>
            </w:r>
          </w:p>
        </w:tc>
        <w:tc>
          <w:tcPr>
            <w:tcW w:w="3621"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2246"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236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1.3</w:t>
            </w:r>
          </w:p>
        </w:tc>
        <w:tc>
          <w:tcPr>
            <w:tcW w:w="3621"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2246"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236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w:t>
            </w:r>
          </w:p>
        </w:tc>
        <w:tc>
          <w:tcPr>
            <w:tcW w:w="3621"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总分包配合费</w:t>
            </w:r>
          </w:p>
        </w:tc>
        <w:tc>
          <w:tcPr>
            <w:tcW w:w="2246"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236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2.1</w:t>
            </w:r>
          </w:p>
        </w:tc>
        <w:tc>
          <w:tcPr>
            <w:tcW w:w="3621"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2246"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236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2.2</w:t>
            </w:r>
          </w:p>
        </w:tc>
        <w:tc>
          <w:tcPr>
            <w:tcW w:w="3621"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2246"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236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2.3</w:t>
            </w:r>
          </w:p>
        </w:tc>
        <w:tc>
          <w:tcPr>
            <w:tcW w:w="3621"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2246"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236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w:t>
            </w:r>
          </w:p>
        </w:tc>
        <w:tc>
          <w:tcPr>
            <w:tcW w:w="3621"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发包人供应材料设备保管费</w:t>
            </w:r>
          </w:p>
        </w:tc>
        <w:tc>
          <w:tcPr>
            <w:tcW w:w="2246"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236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621"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2246"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236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621" w:type="dxa"/>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p>
        </w:tc>
        <w:tc>
          <w:tcPr>
            <w:tcW w:w="2246"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236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bl>
    <w:p>
      <w:pPr>
        <w:spacing w:line="20" w:lineRule="exact"/>
        <w:rPr>
          <w:color w:val="auto"/>
          <w:highlight w:val="none"/>
        </w:rPr>
      </w:pPr>
      <w:r>
        <w:rPr>
          <w:color w:val="auto"/>
          <w:highlight w:val="none"/>
        </w:rPr>
        <w:br w:type="page"/>
      </w:r>
    </w:p>
    <w:p>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发包人供应材料设备明细表</w:t>
      </w:r>
    </w:p>
    <w:p>
      <w:pPr>
        <w:rPr>
          <w:color w:val="auto"/>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工程名称：                                标段：               第  页 共  页</w:t>
      </w:r>
    </w:p>
    <w:tbl>
      <w:tblPr>
        <w:tblStyle w:val="41"/>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196"/>
        <w:gridCol w:w="812"/>
        <w:gridCol w:w="912"/>
        <w:gridCol w:w="1070"/>
        <w:gridCol w:w="1468"/>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序号</w:t>
            </w: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材料设备名称、规格及型号</w:t>
            </w: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单位</w:t>
            </w: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数量</w:t>
            </w: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单价（元）</w:t>
            </w: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合价（元）</w:t>
            </w: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1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8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91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7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5990" w:type="dxa"/>
            <w:gridSpan w:val="4"/>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合        计</w:t>
            </w:r>
          </w:p>
        </w:tc>
        <w:tc>
          <w:tcPr>
            <w:tcW w:w="1468"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06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bl>
    <w:p>
      <w:pPr>
        <w:spacing w:line="20" w:lineRule="exact"/>
        <w:rPr>
          <w:color w:val="auto"/>
          <w:highlight w:val="none"/>
        </w:rPr>
      </w:pPr>
      <w:r>
        <w:rPr>
          <w:color w:val="auto"/>
          <w:highlight w:val="none"/>
        </w:rPr>
        <w:br w:type="page"/>
      </w:r>
    </w:p>
    <w:p>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规费税金项目清单</w:t>
      </w:r>
    </w:p>
    <w:p>
      <w:pPr>
        <w:rPr>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工程名称：                                标段：               第  页 共  页</w:t>
      </w:r>
    </w:p>
    <w:tbl>
      <w:tblPr>
        <w:tblStyle w:val="4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835"/>
        <w:gridCol w:w="2947"/>
        <w:gridCol w:w="1120"/>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序号</w:t>
            </w:r>
          </w:p>
        </w:tc>
        <w:tc>
          <w:tcPr>
            <w:tcW w:w="2835"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项 目 名 称</w:t>
            </w:r>
          </w:p>
        </w:tc>
        <w:tc>
          <w:tcPr>
            <w:tcW w:w="2947"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计 算 基 础</w:t>
            </w:r>
          </w:p>
        </w:tc>
        <w:tc>
          <w:tcPr>
            <w:tcW w:w="1120"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费率（%）</w:t>
            </w:r>
          </w:p>
        </w:tc>
        <w:tc>
          <w:tcPr>
            <w:tcW w:w="149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w:t>
            </w:r>
          </w:p>
        </w:tc>
        <w:tc>
          <w:tcPr>
            <w:tcW w:w="283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规费</w:t>
            </w:r>
          </w:p>
        </w:tc>
        <w:tc>
          <w:tcPr>
            <w:tcW w:w="2947"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120"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492"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1.1</w:t>
            </w:r>
          </w:p>
        </w:tc>
        <w:tc>
          <w:tcPr>
            <w:tcW w:w="2835" w:type="dxa"/>
            <w:shd w:val="clear" w:color="auto" w:fill="auto"/>
            <w:vAlign w:val="center"/>
          </w:tcPr>
          <w:p>
            <w:pPr>
              <w:adjustRightInd w:val="0"/>
              <w:snapToGrid w:val="0"/>
              <w:rPr>
                <w:rFonts w:ascii="Times New Roman" w:hAnsi="Times New Roman" w:eastAsia="宋体" w:cs="Times New Roman"/>
                <w:iCs/>
                <w:color w:val="auto"/>
                <w:kern w:val="0"/>
                <w:szCs w:val="21"/>
                <w:highlight w:val="none"/>
              </w:rPr>
            </w:pPr>
            <w:r>
              <w:rPr>
                <w:rFonts w:hint="eastAsia" w:ascii="Times New Roman" w:hAnsi="Times New Roman" w:eastAsia="宋体" w:cs="Times New Roman"/>
                <w:iCs/>
                <w:color w:val="auto"/>
                <w:kern w:val="0"/>
                <w:szCs w:val="21"/>
                <w:highlight w:val="none"/>
              </w:rPr>
              <w:t xml:space="preserve">   社会保障费</w:t>
            </w:r>
          </w:p>
        </w:tc>
        <w:tc>
          <w:tcPr>
            <w:tcW w:w="2947"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120"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492"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w:t>
            </w:r>
          </w:p>
        </w:tc>
        <w:tc>
          <w:tcPr>
            <w:tcW w:w="283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 xml:space="preserve">       失业保险费</w:t>
            </w:r>
          </w:p>
        </w:tc>
        <w:tc>
          <w:tcPr>
            <w:tcW w:w="2947"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120"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492"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w:t>
            </w:r>
          </w:p>
        </w:tc>
        <w:tc>
          <w:tcPr>
            <w:tcW w:w="283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 xml:space="preserve">       养老保险费</w:t>
            </w:r>
          </w:p>
        </w:tc>
        <w:tc>
          <w:tcPr>
            <w:tcW w:w="2947"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120"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492"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(3)</w:t>
            </w:r>
          </w:p>
        </w:tc>
        <w:tc>
          <w:tcPr>
            <w:tcW w:w="283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 xml:space="preserve">       工伤保险费</w:t>
            </w:r>
          </w:p>
        </w:tc>
        <w:tc>
          <w:tcPr>
            <w:tcW w:w="2947"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120"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492"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(4)</w:t>
            </w:r>
          </w:p>
        </w:tc>
        <w:tc>
          <w:tcPr>
            <w:tcW w:w="283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 xml:space="preserve">       医疗保险费</w:t>
            </w:r>
          </w:p>
        </w:tc>
        <w:tc>
          <w:tcPr>
            <w:tcW w:w="2947"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120"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492"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(5)</w:t>
            </w:r>
          </w:p>
        </w:tc>
        <w:tc>
          <w:tcPr>
            <w:tcW w:w="283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 xml:space="preserve">       住房公积金</w:t>
            </w:r>
          </w:p>
        </w:tc>
        <w:tc>
          <w:tcPr>
            <w:tcW w:w="2947"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120"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492"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1.2</w:t>
            </w:r>
          </w:p>
        </w:tc>
        <w:tc>
          <w:tcPr>
            <w:tcW w:w="283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 xml:space="preserve">   工程排污费</w:t>
            </w:r>
          </w:p>
        </w:tc>
        <w:tc>
          <w:tcPr>
            <w:tcW w:w="2947"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120"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492"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w:t>
            </w:r>
          </w:p>
        </w:tc>
        <w:tc>
          <w:tcPr>
            <w:tcW w:w="2835"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 xml:space="preserve">税金 </w:t>
            </w:r>
          </w:p>
        </w:tc>
        <w:tc>
          <w:tcPr>
            <w:tcW w:w="2947"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分部分项工程费+措施项目费+其他项目费+规费</w:t>
            </w:r>
          </w:p>
        </w:tc>
        <w:tc>
          <w:tcPr>
            <w:tcW w:w="1120"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c>
          <w:tcPr>
            <w:tcW w:w="1492"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97" w:type="dxa"/>
            <w:gridSpan w:val="4"/>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合        计</w:t>
            </w:r>
          </w:p>
        </w:tc>
        <w:tc>
          <w:tcPr>
            <w:tcW w:w="1492" w:type="dxa"/>
            <w:shd w:val="clear" w:color="auto" w:fill="auto"/>
            <w:vAlign w:val="center"/>
          </w:tcPr>
          <w:p>
            <w:pPr>
              <w:adjustRightInd w:val="0"/>
              <w:snapToGrid w:val="0"/>
              <w:rPr>
                <w:rFonts w:ascii="Times New Roman" w:hAnsi="Times New Roman" w:eastAsia="宋体" w:cs="Times New Roman"/>
                <w:color w:val="auto"/>
                <w:kern w:val="0"/>
                <w:szCs w:val="21"/>
                <w:highlight w:val="none"/>
              </w:rPr>
            </w:pPr>
          </w:p>
        </w:tc>
      </w:tr>
    </w:tbl>
    <w:p>
      <w:pPr>
        <w:spacing w:line="20" w:lineRule="exact"/>
        <w:rPr>
          <w:color w:val="auto"/>
          <w:highlight w:val="none"/>
        </w:rPr>
      </w:pPr>
      <w:r>
        <w:rPr>
          <w:color w:val="auto"/>
          <w:highlight w:val="none"/>
        </w:rPr>
        <w:br w:type="page"/>
      </w:r>
    </w:p>
    <w:p>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暂列金额明细表</w:t>
      </w:r>
    </w:p>
    <w:p>
      <w:pPr>
        <w:rPr>
          <w:color w:val="auto"/>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工程名称：                                标段：               第  页 共  页</w:t>
      </w:r>
    </w:p>
    <w:tbl>
      <w:tblPr>
        <w:tblStyle w:val="4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731"/>
        <w:gridCol w:w="1232"/>
        <w:gridCol w:w="2106"/>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序号</w:t>
            </w:r>
          </w:p>
        </w:tc>
        <w:tc>
          <w:tcPr>
            <w:tcW w:w="373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项 目 名 称</w:t>
            </w:r>
          </w:p>
        </w:tc>
        <w:tc>
          <w:tcPr>
            <w:tcW w:w="123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计量单位</w:t>
            </w:r>
          </w:p>
        </w:tc>
        <w:tc>
          <w:tcPr>
            <w:tcW w:w="210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暂列金额（元）</w:t>
            </w:r>
          </w:p>
        </w:tc>
        <w:tc>
          <w:tcPr>
            <w:tcW w:w="132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73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23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210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32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73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23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210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32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73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23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210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32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73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23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210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32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73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23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210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32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73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23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210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32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73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23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210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32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73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23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210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32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73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23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210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32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73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23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210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32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373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23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210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32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59" w:type="dxa"/>
            <w:gridSpan w:val="3"/>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合        计</w:t>
            </w:r>
          </w:p>
        </w:tc>
        <w:tc>
          <w:tcPr>
            <w:tcW w:w="210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p>
        </w:tc>
        <w:tc>
          <w:tcPr>
            <w:tcW w:w="1324"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9" w:type="dxa"/>
            <w:gridSpan w:val="5"/>
            <w:shd w:val="clear" w:color="auto" w:fill="auto"/>
            <w:vAlign w:val="center"/>
          </w:tcPr>
          <w:p>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 xml:space="preserve">   注：本表如不能详列，也可只列暂列金额总额。</w:t>
            </w:r>
          </w:p>
        </w:tc>
      </w:tr>
    </w:tbl>
    <w:p>
      <w:pPr>
        <w:spacing w:line="20" w:lineRule="exact"/>
        <w:rPr>
          <w:color w:val="auto"/>
          <w:highlight w:val="none"/>
        </w:rPr>
      </w:pPr>
      <w:r>
        <w:rPr>
          <w:color w:val="auto"/>
          <w:highlight w:val="none"/>
        </w:rPr>
        <w:br w:type="page"/>
      </w:r>
    </w:p>
    <w:p>
      <w:pPr>
        <w:jc w:val="center"/>
        <w:rPr>
          <w:rFonts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工程建设其他费表</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工程名称：                                标段：               第  页 共  页</w:t>
      </w:r>
    </w:p>
    <w:tbl>
      <w:tblPr>
        <w:tblStyle w:val="4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46"/>
        <w:gridCol w:w="2657"/>
        <w:gridCol w:w="907"/>
        <w:gridCol w:w="118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序号</w:t>
            </w: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项目名称</w:t>
            </w: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工作内容</w:t>
            </w: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计量</w:t>
            </w:r>
          </w:p>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单位</w:t>
            </w: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工程量</w:t>
            </w: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746"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65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907"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1182"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c>
          <w:tcPr>
            <w:tcW w:w="2131" w:type="dxa"/>
            <w:shd w:val="clear" w:color="auto" w:fill="auto"/>
            <w:vAlign w:val="center"/>
          </w:tcPr>
          <w:p>
            <w:pPr>
              <w:adjustRightInd w:val="0"/>
              <w:snapToGrid w:val="0"/>
              <w:jc w:val="center"/>
              <w:rPr>
                <w:rFonts w:ascii="Times New Roman" w:hAnsi="Times New Roman" w:eastAsia="宋体" w:cs="Times New Roman"/>
                <w:color w:val="auto"/>
                <w:kern w:val="0"/>
                <w:sz w:val="20"/>
                <w:szCs w:val="20"/>
                <w:highlight w:val="none"/>
              </w:rPr>
            </w:pPr>
          </w:p>
        </w:tc>
      </w:tr>
    </w:tbl>
    <w:p>
      <w:pPr>
        <w:spacing w:line="20" w:lineRule="exact"/>
        <w:rPr>
          <w:color w:val="auto"/>
          <w:highlight w:val="none"/>
        </w:rPr>
      </w:pPr>
      <w:r>
        <w:rPr>
          <w:color w:val="auto"/>
          <w:highlight w:val="none"/>
        </w:rPr>
        <w:br w:type="page"/>
      </w:r>
    </w:p>
    <w:p>
      <w:pPr>
        <w:jc w:val="center"/>
        <w:rPr>
          <w:rFonts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设备及工器具购置费表</w:t>
      </w:r>
    </w:p>
    <w:p>
      <w:pPr>
        <w:rPr>
          <w:color w:val="auto"/>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工程名称：                                标段：               第  页 共  页</w:t>
      </w:r>
    </w:p>
    <w:tbl>
      <w:tblPr>
        <w:tblStyle w:val="41"/>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93"/>
        <w:gridCol w:w="2228"/>
        <w:gridCol w:w="817"/>
        <w:gridCol w:w="968"/>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序号</w:t>
            </w:r>
          </w:p>
        </w:tc>
        <w:tc>
          <w:tcPr>
            <w:tcW w:w="2493" w:type="dxa"/>
            <w:vAlign w:val="center"/>
          </w:tcPr>
          <w:p>
            <w:pPr>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设备名称</w:t>
            </w:r>
          </w:p>
        </w:tc>
        <w:tc>
          <w:tcPr>
            <w:tcW w:w="2228" w:type="dxa"/>
            <w:vAlign w:val="center"/>
          </w:tcPr>
          <w:p>
            <w:pPr>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型号规格</w:t>
            </w:r>
          </w:p>
        </w:tc>
        <w:tc>
          <w:tcPr>
            <w:tcW w:w="817" w:type="dxa"/>
            <w:vAlign w:val="center"/>
          </w:tcPr>
          <w:p>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计量</w:t>
            </w:r>
          </w:p>
          <w:p>
            <w:pPr>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单位</w:t>
            </w:r>
          </w:p>
        </w:tc>
        <w:tc>
          <w:tcPr>
            <w:tcW w:w="968" w:type="dxa"/>
            <w:vAlign w:val="center"/>
          </w:tcPr>
          <w:p>
            <w:pPr>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数量</w:t>
            </w:r>
          </w:p>
        </w:tc>
        <w:tc>
          <w:tcPr>
            <w:tcW w:w="1986" w:type="dxa"/>
            <w:vAlign w:val="center"/>
          </w:tcPr>
          <w:p>
            <w:pPr>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Cs w:val="21"/>
                <w:highlight w:val="none"/>
              </w:rPr>
            </w:pPr>
          </w:p>
        </w:tc>
        <w:tc>
          <w:tcPr>
            <w:tcW w:w="2493" w:type="dxa"/>
            <w:vAlign w:val="center"/>
          </w:tcPr>
          <w:p>
            <w:pPr>
              <w:jc w:val="center"/>
              <w:rPr>
                <w:rFonts w:ascii="Times New Roman" w:hAnsi="Times New Roman" w:eastAsia="宋体" w:cs="Times New Roman"/>
                <w:color w:val="auto"/>
                <w:kern w:val="0"/>
                <w:szCs w:val="21"/>
                <w:highlight w:val="none"/>
              </w:rPr>
            </w:pPr>
          </w:p>
        </w:tc>
        <w:tc>
          <w:tcPr>
            <w:tcW w:w="2228" w:type="dxa"/>
            <w:vAlign w:val="center"/>
          </w:tcPr>
          <w:p>
            <w:pPr>
              <w:jc w:val="center"/>
              <w:rPr>
                <w:rFonts w:ascii="Times New Roman" w:hAnsi="Times New Roman" w:eastAsia="宋体" w:cs="Times New Roman"/>
                <w:color w:val="auto"/>
                <w:kern w:val="0"/>
                <w:szCs w:val="21"/>
                <w:highlight w:val="none"/>
              </w:rPr>
            </w:pPr>
          </w:p>
        </w:tc>
        <w:tc>
          <w:tcPr>
            <w:tcW w:w="817" w:type="dxa"/>
            <w:vAlign w:val="center"/>
          </w:tcPr>
          <w:p>
            <w:pPr>
              <w:jc w:val="center"/>
              <w:rPr>
                <w:rFonts w:ascii="Times New Roman" w:hAnsi="Times New Roman" w:eastAsia="宋体" w:cs="Times New Roman"/>
                <w:color w:val="auto"/>
                <w:kern w:val="0"/>
                <w:szCs w:val="21"/>
                <w:highlight w:val="none"/>
              </w:rPr>
            </w:pPr>
          </w:p>
        </w:tc>
        <w:tc>
          <w:tcPr>
            <w:tcW w:w="968" w:type="dxa"/>
            <w:vAlign w:val="center"/>
          </w:tcPr>
          <w:p>
            <w:pPr>
              <w:jc w:val="center"/>
              <w:rPr>
                <w:rFonts w:ascii="Times New Roman" w:hAnsi="Times New Roman" w:eastAsia="宋体" w:cs="Times New Roman"/>
                <w:color w:val="auto"/>
                <w:kern w:val="0"/>
                <w:szCs w:val="21"/>
                <w:highlight w:val="none"/>
              </w:rPr>
            </w:pPr>
          </w:p>
        </w:tc>
        <w:tc>
          <w:tcPr>
            <w:tcW w:w="1986" w:type="dxa"/>
            <w:vAlign w:val="center"/>
          </w:tcPr>
          <w:p>
            <w:pPr>
              <w:jc w:val="center"/>
              <w:rPr>
                <w:rFonts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pPr>
              <w:jc w:val="center"/>
              <w:rPr>
                <w:rFonts w:ascii="Times New Roman" w:hAnsi="Times New Roman" w:eastAsia="宋体" w:cs="Times New Roman"/>
                <w:color w:val="auto"/>
                <w:kern w:val="0"/>
                <w:sz w:val="20"/>
                <w:szCs w:val="20"/>
                <w:highlight w:val="none"/>
              </w:rPr>
            </w:pPr>
          </w:p>
        </w:tc>
        <w:tc>
          <w:tcPr>
            <w:tcW w:w="2493" w:type="dxa"/>
            <w:vAlign w:val="center"/>
          </w:tcPr>
          <w:p>
            <w:pPr>
              <w:jc w:val="center"/>
              <w:rPr>
                <w:rFonts w:ascii="Times New Roman" w:hAnsi="Times New Roman" w:eastAsia="宋体" w:cs="Times New Roman"/>
                <w:color w:val="auto"/>
                <w:kern w:val="0"/>
                <w:sz w:val="20"/>
                <w:szCs w:val="20"/>
                <w:highlight w:val="none"/>
              </w:rPr>
            </w:pPr>
          </w:p>
        </w:tc>
        <w:tc>
          <w:tcPr>
            <w:tcW w:w="2228" w:type="dxa"/>
            <w:vAlign w:val="center"/>
          </w:tcPr>
          <w:p>
            <w:pPr>
              <w:jc w:val="center"/>
              <w:rPr>
                <w:rFonts w:ascii="Times New Roman" w:hAnsi="Times New Roman" w:eastAsia="宋体" w:cs="Times New Roman"/>
                <w:color w:val="auto"/>
                <w:kern w:val="0"/>
                <w:sz w:val="20"/>
                <w:szCs w:val="20"/>
                <w:highlight w:val="none"/>
              </w:rPr>
            </w:pPr>
          </w:p>
        </w:tc>
        <w:tc>
          <w:tcPr>
            <w:tcW w:w="817" w:type="dxa"/>
            <w:vAlign w:val="center"/>
          </w:tcPr>
          <w:p>
            <w:pPr>
              <w:jc w:val="center"/>
              <w:rPr>
                <w:rFonts w:ascii="Times New Roman" w:hAnsi="Times New Roman" w:eastAsia="宋体" w:cs="Times New Roman"/>
                <w:color w:val="auto"/>
                <w:kern w:val="0"/>
                <w:sz w:val="20"/>
                <w:szCs w:val="20"/>
                <w:highlight w:val="none"/>
              </w:rPr>
            </w:pPr>
          </w:p>
        </w:tc>
        <w:tc>
          <w:tcPr>
            <w:tcW w:w="968" w:type="dxa"/>
            <w:vAlign w:val="center"/>
          </w:tcPr>
          <w:p>
            <w:pPr>
              <w:jc w:val="center"/>
              <w:rPr>
                <w:rFonts w:ascii="Times New Roman" w:hAnsi="Times New Roman" w:eastAsia="宋体" w:cs="Times New Roman"/>
                <w:color w:val="auto"/>
                <w:kern w:val="0"/>
                <w:sz w:val="20"/>
                <w:szCs w:val="20"/>
                <w:highlight w:val="none"/>
              </w:rPr>
            </w:pPr>
          </w:p>
        </w:tc>
        <w:tc>
          <w:tcPr>
            <w:tcW w:w="1986" w:type="dxa"/>
            <w:vAlign w:val="center"/>
          </w:tcPr>
          <w:p>
            <w:pPr>
              <w:jc w:val="center"/>
              <w:rPr>
                <w:rFonts w:ascii="Times New Roman" w:hAnsi="Times New Roman" w:eastAsia="宋体" w:cs="Times New Roman"/>
                <w:color w:val="auto"/>
                <w:kern w:val="0"/>
                <w:sz w:val="20"/>
                <w:szCs w:val="20"/>
                <w:highlight w:val="none"/>
              </w:rPr>
            </w:pPr>
          </w:p>
        </w:tc>
      </w:tr>
    </w:tbl>
    <w:p>
      <w:pPr>
        <w:spacing w:line="20" w:lineRule="exact"/>
        <w:rPr>
          <w:color w:val="auto"/>
          <w:highlight w:val="none"/>
        </w:rPr>
      </w:pPr>
      <w:r>
        <w:rPr>
          <w:color w:val="auto"/>
          <w:highlight w:val="none"/>
        </w:rPr>
        <w:br w:type="page"/>
      </w:r>
    </w:p>
    <w:p>
      <w:pPr>
        <w:adjustRightInd w:val="0"/>
        <w:snapToGrid w:val="0"/>
        <w:spacing w:line="360" w:lineRule="auto"/>
        <w:jc w:val="center"/>
        <w:outlineLvl w:val="0"/>
        <w:rPr>
          <w:rFonts w:ascii="黑体" w:hAnsi="黑体" w:eastAsia="黑体" w:cs="黑体"/>
          <w:bCs/>
          <w:color w:val="auto"/>
          <w:sz w:val="32"/>
          <w:szCs w:val="32"/>
          <w:highlight w:val="none"/>
        </w:rPr>
      </w:pPr>
      <w:bookmarkStart w:id="5020" w:name="_Toc2544"/>
      <w:bookmarkStart w:id="5021" w:name="_Toc22956"/>
      <w:bookmarkStart w:id="5022" w:name="_Toc15633"/>
      <w:bookmarkStart w:id="5023" w:name="_Toc12490"/>
      <w:bookmarkStart w:id="5024" w:name="_Toc26191"/>
      <w:bookmarkStart w:id="5025" w:name="_Toc7987"/>
      <w:r>
        <w:rPr>
          <w:rFonts w:hint="eastAsia" w:ascii="黑体" w:hAnsi="黑体" w:eastAsia="黑体" w:cs="黑体"/>
          <w:bCs/>
          <w:color w:val="auto"/>
          <w:sz w:val="32"/>
          <w:szCs w:val="32"/>
          <w:highlight w:val="none"/>
        </w:rPr>
        <w:t>第九章  投标文件格式</w:t>
      </w:r>
      <w:bookmarkEnd w:id="5020"/>
      <w:bookmarkEnd w:id="5021"/>
      <w:bookmarkEnd w:id="5022"/>
      <w:bookmarkEnd w:id="5023"/>
      <w:bookmarkEnd w:id="5024"/>
      <w:bookmarkEnd w:id="5025"/>
    </w:p>
    <w:p>
      <w:pPr>
        <w:rPr>
          <w:color w:val="auto"/>
          <w:highlight w:val="none"/>
        </w:rPr>
      </w:pPr>
      <w:r>
        <w:rPr>
          <w:color w:val="auto"/>
          <w:highlight w:val="none"/>
        </w:rPr>
        <w:br w:type="page"/>
      </w:r>
    </w:p>
    <w:p>
      <w:pPr>
        <w:adjustRightInd w:val="0"/>
        <w:snapToGrid w:val="0"/>
        <w:spacing w:line="360" w:lineRule="auto"/>
        <w:ind w:firstLine="6425" w:firstLineChars="200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工程编号：</w:t>
      </w:r>
      <w:r>
        <w:rPr>
          <w:rFonts w:hint="eastAsia" w:ascii="宋体" w:hAnsi="宋体" w:eastAsia="宋体" w:cs="宋体"/>
          <w:b/>
          <w:color w:val="auto"/>
          <w:sz w:val="32"/>
          <w:szCs w:val="32"/>
          <w:highlight w:val="none"/>
          <w:u w:val="single"/>
        </w:rPr>
        <w:t>_______</w:t>
      </w:r>
    </w:p>
    <w:p>
      <w:pPr>
        <w:adjustRightInd w:val="0"/>
        <w:snapToGrid w:val="0"/>
        <w:spacing w:line="360" w:lineRule="auto"/>
        <w:rPr>
          <w:rFonts w:ascii="宋体" w:hAnsi="宋体" w:eastAsia="宋体" w:cs="宋体"/>
          <w:b/>
          <w:color w:val="auto"/>
          <w:sz w:val="28"/>
          <w:highlight w:val="none"/>
        </w:rPr>
      </w:pPr>
    </w:p>
    <w:p>
      <w:pPr>
        <w:adjustRightInd w:val="0"/>
        <w:snapToGrid w:val="0"/>
        <w:spacing w:line="360" w:lineRule="auto"/>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深圳市建设工程施工招标</w:t>
      </w:r>
    </w:p>
    <w:p>
      <w:pPr>
        <w:adjustRightInd w:val="0"/>
        <w:snapToGrid w:val="0"/>
        <w:spacing w:line="360" w:lineRule="auto"/>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投 标 文 件</w:t>
      </w:r>
    </w:p>
    <w:p>
      <w:pPr>
        <w:adjustRightInd w:val="0"/>
        <w:snapToGrid w:val="0"/>
        <w:spacing w:line="360" w:lineRule="auto"/>
        <w:jc w:val="center"/>
        <w:rPr>
          <w:rFonts w:ascii="华文细黑"/>
          <w:b/>
          <w:color w:val="auto"/>
          <w:sz w:val="72"/>
          <w:highlight w:val="none"/>
        </w:rPr>
      </w:pPr>
    </w:p>
    <w:p>
      <w:pPr>
        <w:adjustRightInd w:val="0"/>
        <w:snapToGrid w:val="0"/>
        <w:spacing w:line="360" w:lineRule="auto"/>
        <w:jc w:val="center"/>
        <w:rPr>
          <w:rFonts w:ascii="华文细黑"/>
          <w:b/>
          <w:color w:val="auto"/>
          <w:sz w:val="72"/>
          <w:highlight w:val="none"/>
        </w:rPr>
      </w:pPr>
    </w:p>
    <w:p>
      <w:pPr>
        <w:adjustRightInd w:val="0"/>
        <w:snapToGrid w:val="0"/>
        <w:spacing w:line="360" w:lineRule="auto"/>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工程名称：</w:t>
      </w:r>
      <w:r>
        <w:rPr>
          <w:rFonts w:hint="eastAsia" w:ascii="宋体" w:hAnsi="宋体" w:eastAsia="宋体" w:cs="宋体"/>
          <w:b/>
          <w:bCs/>
          <w:color w:val="auto"/>
          <w:sz w:val="32"/>
          <w:szCs w:val="32"/>
          <w:highlight w:val="none"/>
          <w:u w:val="single"/>
        </w:rPr>
        <w:t>_________________________________________</w:t>
      </w:r>
    </w:p>
    <w:p>
      <w:pPr>
        <w:adjustRightInd w:val="0"/>
        <w:snapToGrid w:val="0"/>
        <w:spacing w:line="360" w:lineRule="auto"/>
        <w:rPr>
          <w:rFonts w:ascii="宋体" w:hAnsi="宋体" w:eastAsia="宋体" w:cs="宋体"/>
          <w:b/>
          <w:color w:val="auto"/>
          <w:sz w:val="32"/>
          <w:highlight w:val="none"/>
        </w:rPr>
      </w:pPr>
    </w:p>
    <w:p>
      <w:pPr>
        <w:adjustRightInd w:val="0"/>
        <w:snapToGrid w:val="0"/>
        <w:spacing w:line="360" w:lineRule="auto"/>
        <w:rPr>
          <w:rFonts w:ascii="宋体" w:hAnsi="宋体" w:eastAsia="宋体" w:cs="宋体"/>
          <w:b/>
          <w:bCs/>
          <w:color w:val="auto"/>
          <w:sz w:val="32"/>
          <w:szCs w:val="32"/>
          <w:highlight w:val="none"/>
        </w:rPr>
      </w:pPr>
      <w:bookmarkStart w:id="5026" w:name="_Toc13739"/>
      <w:bookmarkStart w:id="5027" w:name="_Toc16106"/>
      <w:bookmarkStart w:id="5028" w:name="_Toc29899"/>
      <w:bookmarkStart w:id="5029" w:name="_Toc12920"/>
      <w:r>
        <w:rPr>
          <w:rFonts w:hint="eastAsia" w:ascii="宋体" w:hAnsi="宋体" w:eastAsia="宋体" w:cs="宋体"/>
          <w:b/>
          <w:bCs/>
          <w:color w:val="auto"/>
          <w:sz w:val="32"/>
          <w:szCs w:val="32"/>
          <w:highlight w:val="none"/>
        </w:rPr>
        <w:t>投标文件内容：</w:t>
      </w:r>
      <w:r>
        <w:rPr>
          <w:rFonts w:hint="eastAsia" w:ascii="宋体" w:hAnsi="宋体" w:eastAsia="宋体" w:cs="宋体"/>
          <w:b/>
          <w:bCs/>
          <w:color w:val="auto"/>
          <w:sz w:val="32"/>
          <w:szCs w:val="32"/>
          <w:highlight w:val="none"/>
          <w:u w:val="single"/>
        </w:rPr>
        <w:t>______    资格审查文件    __________</w:t>
      </w:r>
    </w:p>
    <w:bookmarkEnd w:id="5026"/>
    <w:bookmarkEnd w:id="5027"/>
    <w:bookmarkEnd w:id="5028"/>
    <w:bookmarkEnd w:id="5029"/>
    <w:p>
      <w:pPr>
        <w:adjustRightInd w:val="0"/>
        <w:snapToGrid w:val="0"/>
        <w:spacing w:line="360" w:lineRule="auto"/>
        <w:rPr>
          <w:rFonts w:ascii="宋体" w:hAnsi="宋体" w:eastAsia="宋体" w:cs="宋体"/>
          <w:b/>
          <w:color w:val="auto"/>
          <w:sz w:val="32"/>
          <w:highlight w:val="none"/>
        </w:rPr>
      </w:pPr>
      <w:r>
        <w:rPr>
          <w:rFonts w:hint="eastAsia" w:ascii="宋体" w:hAnsi="宋体" w:eastAsia="宋体" w:cs="宋体"/>
          <w:b/>
          <w:bCs/>
          <w:color w:val="auto"/>
          <w:sz w:val="32"/>
          <w:szCs w:val="32"/>
          <w:highlight w:val="none"/>
          <w:u w:val="none"/>
        </w:rPr>
        <w:t xml:space="preserve">  </w:t>
      </w:r>
    </w:p>
    <w:p>
      <w:pPr>
        <w:adjustRightInd w:val="0"/>
        <w:snapToGrid w:val="0"/>
        <w:spacing w:line="360" w:lineRule="auto"/>
        <w:rPr>
          <w:rFonts w:ascii="宋体" w:hAnsi="宋体" w:eastAsia="宋体" w:cs="宋体"/>
          <w:b/>
          <w:color w:val="auto"/>
          <w:sz w:val="32"/>
          <w:highlight w:val="none"/>
        </w:rPr>
      </w:pPr>
      <w:r>
        <w:rPr>
          <w:rFonts w:hint="eastAsia" w:ascii="宋体" w:hAnsi="宋体" w:eastAsia="宋体" w:cs="宋体"/>
          <w:b/>
          <w:color w:val="auto"/>
          <w:sz w:val="32"/>
          <w:highlight w:val="none"/>
        </w:rPr>
        <w:t>投标人：</w:t>
      </w:r>
      <w:r>
        <w:rPr>
          <w:rFonts w:hint="eastAsia" w:ascii="宋体" w:hAnsi="宋体" w:eastAsia="宋体" w:cs="宋体"/>
          <w:b/>
          <w:color w:val="auto"/>
          <w:sz w:val="32"/>
          <w:highlight w:val="none"/>
          <w:u w:val="single"/>
        </w:rPr>
        <w:t>_____________________________________</w:t>
      </w:r>
    </w:p>
    <w:p>
      <w:pPr>
        <w:adjustRightInd w:val="0"/>
        <w:snapToGrid w:val="0"/>
        <w:spacing w:line="360" w:lineRule="auto"/>
        <w:rPr>
          <w:rFonts w:ascii="宋体" w:hAnsi="宋体" w:eastAsia="宋体" w:cs="宋体"/>
          <w:b/>
          <w:color w:val="auto"/>
          <w:sz w:val="32"/>
          <w:highlight w:val="none"/>
        </w:rPr>
      </w:pPr>
    </w:p>
    <w:p>
      <w:pPr>
        <w:adjustRightInd w:val="0"/>
        <w:snapToGrid w:val="0"/>
        <w:spacing w:line="360" w:lineRule="auto"/>
        <w:rPr>
          <w:rFonts w:ascii="宋体" w:hAnsi="宋体" w:eastAsia="宋体" w:cs="宋体"/>
          <w:b/>
          <w:color w:val="auto"/>
          <w:sz w:val="32"/>
          <w:highlight w:val="none"/>
        </w:rPr>
      </w:pPr>
    </w:p>
    <w:p>
      <w:pPr>
        <w:adjustRightInd w:val="0"/>
        <w:snapToGrid w:val="0"/>
        <w:spacing w:line="360" w:lineRule="auto"/>
        <w:rPr>
          <w:color w:val="auto"/>
          <w:highlight w:val="none"/>
        </w:rPr>
      </w:pPr>
      <w:r>
        <w:rPr>
          <w:rFonts w:hint="eastAsia" w:ascii="宋体" w:hAnsi="宋体" w:eastAsia="宋体" w:cs="宋体"/>
          <w:b/>
          <w:color w:val="auto"/>
          <w:sz w:val="32"/>
          <w:highlight w:val="none"/>
        </w:rPr>
        <w:t>日期：</w:t>
      </w:r>
      <w:r>
        <w:rPr>
          <w:rFonts w:hint="eastAsia" w:ascii="宋体" w:hAnsi="宋体" w:eastAsia="宋体" w:cs="宋体"/>
          <w:b/>
          <w:color w:val="auto"/>
          <w:sz w:val="32"/>
          <w:highlight w:val="none"/>
          <w:u w:val="single"/>
        </w:rPr>
        <w:t>____________</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______</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______</w:t>
      </w:r>
      <w:r>
        <w:rPr>
          <w:rFonts w:hint="eastAsia" w:ascii="宋体" w:hAnsi="宋体" w:eastAsia="宋体" w:cs="宋体"/>
          <w:b/>
          <w:color w:val="auto"/>
          <w:sz w:val="32"/>
          <w:highlight w:val="none"/>
        </w:rPr>
        <w:t>日</w:t>
      </w:r>
      <w:r>
        <w:rPr>
          <w:color w:val="auto"/>
          <w:highlight w:val="none"/>
        </w:rPr>
        <w:br w:type="page"/>
      </w:r>
    </w:p>
    <w:p>
      <w:pPr>
        <w:adjustRightInd w:val="0"/>
        <w:snapToGrid w:val="0"/>
        <w:spacing w:after="156" w:afterLines="50" w:line="360" w:lineRule="auto"/>
        <w:jc w:val="center"/>
        <w:rPr>
          <w:b/>
          <w:color w:val="auto"/>
          <w:sz w:val="32"/>
          <w:highlight w:val="none"/>
        </w:rPr>
      </w:pPr>
    </w:p>
    <w:p>
      <w:pPr>
        <w:adjustRightInd w:val="0"/>
        <w:snapToGrid w:val="0"/>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资格审查文件目录</w:t>
      </w:r>
    </w:p>
    <w:p>
      <w:pPr>
        <w:adjustRightInd w:val="0"/>
        <w:snapToGrid w:val="0"/>
        <w:spacing w:line="360" w:lineRule="auto"/>
        <w:ind w:firstLine="420" w:firstLineChars="200"/>
        <w:rPr>
          <w:rFonts w:ascii="宋体" w:hAnsi="宋体" w:eastAsia="宋体" w:cs="宋体"/>
          <w:color w:val="auto"/>
          <w:highlight w:val="none"/>
        </w:rPr>
      </w:pP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1、投标人营业执照（扫描件）；</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2、投标人资质证书（扫描件）；</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3、投标人安全生产许可证证明以及拟派项目经理的安全生产考核合格证证明（扫描件）；</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4、投标人拟派出的项目经理的《注册建造师证》的扫描件；</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5、投标担保证明文件扫描件（如银行保函、保证金、投标保证保险合同或保险单</w:t>
      </w:r>
      <w:r>
        <w:rPr>
          <w:rFonts w:hint="eastAsia" w:ascii="宋体" w:hAnsi="宋体" w:eastAsia="宋体" w:cs="宋体"/>
          <w:color w:val="auto"/>
          <w:szCs w:val="21"/>
          <w:highlight w:val="none"/>
          <w:lang w:eastAsia="zh-CN"/>
        </w:rPr>
        <w:t>、投标保证金承诺函</w:t>
      </w:r>
      <w:r>
        <w:rPr>
          <w:rFonts w:hint="eastAsia" w:ascii="宋体" w:hAnsi="宋体" w:eastAsia="宋体" w:cs="宋体"/>
          <w:color w:val="auto"/>
          <w:szCs w:val="21"/>
          <w:highlight w:val="none"/>
        </w:rPr>
        <w:t>等）；</w:t>
      </w:r>
    </w:p>
    <w:p>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6、中小企业声明函；</w:t>
      </w:r>
    </w:p>
    <w:p>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、招标人要求提供的与投标人条件审查有关的其他资格证明材料：（必须详细、明确、足以证明资格条件）。所有扫描件格式为jpg格式，且图片的分辨率小于100dpi</w:t>
      </w:r>
      <w:r>
        <w:rPr>
          <w:rFonts w:hint="eastAsia" w:ascii="宋体" w:hAnsi="宋体" w:eastAsia="宋体" w:cs="宋体"/>
          <w:color w:val="auto"/>
          <w:szCs w:val="21"/>
          <w:highlight w:val="none"/>
          <w:lang w:eastAsia="zh-CN"/>
        </w:rPr>
        <w:t>；</w:t>
      </w:r>
    </w:p>
    <w:p>
      <w:pPr>
        <w:adjustRightInd w:val="0"/>
        <w:snapToGrid w:val="0"/>
        <w:spacing w:line="360" w:lineRule="auto"/>
        <w:ind w:firstLine="411" w:firstLineChars="196"/>
        <w:rPr>
          <w:rFonts w:ascii="宋体" w:hAnsi="宋体" w:eastAsia="宋体" w:cs="宋体"/>
          <w:color w:val="auto"/>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br w:type="page"/>
      </w:r>
    </w:p>
    <w:p>
      <w:pPr>
        <w:adjustRightInd w:val="0"/>
        <w:snapToGrid w:val="0"/>
        <w:spacing w:line="360" w:lineRule="auto"/>
        <w:jc w:val="center"/>
        <w:rPr>
          <w:rFonts w:ascii="宋体" w:hAnsi="宋体" w:eastAsia="宋体" w:cs="宋体"/>
          <w:color w:val="auto"/>
          <w:sz w:val="44"/>
          <w:highlight w:val="none"/>
        </w:rPr>
      </w:pPr>
      <w:r>
        <w:rPr>
          <w:rFonts w:hint="eastAsia" w:ascii="宋体" w:hAnsi="宋体" w:eastAsia="宋体" w:cs="宋体"/>
          <w:color w:val="auto"/>
          <w:sz w:val="44"/>
          <w:highlight w:val="none"/>
        </w:rPr>
        <w:t>投标保函</w:t>
      </w:r>
    </w:p>
    <w:p>
      <w:pPr>
        <w:adjustRightInd w:val="0"/>
        <w:snapToGrid w:val="0"/>
        <w:ind w:firstLine="5670" w:firstLineChars="2700"/>
        <w:rPr>
          <w:rFonts w:ascii="宋体" w:hAnsi="宋体" w:eastAsia="宋体" w:cs="宋体"/>
          <w:color w:val="auto"/>
          <w:szCs w:val="21"/>
          <w:highlight w:val="none"/>
        </w:rPr>
      </w:pPr>
      <w:r>
        <w:rPr>
          <w:rFonts w:hint="eastAsia" w:ascii="宋体" w:hAnsi="宋体" w:eastAsia="宋体" w:cs="宋体"/>
          <w:color w:val="auto"/>
          <w:szCs w:val="21"/>
          <w:highlight w:val="none"/>
        </w:rPr>
        <w:t>保函编号：</w:t>
      </w:r>
      <w:r>
        <w:rPr>
          <w:rFonts w:hint="eastAsia" w:ascii="宋体" w:hAnsi="宋体" w:eastAsia="宋体" w:cs="宋体"/>
          <w:color w:val="auto"/>
          <w:szCs w:val="21"/>
          <w:highlight w:val="none"/>
          <w:u w:val="single"/>
        </w:rPr>
        <w:t>__________</w:t>
      </w:r>
    </w:p>
    <w:p>
      <w:pPr>
        <w:adjustRightInd w:val="0"/>
        <w:snapToGrid w:val="0"/>
        <w:spacing w:line="360" w:lineRule="exact"/>
        <w:rPr>
          <w:rFonts w:ascii="宋体" w:hAnsi="宋体" w:eastAsia="宋体" w:cs="宋体"/>
          <w:color w:val="auto"/>
          <w:szCs w:val="21"/>
          <w:highlight w:val="none"/>
        </w:rPr>
      </w:pPr>
    </w:p>
    <w:p>
      <w:pPr>
        <w:adjustRightInd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______________________________</w:t>
      </w:r>
      <w:r>
        <w:rPr>
          <w:rFonts w:hint="eastAsia" w:ascii="宋体" w:hAnsi="宋体" w:eastAsia="宋体" w:cs="宋体"/>
          <w:color w:val="auto"/>
          <w:szCs w:val="21"/>
          <w:highlight w:val="none"/>
        </w:rPr>
        <w:t>（下称受益人）：</w:t>
      </w:r>
    </w:p>
    <w:p>
      <w:pPr>
        <w:adjustRightInd w:val="0"/>
        <w:snapToGrid w:val="0"/>
        <w:spacing w:line="36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_____________________________</w:t>
      </w:r>
      <w:r>
        <w:rPr>
          <w:rFonts w:hint="eastAsia" w:ascii="宋体" w:hAnsi="宋体" w:eastAsia="宋体" w:cs="宋体"/>
          <w:color w:val="auto"/>
          <w:szCs w:val="21"/>
          <w:highlight w:val="none"/>
        </w:rPr>
        <w:t>（下称被保证人）将参加贵方标段编号为</w:t>
      </w:r>
      <w:r>
        <w:rPr>
          <w:rFonts w:hint="eastAsia" w:ascii="宋体" w:hAnsi="宋体" w:eastAsia="宋体" w:cs="宋体"/>
          <w:color w:val="auto"/>
          <w:szCs w:val="21"/>
          <w:highlight w:val="none"/>
          <w:u w:val="single"/>
        </w:rPr>
        <w:t>______________</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____________________________________</w:t>
      </w:r>
      <w:r>
        <w:rPr>
          <w:rFonts w:hint="eastAsia" w:ascii="宋体" w:hAnsi="宋体" w:eastAsia="宋体" w:cs="宋体"/>
          <w:color w:val="auto"/>
          <w:szCs w:val="21"/>
          <w:highlight w:val="none"/>
        </w:rPr>
        <w:t>工程的投标，我方接受被保证人的委托，在此向受益人提供不可撤销的投标保证：</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一、本保证担保的担保金额为</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（币种）</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元（小写）</w:t>
      </w:r>
      <w:r>
        <w:rPr>
          <w:rFonts w:hint="eastAsia" w:ascii="宋体" w:hAnsi="宋体" w:eastAsia="宋体" w:cs="宋体"/>
          <w:color w:val="auto"/>
          <w:szCs w:val="21"/>
          <w:highlight w:val="none"/>
          <w:u w:val="single"/>
        </w:rPr>
        <w:t>_____________</w:t>
      </w:r>
      <w:r>
        <w:rPr>
          <w:rFonts w:hint="eastAsia" w:ascii="宋体" w:hAnsi="宋体" w:eastAsia="宋体" w:cs="宋体"/>
          <w:color w:val="auto"/>
          <w:szCs w:val="21"/>
          <w:highlight w:val="none"/>
        </w:rPr>
        <w:t>（大写）。</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二、本保证担保的保证期间为该工程的投标有效期（或延长的投标有效期）后28日（含28日），延长投标有效期无须通知我方。</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三、在本保证担保的保证期间内，如果被保证人出现下列情形之一，受益人可以向我方提起索赔：</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1.被保证人在招标文件规定的投标有效期内撤回其投标；</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2.被保证人在投标有效期内收到受益人发出的中标通知书后，不能或拒绝按招标文件的要求签署施工合同；</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3.被保证人在投标有效期内收到受益人发出的中标通知书后，不能或拒绝按招标文件的规定提交履约担保。</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四、在本保证担保的保证期间内，我方收到受益人经法定代表人或其授权委托代理人签字并加盖公章的书面索赔通知后，将不争辩、不挑剔、不可撤销地立即向受益人支付本保证担保的担保金额。</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五、受益人的索赔通知应当说明索赔理由，并必须在本保证担保的保证期间内以专人送达或邮寄送达的方式送达我方。</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六、本保证担保项下的权利不得转让。</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七、本保证担保的保证期间届满，或我方已向受益人支付本保证担保的担保金额，我方的保证责任免除。</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八、本保证担保适用中华人民共和国法律。</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九、本保证担保以中文文本为准，涂改无效。</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保证人（盖章）：</w:t>
      </w:r>
      <w:r>
        <w:rPr>
          <w:rFonts w:hint="eastAsia" w:ascii="宋体" w:hAnsi="宋体" w:eastAsia="宋体" w:cs="宋体"/>
          <w:color w:val="auto"/>
          <w:szCs w:val="21"/>
          <w:highlight w:val="none"/>
          <w:u w:val="single"/>
        </w:rPr>
        <w:t>___________________________________________________</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法定代表人或其授权委托代理人（签字或盖章）：</w:t>
      </w:r>
      <w:r>
        <w:rPr>
          <w:rFonts w:hint="eastAsia" w:ascii="宋体" w:hAnsi="宋体" w:eastAsia="宋体" w:cs="宋体"/>
          <w:color w:val="auto"/>
          <w:szCs w:val="21"/>
          <w:highlight w:val="none"/>
          <w:u w:val="single"/>
        </w:rPr>
        <w:t>_______________________</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________________________________________________________</w:t>
      </w:r>
    </w:p>
    <w:p>
      <w:pPr>
        <w:adjustRightInd w:val="0"/>
        <w:snapToGrid w:val="0"/>
        <w:spacing w:line="36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___________</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_________________</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________________</w:t>
      </w:r>
    </w:p>
    <w:p>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__________</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______</w:t>
      </w:r>
      <w:r>
        <w:rPr>
          <w:rFonts w:hint="eastAsia" w:ascii="宋体" w:hAnsi="宋体" w:eastAsia="宋体" w:cs="宋体"/>
          <w:color w:val="auto"/>
          <w:szCs w:val="21"/>
          <w:highlight w:val="none"/>
        </w:rPr>
        <w:t>日</w:t>
      </w:r>
    </w:p>
    <w:p>
      <w:pPr>
        <w:tabs>
          <w:tab w:val="right" w:pos="8730"/>
        </w:tabs>
        <w:adjustRightInd w:val="0"/>
        <w:snapToGrid w:val="0"/>
        <w:spacing w:line="360" w:lineRule="exact"/>
        <w:rPr>
          <w:rFonts w:ascii="宋体" w:hAnsi="宋体" w:eastAsia="宋体" w:cs="宋体"/>
          <w:color w:val="auto"/>
          <w:szCs w:val="21"/>
          <w:highlight w:val="none"/>
        </w:rPr>
      </w:pPr>
    </w:p>
    <w:p>
      <w:pPr>
        <w:adjustRightInd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（本保函失效后，请将原件退回我方注销）</w:t>
      </w:r>
    </w:p>
    <w:p>
      <w:pPr>
        <w:adjustRightInd w:val="0"/>
        <w:snapToGrid w:val="0"/>
        <w:spacing w:line="360" w:lineRule="exact"/>
        <w:rPr>
          <w:rFonts w:ascii="宋体" w:hAnsi="宋体" w:eastAsia="宋体" w:cs="宋体"/>
          <w:color w:val="auto"/>
          <w:szCs w:val="21"/>
          <w:highlight w:val="none"/>
        </w:rPr>
      </w:pPr>
    </w:p>
    <w:p>
      <w:pPr>
        <w:adjustRightInd w:val="0"/>
        <w:snapToGrid w:val="0"/>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注：如果投标人不采用以上投标保函格式，拟采用的投标保函格式须经招标人确认。</w:t>
      </w:r>
    </w:p>
    <w:p>
      <w:pPr>
        <w:adjustRightInd w:val="0"/>
        <w:snapToGrid w:val="0"/>
        <w:spacing w:line="360" w:lineRule="exact"/>
        <w:jc w:val="center"/>
        <w:rPr>
          <w:rFonts w:ascii="宋体" w:hAnsi="宋体" w:eastAsia="宋体" w:cs="宋体"/>
          <w:color w:val="auto"/>
          <w:szCs w:val="21"/>
          <w:highlight w:val="none"/>
        </w:rPr>
      </w:pPr>
    </w:p>
    <w:p>
      <w:pPr>
        <w:adjustRightInd w:val="0"/>
        <w:snapToGrid w:val="0"/>
        <w:spacing w:line="360" w:lineRule="exact"/>
        <w:jc w:val="center"/>
        <w:rPr>
          <w:rFonts w:ascii="宋体" w:hAnsi="宋体" w:eastAsia="宋体" w:cs="宋体"/>
          <w:color w:val="auto"/>
          <w:szCs w:val="21"/>
          <w:highlight w:val="none"/>
        </w:rPr>
      </w:pPr>
    </w:p>
    <w:p>
      <w:pPr>
        <w:adjustRightInd w:val="0"/>
        <w:snapToGrid w:val="0"/>
        <w:spacing w:line="360" w:lineRule="auto"/>
        <w:jc w:val="center"/>
        <w:rPr>
          <w:rFonts w:ascii="宋体" w:hAnsi="宋体" w:eastAsia="宋体" w:cs="宋体"/>
          <w:color w:val="auto"/>
          <w:sz w:val="44"/>
          <w:highlight w:val="none"/>
        </w:rPr>
      </w:pPr>
      <w:bookmarkStart w:id="5030" w:name="_Hlk86676344"/>
      <w:r>
        <w:rPr>
          <w:rFonts w:hint="eastAsia" w:ascii="宋体" w:hAnsi="宋体" w:eastAsia="宋体" w:cs="宋体"/>
          <w:color w:val="auto"/>
          <w:sz w:val="44"/>
          <w:highlight w:val="none"/>
        </w:rPr>
        <w:t>投标保证保险保险凭证</w:t>
      </w:r>
    </w:p>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 xml:space="preserve">                </w:t>
      </w:r>
      <w:r>
        <w:rPr>
          <w:rFonts w:hint="eastAsia" w:ascii="宋体" w:hAnsi="宋体" w:eastAsia="宋体" w:cs="宋体"/>
          <w:color w:val="auto"/>
          <w:szCs w:val="21"/>
          <w:highlight w:val="none"/>
        </w:rPr>
        <w:t>编号：</w:t>
      </w:r>
    </w:p>
    <w:p>
      <w:pPr>
        <w:pStyle w:val="97"/>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 xml:space="preserve"> </w:t>
      </w:r>
      <w:r>
        <w:rPr>
          <w:rFonts w:hint="eastAsia"/>
          <w:color w:val="auto"/>
          <w:kern w:val="2"/>
          <w:sz w:val="21"/>
          <w:szCs w:val="21"/>
          <w:highlight w:val="none"/>
          <w:u w:val="single"/>
        </w:rPr>
        <w:t xml:space="preserve">                  </w:t>
      </w:r>
      <w:r>
        <w:rPr>
          <w:rFonts w:hint="eastAsia"/>
          <w:color w:val="auto"/>
          <w:kern w:val="2"/>
          <w:sz w:val="21"/>
          <w:szCs w:val="21"/>
          <w:highlight w:val="none"/>
        </w:rPr>
        <w:t>（招标人）：</w:t>
      </w:r>
    </w:p>
    <w:p>
      <w:pPr>
        <w:pStyle w:val="97"/>
        <w:spacing w:before="0" w:beforeAutospacing="0" w:after="0" w:afterAutospacing="0" w:line="360" w:lineRule="auto"/>
        <w:ind w:firstLine="420" w:firstLineChars="200"/>
        <w:rPr>
          <w:color w:val="auto"/>
          <w:kern w:val="2"/>
          <w:sz w:val="21"/>
          <w:szCs w:val="21"/>
          <w:highlight w:val="none"/>
        </w:rPr>
      </w:pPr>
      <w:r>
        <w:rPr>
          <w:rFonts w:hint="eastAsia"/>
          <w:color w:val="auto"/>
          <w:kern w:val="2"/>
          <w:sz w:val="21"/>
          <w:szCs w:val="21"/>
          <w:highlight w:val="none"/>
        </w:rPr>
        <w:t>鉴于</w:t>
      </w:r>
      <w:r>
        <w:rPr>
          <w:rFonts w:hint="eastAsia"/>
          <w:color w:val="auto"/>
          <w:kern w:val="2"/>
          <w:sz w:val="21"/>
          <w:szCs w:val="21"/>
          <w:highlight w:val="none"/>
          <w:u w:val="single"/>
        </w:rPr>
        <w:t>             </w:t>
      </w:r>
      <w:r>
        <w:rPr>
          <w:rFonts w:hint="eastAsia"/>
          <w:color w:val="auto"/>
          <w:kern w:val="2"/>
          <w:sz w:val="21"/>
          <w:szCs w:val="21"/>
          <w:highlight w:val="none"/>
        </w:rPr>
        <w:t>（以下简称投标人）参加XXX项目投标（标段编号：XXXX），应投标人申请，根据招标文件，我方愿就投标人履行招标文件约定的义务以保证保险的方式向贵方提供如下保险服务：</w:t>
      </w:r>
    </w:p>
    <w:p>
      <w:pPr>
        <w:pStyle w:val="97"/>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一、保险的范围及保险金额</w:t>
      </w:r>
    </w:p>
    <w:p>
      <w:pPr>
        <w:pStyle w:val="97"/>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我方在投标人发生以下情形时承担保险责任：</w:t>
      </w:r>
    </w:p>
    <w:p>
      <w:pPr>
        <w:pStyle w:val="97"/>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1.投标人在招标文件规定的投标有效期内未经贵方许可撤回投标文件；</w:t>
      </w:r>
    </w:p>
    <w:p>
      <w:pPr>
        <w:pStyle w:val="97"/>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2.投标人中标后因自身原因未在招标文件规定的时间内与贵方签订施工合同；</w:t>
      </w:r>
    </w:p>
    <w:p>
      <w:pPr>
        <w:pStyle w:val="97"/>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3.投标人中标后未按照招标文件的规定提供履约保证；</w:t>
      </w:r>
    </w:p>
    <w:p>
      <w:pPr>
        <w:pStyle w:val="97"/>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4.招标文件规定的投标人应支付投标保证金的其他情形。</w:t>
      </w:r>
    </w:p>
    <w:p>
      <w:pPr>
        <w:pStyle w:val="97"/>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本保证保险的保证期间为该项目的投标有效期（或延长的投标有效期）后28日历天（含28日），延长投标有效期无须通知我方。我方保证的金额为人民币____________元（大写：</w:t>
      </w:r>
      <w:r>
        <w:rPr>
          <w:rFonts w:hint="eastAsia"/>
          <w:color w:val="auto"/>
          <w:kern w:val="2"/>
          <w:sz w:val="21"/>
          <w:szCs w:val="21"/>
          <w:highlight w:val="none"/>
          <w:u w:val="single"/>
        </w:rPr>
        <w:t>           </w:t>
      </w:r>
      <w:r>
        <w:rPr>
          <w:rFonts w:hint="eastAsia"/>
          <w:color w:val="auto"/>
          <w:kern w:val="2"/>
          <w:sz w:val="21"/>
          <w:szCs w:val="21"/>
          <w:highlight w:val="none"/>
        </w:rPr>
        <w:t>）。</w:t>
      </w:r>
    </w:p>
    <w:p>
      <w:pPr>
        <w:pStyle w:val="97"/>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二、代偿的安排</w:t>
      </w:r>
    </w:p>
    <w:p>
      <w:pPr>
        <w:pStyle w:val="97"/>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贵方要求我方承担保险责任的，应向我方发出书面索赔通知。索赔通知应写明要求索赔的金额，支付款项应到达的银行账号，并附投标人违约造成贵方损失情况的证明材料。</w:t>
      </w:r>
    </w:p>
    <w:p>
      <w:pPr>
        <w:pStyle w:val="97"/>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我方收到贵方的书面索赔通知及相应证明材料后，在10个工作日内进行核定并按照本保险凭证的承诺承担保险责任。</w:t>
      </w:r>
    </w:p>
    <w:p>
      <w:pPr>
        <w:pStyle w:val="97"/>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三、保险凭证的生效</w:t>
      </w:r>
    </w:p>
    <w:p>
      <w:pPr>
        <w:pStyle w:val="97"/>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本保险凭证自我方法定代表人（或其授权代理人）签字或加盖公章之日起生效。</w:t>
      </w:r>
    </w:p>
    <w:p>
      <w:pPr>
        <w:pStyle w:val="97"/>
        <w:spacing w:before="0" w:beforeAutospacing="0" w:after="0" w:afterAutospacing="0" w:line="360" w:lineRule="auto"/>
        <w:rPr>
          <w:color w:val="auto"/>
          <w:kern w:val="2"/>
          <w:sz w:val="21"/>
          <w:szCs w:val="21"/>
          <w:highlight w:val="none"/>
        </w:rPr>
      </w:pPr>
    </w:p>
    <w:p>
      <w:pPr>
        <w:pStyle w:val="97"/>
        <w:spacing w:before="0" w:beforeAutospacing="0" w:after="0" w:afterAutospacing="0" w:line="360" w:lineRule="auto"/>
        <w:rPr>
          <w:color w:val="auto"/>
          <w:kern w:val="2"/>
          <w:sz w:val="21"/>
          <w:szCs w:val="21"/>
          <w:highlight w:val="none"/>
        </w:rPr>
      </w:pPr>
      <w:r>
        <w:rPr>
          <w:rFonts w:hint="eastAsia"/>
          <w:color w:val="auto"/>
          <w:kern w:val="2"/>
          <w:sz w:val="21"/>
          <w:szCs w:val="21"/>
          <w:highlight w:val="none"/>
        </w:rPr>
        <w:t>附：《中国XXX财产保险股份有限公司投标保证保险(2016版)条款》及保单</w:t>
      </w:r>
    </w:p>
    <w:p>
      <w:pPr>
        <w:pStyle w:val="97"/>
        <w:spacing w:before="0" w:beforeAutospacing="0" w:after="0" w:afterAutospacing="0" w:line="360" w:lineRule="auto"/>
        <w:ind w:firstLine="4410" w:firstLineChars="2100"/>
        <w:rPr>
          <w:color w:val="auto"/>
          <w:kern w:val="2"/>
          <w:sz w:val="21"/>
          <w:szCs w:val="21"/>
          <w:highlight w:val="none"/>
        </w:rPr>
      </w:pPr>
      <w:r>
        <w:rPr>
          <w:rFonts w:hint="eastAsia"/>
          <w:color w:val="auto"/>
          <w:kern w:val="2"/>
          <w:sz w:val="21"/>
          <w:szCs w:val="21"/>
          <w:highlight w:val="none"/>
        </w:rPr>
        <w:t>保险人：</w:t>
      </w:r>
      <w:r>
        <w:rPr>
          <w:rFonts w:hint="eastAsia"/>
          <w:color w:val="auto"/>
          <w:kern w:val="2"/>
          <w:sz w:val="21"/>
          <w:szCs w:val="21"/>
          <w:highlight w:val="none"/>
          <w:u w:val="single"/>
        </w:rPr>
        <w:t xml:space="preserve">                    </w:t>
      </w:r>
      <w:r>
        <w:rPr>
          <w:rFonts w:hint="eastAsia"/>
          <w:color w:val="auto"/>
          <w:kern w:val="2"/>
          <w:sz w:val="21"/>
          <w:szCs w:val="21"/>
          <w:highlight w:val="none"/>
        </w:rPr>
        <w:t>（盖章）</w:t>
      </w:r>
    </w:p>
    <w:p>
      <w:pPr>
        <w:pStyle w:val="97"/>
        <w:spacing w:before="0" w:beforeAutospacing="0" w:after="0" w:afterAutospacing="0" w:line="360" w:lineRule="auto"/>
        <w:ind w:firstLine="4410" w:firstLineChars="2100"/>
        <w:rPr>
          <w:color w:val="auto"/>
          <w:kern w:val="2"/>
          <w:sz w:val="21"/>
          <w:szCs w:val="21"/>
          <w:highlight w:val="none"/>
        </w:rPr>
      </w:pPr>
      <w:r>
        <w:rPr>
          <w:rFonts w:hint="eastAsia"/>
          <w:color w:val="auto"/>
          <w:kern w:val="2"/>
          <w:sz w:val="21"/>
          <w:szCs w:val="21"/>
          <w:highlight w:val="none"/>
        </w:rPr>
        <w:t xml:space="preserve">法定代表人或授权代理人：_____________ </w:t>
      </w:r>
    </w:p>
    <w:p>
      <w:pPr>
        <w:pStyle w:val="97"/>
        <w:spacing w:before="0" w:beforeAutospacing="0" w:after="0" w:afterAutospacing="0" w:line="360" w:lineRule="auto"/>
        <w:rPr>
          <w:rFonts w:hint="eastAsia"/>
          <w:color w:val="auto"/>
          <w:kern w:val="2"/>
          <w:sz w:val="21"/>
          <w:szCs w:val="21"/>
          <w:highlight w:val="none"/>
        </w:rPr>
      </w:pPr>
      <w:r>
        <w:rPr>
          <w:rFonts w:hint="eastAsia"/>
          <w:color w:val="auto"/>
          <w:kern w:val="2"/>
          <w:sz w:val="21"/>
          <w:szCs w:val="21"/>
          <w:highlight w:val="none"/>
        </w:rPr>
        <w:t xml:space="preserve">                                                年   月   日</w:t>
      </w:r>
    </w:p>
    <w:p>
      <w:pPr>
        <w:pStyle w:val="97"/>
        <w:spacing w:before="0" w:beforeAutospacing="0" w:after="0" w:afterAutospacing="0" w:line="360" w:lineRule="auto"/>
        <w:rPr>
          <w:rFonts w:hint="eastAsia"/>
          <w:color w:val="auto"/>
          <w:kern w:val="2"/>
          <w:sz w:val="21"/>
          <w:szCs w:val="21"/>
          <w:highlight w:val="none"/>
        </w:rPr>
      </w:pPr>
    </w:p>
    <w:p>
      <w:pPr>
        <w:pStyle w:val="97"/>
        <w:spacing w:before="0" w:beforeAutospacing="0" w:after="0" w:afterAutospacing="0" w:line="360" w:lineRule="auto"/>
        <w:ind w:firstLine="2640" w:firstLineChars="600"/>
        <w:rPr>
          <w:rFonts w:hint="default" w:ascii="宋体" w:hAnsi="宋体" w:eastAsia="宋体" w:cs="宋体"/>
          <w:color w:val="auto"/>
          <w:kern w:val="2"/>
          <w:sz w:val="21"/>
          <w:szCs w:val="21"/>
          <w:highlight w:val="none"/>
          <w:u w:val="none"/>
          <w:lang w:val="en-US" w:eastAsia="zh-CN"/>
        </w:rPr>
      </w:pPr>
      <w:r>
        <w:rPr>
          <w:rFonts w:hint="eastAsia" w:cs="宋体"/>
          <w:color w:val="auto"/>
          <w:kern w:val="2"/>
          <w:sz w:val="44"/>
          <w:szCs w:val="22"/>
          <w:highlight w:val="none"/>
          <w:lang w:val="en-US" w:eastAsia="zh-CN"/>
        </w:rPr>
        <w:t>投标保证金承诺函</w:t>
      </w:r>
    </w:p>
    <w:p>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default" w:ascii="宋体" w:hAnsi="宋体" w:eastAsia="宋体" w:cs="宋体"/>
          <w:b w:val="0"/>
          <w:bCs w:val="0"/>
          <w:color w:val="auto"/>
          <w:spacing w:val="0"/>
          <w:sz w:val="21"/>
          <w:szCs w:val="21"/>
          <w:highlight w:val="none"/>
          <w:lang w:eastAsia="zh-CN"/>
        </w:rPr>
      </w:pPr>
      <w:r>
        <w:rPr>
          <w:rFonts w:hint="default" w:ascii="宋体" w:hAnsi="宋体" w:eastAsia="宋体" w:cs="宋体"/>
          <w:b w:val="0"/>
          <w:bCs w:val="0"/>
          <w:color w:val="auto"/>
          <w:spacing w:val="0"/>
          <w:sz w:val="21"/>
          <w:szCs w:val="21"/>
          <w:highlight w:val="none"/>
          <w:lang w:eastAsia="zh-CN"/>
        </w:rPr>
        <w:t>（招标单位名称）：</w:t>
      </w: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default" w:ascii="宋体" w:hAnsi="宋体" w:eastAsia="宋体" w:cs="宋体"/>
          <w:b w:val="0"/>
          <w:bCs w:val="0"/>
          <w:color w:val="auto"/>
          <w:spacing w:val="0"/>
          <w:kern w:val="2"/>
          <w:sz w:val="21"/>
          <w:szCs w:val="21"/>
          <w:highlight w:val="none"/>
          <w:lang w:eastAsia="zh-CN"/>
        </w:rPr>
      </w:pPr>
      <w:r>
        <w:rPr>
          <w:rFonts w:hint="default" w:ascii="宋体" w:hAnsi="宋体" w:eastAsia="宋体" w:cs="宋体"/>
          <w:b w:val="0"/>
          <w:bCs w:val="0"/>
          <w:color w:val="auto"/>
          <w:spacing w:val="0"/>
          <w:kern w:val="2"/>
          <w:sz w:val="21"/>
          <w:szCs w:val="21"/>
          <w:highlight w:val="none"/>
          <w:lang w:eastAsia="zh-CN"/>
        </w:rPr>
        <w:t>单位名称</w:t>
      </w:r>
      <w:r>
        <w:rPr>
          <w:rFonts w:hint="default" w:ascii="宋体" w:hAnsi="宋体" w:eastAsia="宋体" w:cs="宋体"/>
          <w:b w:val="0"/>
          <w:bCs w:val="0"/>
          <w:color w:val="auto"/>
          <w:spacing w:val="0"/>
          <w:kern w:val="2"/>
          <w:sz w:val="21"/>
          <w:szCs w:val="21"/>
          <w:highlight w:val="none"/>
          <w:u w:val="single"/>
          <w:lang w:eastAsia="zh-CN"/>
        </w:rPr>
        <w:t xml:space="preserve">：            </w:t>
      </w:r>
      <w:r>
        <w:rPr>
          <w:rFonts w:hint="eastAsia" w:cs="宋体"/>
          <w:b w:val="0"/>
          <w:bCs w:val="0"/>
          <w:color w:val="auto"/>
          <w:spacing w:val="0"/>
          <w:kern w:val="2"/>
          <w:sz w:val="21"/>
          <w:szCs w:val="21"/>
          <w:highlight w:val="none"/>
          <w:u w:val="single"/>
          <w:lang w:val="en-US" w:eastAsia="zh-CN"/>
        </w:rPr>
        <w:t xml:space="preserve">         </w:t>
      </w:r>
      <w:r>
        <w:rPr>
          <w:rFonts w:hint="default" w:ascii="宋体" w:hAnsi="宋体" w:eastAsia="宋体" w:cs="宋体"/>
          <w:b w:val="0"/>
          <w:bCs w:val="0"/>
          <w:color w:val="auto"/>
          <w:spacing w:val="0"/>
          <w:kern w:val="2"/>
          <w:sz w:val="21"/>
          <w:szCs w:val="21"/>
          <w:highlight w:val="none"/>
          <w:u w:val="none"/>
          <w:lang w:eastAsia="zh-CN"/>
        </w:rPr>
        <w:t xml:space="preserve">        </w:t>
      </w:r>
      <w:r>
        <w:rPr>
          <w:rFonts w:hint="default" w:ascii="宋体" w:hAnsi="宋体" w:eastAsia="宋体" w:cs="宋体"/>
          <w:b w:val="0"/>
          <w:bCs w:val="0"/>
          <w:color w:val="auto"/>
          <w:spacing w:val="0"/>
          <w:kern w:val="2"/>
          <w:sz w:val="21"/>
          <w:szCs w:val="21"/>
          <w:highlight w:val="none"/>
          <w:lang w:eastAsia="zh-CN"/>
        </w:rPr>
        <w:t xml:space="preserve">                       </w:t>
      </w: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default" w:ascii="宋体" w:hAnsi="宋体" w:eastAsia="宋体" w:cs="宋体"/>
          <w:b w:val="0"/>
          <w:bCs w:val="0"/>
          <w:color w:val="auto"/>
          <w:spacing w:val="0"/>
          <w:kern w:val="2"/>
          <w:sz w:val="21"/>
          <w:szCs w:val="21"/>
          <w:highlight w:val="none"/>
          <w:lang w:eastAsia="zh-CN"/>
        </w:rPr>
      </w:pPr>
      <w:r>
        <w:rPr>
          <w:rFonts w:hint="default" w:ascii="宋体" w:hAnsi="宋体" w:eastAsia="宋体" w:cs="宋体"/>
          <w:b w:val="0"/>
          <w:bCs w:val="0"/>
          <w:color w:val="auto"/>
          <w:spacing w:val="0"/>
          <w:kern w:val="2"/>
          <w:sz w:val="21"/>
          <w:szCs w:val="21"/>
          <w:highlight w:val="none"/>
          <w:lang w:eastAsia="zh-CN"/>
        </w:rPr>
        <w:t>统一社会信用代码：</w:t>
      </w:r>
      <w:r>
        <w:rPr>
          <w:rFonts w:hint="default" w:ascii="宋体" w:hAnsi="宋体" w:eastAsia="宋体" w:cs="宋体"/>
          <w:b w:val="0"/>
          <w:bCs w:val="0"/>
          <w:color w:val="auto"/>
          <w:spacing w:val="0"/>
          <w:kern w:val="2"/>
          <w:sz w:val="21"/>
          <w:szCs w:val="21"/>
          <w:highlight w:val="none"/>
          <w:u w:val="single"/>
          <w:lang w:eastAsia="zh-CN"/>
        </w:rPr>
        <w:t xml:space="preserve">       </w:t>
      </w:r>
      <w:r>
        <w:rPr>
          <w:rFonts w:hint="eastAsia" w:cs="宋体"/>
          <w:b w:val="0"/>
          <w:bCs w:val="0"/>
          <w:color w:val="auto"/>
          <w:spacing w:val="0"/>
          <w:kern w:val="2"/>
          <w:sz w:val="21"/>
          <w:szCs w:val="21"/>
          <w:highlight w:val="none"/>
          <w:u w:val="single"/>
          <w:lang w:val="en-US" w:eastAsia="zh-CN"/>
        </w:rPr>
        <w:t xml:space="preserve">    </w:t>
      </w:r>
      <w:r>
        <w:rPr>
          <w:rFonts w:hint="default" w:ascii="宋体" w:hAnsi="宋体" w:eastAsia="宋体" w:cs="宋体"/>
          <w:b w:val="0"/>
          <w:bCs w:val="0"/>
          <w:color w:val="auto"/>
          <w:spacing w:val="0"/>
          <w:kern w:val="2"/>
          <w:sz w:val="21"/>
          <w:szCs w:val="21"/>
          <w:highlight w:val="none"/>
          <w:u w:val="single"/>
          <w:lang w:eastAsia="zh-CN"/>
        </w:rPr>
        <w:t xml:space="preserve">         </w:t>
      </w:r>
      <w:r>
        <w:rPr>
          <w:rFonts w:hint="default" w:ascii="宋体" w:hAnsi="宋体" w:eastAsia="宋体" w:cs="宋体"/>
          <w:b w:val="0"/>
          <w:bCs w:val="0"/>
          <w:color w:val="auto"/>
          <w:spacing w:val="0"/>
          <w:kern w:val="2"/>
          <w:sz w:val="21"/>
          <w:szCs w:val="21"/>
          <w:highlight w:val="none"/>
          <w:lang w:eastAsia="zh-CN"/>
        </w:rPr>
        <w:t xml:space="preserve">                   </w:t>
      </w: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default" w:ascii="宋体" w:hAnsi="宋体" w:eastAsia="宋体" w:cs="宋体"/>
          <w:b w:val="0"/>
          <w:bCs w:val="0"/>
          <w:color w:val="auto"/>
          <w:spacing w:val="0"/>
          <w:kern w:val="2"/>
          <w:sz w:val="21"/>
          <w:szCs w:val="21"/>
          <w:highlight w:val="none"/>
          <w:lang w:eastAsia="zh-CN"/>
        </w:rPr>
      </w:pPr>
      <w:r>
        <w:rPr>
          <w:rFonts w:hint="default" w:ascii="宋体" w:hAnsi="宋体" w:eastAsia="宋体" w:cs="宋体"/>
          <w:b w:val="0"/>
          <w:bCs w:val="0"/>
          <w:color w:val="auto"/>
          <w:spacing w:val="0"/>
          <w:kern w:val="2"/>
          <w:sz w:val="21"/>
          <w:szCs w:val="21"/>
          <w:highlight w:val="none"/>
          <w:lang w:eastAsia="zh-CN"/>
        </w:rPr>
        <w:t>法定代表人</w:t>
      </w:r>
      <w:r>
        <w:rPr>
          <w:rFonts w:hint="default" w:ascii="宋体" w:hAnsi="宋体" w:eastAsia="宋体" w:cs="宋体"/>
          <w:b w:val="0"/>
          <w:bCs w:val="0"/>
          <w:color w:val="auto"/>
          <w:spacing w:val="0"/>
          <w:kern w:val="2"/>
          <w:sz w:val="21"/>
          <w:szCs w:val="21"/>
          <w:highlight w:val="none"/>
          <w:u w:val="single"/>
          <w:lang w:eastAsia="zh-CN"/>
        </w:rPr>
        <w:t xml:space="preserve">：        </w:t>
      </w:r>
      <w:r>
        <w:rPr>
          <w:rFonts w:hint="eastAsia" w:cs="宋体"/>
          <w:b w:val="0"/>
          <w:bCs w:val="0"/>
          <w:color w:val="auto"/>
          <w:spacing w:val="0"/>
          <w:kern w:val="2"/>
          <w:sz w:val="21"/>
          <w:szCs w:val="21"/>
          <w:highlight w:val="none"/>
          <w:u w:val="single"/>
          <w:lang w:val="en-US" w:eastAsia="zh-CN"/>
        </w:rPr>
        <w:t xml:space="preserve">            </w:t>
      </w:r>
      <w:r>
        <w:rPr>
          <w:rFonts w:hint="default" w:ascii="宋体" w:hAnsi="宋体" w:eastAsia="宋体" w:cs="宋体"/>
          <w:b w:val="0"/>
          <w:bCs w:val="0"/>
          <w:color w:val="auto"/>
          <w:spacing w:val="0"/>
          <w:kern w:val="2"/>
          <w:sz w:val="21"/>
          <w:szCs w:val="21"/>
          <w:highlight w:val="none"/>
          <w:u w:val="single"/>
          <w:lang w:eastAsia="zh-CN"/>
        </w:rPr>
        <w:t xml:space="preserve">   </w:t>
      </w:r>
      <w:r>
        <w:rPr>
          <w:rFonts w:hint="default" w:ascii="宋体" w:hAnsi="宋体" w:eastAsia="宋体" w:cs="宋体"/>
          <w:b w:val="0"/>
          <w:bCs w:val="0"/>
          <w:color w:val="auto"/>
          <w:spacing w:val="0"/>
          <w:kern w:val="2"/>
          <w:sz w:val="21"/>
          <w:szCs w:val="21"/>
          <w:highlight w:val="none"/>
          <w:u w:val="none"/>
          <w:lang w:eastAsia="zh-CN"/>
        </w:rPr>
        <w:t xml:space="preserve">            </w:t>
      </w:r>
      <w:r>
        <w:rPr>
          <w:rFonts w:hint="default" w:ascii="宋体" w:hAnsi="宋体" w:eastAsia="宋体" w:cs="宋体"/>
          <w:b w:val="0"/>
          <w:bCs w:val="0"/>
          <w:color w:val="auto"/>
          <w:spacing w:val="0"/>
          <w:kern w:val="2"/>
          <w:sz w:val="21"/>
          <w:szCs w:val="21"/>
          <w:highlight w:val="none"/>
          <w:lang w:eastAsia="zh-CN"/>
        </w:rPr>
        <w:t xml:space="preserve">   </w:t>
      </w:r>
    </w:p>
    <w:p>
      <w:pPr>
        <w:pStyle w:val="97"/>
        <w:spacing w:before="0" w:beforeAutospacing="0" w:after="0" w:afterAutospacing="0" w:line="240" w:lineRule="auto"/>
        <w:ind w:firstLine="420" w:firstLineChars="200"/>
        <w:rPr>
          <w:rFonts w:hint="default" w:ascii="宋体" w:hAnsi="宋体" w:eastAsia="宋体" w:cs="宋体"/>
          <w:b w:val="0"/>
          <w:bCs w:val="0"/>
          <w:color w:val="auto"/>
          <w:spacing w:val="0"/>
          <w:kern w:val="2"/>
          <w:sz w:val="21"/>
          <w:szCs w:val="21"/>
          <w:highlight w:val="none"/>
          <w:lang w:eastAsia="zh-CN"/>
        </w:rPr>
      </w:pPr>
      <w:r>
        <w:rPr>
          <w:rFonts w:hint="default" w:ascii="宋体" w:hAnsi="宋体" w:eastAsia="宋体" w:cs="宋体"/>
          <w:b w:val="0"/>
          <w:bCs w:val="0"/>
          <w:color w:val="auto"/>
          <w:spacing w:val="0"/>
          <w:kern w:val="2"/>
          <w:sz w:val="21"/>
          <w:szCs w:val="21"/>
          <w:highlight w:val="none"/>
          <w:lang w:eastAsia="zh-CN"/>
        </w:rPr>
        <w:t>为维护公平、公正、公开的</w:t>
      </w:r>
      <w:r>
        <w:rPr>
          <w:rFonts w:hint="default" w:ascii="宋体" w:hAnsi="宋体" w:eastAsia="宋体" w:cs="宋体"/>
          <w:b w:val="0"/>
          <w:bCs w:val="0"/>
          <w:color w:val="auto"/>
          <w:spacing w:val="0"/>
          <w:kern w:val="2"/>
          <w:sz w:val="21"/>
          <w:szCs w:val="21"/>
          <w:highlight w:val="none"/>
          <w:lang w:val="en-US" w:eastAsia="zh-CN"/>
        </w:rPr>
        <w:t>招标投标</w:t>
      </w:r>
      <w:r>
        <w:rPr>
          <w:rFonts w:hint="default" w:ascii="宋体" w:hAnsi="宋体" w:eastAsia="宋体" w:cs="宋体"/>
          <w:b w:val="0"/>
          <w:bCs w:val="0"/>
          <w:color w:val="auto"/>
          <w:spacing w:val="0"/>
          <w:kern w:val="2"/>
          <w:sz w:val="21"/>
          <w:szCs w:val="21"/>
          <w:highlight w:val="none"/>
          <w:lang w:eastAsia="zh-CN"/>
        </w:rPr>
        <w:t xml:space="preserve">市场秩序，树立诚实守信的投标人形象，在投标有效期内我单位自愿作出以下承诺： </w:t>
      </w:r>
    </w:p>
    <w:p>
      <w:pPr>
        <w:pStyle w:val="97"/>
        <w:spacing w:before="0" w:beforeAutospacing="0" w:after="0" w:afterAutospacing="0" w:line="240" w:lineRule="auto"/>
        <w:ind w:firstLine="420" w:firstLineChars="200"/>
        <w:rPr>
          <w:rFonts w:hint="default" w:ascii="宋体" w:hAnsi="宋体" w:eastAsia="宋体" w:cs="宋体"/>
          <w:b w:val="0"/>
          <w:bCs w:val="0"/>
          <w:color w:val="auto"/>
          <w:spacing w:val="0"/>
          <w:kern w:val="2"/>
          <w:sz w:val="21"/>
          <w:szCs w:val="21"/>
          <w:highlight w:val="none"/>
          <w:lang w:eastAsia="zh-CN"/>
        </w:rPr>
      </w:pPr>
      <w:r>
        <w:rPr>
          <w:rFonts w:hint="default" w:ascii="宋体" w:hAnsi="宋体" w:eastAsia="宋体" w:cs="宋体"/>
          <w:b w:val="0"/>
          <w:bCs w:val="0"/>
          <w:color w:val="auto"/>
          <w:spacing w:val="0"/>
          <w:kern w:val="2"/>
          <w:sz w:val="21"/>
          <w:szCs w:val="21"/>
          <w:highlight w:val="none"/>
          <w:lang w:eastAsia="zh-CN"/>
        </w:rPr>
        <w:t>一、我</w:t>
      </w:r>
      <w:r>
        <w:rPr>
          <w:rFonts w:hint="default" w:ascii="宋体" w:hAnsi="宋体" w:eastAsia="宋体" w:cs="宋体"/>
          <w:b w:val="0"/>
          <w:bCs w:val="0"/>
          <w:color w:val="auto"/>
          <w:spacing w:val="0"/>
          <w:kern w:val="2"/>
          <w:sz w:val="21"/>
          <w:szCs w:val="21"/>
          <w:highlight w:val="none"/>
          <w:lang w:val="en-US" w:eastAsia="zh-CN"/>
        </w:rPr>
        <w:t>公司</w:t>
      </w:r>
      <w:r>
        <w:rPr>
          <w:rFonts w:hint="default" w:ascii="宋体" w:hAnsi="宋体" w:eastAsia="宋体" w:cs="宋体"/>
          <w:b w:val="0"/>
          <w:bCs w:val="0"/>
          <w:color w:val="auto"/>
          <w:spacing w:val="0"/>
          <w:kern w:val="2"/>
          <w:sz w:val="21"/>
          <w:szCs w:val="21"/>
          <w:highlight w:val="none"/>
          <w:lang w:eastAsia="zh-CN"/>
        </w:rPr>
        <w:t>具备承担</w:t>
      </w:r>
      <w:r>
        <w:rPr>
          <w:rFonts w:hint="default" w:ascii="宋体" w:hAnsi="宋体" w:eastAsia="宋体" w:cs="宋体"/>
          <w:b w:val="0"/>
          <w:bCs w:val="0"/>
          <w:color w:val="auto"/>
          <w:spacing w:val="0"/>
          <w:kern w:val="2"/>
          <w:sz w:val="21"/>
          <w:szCs w:val="21"/>
          <w:highlight w:val="none"/>
          <w:lang w:val="en-US" w:eastAsia="zh-CN"/>
        </w:rPr>
        <w:t xml:space="preserve"> </w:t>
      </w:r>
      <w:r>
        <w:rPr>
          <w:rFonts w:hint="default" w:ascii="宋体" w:hAnsi="宋体" w:eastAsia="宋体" w:cs="宋体"/>
          <w:b w:val="0"/>
          <w:bCs w:val="0"/>
          <w:color w:val="auto"/>
          <w:spacing w:val="0"/>
          <w:kern w:val="2"/>
          <w:sz w:val="21"/>
          <w:szCs w:val="21"/>
          <w:highlight w:val="none"/>
          <w:u w:val="single"/>
          <w:lang w:val="en-US" w:eastAsia="zh-CN"/>
        </w:rPr>
        <w:t xml:space="preserve">       </w:t>
      </w:r>
      <w:r>
        <w:rPr>
          <w:rFonts w:hint="default" w:ascii="宋体" w:hAnsi="宋体" w:eastAsia="宋体" w:cs="宋体"/>
          <w:b w:val="0"/>
          <w:bCs w:val="0"/>
          <w:color w:val="auto"/>
          <w:spacing w:val="0"/>
          <w:kern w:val="2"/>
          <w:sz w:val="21"/>
          <w:szCs w:val="21"/>
          <w:highlight w:val="none"/>
          <w:u w:val="single"/>
          <w:lang w:eastAsia="zh-CN"/>
        </w:rPr>
        <w:t>（招标工程项目名称）</w:t>
      </w:r>
      <w:r>
        <w:rPr>
          <w:rFonts w:hint="default" w:ascii="宋体" w:hAnsi="宋体" w:eastAsia="宋体" w:cs="宋体"/>
          <w:b w:val="0"/>
          <w:bCs w:val="0"/>
          <w:color w:val="auto"/>
          <w:spacing w:val="0"/>
          <w:kern w:val="2"/>
          <w:sz w:val="21"/>
          <w:szCs w:val="21"/>
          <w:highlight w:val="none"/>
          <w:lang w:eastAsia="zh-CN"/>
        </w:rPr>
        <w:t>的能力，自愿参加该项目投标活动，严格遵守《招标投标法》及相关法律法规、</w:t>
      </w:r>
      <w:r>
        <w:rPr>
          <w:rFonts w:hint="default" w:ascii="宋体" w:hAnsi="宋体" w:eastAsia="宋体" w:cs="宋体"/>
          <w:b w:val="0"/>
          <w:bCs w:val="0"/>
          <w:color w:val="auto"/>
          <w:spacing w:val="0"/>
          <w:kern w:val="2"/>
          <w:sz w:val="21"/>
          <w:szCs w:val="21"/>
          <w:highlight w:val="none"/>
          <w:lang w:val="en-US" w:eastAsia="zh-CN"/>
        </w:rPr>
        <w:t>招标文件的规定</w:t>
      </w:r>
      <w:r>
        <w:rPr>
          <w:rFonts w:hint="default" w:ascii="宋体" w:hAnsi="宋体" w:eastAsia="宋体" w:cs="宋体"/>
          <w:b w:val="0"/>
          <w:bCs w:val="0"/>
          <w:color w:val="auto"/>
          <w:spacing w:val="0"/>
          <w:kern w:val="2"/>
          <w:sz w:val="21"/>
          <w:szCs w:val="21"/>
          <w:highlight w:val="none"/>
          <w:lang w:eastAsia="zh-CN"/>
        </w:rPr>
        <w:t>。</w:t>
      </w:r>
    </w:p>
    <w:p>
      <w:pPr>
        <w:pStyle w:val="97"/>
        <w:spacing w:before="0" w:beforeAutospacing="0" w:after="0" w:afterAutospacing="0" w:line="240" w:lineRule="auto"/>
        <w:ind w:firstLine="420" w:firstLineChars="200"/>
        <w:rPr>
          <w:rFonts w:hint="default" w:ascii="宋体" w:hAnsi="宋体" w:eastAsia="宋体" w:cs="宋体"/>
          <w:b w:val="0"/>
          <w:bCs w:val="0"/>
          <w:color w:val="auto"/>
          <w:spacing w:val="0"/>
          <w:kern w:val="2"/>
          <w:sz w:val="21"/>
          <w:szCs w:val="21"/>
          <w:highlight w:val="none"/>
          <w:lang w:eastAsia="zh-CN"/>
        </w:rPr>
      </w:pPr>
      <w:r>
        <w:rPr>
          <w:rFonts w:hint="default" w:ascii="宋体" w:hAnsi="宋体" w:eastAsia="宋体" w:cs="宋体"/>
          <w:b w:val="0"/>
          <w:bCs w:val="0"/>
          <w:color w:val="auto"/>
          <w:spacing w:val="0"/>
          <w:kern w:val="2"/>
          <w:sz w:val="21"/>
          <w:szCs w:val="21"/>
          <w:highlight w:val="none"/>
          <w:lang w:eastAsia="zh-CN"/>
        </w:rPr>
        <w:t>二、我</w:t>
      </w:r>
      <w:r>
        <w:rPr>
          <w:rFonts w:hint="default" w:ascii="宋体" w:hAnsi="宋体" w:eastAsia="宋体" w:cs="宋体"/>
          <w:b w:val="0"/>
          <w:bCs w:val="0"/>
          <w:color w:val="auto"/>
          <w:spacing w:val="0"/>
          <w:kern w:val="2"/>
          <w:sz w:val="21"/>
          <w:szCs w:val="21"/>
          <w:highlight w:val="none"/>
          <w:lang w:val="en-US" w:eastAsia="zh-CN"/>
        </w:rPr>
        <w:t>公司</w:t>
      </w:r>
      <w:r>
        <w:rPr>
          <w:rFonts w:hint="default" w:ascii="宋体" w:hAnsi="宋体" w:eastAsia="宋体" w:cs="宋体"/>
          <w:b w:val="0"/>
          <w:bCs w:val="0"/>
          <w:color w:val="auto"/>
          <w:spacing w:val="0"/>
          <w:kern w:val="2"/>
          <w:sz w:val="21"/>
          <w:szCs w:val="21"/>
          <w:highlight w:val="none"/>
          <w:lang w:eastAsia="zh-CN"/>
        </w:rPr>
        <w:t>在“信用中国”中未被列入“严重失信主体名单”、没有因招标投标违法行为被行政处罚的记录，在“中国执行信息公开网”中企业及法定代表人没有被列入“失信被执行人”，</w:t>
      </w:r>
      <w:r>
        <w:rPr>
          <w:rFonts w:hint="default" w:ascii="宋体" w:hAnsi="宋体" w:eastAsia="宋体" w:cs="宋体"/>
          <w:b w:val="0"/>
          <w:bCs w:val="0"/>
          <w:color w:val="auto"/>
          <w:spacing w:val="0"/>
          <w:kern w:val="2"/>
          <w:sz w:val="21"/>
          <w:szCs w:val="21"/>
          <w:highlight w:val="none"/>
          <w:lang w:val="en-US" w:eastAsia="zh-CN"/>
        </w:rPr>
        <w:t>在</w:t>
      </w:r>
      <w:r>
        <w:rPr>
          <w:rFonts w:hint="default" w:ascii="宋体" w:hAnsi="宋体" w:eastAsia="宋体" w:cs="宋体"/>
          <w:b w:val="0"/>
          <w:bCs w:val="0"/>
          <w:color w:val="auto"/>
          <w:spacing w:val="0"/>
          <w:kern w:val="2"/>
          <w:sz w:val="21"/>
          <w:szCs w:val="21"/>
          <w:highlight w:val="none"/>
          <w:lang w:eastAsia="zh-CN"/>
        </w:rPr>
        <w:t>深圳公共资源交易公共服务平台</w:t>
      </w:r>
      <w:r>
        <w:rPr>
          <w:rFonts w:hint="default" w:ascii="宋体" w:hAnsi="宋体" w:eastAsia="宋体" w:cs="宋体"/>
          <w:b w:val="0"/>
          <w:bCs w:val="0"/>
          <w:color w:val="auto"/>
          <w:spacing w:val="0"/>
          <w:kern w:val="2"/>
          <w:sz w:val="21"/>
          <w:szCs w:val="21"/>
          <w:highlight w:val="none"/>
          <w:lang w:val="en-US" w:eastAsia="zh-CN"/>
        </w:rPr>
        <w:t>上没有因违反招标投标有关规定被通报、处罚等</w:t>
      </w:r>
      <w:r>
        <w:rPr>
          <w:rFonts w:hint="default" w:ascii="宋体" w:hAnsi="宋体" w:eastAsia="宋体" w:cs="宋体"/>
          <w:b w:val="0"/>
          <w:bCs w:val="0"/>
          <w:color w:val="auto"/>
          <w:spacing w:val="0"/>
          <w:kern w:val="2"/>
          <w:sz w:val="21"/>
          <w:szCs w:val="21"/>
          <w:highlight w:val="none"/>
          <w:lang w:eastAsia="zh-CN"/>
        </w:rPr>
        <w:t>不良信用记录。</w:t>
      </w:r>
    </w:p>
    <w:p>
      <w:pPr>
        <w:pStyle w:val="97"/>
        <w:spacing w:before="0" w:beforeAutospacing="0" w:after="0" w:afterAutospacing="0" w:line="240" w:lineRule="auto"/>
        <w:ind w:firstLine="420" w:firstLineChars="200"/>
        <w:rPr>
          <w:rFonts w:hint="default" w:ascii="宋体" w:hAnsi="宋体" w:eastAsia="宋体" w:cs="宋体"/>
          <w:b w:val="0"/>
          <w:bCs w:val="0"/>
          <w:color w:val="auto"/>
          <w:spacing w:val="0"/>
          <w:kern w:val="2"/>
          <w:sz w:val="21"/>
          <w:szCs w:val="21"/>
          <w:highlight w:val="none"/>
          <w:u w:val="none"/>
          <w:lang w:val="en-US" w:eastAsia="zh-CN"/>
        </w:rPr>
      </w:pPr>
      <w:r>
        <w:rPr>
          <w:rFonts w:hint="eastAsia"/>
          <w:color w:val="auto"/>
          <w:kern w:val="2"/>
          <w:sz w:val="21"/>
          <w:szCs w:val="21"/>
          <w:highlight w:val="none"/>
          <w:lang w:val="en-US" w:eastAsia="zh-CN"/>
        </w:rPr>
        <w:t>□</w:t>
      </w:r>
      <w:r>
        <w:rPr>
          <w:rFonts w:hint="default" w:ascii="宋体" w:hAnsi="宋体" w:eastAsia="宋体" w:cs="宋体"/>
          <w:b w:val="0"/>
          <w:bCs w:val="0"/>
          <w:color w:val="auto"/>
          <w:spacing w:val="0"/>
          <w:kern w:val="2"/>
          <w:sz w:val="21"/>
          <w:szCs w:val="21"/>
          <w:highlight w:val="none"/>
          <w:lang w:val="en-US" w:eastAsia="zh-CN"/>
        </w:rPr>
        <w:t>我公司从业人员</w:t>
      </w:r>
      <w:r>
        <w:rPr>
          <w:rFonts w:hint="default" w:ascii="宋体" w:hAnsi="宋体" w:eastAsia="宋体" w:cs="宋体"/>
          <w:b w:val="0"/>
          <w:bCs w:val="0"/>
          <w:color w:val="auto"/>
          <w:spacing w:val="0"/>
          <w:kern w:val="2"/>
          <w:sz w:val="21"/>
          <w:szCs w:val="21"/>
          <w:highlight w:val="none"/>
          <w:u w:val="single"/>
          <w:lang w:val="en-US" w:eastAsia="zh-CN"/>
        </w:rPr>
        <w:t xml:space="preserve">   </w:t>
      </w:r>
      <w:r>
        <w:rPr>
          <w:rFonts w:hint="default" w:ascii="宋体" w:hAnsi="宋体" w:eastAsia="宋体" w:cs="宋体"/>
          <w:b w:val="0"/>
          <w:bCs w:val="0"/>
          <w:color w:val="auto"/>
          <w:spacing w:val="0"/>
          <w:kern w:val="2"/>
          <w:sz w:val="21"/>
          <w:szCs w:val="21"/>
          <w:highlight w:val="none"/>
          <w:lang w:val="en-US" w:eastAsia="zh-CN"/>
        </w:rPr>
        <w:t>人，营业收入为</w:t>
      </w:r>
      <w:r>
        <w:rPr>
          <w:rFonts w:hint="default" w:ascii="宋体" w:hAnsi="宋体" w:eastAsia="宋体" w:cs="宋体"/>
          <w:b w:val="0"/>
          <w:bCs w:val="0"/>
          <w:color w:val="auto"/>
          <w:spacing w:val="0"/>
          <w:kern w:val="2"/>
          <w:sz w:val="21"/>
          <w:szCs w:val="21"/>
          <w:highlight w:val="none"/>
          <w:u w:val="single"/>
          <w:lang w:val="en-US" w:eastAsia="zh-CN"/>
        </w:rPr>
        <w:t xml:space="preserve">   </w:t>
      </w:r>
      <w:r>
        <w:rPr>
          <w:rFonts w:hint="default" w:ascii="宋体" w:hAnsi="宋体" w:eastAsia="宋体" w:cs="宋体"/>
          <w:b w:val="0"/>
          <w:bCs w:val="0"/>
          <w:color w:val="auto"/>
          <w:spacing w:val="0"/>
          <w:kern w:val="2"/>
          <w:sz w:val="21"/>
          <w:szCs w:val="21"/>
          <w:highlight w:val="none"/>
          <w:lang w:val="en-US" w:eastAsia="zh-CN"/>
        </w:rPr>
        <w:t>万元，资产总额为</w:t>
      </w:r>
      <w:r>
        <w:rPr>
          <w:rFonts w:hint="default" w:ascii="宋体" w:hAnsi="宋体" w:eastAsia="宋体" w:cs="宋体"/>
          <w:b w:val="0"/>
          <w:bCs w:val="0"/>
          <w:color w:val="auto"/>
          <w:spacing w:val="0"/>
          <w:kern w:val="2"/>
          <w:sz w:val="21"/>
          <w:szCs w:val="21"/>
          <w:highlight w:val="none"/>
          <w:u w:val="single"/>
          <w:lang w:val="en-US" w:eastAsia="zh-CN"/>
        </w:rPr>
        <w:t xml:space="preserve">   </w:t>
      </w:r>
      <w:r>
        <w:rPr>
          <w:rFonts w:hint="default" w:ascii="宋体" w:hAnsi="宋体" w:eastAsia="宋体" w:cs="宋体"/>
          <w:b w:val="0"/>
          <w:bCs w:val="0"/>
          <w:color w:val="auto"/>
          <w:spacing w:val="0"/>
          <w:kern w:val="2"/>
          <w:sz w:val="21"/>
          <w:szCs w:val="21"/>
          <w:highlight w:val="none"/>
          <w:lang w:val="en-US" w:eastAsia="zh-CN"/>
        </w:rPr>
        <w:t>万元，根据《关于印发中小企业划型标准规定的通知》（工信部联企业〔2011〕300号）的划分标准，属于</w:t>
      </w:r>
      <w:r>
        <w:rPr>
          <w:rFonts w:hint="default" w:ascii="宋体" w:hAnsi="宋体" w:eastAsia="宋体" w:cs="宋体"/>
          <w:b w:val="0"/>
          <w:bCs w:val="0"/>
          <w:color w:val="auto"/>
          <w:spacing w:val="0"/>
          <w:kern w:val="2"/>
          <w:sz w:val="21"/>
          <w:szCs w:val="21"/>
          <w:highlight w:val="none"/>
          <w:u w:val="single"/>
          <w:lang w:val="en-US" w:eastAsia="zh-CN"/>
        </w:rPr>
        <w:t xml:space="preserve"> </w:t>
      </w:r>
      <w:r>
        <w:rPr>
          <w:rFonts w:hint="eastAsia" w:cs="宋体"/>
          <w:color w:val="auto"/>
          <w:kern w:val="2"/>
          <w:sz w:val="21"/>
          <w:szCs w:val="21"/>
          <w:highlight w:val="none"/>
          <w:u w:val="single"/>
          <w:lang w:val="en-US" w:eastAsia="zh-CN"/>
        </w:rPr>
        <w:t>（本招标项目所属行业）</w:t>
      </w:r>
      <w:r>
        <w:rPr>
          <w:rFonts w:hint="default" w:ascii="宋体" w:hAnsi="宋体" w:eastAsia="宋体" w:cs="宋体"/>
          <w:b w:val="0"/>
          <w:bCs w:val="0"/>
          <w:color w:val="auto"/>
          <w:spacing w:val="0"/>
          <w:kern w:val="2"/>
          <w:sz w:val="21"/>
          <w:szCs w:val="21"/>
          <w:highlight w:val="none"/>
          <w:u w:val="single"/>
          <w:lang w:val="en-US" w:eastAsia="zh-CN"/>
        </w:rPr>
        <w:t xml:space="preserve">     </w:t>
      </w:r>
      <w:r>
        <w:rPr>
          <w:rFonts w:hint="default" w:ascii="宋体" w:hAnsi="宋体" w:eastAsia="宋体" w:cs="宋体"/>
          <w:b w:val="0"/>
          <w:bCs w:val="0"/>
          <w:color w:val="auto"/>
          <w:spacing w:val="0"/>
          <w:kern w:val="2"/>
          <w:sz w:val="21"/>
          <w:szCs w:val="21"/>
          <w:highlight w:val="none"/>
          <w:u w:val="none"/>
          <w:lang w:val="en-US" w:eastAsia="zh-CN"/>
        </w:rPr>
        <w:t xml:space="preserve"> </w:t>
      </w:r>
      <w:r>
        <w:rPr>
          <w:rFonts w:hint="default" w:ascii="宋体" w:hAnsi="宋体" w:eastAsia="宋体" w:cs="宋体"/>
          <w:b w:val="0"/>
          <w:bCs w:val="0"/>
          <w:color w:val="auto"/>
          <w:spacing w:val="0"/>
          <w:kern w:val="2"/>
          <w:sz w:val="21"/>
          <w:szCs w:val="21"/>
          <w:highlight w:val="none"/>
          <w:lang w:val="en-US" w:eastAsia="zh-CN"/>
        </w:rPr>
        <w:t xml:space="preserve">行业的 </w:t>
      </w:r>
      <w:r>
        <w:rPr>
          <w:rFonts w:hint="default" w:ascii="宋体" w:hAnsi="宋体" w:eastAsia="宋体" w:cs="宋体"/>
          <w:b w:val="0"/>
          <w:bCs w:val="0"/>
          <w:color w:val="auto"/>
          <w:spacing w:val="0"/>
          <w:kern w:val="2"/>
          <w:sz w:val="21"/>
          <w:szCs w:val="21"/>
          <w:highlight w:val="none"/>
          <w:u w:val="single"/>
          <w:lang w:val="en-US" w:eastAsia="zh-CN"/>
        </w:rPr>
        <w:t xml:space="preserve">    （中型企业、小型企业、微型企业） </w:t>
      </w:r>
      <w:r>
        <w:rPr>
          <w:rFonts w:hint="default" w:ascii="宋体" w:hAnsi="宋体" w:eastAsia="宋体" w:cs="宋体"/>
          <w:b w:val="0"/>
          <w:bCs w:val="0"/>
          <w:color w:val="auto"/>
          <w:spacing w:val="0"/>
          <w:kern w:val="2"/>
          <w:sz w:val="21"/>
          <w:szCs w:val="21"/>
          <w:highlight w:val="none"/>
          <w:u w:val="none"/>
          <w:lang w:val="en-US" w:eastAsia="zh-CN"/>
        </w:rPr>
        <w:t>，自愿使用承诺函替代投标保证金。</w:t>
      </w:r>
    </w:p>
    <w:p>
      <w:pPr>
        <w:pStyle w:val="97"/>
        <w:spacing w:before="0" w:beforeAutospacing="0" w:after="0" w:afterAutospacing="0" w:line="240" w:lineRule="auto"/>
        <w:ind w:firstLine="420" w:firstLineChars="200"/>
        <w:rPr>
          <w:rFonts w:hint="default" w:ascii="宋体" w:hAnsi="宋体" w:eastAsia="宋体" w:cs="宋体"/>
          <w:b w:val="0"/>
          <w:bCs w:val="0"/>
          <w:color w:val="auto"/>
          <w:spacing w:val="0"/>
          <w:kern w:val="2"/>
          <w:sz w:val="21"/>
          <w:szCs w:val="21"/>
          <w:highlight w:val="none"/>
          <w:u w:val="none"/>
          <w:lang w:val="en-US" w:eastAsia="zh-CN"/>
        </w:rPr>
      </w:pPr>
      <w:r>
        <w:rPr>
          <w:rFonts w:hint="eastAsia"/>
          <w:color w:val="auto"/>
          <w:kern w:val="2"/>
          <w:sz w:val="21"/>
          <w:szCs w:val="21"/>
          <w:highlight w:val="none"/>
          <w:lang w:val="en-US" w:eastAsia="zh-CN"/>
        </w:rPr>
        <w:t>□</w:t>
      </w:r>
      <w:r>
        <w:rPr>
          <w:rFonts w:hint="default"/>
          <w:color w:val="auto"/>
          <w:kern w:val="2"/>
          <w:sz w:val="21"/>
          <w:szCs w:val="21"/>
          <w:highlight w:val="none"/>
          <w:lang w:val="en-US" w:eastAsia="zh-CN"/>
        </w:rPr>
        <w:t>我公司</w:t>
      </w:r>
      <w:r>
        <w:rPr>
          <w:rFonts w:hint="default" w:ascii="宋体" w:hAnsi="宋体" w:eastAsia="宋体" w:cs="宋体"/>
          <w:b w:val="0"/>
          <w:bCs w:val="0"/>
          <w:color w:val="auto"/>
          <w:spacing w:val="0"/>
          <w:kern w:val="2"/>
          <w:sz w:val="21"/>
          <w:szCs w:val="21"/>
          <w:highlight w:val="none"/>
          <w:u w:val="none"/>
          <w:lang w:val="en-US" w:eastAsia="zh-CN"/>
        </w:rPr>
        <w:t>在本项目投标截止日，在深圳市建筑市场主体信用管理系统中信用等级为A，自愿使用承诺函替代投标保证金。</w:t>
      </w:r>
    </w:p>
    <w:p>
      <w:pPr>
        <w:pStyle w:val="97"/>
        <w:spacing w:before="0" w:beforeAutospacing="0" w:after="0" w:afterAutospacing="0" w:line="240" w:lineRule="auto"/>
        <w:ind w:firstLine="420" w:firstLineChars="200"/>
        <w:rPr>
          <w:rFonts w:hint="default"/>
          <w:color w:val="auto"/>
          <w:kern w:val="2"/>
          <w:sz w:val="21"/>
          <w:szCs w:val="21"/>
          <w:highlight w:val="none"/>
          <w:lang w:val="en-US" w:eastAsia="zh-CN"/>
        </w:rPr>
      </w:pPr>
      <w:r>
        <w:rPr>
          <w:rFonts w:hint="eastAsia" w:cs="宋体"/>
          <w:color w:val="auto"/>
          <w:spacing w:val="0"/>
          <w:kern w:val="2"/>
          <w:sz w:val="21"/>
          <w:szCs w:val="21"/>
          <w:highlight w:val="none"/>
          <w:lang w:val="en-US" w:eastAsia="zh-CN"/>
        </w:rPr>
        <w:t>□</w:t>
      </w:r>
      <w:r>
        <w:rPr>
          <w:rFonts w:hint="default" w:ascii="宋体" w:hAnsi="宋体" w:eastAsia="宋体" w:cs="宋体"/>
          <w:color w:val="auto"/>
          <w:spacing w:val="0"/>
          <w:kern w:val="2"/>
          <w:sz w:val="21"/>
          <w:szCs w:val="21"/>
          <w:highlight w:val="none"/>
          <w:lang w:val="en-US" w:eastAsia="zh-CN"/>
        </w:rPr>
        <w:t>我公司</w:t>
      </w:r>
      <w:r>
        <w:rPr>
          <w:rFonts w:hint="default" w:ascii="宋体" w:hAnsi="宋体" w:eastAsia="宋体" w:cs="宋体"/>
          <w:b w:val="0"/>
          <w:bCs w:val="0"/>
          <w:color w:val="auto"/>
          <w:spacing w:val="0"/>
          <w:kern w:val="2"/>
          <w:sz w:val="21"/>
          <w:szCs w:val="21"/>
          <w:highlight w:val="none"/>
          <w:u w:val="none"/>
          <w:lang w:val="en-US" w:eastAsia="zh-CN"/>
        </w:rPr>
        <w:t>在本项目投标截止日，</w:t>
      </w:r>
      <w:r>
        <w:rPr>
          <w:rFonts w:hint="default"/>
          <w:color w:val="auto"/>
          <w:kern w:val="2"/>
          <w:sz w:val="21"/>
          <w:szCs w:val="21"/>
          <w:highlight w:val="none"/>
          <w:lang w:val="en-US" w:eastAsia="zh-CN"/>
        </w:rPr>
        <w:t>信用等级为B+，</w:t>
      </w:r>
      <w:r>
        <w:rPr>
          <w:rFonts w:hint="default" w:ascii="宋体" w:hAnsi="宋体" w:eastAsia="宋体" w:cs="宋体"/>
          <w:b w:val="0"/>
          <w:bCs w:val="0"/>
          <w:color w:val="auto"/>
          <w:spacing w:val="0"/>
          <w:kern w:val="2"/>
          <w:sz w:val="21"/>
          <w:szCs w:val="21"/>
          <w:highlight w:val="none"/>
          <w:u w:val="none"/>
          <w:lang w:val="en-US" w:eastAsia="zh-CN"/>
        </w:rPr>
        <w:t>自愿使用承诺函，并</w:t>
      </w:r>
      <w:r>
        <w:rPr>
          <w:rFonts w:hint="default"/>
          <w:color w:val="auto"/>
          <w:kern w:val="2"/>
          <w:sz w:val="21"/>
          <w:szCs w:val="21"/>
          <w:highlight w:val="none"/>
          <w:lang w:val="en-US" w:eastAsia="zh-CN"/>
        </w:rPr>
        <w:t>减半缴纳投标保证金</w:t>
      </w:r>
      <w:r>
        <w:rPr>
          <w:rFonts w:hint="default" w:ascii="宋体" w:hAnsi="宋体" w:eastAsia="宋体" w:cs="宋体"/>
          <w:color w:val="auto"/>
          <w:spacing w:val="0"/>
          <w:kern w:val="2"/>
          <w:sz w:val="21"/>
          <w:szCs w:val="21"/>
          <w:highlight w:val="none"/>
          <w:u w:val="none"/>
          <w:lang w:val="en-US" w:eastAsia="zh-CN"/>
        </w:rPr>
        <w:t>。</w:t>
      </w:r>
    </w:p>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eastAsia="宋体" w:cs="宋体"/>
          <w:color w:val="auto"/>
          <w:spacing w:val="0"/>
          <w:kern w:val="2"/>
          <w:sz w:val="21"/>
          <w:szCs w:val="21"/>
          <w:highlight w:val="none"/>
          <w:u w:val="none"/>
          <w:lang w:val="en-US" w:eastAsia="zh-CN"/>
        </w:rPr>
      </w:pPr>
      <w:bookmarkStart w:id="5031" w:name="_Toc10704"/>
      <w:r>
        <w:rPr>
          <w:rFonts w:hint="eastAsia" w:cs="宋体"/>
          <w:color w:val="auto"/>
          <w:spacing w:val="0"/>
          <w:kern w:val="2"/>
          <w:sz w:val="21"/>
          <w:szCs w:val="21"/>
          <w:highlight w:val="none"/>
          <w:lang w:val="en-US" w:eastAsia="zh-CN"/>
        </w:rPr>
        <w:t>□</w:t>
      </w:r>
      <w:r>
        <w:rPr>
          <w:rFonts w:hint="default" w:eastAsia="宋体" w:cs="宋体"/>
          <w:color w:val="auto"/>
          <w:spacing w:val="0"/>
          <w:kern w:val="2"/>
          <w:sz w:val="21"/>
          <w:szCs w:val="21"/>
          <w:highlight w:val="none"/>
          <w:lang w:val="en-US" w:eastAsia="zh-CN"/>
        </w:rPr>
        <w:t xml:space="preserve"> </w:t>
      </w:r>
      <w:r>
        <w:rPr>
          <w:rFonts w:hint="default" w:eastAsia="宋体" w:cs="宋体"/>
          <w:color w:val="auto"/>
          <w:spacing w:val="0"/>
          <w:kern w:val="2"/>
          <w:sz w:val="21"/>
          <w:szCs w:val="21"/>
          <w:highlight w:val="none"/>
          <w:u w:val="single"/>
          <w:lang w:val="en-US" w:eastAsia="zh-CN"/>
        </w:rPr>
        <w:t xml:space="preserve">                       （招标文件规定的其他情形）</w:t>
      </w:r>
      <w:bookmarkEnd w:id="5031"/>
    </w:p>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bookmarkStart w:id="5032" w:name="_Toc20330"/>
      <w:r>
        <w:rPr>
          <w:rFonts w:hint="eastAsia" w:ascii="宋体" w:hAnsi="宋体" w:eastAsia="宋体" w:cs="宋体"/>
          <w:b w:val="0"/>
          <w:bCs w:val="0"/>
          <w:color w:val="auto"/>
          <w:spacing w:val="0"/>
          <w:kern w:val="2"/>
          <w:sz w:val="21"/>
          <w:szCs w:val="21"/>
          <w:highlight w:val="none"/>
          <w:lang w:val="en-US" w:eastAsia="zh-CN"/>
        </w:rPr>
        <w:t>三、</w:t>
      </w:r>
      <w:r>
        <w:rPr>
          <w:rFonts w:hint="eastAsia" w:ascii="宋体" w:hAnsi="宋体" w:eastAsia="宋体" w:cs="宋体"/>
          <w:b w:val="0"/>
          <w:bCs w:val="0"/>
          <w:color w:val="auto"/>
          <w:spacing w:val="0"/>
          <w:kern w:val="2"/>
          <w:sz w:val="21"/>
          <w:szCs w:val="21"/>
          <w:highlight w:val="none"/>
          <w:lang w:eastAsia="zh-CN"/>
        </w:rPr>
        <w:t>如有发生下述任何一种违约行为，自愿承担相关法律责任，</w:t>
      </w:r>
      <w:r>
        <w:rPr>
          <w:rFonts w:hint="eastAsia" w:ascii="宋体" w:hAnsi="宋体" w:eastAsia="宋体" w:cs="宋体"/>
          <w:b w:val="0"/>
          <w:bCs w:val="0"/>
          <w:color w:val="auto"/>
          <w:spacing w:val="0"/>
          <w:kern w:val="2"/>
          <w:sz w:val="21"/>
          <w:szCs w:val="21"/>
          <w:highlight w:val="none"/>
          <w:lang w:val="en-US" w:eastAsia="zh-CN"/>
        </w:rPr>
        <w:t>并愿意</w:t>
      </w:r>
      <w:r>
        <w:rPr>
          <w:rFonts w:hint="eastAsia" w:ascii="宋体" w:hAnsi="宋体" w:eastAsia="宋体" w:cs="宋体"/>
          <w:b w:val="0"/>
          <w:bCs w:val="0"/>
          <w:color w:val="auto"/>
          <w:spacing w:val="0"/>
          <w:kern w:val="2"/>
          <w:sz w:val="21"/>
          <w:szCs w:val="21"/>
          <w:highlight w:val="none"/>
          <w:lang w:eastAsia="zh-CN"/>
        </w:rPr>
        <w:t>按所投项目招标文件约定的投标保证金金额以现金方式</w:t>
      </w:r>
      <w:r>
        <w:rPr>
          <w:rFonts w:hint="eastAsia" w:cs="宋体"/>
          <w:b w:val="0"/>
          <w:bCs w:val="0"/>
          <w:color w:val="auto"/>
          <w:spacing w:val="0"/>
          <w:kern w:val="2"/>
          <w:sz w:val="21"/>
          <w:szCs w:val="21"/>
          <w:highlight w:val="none"/>
          <w:lang w:val="en-US" w:eastAsia="zh-CN"/>
        </w:rPr>
        <w:t>补缴</w:t>
      </w:r>
      <w:r>
        <w:rPr>
          <w:rFonts w:hint="eastAsia" w:ascii="宋体" w:hAnsi="宋体" w:eastAsia="宋体" w:cs="宋体"/>
          <w:b w:val="0"/>
          <w:bCs w:val="0"/>
          <w:color w:val="auto"/>
          <w:spacing w:val="0"/>
          <w:kern w:val="2"/>
          <w:sz w:val="21"/>
          <w:szCs w:val="21"/>
          <w:highlight w:val="none"/>
          <w:lang w:eastAsia="zh-CN"/>
        </w:rPr>
        <w:t>。如不按时补缴，愿意接受行政监督部门实施的信用联合惩戒。</w:t>
      </w:r>
      <w:bookmarkEnd w:id="5032"/>
    </w:p>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bookmarkStart w:id="5033" w:name="_Toc4073"/>
      <w:r>
        <w:rPr>
          <w:rFonts w:hint="eastAsia" w:ascii="宋体" w:hAnsi="宋体" w:eastAsia="宋体" w:cs="宋体"/>
          <w:b w:val="0"/>
          <w:bCs w:val="0"/>
          <w:color w:val="auto"/>
          <w:spacing w:val="0"/>
          <w:kern w:val="2"/>
          <w:sz w:val="21"/>
          <w:szCs w:val="21"/>
          <w:highlight w:val="none"/>
          <w:lang w:eastAsia="zh-CN"/>
        </w:rPr>
        <w:t>1.在招标文件中规定的投标有效期内撤销投标文件；</w:t>
      </w:r>
      <w:bookmarkEnd w:id="5033"/>
    </w:p>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bookmarkStart w:id="5034" w:name="_Toc19954"/>
      <w:r>
        <w:rPr>
          <w:rFonts w:hint="eastAsia" w:ascii="宋体" w:hAnsi="宋体" w:eastAsia="宋体" w:cs="宋体"/>
          <w:b w:val="0"/>
          <w:bCs w:val="0"/>
          <w:color w:val="auto"/>
          <w:spacing w:val="0"/>
          <w:kern w:val="2"/>
          <w:sz w:val="21"/>
          <w:szCs w:val="21"/>
          <w:highlight w:val="none"/>
          <w:lang w:eastAsia="zh-CN"/>
        </w:rPr>
        <w:t>2.中标后在规定期限内无正当理由不与招标人签订合同或在签订合同时向招标人提出附加条件、或未按招标文件规定提交履约保证金；</w:t>
      </w:r>
      <w:bookmarkEnd w:id="5034"/>
    </w:p>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bookmarkStart w:id="5035" w:name="_Toc6903"/>
      <w:r>
        <w:rPr>
          <w:rFonts w:hint="eastAsia" w:ascii="宋体" w:hAnsi="宋体" w:eastAsia="宋体" w:cs="宋体"/>
          <w:b w:val="0"/>
          <w:bCs w:val="0"/>
          <w:color w:val="auto"/>
          <w:spacing w:val="0"/>
          <w:kern w:val="2"/>
          <w:sz w:val="21"/>
          <w:szCs w:val="21"/>
          <w:highlight w:val="none"/>
          <w:lang w:eastAsia="zh-CN"/>
        </w:rPr>
        <w:t>3.法律、法规规定不予退还投标保证金的其他情形。</w:t>
      </w:r>
      <w:bookmarkEnd w:id="5035"/>
    </w:p>
    <w:p>
      <w:pPr>
        <w:pStyle w:val="97"/>
        <w:spacing w:before="0" w:beforeAutospacing="0" w:after="0" w:afterAutospacing="0" w:line="240" w:lineRule="auto"/>
        <w:ind w:firstLine="420" w:firstLineChars="200"/>
        <w:rPr>
          <w:rFonts w:hint="default"/>
          <w:color w:val="auto"/>
          <w:kern w:val="2"/>
          <w:sz w:val="21"/>
          <w:szCs w:val="21"/>
          <w:highlight w:val="none"/>
          <w:lang w:val="en-US"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r>
        <w:rPr>
          <w:rFonts w:hint="default" w:cs="宋体"/>
          <w:b w:val="0"/>
          <w:bCs w:val="0"/>
          <w:color w:val="auto"/>
          <w:spacing w:val="0"/>
          <w:kern w:val="2"/>
          <w:sz w:val="21"/>
          <w:szCs w:val="21"/>
          <w:highlight w:val="none"/>
          <w:lang w:val="en-US" w:eastAsia="zh-CN"/>
        </w:rPr>
        <w:t xml:space="preserve">                                  </w:t>
      </w:r>
      <w:r>
        <w:rPr>
          <w:rFonts w:hint="eastAsia" w:cs="宋体"/>
          <w:b w:val="0"/>
          <w:bCs w:val="0"/>
          <w:color w:val="auto"/>
          <w:spacing w:val="0"/>
          <w:kern w:val="2"/>
          <w:sz w:val="21"/>
          <w:szCs w:val="21"/>
          <w:highlight w:val="none"/>
          <w:lang w:val="en-US" w:eastAsia="zh-CN"/>
        </w:rPr>
        <w:t xml:space="preserve">            </w:t>
      </w:r>
      <w:r>
        <w:rPr>
          <w:rFonts w:hint="default" w:cs="宋体"/>
          <w:b w:val="0"/>
          <w:bCs w:val="0"/>
          <w:color w:val="auto"/>
          <w:spacing w:val="0"/>
          <w:kern w:val="2"/>
          <w:sz w:val="21"/>
          <w:szCs w:val="21"/>
          <w:highlight w:val="none"/>
          <w:lang w:val="en-US" w:eastAsia="zh-CN"/>
        </w:rPr>
        <w:t xml:space="preserve">  </w:t>
      </w:r>
      <w:r>
        <w:rPr>
          <w:rFonts w:hint="eastAsia" w:ascii="宋体" w:hAnsi="宋体" w:eastAsia="宋体" w:cs="宋体"/>
          <w:b w:val="0"/>
          <w:bCs w:val="0"/>
          <w:color w:val="auto"/>
          <w:spacing w:val="0"/>
          <w:kern w:val="2"/>
          <w:sz w:val="21"/>
          <w:szCs w:val="21"/>
          <w:highlight w:val="none"/>
          <w:lang w:eastAsia="zh-CN"/>
        </w:rPr>
        <w:t>承诺人（盖公章）：</w:t>
      </w: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r>
        <w:rPr>
          <w:rFonts w:hint="default" w:cs="宋体"/>
          <w:b w:val="0"/>
          <w:bCs w:val="0"/>
          <w:color w:val="auto"/>
          <w:spacing w:val="0"/>
          <w:kern w:val="2"/>
          <w:sz w:val="21"/>
          <w:szCs w:val="21"/>
          <w:highlight w:val="none"/>
          <w:lang w:val="en-US" w:eastAsia="zh-CN"/>
        </w:rPr>
        <w:t xml:space="preserve">                                             </w:t>
      </w:r>
      <w:r>
        <w:rPr>
          <w:rFonts w:hint="eastAsia" w:ascii="宋体" w:hAnsi="宋体" w:eastAsia="宋体" w:cs="宋体"/>
          <w:b w:val="0"/>
          <w:bCs w:val="0"/>
          <w:color w:val="auto"/>
          <w:spacing w:val="0"/>
          <w:kern w:val="2"/>
          <w:sz w:val="21"/>
          <w:szCs w:val="21"/>
          <w:highlight w:val="none"/>
          <w:lang w:eastAsia="zh-CN"/>
        </w:rPr>
        <w:t>法定代表人（印章或签字）：</w:t>
      </w: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r>
        <w:rPr>
          <w:rFonts w:hint="default" w:cs="宋体"/>
          <w:b w:val="0"/>
          <w:bCs w:val="0"/>
          <w:color w:val="auto"/>
          <w:spacing w:val="0"/>
          <w:kern w:val="2"/>
          <w:sz w:val="21"/>
          <w:szCs w:val="21"/>
          <w:highlight w:val="none"/>
          <w:lang w:val="en-US" w:eastAsia="zh-CN"/>
        </w:rPr>
        <w:t xml:space="preserve">                          </w:t>
      </w:r>
      <w:r>
        <w:rPr>
          <w:rFonts w:hint="eastAsia" w:cs="宋体"/>
          <w:b w:val="0"/>
          <w:bCs w:val="0"/>
          <w:color w:val="auto"/>
          <w:spacing w:val="0"/>
          <w:kern w:val="2"/>
          <w:sz w:val="21"/>
          <w:szCs w:val="21"/>
          <w:highlight w:val="none"/>
          <w:lang w:val="en-US" w:eastAsia="zh-CN"/>
        </w:rPr>
        <w:t xml:space="preserve">                     </w:t>
      </w:r>
      <w:r>
        <w:rPr>
          <w:rFonts w:hint="eastAsia" w:ascii="宋体" w:hAnsi="宋体" w:eastAsia="宋体" w:cs="宋体"/>
          <w:b w:val="0"/>
          <w:bCs w:val="0"/>
          <w:color w:val="auto"/>
          <w:spacing w:val="0"/>
          <w:kern w:val="2"/>
          <w:sz w:val="21"/>
          <w:szCs w:val="21"/>
          <w:highlight w:val="none"/>
          <w:lang w:eastAsia="zh-CN"/>
        </w:rPr>
        <w:t>日期：</w:t>
      </w: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spacing w:before="0" w:beforeAutospacing="0" w:after="0" w:afterAutospacing="0" w:line="360" w:lineRule="auto"/>
        <w:jc w:val="center"/>
        <w:rPr>
          <w:rFonts w:hint="eastAsia" w:ascii="宋体" w:hAnsi="宋体" w:eastAsia="宋体" w:cs="宋体"/>
          <w:color w:val="auto"/>
          <w:kern w:val="2"/>
          <w:sz w:val="44"/>
          <w:szCs w:val="22"/>
          <w:highlight w:val="none"/>
        </w:rPr>
      </w:pPr>
    </w:p>
    <w:p>
      <w:pPr>
        <w:pStyle w:val="97"/>
        <w:spacing w:before="0" w:beforeAutospacing="0" w:after="0" w:afterAutospacing="0" w:line="360" w:lineRule="auto"/>
        <w:jc w:val="center"/>
        <w:rPr>
          <w:rFonts w:hint="eastAsia" w:ascii="宋体" w:hAnsi="宋体" w:eastAsia="宋体" w:cs="宋体"/>
          <w:color w:val="auto"/>
          <w:kern w:val="2"/>
          <w:sz w:val="44"/>
          <w:szCs w:val="22"/>
          <w:highlight w:val="none"/>
        </w:rPr>
      </w:pPr>
      <w:r>
        <w:rPr>
          <w:rFonts w:hint="eastAsia" w:ascii="宋体" w:hAnsi="宋体" w:eastAsia="宋体" w:cs="宋体"/>
          <w:color w:val="auto"/>
          <w:kern w:val="2"/>
          <w:sz w:val="44"/>
          <w:szCs w:val="22"/>
          <w:highlight w:val="none"/>
        </w:rPr>
        <w:t>中小企业声明函</w:t>
      </w:r>
    </w:p>
    <w:p>
      <w:pPr>
        <w:pStyle w:val="97"/>
        <w:spacing w:before="0" w:beforeAutospacing="0" w:after="0" w:afterAutospacing="0" w:line="360" w:lineRule="auto"/>
        <w:ind w:firstLine="420" w:firstLineChars="200"/>
        <w:rPr>
          <w:rFonts w:hint="eastAsia" w:ascii="宋体" w:hAnsi="宋体" w:eastAsia="宋体" w:cs="宋体"/>
          <w:color w:val="auto"/>
          <w:kern w:val="2"/>
          <w:sz w:val="21"/>
          <w:szCs w:val="21"/>
          <w:highlight w:val="none"/>
          <w:u w:val="none"/>
        </w:rPr>
      </w:pPr>
    </w:p>
    <w:p>
      <w:pPr>
        <w:pStyle w:val="97"/>
        <w:spacing w:before="0" w:beforeAutospacing="0" w:after="0" w:afterAutospacing="0" w:line="360" w:lineRule="auto"/>
        <w:ind w:firstLine="420" w:firstLineChars="200"/>
        <w:rPr>
          <w:rFonts w:hint="eastAsia" w:ascii="宋体" w:hAnsi="宋体" w:eastAsia="宋体" w:cs="宋体"/>
          <w:color w:val="auto"/>
          <w:kern w:val="2"/>
          <w:sz w:val="21"/>
          <w:szCs w:val="21"/>
          <w:highlight w:val="none"/>
          <w:u w:val="none"/>
          <w:lang w:eastAsia="zh-CN"/>
        </w:rPr>
      </w:pPr>
      <w:r>
        <w:rPr>
          <w:rFonts w:hint="eastAsia" w:ascii="宋体" w:hAnsi="宋体" w:eastAsia="宋体" w:cs="宋体"/>
          <w:color w:val="auto"/>
          <w:kern w:val="2"/>
          <w:sz w:val="21"/>
          <w:szCs w:val="21"/>
          <w:highlight w:val="none"/>
          <w:u w:val="single"/>
        </w:rPr>
        <w:t>本</w:t>
      </w:r>
      <w:r>
        <w:rPr>
          <w:rFonts w:hint="eastAsia" w:cs="宋体"/>
          <w:color w:val="auto"/>
          <w:kern w:val="2"/>
          <w:sz w:val="21"/>
          <w:szCs w:val="21"/>
          <w:highlight w:val="none"/>
          <w:u w:val="single"/>
          <w:lang w:val="en-US" w:eastAsia="zh-CN"/>
        </w:rPr>
        <w:t>企业</w:t>
      </w:r>
      <w:r>
        <w:rPr>
          <w:rFonts w:hint="eastAsia" w:ascii="宋体" w:hAnsi="宋体" w:eastAsia="宋体" w:cs="宋体"/>
          <w:color w:val="auto"/>
          <w:kern w:val="2"/>
          <w:sz w:val="21"/>
          <w:szCs w:val="21"/>
          <w:highlight w:val="none"/>
          <w:u w:val="single"/>
        </w:rPr>
        <w:t>（联合体）</w:t>
      </w:r>
      <w:r>
        <w:rPr>
          <w:rFonts w:hint="eastAsia" w:ascii="宋体" w:hAnsi="宋体" w:eastAsia="宋体" w:cs="宋体"/>
          <w:color w:val="auto"/>
          <w:kern w:val="2"/>
          <w:sz w:val="21"/>
          <w:szCs w:val="21"/>
          <w:highlight w:val="none"/>
          <w:u w:val="none"/>
        </w:rPr>
        <w:t>参加</w:t>
      </w:r>
      <w:r>
        <w:rPr>
          <w:rFonts w:hint="eastAsia" w:ascii="宋体" w:hAnsi="宋体" w:eastAsia="宋体" w:cs="宋体"/>
          <w:color w:val="auto"/>
          <w:kern w:val="2"/>
          <w:sz w:val="21"/>
          <w:szCs w:val="21"/>
          <w:highlight w:val="none"/>
          <w:u w:val="single"/>
        </w:rPr>
        <w:t>（单位名称）</w:t>
      </w:r>
      <w:r>
        <w:rPr>
          <w:rFonts w:hint="eastAsia" w:ascii="宋体" w:hAnsi="宋体" w:eastAsia="宋体" w:cs="宋体"/>
          <w:color w:val="auto"/>
          <w:kern w:val="2"/>
          <w:sz w:val="21"/>
          <w:szCs w:val="21"/>
          <w:highlight w:val="none"/>
          <w:u w:val="none"/>
        </w:rPr>
        <w:t>的</w:t>
      </w:r>
      <w:r>
        <w:rPr>
          <w:rFonts w:hint="eastAsia" w:ascii="宋体" w:hAnsi="宋体" w:eastAsia="宋体" w:cs="宋体"/>
          <w:color w:val="auto"/>
          <w:kern w:val="2"/>
          <w:sz w:val="21"/>
          <w:szCs w:val="21"/>
          <w:highlight w:val="none"/>
          <w:u w:val="single"/>
        </w:rPr>
        <w:t>（项目名称）</w:t>
      </w:r>
      <w:r>
        <w:rPr>
          <w:rFonts w:hint="eastAsia" w:cs="宋体"/>
          <w:color w:val="auto"/>
          <w:kern w:val="2"/>
          <w:sz w:val="21"/>
          <w:szCs w:val="21"/>
          <w:highlight w:val="none"/>
          <w:u w:val="none"/>
          <w:lang w:val="en-US" w:eastAsia="zh-CN"/>
        </w:rPr>
        <w:t>招标投标</w:t>
      </w:r>
      <w:r>
        <w:rPr>
          <w:rFonts w:hint="eastAsia" w:ascii="宋体" w:hAnsi="宋体" w:eastAsia="宋体" w:cs="宋体"/>
          <w:color w:val="auto"/>
          <w:kern w:val="2"/>
          <w:sz w:val="21"/>
          <w:szCs w:val="21"/>
          <w:highlight w:val="none"/>
          <w:u w:val="none"/>
        </w:rPr>
        <w:t>活动，工程的施工单位全部为符合政策要求的中小企业（或者：服务全部由符合政策要求的中小企业承接）。相关企业（含联合体中的中小企业）的具体情况如下</w:t>
      </w:r>
      <w:r>
        <w:rPr>
          <w:rFonts w:hint="eastAsia" w:cs="宋体"/>
          <w:color w:val="auto"/>
          <w:kern w:val="2"/>
          <w:sz w:val="21"/>
          <w:szCs w:val="21"/>
          <w:highlight w:val="none"/>
          <w:u w:val="none"/>
          <w:lang w:eastAsia="zh-CN"/>
        </w:rPr>
        <w:t>：</w:t>
      </w:r>
    </w:p>
    <w:p>
      <w:pPr>
        <w:pStyle w:val="97"/>
        <w:spacing w:before="0" w:beforeAutospacing="0" w:after="0" w:afterAutospacing="0" w:line="360" w:lineRule="auto"/>
        <w:ind w:firstLine="420" w:firstLineChars="200"/>
        <w:rPr>
          <w:rFonts w:hint="eastAsia" w:cs="宋体"/>
          <w:color w:val="auto"/>
          <w:kern w:val="2"/>
          <w:sz w:val="21"/>
          <w:szCs w:val="21"/>
          <w:highlight w:val="none"/>
          <w:u w:val="single"/>
          <w:lang w:eastAsia="zh-CN"/>
        </w:rPr>
      </w:pPr>
      <w:r>
        <w:rPr>
          <w:rFonts w:hint="eastAsia" w:cs="宋体"/>
          <w:color w:val="auto"/>
          <w:kern w:val="2"/>
          <w:sz w:val="21"/>
          <w:szCs w:val="21"/>
          <w:highlight w:val="none"/>
          <w:u w:val="single"/>
          <w:lang w:val="en-US" w:eastAsia="zh-CN"/>
        </w:rPr>
        <w:t>XX企业</w:t>
      </w:r>
      <w:r>
        <w:rPr>
          <w:rFonts w:hint="eastAsia" w:ascii="宋体" w:hAnsi="宋体" w:eastAsia="宋体" w:cs="宋体"/>
          <w:color w:val="auto"/>
          <w:kern w:val="2"/>
          <w:sz w:val="21"/>
          <w:szCs w:val="21"/>
          <w:highlight w:val="none"/>
        </w:rPr>
        <w:t>从业人员</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人，营业收入为</w:t>
      </w:r>
      <w:r>
        <w:rPr>
          <w:rFonts w:hint="eastAsia" w:ascii="宋体" w:hAnsi="宋体" w:eastAsia="宋体" w:cs="宋体"/>
          <w:color w:val="auto"/>
          <w:kern w:val="2"/>
          <w:sz w:val="21"/>
          <w:szCs w:val="21"/>
          <w:highlight w:val="none"/>
          <w:u w:val="single"/>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万元，资产总额为</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万元，</w:t>
      </w:r>
      <w:r>
        <w:rPr>
          <w:rFonts w:hint="eastAsia" w:ascii="宋体" w:hAnsi="宋体" w:eastAsia="宋体" w:cs="宋体"/>
          <w:color w:val="auto"/>
          <w:kern w:val="2"/>
          <w:sz w:val="21"/>
          <w:szCs w:val="21"/>
          <w:highlight w:val="none"/>
          <w:u w:val="none"/>
        </w:rPr>
        <w:t>根据《关于印发中小企业划型标准规定的通知》（工信部联企业〔2011〕300号）的划分标准，</w:t>
      </w:r>
      <w:r>
        <w:rPr>
          <w:rFonts w:hint="eastAsia" w:ascii="宋体" w:hAnsi="宋体" w:eastAsia="宋体" w:cs="宋体"/>
          <w:color w:val="auto"/>
          <w:kern w:val="2"/>
          <w:sz w:val="21"/>
          <w:szCs w:val="21"/>
          <w:highlight w:val="none"/>
        </w:rPr>
        <w:t>属于</w:t>
      </w:r>
      <w:r>
        <w:rPr>
          <w:rFonts w:hint="eastAsia" w:cs="宋体"/>
          <w:color w:val="auto"/>
          <w:kern w:val="2"/>
          <w:sz w:val="21"/>
          <w:szCs w:val="21"/>
          <w:highlight w:val="none"/>
          <w:u w:val="single"/>
          <w:lang w:val="en-US" w:eastAsia="zh-CN"/>
        </w:rPr>
        <w:t xml:space="preserve">  （本招标项目所属行业） </w:t>
      </w:r>
      <w:r>
        <w:rPr>
          <w:rFonts w:hint="eastAsia" w:cs="宋体"/>
          <w:color w:val="auto"/>
          <w:kern w:val="2"/>
          <w:sz w:val="21"/>
          <w:szCs w:val="21"/>
          <w:highlight w:val="none"/>
          <w:u w:val="none"/>
          <w:lang w:val="en-US" w:eastAsia="zh-CN"/>
        </w:rPr>
        <w:t>行业的</w:t>
      </w:r>
      <w:r>
        <w:rPr>
          <w:rFonts w:hint="eastAsia" w:ascii="宋体" w:hAnsi="宋体" w:eastAsia="宋体" w:cs="宋体"/>
          <w:color w:val="auto"/>
          <w:kern w:val="2"/>
          <w:sz w:val="21"/>
          <w:szCs w:val="21"/>
          <w:highlight w:val="none"/>
          <w:u w:val="single"/>
        </w:rPr>
        <w:t>（中型企业、小型企业、微型企业）</w:t>
      </w:r>
      <w:r>
        <w:rPr>
          <w:rFonts w:hint="eastAsia" w:cs="宋体"/>
          <w:color w:val="auto"/>
          <w:kern w:val="2"/>
          <w:sz w:val="21"/>
          <w:szCs w:val="21"/>
          <w:highlight w:val="none"/>
          <w:u w:val="single"/>
          <w:lang w:eastAsia="zh-CN"/>
        </w:rPr>
        <w:t>。</w:t>
      </w:r>
    </w:p>
    <w:p>
      <w:pPr>
        <w:pStyle w:val="97"/>
        <w:spacing w:before="0" w:beforeAutospacing="0" w:after="0" w:afterAutospacing="0" w:line="360" w:lineRule="auto"/>
        <w:ind w:firstLine="420" w:firstLineChars="200"/>
        <w:rPr>
          <w:rFonts w:hint="eastAsia" w:ascii="宋体" w:hAnsi="宋体" w:eastAsia="宋体" w:cs="宋体"/>
          <w:color w:val="auto"/>
          <w:kern w:val="2"/>
          <w:sz w:val="21"/>
          <w:szCs w:val="21"/>
          <w:highlight w:val="none"/>
          <w:u w:val="single"/>
          <w:lang w:val="en-US" w:eastAsia="zh-CN"/>
        </w:rPr>
      </w:pPr>
      <w:r>
        <w:rPr>
          <w:rFonts w:hint="eastAsia" w:cs="宋体"/>
          <w:color w:val="auto"/>
          <w:kern w:val="2"/>
          <w:sz w:val="21"/>
          <w:szCs w:val="21"/>
          <w:highlight w:val="none"/>
          <w:u w:val="single"/>
          <w:lang w:eastAsia="zh-CN"/>
        </w:rPr>
        <w:t>……</w:t>
      </w:r>
    </w:p>
    <w:p>
      <w:pPr>
        <w:pStyle w:val="97"/>
        <w:spacing w:before="0" w:beforeAutospacing="0" w:after="0" w:afterAutospacing="0" w:line="360" w:lineRule="auto"/>
        <w:ind w:firstLine="420" w:firstLineChars="200"/>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以上企业</w:t>
      </w:r>
      <w:r>
        <w:rPr>
          <w:rFonts w:hint="eastAsia" w:ascii="宋体" w:hAnsi="宋体" w:eastAsia="宋体" w:cs="宋体"/>
          <w:color w:val="auto"/>
          <w:kern w:val="2"/>
          <w:sz w:val="21"/>
          <w:szCs w:val="21"/>
          <w:highlight w:val="none"/>
        </w:rPr>
        <w:t>不属于大企业的分支机构，不存在控股股东为大企业的情形，也不存在与大企业的负责人为同一人的情形。</w:t>
      </w:r>
    </w:p>
    <w:p>
      <w:pPr>
        <w:pStyle w:val="97"/>
        <w:spacing w:before="0" w:beforeAutospacing="0" w:after="0" w:afterAutospacing="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本</w:t>
      </w:r>
      <w:r>
        <w:rPr>
          <w:rFonts w:hint="eastAsia" w:cs="宋体"/>
          <w:color w:val="auto"/>
          <w:kern w:val="2"/>
          <w:sz w:val="21"/>
          <w:szCs w:val="21"/>
          <w:highlight w:val="none"/>
          <w:lang w:val="en-US" w:eastAsia="zh-CN"/>
        </w:rPr>
        <w:t>企业</w:t>
      </w:r>
      <w:r>
        <w:rPr>
          <w:rFonts w:hint="eastAsia" w:ascii="宋体" w:hAnsi="宋体" w:eastAsia="宋体" w:cs="宋体"/>
          <w:color w:val="auto"/>
          <w:kern w:val="2"/>
          <w:sz w:val="21"/>
          <w:szCs w:val="21"/>
          <w:highlight w:val="none"/>
        </w:rPr>
        <w:t xml:space="preserve">对上述声明内容的真实性负责。如有虚假，将依法承担相应责任。 </w:t>
      </w:r>
    </w:p>
    <w:p>
      <w:pPr>
        <w:pStyle w:val="97"/>
        <w:spacing w:before="0" w:beforeAutospacing="0" w:after="0" w:afterAutospacing="0" w:line="360" w:lineRule="auto"/>
        <w:ind w:firstLine="420" w:firstLineChars="200"/>
        <w:jc w:val="right"/>
        <w:rPr>
          <w:rFonts w:hint="eastAsia" w:ascii="宋体" w:hAnsi="宋体" w:eastAsia="宋体" w:cs="宋体"/>
          <w:color w:val="auto"/>
          <w:kern w:val="2"/>
          <w:sz w:val="21"/>
          <w:szCs w:val="21"/>
          <w:highlight w:val="none"/>
        </w:rPr>
      </w:pPr>
    </w:p>
    <w:p>
      <w:pPr>
        <w:pStyle w:val="97"/>
        <w:spacing w:before="0" w:beforeAutospacing="0" w:after="0" w:afterAutospacing="0" w:line="360" w:lineRule="auto"/>
        <w:ind w:firstLine="420" w:firstLineChars="200"/>
        <w:jc w:val="righ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企业名称（盖章）：</w:t>
      </w:r>
    </w:p>
    <w:p>
      <w:pPr>
        <w:pStyle w:val="97"/>
        <w:spacing w:before="0" w:beforeAutospacing="0" w:after="0" w:afterAutospacing="0" w:line="360" w:lineRule="auto"/>
        <w:ind w:firstLine="420" w:firstLineChars="200"/>
        <w:jc w:val="righ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日期：</w:t>
      </w:r>
    </w:p>
    <w:p>
      <w:pPr>
        <w:pStyle w:val="97"/>
        <w:spacing w:before="0" w:beforeAutospacing="0" w:after="0" w:afterAutospacing="0" w:line="360" w:lineRule="auto"/>
        <w:ind w:firstLine="420" w:firstLineChars="200"/>
        <w:jc w:val="right"/>
        <w:rPr>
          <w:rFonts w:hint="eastAsia" w:ascii="宋体" w:hAnsi="宋体" w:eastAsia="宋体" w:cs="宋体"/>
          <w:color w:val="auto"/>
          <w:kern w:val="2"/>
          <w:sz w:val="21"/>
          <w:szCs w:val="21"/>
          <w:highlight w:val="none"/>
        </w:rPr>
      </w:pPr>
    </w:p>
    <w:p>
      <w:pPr>
        <w:pStyle w:val="97"/>
        <w:spacing w:before="0" w:beforeAutospacing="0" w:after="0" w:afterAutospacing="0" w:line="360" w:lineRule="auto"/>
        <w:ind w:firstLine="420" w:firstLineChars="200"/>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注：</w:t>
      </w:r>
      <w:r>
        <w:rPr>
          <w:rFonts w:hint="eastAsia" w:ascii="宋体" w:hAnsi="宋体" w:eastAsia="宋体" w:cs="宋体"/>
          <w:color w:val="auto"/>
          <w:kern w:val="2"/>
          <w:sz w:val="21"/>
          <w:szCs w:val="21"/>
          <w:highlight w:val="none"/>
        </w:rPr>
        <w:t xml:space="preserve"> 从业人员、营业收入、资产总额填报上一年度数据，无上一年度数据的新成立企业可不填报</w:t>
      </w:r>
      <w:r>
        <w:rPr>
          <w:rFonts w:hint="eastAsia" w:cs="宋体"/>
          <w:color w:val="auto"/>
          <w:kern w:val="2"/>
          <w:sz w:val="21"/>
          <w:szCs w:val="21"/>
          <w:highlight w:val="none"/>
          <w:lang w:eastAsia="zh-CN"/>
        </w:rPr>
        <w:t>。</w:t>
      </w:r>
      <w:r>
        <w:rPr>
          <w:rFonts w:hint="eastAsia" w:cs="宋体"/>
          <w:color w:val="auto"/>
          <w:kern w:val="2"/>
          <w:sz w:val="21"/>
          <w:szCs w:val="21"/>
          <w:highlight w:val="none"/>
          <w:lang w:val="en-US" w:eastAsia="zh-CN"/>
        </w:rPr>
        <w:t>招标人</w:t>
      </w:r>
      <w:r>
        <w:rPr>
          <w:rFonts w:hint="eastAsia" w:cs="宋体"/>
          <w:color w:val="auto"/>
          <w:kern w:val="2"/>
          <w:sz w:val="21"/>
          <w:szCs w:val="21"/>
          <w:highlight w:val="none"/>
          <w:lang w:eastAsia="zh-CN"/>
        </w:rPr>
        <w:t>同等条件下优先选择符合条件的中小企业中标</w:t>
      </w:r>
      <w:r>
        <w:rPr>
          <w:rFonts w:hint="eastAsia" w:cs="宋体"/>
          <w:color w:val="auto"/>
          <w:kern w:val="2"/>
          <w:sz w:val="21"/>
          <w:szCs w:val="21"/>
          <w:highlight w:val="none"/>
          <w:lang w:val="en-US" w:eastAsia="zh-CN"/>
        </w:rPr>
        <w:t>的，投标人属于招标项目所属行业的中小企业且提供声明函后，方可适用该条款。</w:t>
      </w: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b w:val="0"/>
          <w:bCs w:val="0"/>
          <w:color w:val="auto"/>
          <w:spacing w:val="0"/>
          <w:kern w:val="2"/>
          <w:sz w:val="21"/>
          <w:szCs w:val="21"/>
          <w:highlight w:val="none"/>
          <w:lang w:eastAsia="zh-CN"/>
        </w:rPr>
      </w:pPr>
    </w:p>
    <w:p>
      <w:pPr>
        <w:pStyle w:val="97"/>
        <w:spacing w:before="0" w:beforeAutospacing="0" w:after="0" w:afterAutospacing="0" w:line="360" w:lineRule="auto"/>
        <w:rPr>
          <w:rFonts w:hint="eastAsia" w:ascii="宋体" w:hAnsi="宋体" w:eastAsia="宋体" w:cs="宋体"/>
          <w:b w:val="0"/>
          <w:bCs w:val="0"/>
          <w:color w:val="auto"/>
          <w:spacing w:val="3"/>
          <w:sz w:val="21"/>
          <w:szCs w:val="21"/>
          <w:highlight w:val="none"/>
          <w:lang w:eastAsia="zh-CN"/>
        </w:rPr>
      </w:pPr>
    </w:p>
    <w:bookmarkEnd w:id="5030"/>
    <w:p>
      <w:pPr>
        <w:adjustRightInd w:val="0"/>
        <w:snapToGrid w:val="0"/>
        <w:spacing w:line="360" w:lineRule="exact"/>
        <w:jc w:val="center"/>
        <w:rPr>
          <w:color w:val="auto"/>
          <w:highlight w:val="none"/>
        </w:rPr>
      </w:pPr>
    </w:p>
    <w:p>
      <w:pPr>
        <w:adjustRightInd w:val="0"/>
        <w:snapToGrid w:val="0"/>
        <w:spacing w:line="360" w:lineRule="auto"/>
        <w:ind w:firstLine="5140" w:firstLineChars="160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工程编号：</w:t>
      </w:r>
      <w:r>
        <w:rPr>
          <w:rFonts w:hint="eastAsia" w:ascii="宋体" w:hAnsi="宋体" w:eastAsia="宋体" w:cs="宋体"/>
          <w:b/>
          <w:bCs/>
          <w:color w:val="auto"/>
          <w:sz w:val="32"/>
          <w:szCs w:val="32"/>
          <w:highlight w:val="none"/>
          <w:u w:val="single"/>
        </w:rPr>
        <w:t>_____________</w:t>
      </w:r>
    </w:p>
    <w:p>
      <w:pPr>
        <w:adjustRightInd w:val="0"/>
        <w:snapToGrid w:val="0"/>
        <w:spacing w:line="360" w:lineRule="auto"/>
        <w:rPr>
          <w:rFonts w:ascii="宋体" w:hAnsi="宋体" w:eastAsia="宋体" w:cs="宋体"/>
          <w:b/>
          <w:bCs/>
          <w:color w:val="auto"/>
          <w:sz w:val="28"/>
          <w:highlight w:val="none"/>
        </w:rPr>
      </w:pPr>
    </w:p>
    <w:p>
      <w:pPr>
        <w:adjustRightInd w:val="0"/>
        <w:snapToGrid w:val="0"/>
        <w:spacing w:line="360" w:lineRule="auto"/>
        <w:rPr>
          <w:rFonts w:ascii="宋体" w:hAnsi="宋体" w:eastAsia="宋体" w:cs="宋体"/>
          <w:b/>
          <w:bCs/>
          <w:color w:val="auto"/>
          <w:sz w:val="28"/>
          <w:highlight w:val="none"/>
        </w:rPr>
      </w:pPr>
    </w:p>
    <w:p>
      <w:pPr>
        <w:adjustRightInd w:val="0"/>
        <w:snapToGrid w:val="0"/>
        <w:spacing w:line="360" w:lineRule="auto"/>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深圳市建设工程施工招标</w:t>
      </w:r>
    </w:p>
    <w:p>
      <w:pPr>
        <w:adjustRightInd w:val="0"/>
        <w:snapToGrid w:val="0"/>
        <w:spacing w:line="360" w:lineRule="auto"/>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投 标 文 件</w:t>
      </w:r>
    </w:p>
    <w:p>
      <w:pPr>
        <w:adjustRightInd w:val="0"/>
        <w:snapToGrid w:val="0"/>
        <w:spacing w:line="360" w:lineRule="auto"/>
        <w:jc w:val="center"/>
        <w:rPr>
          <w:rFonts w:ascii="宋体" w:hAnsi="宋体" w:eastAsia="宋体" w:cs="宋体"/>
          <w:b/>
          <w:color w:val="auto"/>
          <w:sz w:val="72"/>
          <w:highlight w:val="none"/>
        </w:rPr>
      </w:pPr>
    </w:p>
    <w:p>
      <w:pPr>
        <w:adjustRightInd w:val="0"/>
        <w:snapToGrid w:val="0"/>
        <w:spacing w:line="360" w:lineRule="auto"/>
        <w:jc w:val="center"/>
        <w:rPr>
          <w:rFonts w:ascii="宋体" w:hAnsi="宋体" w:eastAsia="宋体" w:cs="宋体"/>
          <w:b/>
          <w:color w:val="auto"/>
          <w:sz w:val="72"/>
          <w:highlight w:val="none"/>
        </w:rPr>
      </w:pPr>
    </w:p>
    <w:p>
      <w:pPr>
        <w:adjustRightInd w:val="0"/>
        <w:snapToGrid w:val="0"/>
        <w:spacing w:line="360" w:lineRule="auto"/>
        <w:rPr>
          <w:rFonts w:ascii="宋体" w:hAnsi="宋体" w:eastAsia="宋体" w:cs="宋体"/>
          <w:b/>
          <w:color w:val="auto"/>
          <w:sz w:val="32"/>
          <w:highlight w:val="none"/>
        </w:rPr>
      </w:pPr>
      <w:r>
        <w:rPr>
          <w:rFonts w:hint="eastAsia" w:ascii="宋体" w:hAnsi="宋体" w:eastAsia="宋体" w:cs="宋体"/>
          <w:b/>
          <w:color w:val="auto"/>
          <w:sz w:val="32"/>
          <w:highlight w:val="none"/>
        </w:rPr>
        <w:t>工程名称：</w:t>
      </w:r>
      <w:r>
        <w:rPr>
          <w:rFonts w:hint="eastAsia" w:ascii="宋体" w:hAnsi="宋体" w:eastAsia="宋体" w:cs="宋体"/>
          <w:b/>
          <w:color w:val="auto"/>
          <w:sz w:val="32"/>
          <w:highlight w:val="none"/>
          <w:u w:val="single"/>
        </w:rPr>
        <w:t>___________________________________________</w:t>
      </w:r>
    </w:p>
    <w:p>
      <w:pPr>
        <w:adjustRightInd w:val="0"/>
        <w:snapToGrid w:val="0"/>
        <w:spacing w:line="360" w:lineRule="auto"/>
        <w:rPr>
          <w:rFonts w:ascii="宋体" w:hAnsi="宋体" w:eastAsia="宋体" w:cs="宋体"/>
          <w:b/>
          <w:color w:val="auto"/>
          <w:sz w:val="32"/>
          <w:highlight w:val="none"/>
        </w:rPr>
      </w:pPr>
    </w:p>
    <w:p>
      <w:pPr>
        <w:adjustRightInd w:val="0"/>
        <w:snapToGrid w:val="0"/>
        <w:spacing w:line="360" w:lineRule="auto"/>
        <w:outlineLvl w:val="1"/>
        <w:rPr>
          <w:rFonts w:ascii="宋体" w:hAnsi="宋体" w:eastAsia="宋体" w:cs="宋体"/>
          <w:b/>
          <w:color w:val="auto"/>
          <w:sz w:val="32"/>
          <w:highlight w:val="none"/>
        </w:rPr>
      </w:pPr>
      <w:bookmarkStart w:id="5036" w:name="_Toc19837"/>
      <w:bookmarkStart w:id="5037" w:name="_Toc32533"/>
      <w:bookmarkStart w:id="5038" w:name="_Toc12476"/>
      <w:bookmarkStart w:id="5039" w:name="_Toc23925"/>
      <w:bookmarkStart w:id="5040" w:name="_Toc20398"/>
      <w:bookmarkStart w:id="5041" w:name="_Toc26088"/>
      <w:r>
        <w:rPr>
          <w:rFonts w:hint="eastAsia" w:ascii="宋体" w:hAnsi="宋体" w:eastAsia="宋体" w:cs="宋体"/>
          <w:b/>
          <w:color w:val="auto"/>
          <w:sz w:val="32"/>
          <w:highlight w:val="none"/>
        </w:rPr>
        <w:t>投标文件内容：</w:t>
      </w:r>
      <w:r>
        <w:rPr>
          <w:rFonts w:hint="eastAsia" w:ascii="宋体" w:hAnsi="宋体" w:eastAsia="宋体" w:cs="宋体"/>
          <w:b/>
          <w:color w:val="auto"/>
          <w:sz w:val="52"/>
          <w:highlight w:val="none"/>
          <w:u w:val="single"/>
        </w:rPr>
        <w:t xml:space="preserve">       商务标部分</w:t>
      </w:r>
      <w:bookmarkEnd w:id="5036"/>
      <w:bookmarkEnd w:id="5037"/>
      <w:bookmarkEnd w:id="5038"/>
      <w:bookmarkEnd w:id="5039"/>
      <w:bookmarkEnd w:id="5040"/>
      <w:bookmarkEnd w:id="5041"/>
      <w:r>
        <w:rPr>
          <w:rFonts w:hint="eastAsia" w:ascii="宋体" w:hAnsi="宋体" w:eastAsia="宋体" w:cs="宋体"/>
          <w:b/>
          <w:color w:val="auto"/>
          <w:sz w:val="52"/>
          <w:highlight w:val="none"/>
          <w:u w:val="single"/>
        </w:rPr>
        <w:t xml:space="preserve">       </w:t>
      </w:r>
    </w:p>
    <w:p>
      <w:pPr>
        <w:adjustRightInd w:val="0"/>
        <w:snapToGrid w:val="0"/>
        <w:spacing w:line="360" w:lineRule="auto"/>
        <w:rPr>
          <w:rFonts w:ascii="宋体" w:hAnsi="宋体" w:eastAsia="宋体" w:cs="宋体"/>
          <w:b/>
          <w:color w:val="auto"/>
          <w:sz w:val="32"/>
          <w:highlight w:val="none"/>
        </w:rPr>
      </w:pPr>
    </w:p>
    <w:p>
      <w:pPr>
        <w:adjustRightInd w:val="0"/>
        <w:snapToGrid w:val="0"/>
        <w:spacing w:line="360" w:lineRule="auto"/>
        <w:rPr>
          <w:rFonts w:ascii="宋体" w:hAnsi="宋体" w:eastAsia="宋体" w:cs="宋体"/>
          <w:b/>
          <w:color w:val="auto"/>
          <w:sz w:val="32"/>
          <w:highlight w:val="none"/>
        </w:rPr>
      </w:pPr>
      <w:r>
        <w:rPr>
          <w:rFonts w:hint="eastAsia" w:ascii="宋体" w:hAnsi="宋体" w:eastAsia="宋体" w:cs="宋体"/>
          <w:b/>
          <w:color w:val="auto"/>
          <w:sz w:val="32"/>
          <w:highlight w:val="none"/>
        </w:rPr>
        <w:t>投标人：</w:t>
      </w:r>
      <w:r>
        <w:rPr>
          <w:rFonts w:hint="eastAsia" w:ascii="宋体" w:hAnsi="宋体" w:eastAsia="宋体" w:cs="宋体"/>
          <w:b/>
          <w:color w:val="auto"/>
          <w:sz w:val="32"/>
          <w:highlight w:val="none"/>
          <w:u w:val="single"/>
        </w:rPr>
        <w:t>_____________________________________</w:t>
      </w:r>
    </w:p>
    <w:p>
      <w:pPr>
        <w:adjustRightInd w:val="0"/>
        <w:snapToGrid w:val="0"/>
        <w:spacing w:line="360" w:lineRule="auto"/>
        <w:rPr>
          <w:rFonts w:ascii="宋体" w:hAnsi="宋体" w:eastAsia="宋体" w:cs="宋体"/>
          <w:b/>
          <w:color w:val="auto"/>
          <w:sz w:val="32"/>
          <w:highlight w:val="none"/>
        </w:rPr>
      </w:pPr>
    </w:p>
    <w:p>
      <w:pPr>
        <w:adjustRightInd w:val="0"/>
        <w:snapToGrid w:val="0"/>
        <w:spacing w:line="360" w:lineRule="auto"/>
        <w:rPr>
          <w:color w:val="auto"/>
          <w:highlight w:val="none"/>
        </w:rPr>
      </w:pPr>
      <w:r>
        <w:rPr>
          <w:rFonts w:hint="eastAsia" w:ascii="宋体" w:hAnsi="宋体" w:eastAsia="宋体" w:cs="宋体"/>
          <w:b/>
          <w:color w:val="auto"/>
          <w:sz w:val="32"/>
          <w:highlight w:val="none"/>
        </w:rPr>
        <w:t>日  期：</w:t>
      </w:r>
      <w:r>
        <w:rPr>
          <w:rFonts w:hint="eastAsia" w:ascii="宋体" w:hAnsi="宋体" w:eastAsia="宋体" w:cs="宋体"/>
          <w:b/>
          <w:color w:val="auto"/>
          <w:sz w:val="32"/>
          <w:highlight w:val="none"/>
          <w:u w:val="single"/>
        </w:rPr>
        <w:t>____________</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______</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______</w:t>
      </w:r>
      <w:r>
        <w:rPr>
          <w:rFonts w:hint="eastAsia" w:ascii="宋体" w:hAnsi="宋体" w:eastAsia="宋体" w:cs="宋体"/>
          <w:b/>
          <w:color w:val="auto"/>
          <w:sz w:val="32"/>
          <w:highlight w:val="none"/>
        </w:rPr>
        <w:t>日</w:t>
      </w:r>
      <w:r>
        <w:rPr>
          <w:color w:val="auto"/>
          <w:highlight w:val="none"/>
        </w:rPr>
        <w:br w:type="page"/>
      </w:r>
    </w:p>
    <w:p>
      <w:pPr>
        <w:adjustRightInd w:val="0"/>
        <w:snapToGrid w:val="0"/>
        <w:spacing w:line="360" w:lineRule="auto"/>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一、工程量清单报价表的说明</w:t>
      </w:r>
    </w:p>
    <w:p>
      <w:pPr>
        <w:adjustRightInd w:val="0"/>
        <w:snapToGrid w:val="0"/>
        <w:spacing w:line="360" w:lineRule="auto"/>
        <w:ind w:firstLine="420" w:firstLineChars="200"/>
        <w:rPr>
          <w:color w:val="auto"/>
          <w:highlight w:val="none"/>
        </w:rPr>
      </w:pP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1.本投标报价是依据本工程招标文件的投标须知、工程量清单、合同条件、工程建设标准及技术要求和图纸等文件进行编制的。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2.“工程量清单报价表”包括以下几个部分：</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(1)投标总价；</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(2)工程项目投标价汇总表；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(3)单项工程投标价汇总表；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(4)单位工程投标价汇总表；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(5)分部分项工程清单与计价表；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(6)措施项目清单与计价汇总表；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(7)措施项目清单与计价表（一）；</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(8)安全文明施工措施费详细清单与计价表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(9)其他项目清单与计价汇总表；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(10)材料设备暂估价计价表；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(11)计日工表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(12)总承包服务费计价表；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(13)发包人供应材料设备明细表；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(14)规费税金项目清单与计价表；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(15)暂列金额明细表；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(16)工程建设其他费计价表；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(17)设备及工器具购置费计价表。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3.本投标报价是按照招标文件中要求采用的工程量计算规则，根据本企业自身的情况、拟订的施工组织设计和施工方案，分析市场情况完成的，该报价不低于本企业完成该招标工程的成本。</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4.对“分部分项工程量清单计价表”的说明：</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⑴.我方确认“分部分项工程量清单”中所列的工程量系招标人的估算，是临时的，结算时，应以由发、承包双方在合同中约定应予计量且实际完成的工程量确定。</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⑵.该计价表中所填入的综合单价和合价已包括人工费、材料费、施工机械使用费和企业管理费与利润，以及一定范围内的风险费用。招标人计划自行采购的材料设备单价未计入综合单价报价中。</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⑶.该计价表中没有填写综合单价和合价或者价格为零的项目，其费用已包括在工程量清单的其他综合单价或合价之中，备注中已有明确说明。</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□⑷.根据招标人的要求，我方提供了“工程量清单综合单价分析表”。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5.对“措施项目清单计价表”的说明：</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⑴.该计价表是根据招标人提供的“措施项目清单”填报的，我方根据自身的情况对有关项目进行了调整，包含了完成该招标工程所需发生的全部措施费用。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⑵.该计价表中以“项”为单位的措施项目，我方填报的价格已包括除规费、税金外的全部费用。</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□⑶.根据招标人的要求，我方提供了“措施项目清单与计价表（二）”。</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6.对“其他项目清单计价表”的说明：</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⑴.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⑵.该计价表中计日工是根据招标人提出的“计日工表”的要求填报单价，结算时，按合同约定的方式确认工程量。</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⑶．该计价表中总承包服务费是根据招标人提出的内容和要求，以招标人提供“总承包服务费表”中“项目价值”为基数自主确定费率计算的。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7.我方接受招标人在合同条款和合同格式部分提出的要约，特别是对工程变更价款、暂列金额、专业工程暂估价、工程建设其他费和设备及工器具购置费的确定和结算方式。</w:t>
      </w:r>
    </w:p>
    <w:p>
      <w:pPr>
        <w:adjustRightInd w:val="0"/>
        <w:snapToGrid w:val="0"/>
        <w:spacing w:line="360" w:lineRule="auto"/>
        <w:ind w:firstLine="420" w:firstLineChars="200"/>
        <w:rPr>
          <w:color w:val="auto"/>
          <w:highlight w:val="none"/>
        </w:rPr>
      </w:pPr>
      <w:r>
        <w:rPr>
          <w:rFonts w:hint="eastAsia" w:ascii="宋体" w:hAnsi="宋体" w:eastAsia="宋体" w:cs="宋体"/>
          <w:color w:val="auto"/>
          <w:szCs w:val="21"/>
          <w:highlight w:val="none"/>
        </w:rPr>
        <w:t>8.其他。</w:t>
      </w:r>
      <w:r>
        <w:rPr>
          <w:rFonts w:hint="eastAsia" w:ascii="宋体" w:hAnsi="宋体" w:eastAsia="宋体" w:cs="宋体"/>
          <w:color w:val="auto"/>
          <w:highlight w:val="none"/>
        </w:rPr>
        <w:br w:type="page"/>
      </w:r>
    </w:p>
    <w:p>
      <w:pPr>
        <w:adjustRightInd w:val="0"/>
        <w:snapToGrid w:val="0"/>
        <w:spacing w:line="360" w:lineRule="auto"/>
        <w:jc w:val="center"/>
        <w:rPr>
          <w:color w:val="auto"/>
          <w:highlight w:val="none"/>
        </w:rPr>
      </w:pPr>
    </w:p>
    <w:p>
      <w:pPr>
        <w:adjustRightInd w:val="0"/>
        <w:snapToGrid w:val="0"/>
        <w:spacing w:line="360" w:lineRule="auto"/>
        <w:jc w:val="center"/>
        <w:rPr>
          <w:color w:val="auto"/>
          <w:highlight w:val="none"/>
        </w:rPr>
      </w:pPr>
    </w:p>
    <w:p>
      <w:pPr>
        <w:adjustRightInd w:val="0"/>
        <w:snapToGrid w:val="0"/>
        <w:spacing w:line="360" w:lineRule="auto"/>
        <w:jc w:val="center"/>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二、商务标部分</w:t>
      </w:r>
    </w:p>
    <w:p>
      <w:pPr>
        <w:adjustRightInd w:val="0"/>
        <w:snapToGrid w:val="0"/>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（格式同计算机编制软件）</w:t>
      </w:r>
    </w:p>
    <w:p>
      <w:pPr>
        <w:adjustRightInd w:val="0"/>
        <w:snapToGrid w:val="0"/>
        <w:spacing w:line="360" w:lineRule="auto"/>
        <w:jc w:val="center"/>
        <w:rPr>
          <w:rFonts w:ascii="黑体" w:hAnsi="黑体" w:eastAsia="黑体" w:cs="黑体"/>
          <w:color w:val="auto"/>
          <w:sz w:val="32"/>
          <w:szCs w:val="32"/>
          <w:highlight w:val="none"/>
        </w:rPr>
      </w:pPr>
    </w:p>
    <w:p>
      <w:pPr>
        <w:adjustRightInd w:val="0"/>
        <w:snapToGrid w:val="0"/>
        <w:spacing w:line="360" w:lineRule="auto"/>
        <w:jc w:val="center"/>
        <w:rPr>
          <w:color w:val="auto"/>
          <w:highlight w:val="none"/>
        </w:rPr>
      </w:pPr>
      <w:r>
        <w:rPr>
          <w:rFonts w:hint="eastAsia" w:ascii="黑体" w:hAnsi="黑体" w:eastAsia="黑体" w:cs="黑体"/>
          <w:b/>
          <w:color w:val="auto"/>
          <w:sz w:val="32"/>
          <w:szCs w:val="32"/>
          <w:highlight w:val="none"/>
        </w:rPr>
        <w:t>三、施工投标承诺函</w:t>
      </w:r>
      <w:r>
        <w:rPr>
          <w:color w:val="auto"/>
          <w:highlight w:val="none"/>
        </w:rPr>
        <w:br w:type="page"/>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提示：本承诺函明确除标明由</w:t>
      </w:r>
      <w:r>
        <w:rPr>
          <w:rFonts w:hint="eastAsia" w:ascii="宋体" w:hAnsi="宋体" w:eastAsia="宋体" w:cs="宋体"/>
          <w:bCs/>
          <w:color w:val="auto"/>
          <w:szCs w:val="21"/>
          <w:highlight w:val="none"/>
        </w:rPr>
        <w:t>“投标人填写”外，其余空格全部应由招标人填写完整。一旦投标人中标后，该承诺函将提交质监、安监、造价、审计等部门作为后续监管的依据。</w:t>
      </w:r>
    </w:p>
    <w:p>
      <w:pPr>
        <w:adjustRightInd w:val="0"/>
        <w:snapToGrid w:val="0"/>
        <w:spacing w:line="360" w:lineRule="auto"/>
        <w:jc w:val="center"/>
        <w:rPr>
          <w:rFonts w:ascii="宋体" w:hAnsi="宋体" w:eastAsia="宋体" w:cs="宋体"/>
          <w:color w:val="auto"/>
          <w:highlight w:val="none"/>
        </w:rPr>
      </w:pPr>
    </w:p>
    <w:p>
      <w:pPr>
        <w:adjustRightInd w:val="0"/>
        <w:snapToGrid w:val="0"/>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施工投标承诺函</w:t>
      </w:r>
    </w:p>
    <w:p>
      <w:pPr>
        <w:adjustRightInd w:val="0"/>
        <w:snapToGrid w:val="0"/>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致招标人：</w:t>
      </w:r>
      <w:r>
        <w:rPr>
          <w:rFonts w:hint="eastAsia" w:ascii="宋体" w:hAnsi="宋体" w:eastAsia="宋体" w:cs="宋体"/>
          <w:bCs/>
          <w:color w:val="auto"/>
          <w:szCs w:val="21"/>
          <w:highlight w:val="none"/>
          <w:u w:val="single"/>
        </w:rPr>
        <w:t>____________________</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为了确保本工程招标投标工作顺利进行，同时保证优质高效、文明施工，我方将严格执行建设工程管理的法律法规，并完全接受</w:t>
      </w:r>
      <w:r>
        <w:rPr>
          <w:rFonts w:hint="eastAsia" w:ascii="宋体" w:hAnsi="宋体" w:eastAsia="宋体" w:cs="宋体"/>
          <w:bCs/>
          <w:color w:val="auto"/>
          <w:szCs w:val="21"/>
          <w:highlight w:val="none"/>
          <w:u w:val="single"/>
        </w:rPr>
        <w:t>_____________</w:t>
      </w:r>
      <w:r>
        <w:rPr>
          <w:rFonts w:hint="eastAsia" w:ascii="宋体" w:hAnsi="宋体" w:eastAsia="宋体" w:cs="宋体"/>
          <w:bCs/>
          <w:color w:val="auto"/>
          <w:szCs w:val="21"/>
          <w:highlight w:val="none"/>
        </w:rPr>
        <w:t>工程的招标文件所有内容，为此作出如下承诺：</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1、根</w:t>
      </w:r>
      <w:r>
        <w:rPr>
          <w:rFonts w:hint="eastAsia" w:ascii="宋体" w:hAnsi="宋体" w:eastAsia="宋体" w:cs="宋体"/>
          <w:color w:val="auto"/>
          <w:szCs w:val="21"/>
          <w:highlight w:val="none"/>
        </w:rPr>
        <w:t>据企业自身情况，理性报价，不会以低于成本的报价竞标，并愿以投标总报价</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________</w:t>
      </w:r>
      <w:r>
        <w:rPr>
          <w:rFonts w:hint="eastAsia" w:ascii="宋体" w:hAnsi="宋体" w:eastAsia="宋体" w:cs="宋体"/>
          <w:color w:val="auto"/>
          <w:szCs w:val="21"/>
          <w:highlight w:val="none"/>
        </w:rPr>
        <w:t>万元，按招标文件要求承包本工程的施工、竣工并修补其任何缺陷。否则，我方愿意承担任何风险。（投标人填写）</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我方同意所递交的投标文件在投标须知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3、我方保证所提交的保证金是从我公司基本账户汇出，银行保函是由我公司基本账户开户银行所在网点或其上级银行机构出具，</w:t>
      </w:r>
      <w:r>
        <w:rPr>
          <w:rFonts w:hint="eastAsia" w:ascii="宋体" w:hAnsi="宋体" w:eastAsia="宋体" w:cs="宋体"/>
          <w:strike w:val="0"/>
          <w:color w:val="auto"/>
          <w:kern w:val="0"/>
          <w:szCs w:val="21"/>
          <w:highlight w:val="none"/>
          <w:lang w:val="en-US" w:eastAsia="zh-CN"/>
        </w:rPr>
        <w:t>担保公司保函、</w:t>
      </w:r>
      <w:r>
        <w:rPr>
          <w:rFonts w:hint="eastAsia" w:ascii="宋体" w:hAnsi="宋体" w:eastAsia="宋体" w:cs="宋体"/>
          <w:color w:val="auto"/>
          <w:szCs w:val="21"/>
          <w:highlight w:val="none"/>
        </w:rPr>
        <w:t>保证保险的保费是通过我公司基本账户支付。否则，招标人有权取消我公司的中标资格或单方面终止合同，因此造成的责任由我公司承担。</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4、我方完全理解和接受招标文件招投标须知正文第40条的规定，并承诺一旦我方的投标出现该条列举的严重违规或涉嫌串通投标的情形而被评标委员会废标的，将自觉接受贵方暂停或者取消今后我方参加贵方其他任何工程投标资格的处理。</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5、</w:t>
      </w:r>
      <w:r>
        <w:rPr>
          <w:rFonts w:ascii="宋体" w:hAnsi="宋体" w:eastAsia="宋体" w:cs="宋体"/>
          <w:bCs/>
          <w:color w:val="auto"/>
          <w:szCs w:val="21"/>
          <w:highlight w:val="none"/>
        </w:rPr>
        <w:t>一旦我方中标，将保证在中标通知书发出之日起30日内，与贵方按招标文件、中标通知书中的内容签定施工合同，否则，视为我方自愿放弃中标资格。</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6、除非另外达成协议并生效，贵方的中标通知书和本投标文件将成为约束双方的合同文件的组成部分。</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7、按规定完成施工合同承包范围</w:t>
      </w:r>
      <w:r>
        <w:rPr>
          <w:rFonts w:hint="eastAsia" w:ascii="宋体" w:hAnsi="宋体" w:eastAsia="宋体" w:cs="宋体"/>
          <w:bCs/>
          <w:color w:val="auto"/>
          <w:szCs w:val="21"/>
          <w:highlight w:val="none"/>
          <w:u w:val="single"/>
        </w:rPr>
        <w:t>___________________________________________</w:t>
      </w:r>
    </w:p>
    <w:p>
      <w:pPr>
        <w:adjustRightInd w:val="0"/>
        <w:snapToGrid w:val="0"/>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u w:val="single"/>
        </w:rPr>
        <w:t>___________________________________________________________________________</w:t>
      </w:r>
    </w:p>
    <w:p>
      <w:pPr>
        <w:adjustRightInd w:val="0"/>
        <w:snapToGrid w:val="0"/>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（与招标范围一致）的全部内容，质量达到合格标准的要求，质量目标为</w:t>
      </w:r>
      <w:r>
        <w:rPr>
          <w:rFonts w:hint="eastAsia" w:ascii="宋体" w:hAnsi="宋体" w:eastAsia="宋体" w:cs="宋体"/>
          <w:bCs/>
          <w:color w:val="auto"/>
          <w:szCs w:val="21"/>
          <w:highlight w:val="none"/>
          <w:u w:val="single"/>
        </w:rPr>
        <w:t>______</w:t>
      </w:r>
      <w:r>
        <w:rPr>
          <w:rFonts w:hint="eastAsia" w:ascii="宋体" w:hAnsi="宋体" w:eastAsia="宋体" w:cs="宋体"/>
          <w:bCs/>
          <w:color w:val="auto"/>
          <w:szCs w:val="21"/>
          <w:highlight w:val="none"/>
        </w:rPr>
        <w:t>。</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8、建立完善的质量安全保证体系，配备与投标文件相一致且满足工程建设规模、技术要求、安全要求的项目管理机构和施工管理人员，并确保常驻现场。我方在本工程中配备的项目管理机构和施工管理人员详见《项目管理机构配备情况表》（投标人填写）。撤换上述人员前，必须征得贵方及建设行政主管部门批准同意。否则，招标人有权取消我公司的中标资格或单方面终止合同，由此造成的违约责任由我公司承担。</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9、我方在本工程中投入的主要机械设备详见附件《主要机械设备表》。所使用的工程机械、装卸机械满足国家现阶段非道路移动机械用柴油机排放标准。（投标人填写）</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10、我方保证在收到中标通知书后</w:t>
      </w:r>
      <w:r>
        <w:rPr>
          <w:rFonts w:hint="eastAsia" w:ascii="宋体" w:hAnsi="宋体" w:eastAsia="宋体" w:cs="宋体"/>
          <w:bCs/>
          <w:color w:val="auto"/>
          <w:szCs w:val="21"/>
          <w:highlight w:val="none"/>
          <w:u w:val="single"/>
        </w:rPr>
        <w:t>____</w:t>
      </w:r>
      <w:r>
        <w:rPr>
          <w:rFonts w:hint="eastAsia" w:ascii="宋体" w:hAnsi="宋体" w:eastAsia="宋体" w:cs="宋体"/>
          <w:bCs/>
          <w:color w:val="auto"/>
          <w:szCs w:val="21"/>
          <w:highlight w:val="none"/>
        </w:rPr>
        <w:t>日内，递交经贵方认可的履约担保，履约担保金额为</w:t>
      </w:r>
      <w:r>
        <w:rPr>
          <w:rFonts w:hint="eastAsia" w:ascii="宋体" w:hAnsi="宋体" w:eastAsia="宋体" w:cs="宋体"/>
          <w:bCs/>
          <w:color w:val="auto"/>
          <w:szCs w:val="21"/>
          <w:highlight w:val="none"/>
          <w:u w:val="single"/>
        </w:rPr>
        <w:t>________</w:t>
      </w:r>
      <w:r>
        <w:rPr>
          <w:rFonts w:hint="eastAsia" w:ascii="宋体" w:hAnsi="宋体" w:eastAsia="宋体" w:cs="宋体"/>
          <w:bCs/>
          <w:color w:val="auto"/>
          <w:szCs w:val="21"/>
          <w:highlight w:val="none"/>
        </w:rPr>
        <w:t>万元，否则，贵方可取消我方中标资格。</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11、</w:t>
      </w:r>
      <w:r>
        <w:rPr>
          <w:rFonts w:hint="eastAsia" w:ascii="宋体" w:hAnsi="宋体" w:eastAsia="宋体" w:cs="宋体"/>
          <w:bCs/>
          <w:color w:val="auto"/>
          <w:szCs w:val="21"/>
          <w:highlight w:val="none"/>
          <w:lang w:val="en-US" w:eastAsia="zh-CN"/>
        </w:rPr>
        <w:t>我方</w:t>
      </w:r>
      <w:r>
        <w:rPr>
          <w:rFonts w:hint="eastAsia" w:ascii="宋体" w:hAnsi="宋体" w:eastAsia="宋体" w:cs="宋体"/>
          <w:color w:val="auto"/>
          <w:szCs w:val="21"/>
          <w:highlight w:val="none"/>
          <w:lang w:val="en-US" w:eastAsia="zh-CN"/>
        </w:rPr>
        <w:t>委托</w:t>
      </w:r>
      <w:r>
        <w:rPr>
          <w:rFonts w:hint="eastAsia" w:ascii="宋体" w:hAnsi="宋体" w:eastAsia="宋体" w:cs="宋体"/>
          <w:color w:val="auto"/>
          <w:szCs w:val="21"/>
          <w:highlight w:val="none"/>
        </w:rPr>
        <w:t>工程造价咨询企业</w:t>
      </w:r>
      <w:r>
        <w:rPr>
          <w:rFonts w:hint="eastAsia" w:ascii="宋体" w:hAnsi="宋体" w:eastAsia="宋体" w:cs="宋体"/>
          <w:color w:val="auto"/>
          <w:szCs w:val="21"/>
          <w:highlight w:val="none"/>
          <w:lang w:val="en-US" w:eastAsia="zh-CN"/>
        </w:rPr>
        <w:t>编制商务标书的，按照规定递交委托协议，商务标</w:t>
      </w:r>
      <w:r>
        <w:rPr>
          <w:rFonts w:hint="eastAsia" w:ascii="宋体" w:hAnsi="宋体" w:eastAsia="宋体" w:cs="宋体"/>
          <w:color w:val="auto"/>
          <w:szCs w:val="21"/>
          <w:highlight w:val="none"/>
        </w:rPr>
        <w:t>加签工程造价咨询企业造价工程师个人数字证书</w:t>
      </w:r>
      <w:r>
        <w:rPr>
          <w:rFonts w:hint="eastAsia" w:ascii="宋体" w:hAnsi="宋体" w:eastAsia="宋体" w:cs="宋体"/>
          <w:color w:val="auto"/>
          <w:szCs w:val="21"/>
          <w:highlight w:val="none"/>
          <w:lang w:val="en-US" w:eastAsia="zh-CN"/>
        </w:rPr>
        <w:t>。</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12、为确保施工安全，我方保证在签定施工合同</w:t>
      </w:r>
      <w:r>
        <w:rPr>
          <w:rFonts w:hint="eastAsia" w:ascii="宋体" w:hAnsi="宋体" w:eastAsia="宋体" w:cs="宋体"/>
          <w:bCs/>
          <w:color w:val="auto"/>
          <w:szCs w:val="21"/>
          <w:highlight w:val="none"/>
          <w:u w:val="single"/>
        </w:rPr>
        <w:t>___</w:t>
      </w:r>
      <w:r>
        <w:rPr>
          <w:rFonts w:hint="eastAsia" w:ascii="宋体" w:hAnsi="宋体" w:eastAsia="宋体" w:cs="宋体"/>
          <w:bCs/>
          <w:color w:val="auto"/>
          <w:szCs w:val="21"/>
          <w:highlight w:val="none"/>
        </w:rPr>
        <w:t>日后，提交施工作业范围内的市政基础设施管线防护措施，按照《深圳市建设工程安全文明施工标准》，落实安全防护、环境保护、安全培训和信息化管理等要求，安全文明施工措施费专款专用。</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13、我方保证在</w:t>
      </w:r>
      <w:r>
        <w:rPr>
          <w:rFonts w:hint="eastAsia" w:ascii="宋体" w:hAnsi="宋体" w:eastAsia="宋体" w:cs="宋体"/>
          <w:bCs/>
          <w:color w:val="auto"/>
          <w:szCs w:val="21"/>
          <w:highlight w:val="none"/>
          <w:u w:val="single"/>
        </w:rPr>
        <w:t>____</w:t>
      </w:r>
      <w:r>
        <w:rPr>
          <w:rFonts w:hint="eastAsia" w:ascii="宋体" w:hAnsi="宋体" w:eastAsia="宋体" w:cs="宋体"/>
          <w:bCs/>
          <w:color w:val="auto"/>
          <w:szCs w:val="21"/>
          <w:highlight w:val="none"/>
        </w:rPr>
        <w:t>日内（或于</w:t>
      </w:r>
      <w:r>
        <w:rPr>
          <w:rFonts w:hint="eastAsia" w:ascii="宋体" w:hAnsi="宋体" w:eastAsia="宋体" w:cs="宋体"/>
          <w:bCs/>
          <w:color w:val="auto"/>
          <w:szCs w:val="21"/>
          <w:highlight w:val="none"/>
          <w:u w:val="single"/>
        </w:rPr>
        <w:t>_____</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____</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____</w:t>
      </w:r>
      <w:r>
        <w:rPr>
          <w:rFonts w:hint="eastAsia" w:ascii="宋体" w:hAnsi="宋体" w:eastAsia="宋体" w:cs="宋体"/>
          <w:bCs/>
          <w:color w:val="auto"/>
          <w:szCs w:val="21"/>
          <w:highlight w:val="none"/>
        </w:rPr>
        <w:t>日前）完成并移交本工程（非我方造成的工期延误除外）。（投标人填写）</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14、对在工程实施过程中发生的工程变更，严格按照双方合同的有关规定计量和计价，我方保证接受贵方要求完成变更的工程内容。</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15、按照施工合同约定的质量缺陷保修范围和相应的保修期，我方保证在接到保修通知后</w:t>
      </w:r>
      <w:r>
        <w:rPr>
          <w:rFonts w:hint="eastAsia" w:ascii="宋体" w:hAnsi="宋体" w:eastAsia="宋体" w:cs="宋体"/>
          <w:bCs/>
          <w:color w:val="auto"/>
          <w:szCs w:val="21"/>
          <w:highlight w:val="none"/>
          <w:u w:val="single"/>
        </w:rPr>
        <w:t>_______</w:t>
      </w:r>
      <w:r>
        <w:rPr>
          <w:rFonts w:hint="eastAsia" w:ascii="宋体" w:hAnsi="宋体" w:eastAsia="宋体" w:cs="宋体"/>
          <w:bCs/>
          <w:color w:val="auto"/>
          <w:szCs w:val="21"/>
          <w:highlight w:val="none"/>
        </w:rPr>
        <w:t>日内派人维修，直到达到合格的质量标准。</w:t>
      </w:r>
    </w:p>
    <w:p>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16、招标文件规定的其他主要承诺事项：</w:t>
      </w:r>
    </w:p>
    <w:p>
      <w:pPr>
        <w:adjustRightInd w:val="0"/>
        <w:snapToGrid w:val="0"/>
        <w:spacing w:line="360" w:lineRule="auto"/>
        <w:ind w:firstLine="420" w:firstLineChars="200"/>
        <w:rPr>
          <w:rFonts w:hint="default" w:ascii="宋体" w:hAnsi="宋体" w:eastAsia="宋体" w:cs="宋体"/>
          <w:bCs/>
          <w:color w:val="auto"/>
          <w:szCs w:val="21"/>
          <w:highlight w:val="none"/>
          <w:lang w:val="en-US"/>
        </w:rPr>
      </w:pPr>
      <w:r>
        <w:rPr>
          <w:rFonts w:hint="eastAsia" w:ascii="宋体" w:hAnsi="宋体" w:eastAsia="宋体" w:cs="宋体"/>
          <w:bCs/>
          <w:color w:val="auto"/>
          <w:szCs w:val="21"/>
          <w:highlight w:val="none"/>
          <w:u w:val="single"/>
          <w:lang w:val="en-US" w:eastAsia="zh-CN"/>
        </w:rPr>
        <w:t>如承诺</w:t>
      </w:r>
      <w:r>
        <w:rPr>
          <w:rFonts w:hint="eastAsia" w:ascii="宋体" w:hAnsi="宋体" w:eastAsia="宋体" w:cs="宋体"/>
          <w:color w:val="auto"/>
          <w:kern w:val="0"/>
          <w:szCs w:val="21"/>
          <w:highlight w:val="none"/>
          <w:lang w:eastAsia="zh-CN"/>
        </w:rPr>
        <w:t>将中标金额的</w:t>
      </w:r>
      <w:r>
        <w:rPr>
          <w:rFonts w:hint="eastAsia" w:ascii="宋体" w:hAnsi="宋体" w:eastAsia="宋体" w:cs="宋体"/>
          <w:color w:val="auto"/>
          <w:kern w:val="0"/>
          <w:szCs w:val="21"/>
          <w:highlight w:val="none"/>
          <w:u w:val="single"/>
          <w:lang w:val="en-US" w:eastAsia="zh-CN"/>
        </w:rPr>
        <w:t xml:space="preserve">   % </w:t>
      </w:r>
      <w:r>
        <w:rPr>
          <w:rFonts w:hint="eastAsia" w:ascii="宋体" w:hAnsi="宋体" w:eastAsia="宋体" w:cs="宋体"/>
          <w:color w:val="auto"/>
          <w:kern w:val="0"/>
          <w:szCs w:val="21"/>
          <w:highlight w:val="none"/>
          <w:lang w:eastAsia="zh-CN"/>
        </w:rPr>
        <w:t>依法分包给满足条件的中小企业</w:t>
      </w:r>
      <w:r>
        <w:rPr>
          <w:rFonts w:hint="eastAsia" w:ascii="宋体" w:hAnsi="宋体" w:eastAsia="宋体" w:cs="宋体"/>
          <w:color w:val="auto"/>
          <w:kern w:val="0"/>
          <w:szCs w:val="21"/>
          <w:highlight w:val="none"/>
          <w:lang w:val="en-US" w:eastAsia="zh-CN"/>
        </w:rPr>
        <w:t>等</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lang w:val="en-US" w:eastAsia="zh-CN"/>
        </w:rPr>
        <w:t xml:space="preserve">                      </w:t>
      </w:r>
    </w:p>
    <w:p>
      <w:pPr>
        <w:numPr>
          <w:ilvl w:val="255"/>
          <w:numId w:val="0"/>
        </w:num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17、我方保证在本次投标中无弄虚作假行为，且未与其他投标人、招标人及评标专家串通投标等违规行为。否则，将接受取消投标资格、取消中标资格、解除合同、已进场施工的无条件退场、记录不良行为、暂停一年至三年在我市参加建设工程投标的资格等处理，涉嫌构成犯罪的，将依法追究刑事责任并移送公安机关查处。</w:t>
      </w:r>
    </w:p>
    <w:p>
      <w:pPr>
        <w:numPr>
          <w:ilvl w:val="0"/>
          <w:numId w:val="4"/>
        </w:num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我方保证中标后不转包或违法分包，依法按照国家、省、市有关规定发包劳务或使用自有劳务队伍，按时足额支付工程款给分包单位（如有）。</w:t>
      </w:r>
    </w:p>
    <w:p>
      <w:pPr>
        <w:numPr>
          <w:ilvl w:val="0"/>
          <w:numId w:val="4"/>
        </w:num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我方保证中标后切实落实用工实名制和分账制管理的各项规定，利用信息技术手段对施工现场人员建立基本信息档案，采用人脸识别、扫码等技术实施考勤管理；开设工人工资专用账户，保证工人工资按月足额发放。我方接受招标人及建设行政主管部门的监督、检查。</w:t>
      </w:r>
    </w:p>
    <w:p>
      <w:pPr>
        <w:adjustRightInd w:val="0"/>
        <w:snapToGrid w:val="0"/>
        <w:spacing w:line="360" w:lineRule="auto"/>
        <w:ind w:firstLine="525" w:firstLineChars="250"/>
        <w:rPr>
          <w:rFonts w:ascii="宋体" w:hAnsi="宋体" w:eastAsia="宋体" w:cs="宋体"/>
          <w:bCs/>
          <w:color w:val="auto"/>
          <w:szCs w:val="21"/>
          <w:highlight w:val="none"/>
        </w:rPr>
      </w:pPr>
      <w:r>
        <w:rPr>
          <w:rFonts w:hint="eastAsia" w:ascii="宋体" w:hAnsi="宋体" w:eastAsia="宋体" w:cs="宋体"/>
          <w:bCs/>
          <w:color w:val="auto"/>
          <w:szCs w:val="21"/>
          <w:highlight w:val="none"/>
        </w:rPr>
        <w:t>20、如果违反本承诺书中任何条款，我方愿意接受：</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(1)视作我方单方面违约，并按照合同规定向贵方支付违约金或解除合同；</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(2)履约评价评定为合格及以下；</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(3)本工程招标人今后可拒绝我方参与投标；</w:t>
      </w:r>
    </w:p>
    <w:p>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(4)建设</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交通</w:t>
      </w:r>
      <w:r>
        <w:rPr>
          <w:rFonts w:hint="eastAsia" w:ascii="宋体" w:hAnsi="宋体" w:eastAsia="宋体" w:cs="宋体"/>
          <w:bCs/>
          <w:color w:val="auto"/>
          <w:szCs w:val="21"/>
          <w:highlight w:val="none"/>
        </w:rPr>
        <w:t>行政主管部门或相关主管部门的不良行为记录、行政处罚。</w:t>
      </w:r>
    </w:p>
    <w:p>
      <w:pPr>
        <w:adjustRightInd w:val="0"/>
        <w:snapToGrid w:val="0"/>
        <w:spacing w:line="360" w:lineRule="auto"/>
        <w:rPr>
          <w:rFonts w:ascii="宋体" w:hAnsi="宋体" w:eastAsia="宋体" w:cs="宋体"/>
          <w:bCs/>
          <w:color w:val="auto"/>
          <w:szCs w:val="21"/>
          <w:highlight w:val="none"/>
        </w:rPr>
      </w:pP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投标人（单位公章）：</w:t>
      </w:r>
      <w:r>
        <w:rPr>
          <w:rFonts w:hint="eastAsia" w:ascii="宋体" w:hAnsi="宋体" w:eastAsia="宋体" w:cs="宋体"/>
          <w:color w:val="auto"/>
          <w:szCs w:val="21"/>
          <w:highlight w:val="none"/>
          <w:u w:val="single"/>
        </w:rPr>
        <w:t>__________________________________________</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___________________________________________________</w:t>
      </w:r>
    </w:p>
    <w:p>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______________</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____________</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____________</w:t>
      </w:r>
    </w:p>
    <w:p>
      <w:pPr>
        <w:adjustRightInd w:val="0"/>
        <w:snapToGrid w:val="0"/>
        <w:spacing w:line="360" w:lineRule="auto"/>
        <w:rPr>
          <w:rFonts w:ascii="宋体" w:hAnsi="宋体" w:eastAsia="宋体" w:cs="宋体"/>
          <w:bCs/>
          <w:color w:val="auto"/>
          <w:szCs w:val="21"/>
          <w:highlight w:val="none"/>
        </w:rPr>
      </w:pPr>
    </w:p>
    <w:p>
      <w:pPr>
        <w:adjustRightInd w:val="0"/>
        <w:snapToGrid w:val="0"/>
        <w:spacing w:line="360" w:lineRule="auto"/>
        <w:ind w:firstLine="4200" w:firstLineChars="2000"/>
        <w:rPr>
          <w:rFonts w:ascii="宋体" w:hAnsi="宋体" w:eastAsia="宋体" w:cs="宋体"/>
          <w:bCs/>
          <w:color w:val="auto"/>
          <w:szCs w:val="21"/>
          <w:highlight w:val="none"/>
        </w:rPr>
      </w:pPr>
      <w:r>
        <w:rPr>
          <w:rFonts w:hint="eastAsia" w:ascii="宋体" w:hAnsi="宋体" w:eastAsia="宋体" w:cs="宋体"/>
          <w:bCs/>
          <w:color w:val="auto"/>
          <w:szCs w:val="21"/>
          <w:highlight w:val="none"/>
        </w:rPr>
        <w:t>年   月   日</w:t>
      </w:r>
    </w:p>
    <w:p>
      <w:pPr>
        <w:adjustRightInd w:val="0"/>
        <w:snapToGrid w:val="0"/>
        <w:spacing w:line="360" w:lineRule="auto"/>
        <w:rPr>
          <w:rFonts w:ascii="宋体" w:hAnsi="宋体" w:eastAsia="宋体" w:cs="宋体"/>
          <w:bCs/>
          <w:color w:val="auto"/>
          <w:szCs w:val="21"/>
          <w:highlight w:val="none"/>
        </w:rPr>
      </w:pPr>
    </w:p>
    <w:p>
      <w:pPr>
        <w:adjustRightInd w:val="0"/>
        <w:snapToGrid w:val="0"/>
        <w:spacing w:line="360" w:lineRule="auto"/>
        <w:rPr>
          <w:rFonts w:ascii="宋体" w:hAnsi="宋体" w:eastAsia="宋体" w:cs="宋体"/>
          <w:bCs/>
          <w:color w:val="auto"/>
          <w:szCs w:val="21"/>
          <w:highlight w:val="none"/>
        </w:rPr>
      </w:pPr>
    </w:p>
    <w:p>
      <w:pPr>
        <w:adjustRightInd w:val="0"/>
        <w:snapToGrid w:val="0"/>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附件：</w:t>
      </w:r>
    </w:p>
    <w:p>
      <w:pPr>
        <w:adjustRightInd w:val="0"/>
        <w:snapToGrid w:val="0"/>
        <w:spacing w:line="360" w:lineRule="auto"/>
        <w:rPr>
          <w:bCs/>
          <w:color w:val="auto"/>
          <w:highlight w:val="none"/>
        </w:rPr>
      </w:pPr>
      <w:r>
        <w:rPr>
          <w:rFonts w:hint="eastAsia" w:ascii="宋体" w:hAnsi="宋体" w:eastAsia="宋体" w:cs="宋体"/>
          <w:bCs/>
          <w:color w:val="auto"/>
          <w:szCs w:val="21"/>
          <w:highlight w:val="none"/>
        </w:rPr>
        <w:t>《项目管理机构配备情况表》、《主要机械设备表》（投标人填写）</w:t>
      </w:r>
      <w:r>
        <w:rPr>
          <w:bCs/>
          <w:color w:val="auto"/>
          <w:highlight w:val="none"/>
        </w:rPr>
        <w:br w:type="page"/>
      </w:r>
    </w:p>
    <w:p>
      <w:pPr>
        <w:adjustRightInd w:val="0"/>
        <w:snapToGrid w:val="0"/>
        <w:spacing w:line="360" w:lineRule="auto"/>
        <w:ind w:firstLine="602" w:firstLineChars="200"/>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项目管理机构配备情况表（与技术标书一致）</w:t>
      </w:r>
    </w:p>
    <w:tbl>
      <w:tblPr>
        <w:tblStyle w:val="4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159"/>
        <w:gridCol w:w="1093"/>
        <w:gridCol w:w="1456"/>
        <w:gridCol w:w="1093"/>
        <w:gridCol w:w="1639"/>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1159"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093"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职称</w:t>
            </w:r>
          </w:p>
        </w:tc>
        <w:tc>
          <w:tcPr>
            <w:tcW w:w="6010"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上岗资格证明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159"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093"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6"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证书名称</w:t>
            </w:r>
          </w:p>
        </w:tc>
        <w:tc>
          <w:tcPr>
            <w:tcW w:w="1093"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级别</w:t>
            </w:r>
          </w:p>
        </w:tc>
        <w:tc>
          <w:tcPr>
            <w:tcW w:w="1639"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证号</w:t>
            </w:r>
          </w:p>
        </w:tc>
        <w:tc>
          <w:tcPr>
            <w:tcW w:w="1822"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1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456"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093"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63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c>
          <w:tcPr>
            <w:tcW w:w="1822"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0"/>
                <w:highlight w:val="none"/>
              </w:rPr>
            </w:pPr>
          </w:p>
        </w:tc>
      </w:tr>
    </w:tbl>
    <w:p>
      <w:pPr>
        <w:spacing w:line="20" w:lineRule="exact"/>
        <w:rPr>
          <w:color w:val="auto"/>
          <w:highlight w:val="none"/>
        </w:rPr>
      </w:pPr>
      <w:r>
        <w:rPr>
          <w:color w:val="auto"/>
          <w:highlight w:val="none"/>
        </w:rPr>
        <w:br w:type="page"/>
      </w:r>
    </w:p>
    <w:p>
      <w:pPr>
        <w:adjustRightInd w:val="0"/>
        <w:snapToGrid w:val="0"/>
        <w:spacing w:line="360" w:lineRule="auto"/>
        <w:ind w:firstLine="480"/>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主要施工机械设备表（与技术标书一致）</w:t>
      </w:r>
    </w:p>
    <w:tbl>
      <w:tblPr>
        <w:tblStyle w:val="4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722"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机械设备名称</w:t>
            </w:r>
          </w:p>
        </w:tc>
        <w:tc>
          <w:tcPr>
            <w:tcW w:w="1072"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型号</w:t>
            </w:r>
          </w:p>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规格</w:t>
            </w:r>
          </w:p>
        </w:tc>
        <w:tc>
          <w:tcPr>
            <w:tcW w:w="85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85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国别</w:t>
            </w:r>
          </w:p>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产地</w:t>
            </w:r>
          </w:p>
        </w:tc>
        <w:tc>
          <w:tcPr>
            <w:tcW w:w="834"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制造</w:t>
            </w:r>
          </w:p>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年份</w:t>
            </w:r>
          </w:p>
        </w:tc>
        <w:tc>
          <w:tcPr>
            <w:tcW w:w="109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额定功率（KW）</w:t>
            </w:r>
          </w:p>
        </w:tc>
        <w:tc>
          <w:tcPr>
            <w:tcW w:w="1104"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生产</w:t>
            </w:r>
          </w:p>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能力</w:t>
            </w:r>
          </w:p>
        </w:tc>
        <w:tc>
          <w:tcPr>
            <w:tcW w:w="1072"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bl>
    <w:p>
      <w:pPr>
        <w:spacing w:line="20" w:lineRule="exact"/>
        <w:rPr>
          <w:color w:val="auto"/>
          <w:highlight w:val="none"/>
        </w:rPr>
      </w:pPr>
      <w:r>
        <w:rPr>
          <w:color w:val="auto"/>
          <w:highlight w:val="none"/>
        </w:rPr>
        <w:br w:type="page"/>
      </w:r>
    </w:p>
    <w:p>
      <w:pPr>
        <w:adjustRightInd w:val="0"/>
        <w:snapToGrid w:val="0"/>
        <w:spacing w:line="360" w:lineRule="auto"/>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四、招标文件要求提交的其他资料</w:t>
      </w:r>
    </w:p>
    <w:p>
      <w:pPr>
        <w:adjustRightInd w:val="0"/>
        <w:snapToGrid w:val="0"/>
        <w:spacing w:line="360" w:lineRule="auto"/>
        <w:ind w:firstLine="420" w:firstLineChars="200"/>
        <w:rPr>
          <w:color w:val="auto"/>
          <w:highlight w:val="none"/>
        </w:rPr>
      </w:pPr>
    </w:p>
    <w:p>
      <w:pPr>
        <w:adjustRightInd w:val="0"/>
        <w:snapToGrid w:val="0"/>
        <w:spacing w:line="360" w:lineRule="auto"/>
        <w:ind w:firstLine="420" w:firstLineChars="200"/>
        <w:rPr>
          <w:color w:val="auto"/>
          <w:highlight w:val="none"/>
        </w:rPr>
      </w:pPr>
      <w:r>
        <w:rPr>
          <w:rFonts w:hint="eastAsia" w:ascii="宋体" w:hAnsi="宋体" w:eastAsia="宋体" w:cs="宋体"/>
          <w:color w:val="auto"/>
          <w:szCs w:val="21"/>
          <w:highlight w:val="none"/>
        </w:rPr>
        <w:t>1．其他资料</w:t>
      </w:r>
      <w:r>
        <w:rPr>
          <w:color w:val="auto"/>
          <w:highlight w:val="none"/>
        </w:rPr>
        <w:br w:type="page"/>
      </w:r>
    </w:p>
    <w:p>
      <w:pPr>
        <w:adjustRightInd w:val="0"/>
        <w:snapToGrid w:val="0"/>
        <w:spacing w:line="360" w:lineRule="auto"/>
        <w:ind w:firstLine="6425" w:firstLineChars="2000"/>
        <w:rPr>
          <w:rFonts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工程编号：</w:t>
      </w:r>
      <w:r>
        <w:rPr>
          <w:rFonts w:hint="eastAsia" w:ascii="宋体" w:hAnsi="宋体" w:eastAsia="宋体" w:cs="宋体"/>
          <w:b/>
          <w:bCs/>
          <w:color w:val="auto"/>
          <w:sz w:val="32"/>
          <w:szCs w:val="32"/>
          <w:highlight w:val="none"/>
          <w:u w:val="single"/>
        </w:rPr>
        <w:t>_______</w:t>
      </w:r>
    </w:p>
    <w:p>
      <w:pPr>
        <w:adjustRightInd w:val="0"/>
        <w:snapToGrid w:val="0"/>
        <w:spacing w:line="360" w:lineRule="auto"/>
        <w:rPr>
          <w:rFonts w:ascii="宋体" w:hAnsi="宋体" w:eastAsia="宋体" w:cs="宋体"/>
          <w:b/>
          <w:color w:val="auto"/>
          <w:sz w:val="32"/>
          <w:szCs w:val="32"/>
          <w:highlight w:val="none"/>
        </w:rPr>
      </w:pPr>
    </w:p>
    <w:p>
      <w:pPr>
        <w:adjustRightInd w:val="0"/>
        <w:snapToGrid w:val="0"/>
        <w:spacing w:line="360" w:lineRule="auto"/>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深圳市建设工程施工招标</w:t>
      </w:r>
    </w:p>
    <w:p>
      <w:pPr>
        <w:adjustRightInd w:val="0"/>
        <w:snapToGrid w:val="0"/>
        <w:spacing w:line="360" w:lineRule="auto"/>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投 标 文 件</w:t>
      </w:r>
    </w:p>
    <w:p>
      <w:pPr>
        <w:adjustRightInd w:val="0"/>
        <w:snapToGrid w:val="0"/>
        <w:spacing w:line="360" w:lineRule="auto"/>
        <w:jc w:val="center"/>
        <w:rPr>
          <w:rFonts w:ascii="宋体" w:hAnsi="宋体" w:eastAsia="宋体" w:cs="宋体"/>
          <w:b/>
          <w:color w:val="auto"/>
          <w:sz w:val="72"/>
          <w:highlight w:val="none"/>
        </w:rPr>
      </w:pPr>
    </w:p>
    <w:p>
      <w:pPr>
        <w:adjustRightInd w:val="0"/>
        <w:snapToGrid w:val="0"/>
        <w:spacing w:line="360" w:lineRule="auto"/>
        <w:jc w:val="center"/>
        <w:rPr>
          <w:rFonts w:ascii="宋体" w:hAnsi="宋体" w:eastAsia="宋体" w:cs="宋体"/>
          <w:b/>
          <w:color w:val="auto"/>
          <w:sz w:val="72"/>
          <w:highlight w:val="none"/>
        </w:rPr>
      </w:pPr>
    </w:p>
    <w:p>
      <w:pPr>
        <w:adjustRightInd w:val="0"/>
        <w:snapToGrid w:val="0"/>
        <w:spacing w:line="360" w:lineRule="auto"/>
        <w:jc w:val="center"/>
        <w:rPr>
          <w:rFonts w:ascii="宋体" w:hAnsi="宋体" w:eastAsia="宋体" w:cs="宋体"/>
          <w:b/>
          <w:color w:val="auto"/>
          <w:sz w:val="72"/>
          <w:highlight w:val="none"/>
        </w:rPr>
      </w:pPr>
    </w:p>
    <w:p>
      <w:pPr>
        <w:adjustRightInd w:val="0"/>
        <w:snapToGrid w:val="0"/>
        <w:spacing w:line="360" w:lineRule="auto"/>
        <w:rPr>
          <w:rFonts w:ascii="宋体" w:hAnsi="宋体" w:eastAsia="宋体" w:cs="宋体"/>
          <w:b/>
          <w:color w:val="auto"/>
          <w:sz w:val="32"/>
          <w:highlight w:val="none"/>
        </w:rPr>
      </w:pPr>
      <w:r>
        <w:rPr>
          <w:rFonts w:hint="eastAsia" w:ascii="宋体" w:hAnsi="宋体" w:eastAsia="宋体" w:cs="宋体"/>
          <w:b/>
          <w:color w:val="auto"/>
          <w:sz w:val="32"/>
          <w:highlight w:val="none"/>
        </w:rPr>
        <w:t>工程名称：</w:t>
      </w:r>
      <w:r>
        <w:rPr>
          <w:rFonts w:hint="eastAsia" w:ascii="宋体" w:hAnsi="宋体" w:eastAsia="宋体" w:cs="宋体"/>
          <w:b/>
          <w:color w:val="auto"/>
          <w:sz w:val="32"/>
          <w:highlight w:val="none"/>
          <w:u w:val="single"/>
        </w:rPr>
        <w:t>___________________________________________</w:t>
      </w:r>
    </w:p>
    <w:p>
      <w:pPr>
        <w:adjustRightInd w:val="0"/>
        <w:snapToGrid w:val="0"/>
        <w:spacing w:line="360" w:lineRule="auto"/>
        <w:rPr>
          <w:rFonts w:ascii="宋体" w:hAnsi="宋体" w:eastAsia="宋体" w:cs="宋体"/>
          <w:b/>
          <w:color w:val="auto"/>
          <w:sz w:val="32"/>
          <w:highlight w:val="none"/>
        </w:rPr>
      </w:pPr>
    </w:p>
    <w:p>
      <w:pPr>
        <w:adjustRightInd w:val="0"/>
        <w:snapToGrid w:val="0"/>
        <w:spacing w:line="360" w:lineRule="auto"/>
        <w:outlineLvl w:val="1"/>
        <w:rPr>
          <w:rFonts w:ascii="宋体" w:hAnsi="宋体" w:eastAsia="宋体" w:cs="宋体"/>
          <w:b/>
          <w:color w:val="auto"/>
          <w:sz w:val="32"/>
          <w:highlight w:val="none"/>
        </w:rPr>
      </w:pPr>
      <w:bookmarkStart w:id="5042" w:name="_Toc7265"/>
      <w:bookmarkStart w:id="5043" w:name="_Toc15897"/>
      <w:bookmarkStart w:id="5044" w:name="_Toc19094"/>
      <w:bookmarkStart w:id="5045" w:name="_Toc8543"/>
      <w:bookmarkStart w:id="5046" w:name="_Toc32075"/>
      <w:bookmarkStart w:id="5047" w:name="_Toc3789"/>
      <w:r>
        <w:rPr>
          <w:rFonts w:hint="eastAsia" w:ascii="宋体" w:hAnsi="宋体" w:eastAsia="宋体" w:cs="宋体"/>
          <w:b/>
          <w:color w:val="auto"/>
          <w:sz w:val="32"/>
          <w:highlight w:val="none"/>
        </w:rPr>
        <w:t>投标文件内容：</w:t>
      </w:r>
      <w:r>
        <w:rPr>
          <w:rFonts w:hint="eastAsia" w:ascii="宋体" w:hAnsi="宋体" w:eastAsia="宋体" w:cs="宋体"/>
          <w:b/>
          <w:color w:val="auto"/>
          <w:sz w:val="52"/>
          <w:highlight w:val="none"/>
          <w:u w:val="single"/>
        </w:rPr>
        <w:t xml:space="preserve">       技术标部分</w:t>
      </w:r>
      <w:bookmarkEnd w:id="5042"/>
      <w:bookmarkEnd w:id="5043"/>
      <w:bookmarkEnd w:id="5044"/>
      <w:bookmarkEnd w:id="5045"/>
      <w:bookmarkEnd w:id="5046"/>
      <w:bookmarkEnd w:id="5047"/>
      <w:r>
        <w:rPr>
          <w:rFonts w:hint="eastAsia" w:ascii="宋体" w:hAnsi="宋体" w:eastAsia="宋体" w:cs="宋体"/>
          <w:b/>
          <w:color w:val="auto"/>
          <w:sz w:val="52"/>
          <w:highlight w:val="none"/>
          <w:u w:val="single"/>
        </w:rPr>
        <w:t xml:space="preserve">       </w:t>
      </w:r>
    </w:p>
    <w:p>
      <w:pPr>
        <w:adjustRightInd w:val="0"/>
        <w:snapToGrid w:val="0"/>
        <w:spacing w:line="360" w:lineRule="auto"/>
        <w:rPr>
          <w:rFonts w:ascii="宋体" w:hAnsi="宋体" w:eastAsia="宋体" w:cs="宋体"/>
          <w:b/>
          <w:color w:val="auto"/>
          <w:sz w:val="32"/>
          <w:highlight w:val="none"/>
        </w:rPr>
      </w:pPr>
    </w:p>
    <w:p>
      <w:pPr>
        <w:adjustRightInd w:val="0"/>
        <w:snapToGrid w:val="0"/>
        <w:spacing w:line="360" w:lineRule="auto"/>
        <w:rPr>
          <w:rFonts w:ascii="宋体" w:hAnsi="宋体" w:eastAsia="宋体" w:cs="宋体"/>
          <w:color w:val="auto"/>
          <w:highlight w:val="none"/>
        </w:rPr>
      </w:pPr>
      <w:r>
        <w:rPr>
          <w:rFonts w:hint="eastAsia" w:ascii="宋体" w:hAnsi="宋体" w:eastAsia="宋体" w:cs="宋体"/>
          <w:b/>
          <w:color w:val="auto"/>
          <w:sz w:val="32"/>
          <w:highlight w:val="none"/>
        </w:rPr>
        <w:t>日  期：</w:t>
      </w:r>
      <w:r>
        <w:rPr>
          <w:rFonts w:hint="eastAsia" w:ascii="宋体" w:hAnsi="宋体" w:eastAsia="宋体" w:cs="宋体"/>
          <w:b/>
          <w:color w:val="auto"/>
          <w:sz w:val="32"/>
          <w:highlight w:val="none"/>
          <w:u w:val="single"/>
        </w:rPr>
        <w:t>____________</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______</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______</w:t>
      </w:r>
      <w:r>
        <w:rPr>
          <w:rFonts w:hint="eastAsia" w:ascii="宋体" w:hAnsi="宋体" w:eastAsia="宋体" w:cs="宋体"/>
          <w:b/>
          <w:color w:val="auto"/>
          <w:sz w:val="32"/>
          <w:highlight w:val="none"/>
        </w:rPr>
        <w:t>日</w:t>
      </w:r>
      <w:r>
        <w:rPr>
          <w:rFonts w:hint="eastAsia" w:ascii="宋体" w:hAnsi="宋体" w:eastAsia="宋体" w:cs="宋体"/>
          <w:color w:val="auto"/>
          <w:highlight w:val="none"/>
        </w:rPr>
        <w:br w:type="page"/>
      </w:r>
    </w:p>
    <w:p>
      <w:pPr>
        <w:adjustRightInd w:val="0"/>
        <w:snapToGrid w:val="0"/>
        <w:spacing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技术标编写目录及要求</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招标人要求投标人编制技术标书的，应在招标文件中明确列出技术标部分目录，包括篇、章、节的标题及主要编制内容。招标人可以限制技术标部分的最高允许页数，超过限制页数的投标文件将被评标委员会在评审时作扣分等处理。</w:t>
      </w:r>
    </w:p>
    <w:p>
      <w:pPr>
        <w:adjustRightInd w:val="0"/>
        <w:snapToGrid w:val="0"/>
        <w:spacing w:line="360" w:lineRule="auto"/>
        <w:jc w:val="center"/>
        <w:rPr>
          <w:rFonts w:ascii="宋体" w:hAnsi="宋体" w:eastAsia="宋体" w:cs="宋体"/>
          <w:b/>
          <w:color w:val="auto"/>
          <w:sz w:val="32"/>
          <w:highlight w:val="none"/>
        </w:rPr>
      </w:pPr>
      <w:r>
        <w:rPr>
          <w:rFonts w:hint="eastAsia" w:ascii="宋体" w:hAnsi="宋体" w:eastAsia="宋体" w:cs="宋体"/>
          <w:b/>
          <w:color w:val="auto"/>
          <w:sz w:val="32"/>
          <w:highlight w:val="none"/>
        </w:rPr>
        <w:t>本节编写指南</w:t>
      </w:r>
    </w:p>
    <w:p>
      <w:pPr>
        <w:adjustRightInd w:val="0"/>
        <w:snapToGrid w:val="0"/>
        <w:spacing w:line="360" w:lineRule="auto"/>
        <w:ind w:firstLine="1365" w:firstLineChars="650"/>
        <w:rPr>
          <w:rFonts w:ascii="宋体" w:hAnsi="宋体" w:eastAsia="宋体" w:cs="宋体"/>
          <w:color w:val="auto"/>
          <w:szCs w:val="21"/>
          <w:highlight w:val="none"/>
        </w:rPr>
      </w:pPr>
      <w:r>
        <w:rPr>
          <w:rFonts w:hint="eastAsia" w:ascii="宋体" w:hAnsi="宋体" w:eastAsia="宋体" w:cs="宋体"/>
          <w:color w:val="auto"/>
          <w:szCs w:val="21"/>
          <w:highlight w:val="none"/>
        </w:rPr>
        <w:t>（仅供参考，不作评审依据，技术标需评审的内容详见“评审项目”）</w:t>
      </w:r>
    </w:p>
    <w:p>
      <w:pPr>
        <w:adjustRightInd w:val="0"/>
        <w:snapToGrid w:val="0"/>
        <w:spacing w:line="360" w:lineRule="auto"/>
        <w:rPr>
          <w:rFonts w:ascii="宋体" w:hAnsi="宋体" w:eastAsia="宋体" w:cs="宋体"/>
          <w:b/>
          <w:color w:val="auto"/>
          <w:sz w:val="30"/>
          <w:highlight w:val="none"/>
        </w:rPr>
      </w:pPr>
      <w:r>
        <w:rPr>
          <w:rFonts w:hint="eastAsia" w:ascii="宋体" w:hAnsi="宋体" w:eastAsia="宋体" w:cs="宋体"/>
          <w:b/>
          <w:color w:val="auto"/>
          <w:sz w:val="30"/>
          <w:highlight w:val="none"/>
        </w:rPr>
        <w:t>第一篇  明标评审部分</w:t>
      </w:r>
    </w:p>
    <w:p>
      <w:pPr>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第一章  项目管理机构人员配备及业绩</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对于项目经理（建造师）、技术负责人、质量负责人、安全负责人、安全员、劳资专管员等，尚需提供相应资格证书（或上岗证书）、个人类似工程业绩证明文件和社保证明。提供同类工程业绩。（请将此部分证明资料在资信标中提交）</w:t>
      </w:r>
    </w:p>
    <w:p>
      <w:pPr>
        <w:adjustRightInd w:val="0"/>
        <w:snapToGrid w:val="0"/>
        <w:spacing w:line="360" w:lineRule="auto"/>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第二篇  明标评审部分</w:t>
      </w:r>
    </w:p>
    <w:p>
      <w:pPr>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第一章  施工管理重点、难点分析及应对措施</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描述本工程特点，分析关键性专业工程的施工特点与难点，并对本工程质量、进度、造价和安全文明施工具有控制性影响的工程（工作）内容进行必要的、简要的描述。</w:t>
      </w:r>
    </w:p>
    <w:p>
      <w:pPr>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第二章  施工总体部署、施工总平面布置图及相关说明</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施工总体部署应包括：对施工标段进行合理的分片分区安排；对各片区的主要人员及机械设备进行配置；对各片区的主要施工方法和施工工艺进行简要说明；对应工期安排和场地布置，简要说明总的施工流向、施工程序及施工顺序。</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施工总平面布置图应包括主要机械设备、堆场、加工场、临时道路、临时供水供电、临时排水排污设施等的布局；主要施工阶段总平面图齐全合理。</w:t>
      </w:r>
    </w:p>
    <w:p>
      <w:pPr>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第三章  施工进度网络图或带关键线路的横道图及相关说明</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招标人的工期要求和投标人的施工总体安排，规划施工关键线路，明确进度控制时间参数，绘制本工程施工总进度控制计划网络图（规定采用时标双代号网络图）和横道图，提出本工程总工期和关键节点工期控制措施，以及关键节点工期延误的回补措施。</w:t>
      </w:r>
    </w:p>
    <w:p>
      <w:pPr>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第四章  主要机械设备需求计划表及相关说明</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主要机械设备配置数量合理且性能恰当。</w:t>
      </w:r>
    </w:p>
    <w:p>
      <w:pPr>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第五章  劳动力需求计划表及相关说明</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主要施工阶段各工种人数合理且劳动力用工动态曲线变化规律合理。</w:t>
      </w:r>
    </w:p>
    <w:p>
      <w:pPr>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第六章  周转材料需求计划表及相关说明</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主要周转材料品种、数量满足施工要求。</w:t>
      </w:r>
    </w:p>
    <w:p>
      <w:pPr>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第七章  招标人要求编制的专项施工技术方案</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由招标人根据本身对本工程各分部分项（或专业）工程的注重程度，择选主要分部分项（或专业）工程，要求投标人分别提出简要的专项施工技术方案。当招标人未有择选时，由投标人无需编制。</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招标人择选的主要分部分项（或专业）工程：</w:t>
      </w:r>
    </w:p>
    <w:p>
      <w:pPr>
        <w:adjustRightInd w:val="0"/>
        <w:snapToGrid w:val="0"/>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pPr>
        <w:adjustRightInd w:val="0"/>
        <w:snapToGrid w:val="0"/>
        <w:spacing w:line="360" w:lineRule="auto"/>
        <w:ind w:firstLine="420" w:firstLineChars="200"/>
        <w:rPr>
          <w:rFonts w:ascii="宋体" w:hAnsi="宋体" w:eastAsia="宋体" w:cs="宋体"/>
          <w:color w:val="auto"/>
          <w:szCs w:val="21"/>
          <w:highlight w:val="none"/>
          <w:u w:val="single"/>
        </w:rPr>
      </w:pPr>
    </w:p>
    <w:p>
      <w:pPr>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第八章  危大工程清单及安全管理措施（如有）</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招标人列出危大工程清单，投标人在投标时根据工程实际特点补充完善危大工程清单，并明确相应的安全管理措施。</w:t>
      </w:r>
    </w:p>
    <w:p>
      <w:pPr>
        <w:adjustRightInd w:val="0"/>
        <w:snapToGrid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危大工程清单</w:t>
      </w:r>
    </w:p>
    <w:tbl>
      <w:tblPr>
        <w:tblStyle w:val="41"/>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615" w:type="dxa"/>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危大工程</w:t>
            </w:r>
          </w:p>
        </w:tc>
        <w:tc>
          <w:tcPr>
            <w:tcW w:w="3970" w:type="dxa"/>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相关要求或说明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pPr>
              <w:adjustRightInd w:val="0"/>
              <w:snapToGrid w:val="0"/>
              <w:jc w:val="center"/>
              <w:rPr>
                <w:rFonts w:ascii="宋体" w:hAnsi="宋体" w:eastAsia="宋体" w:cs="宋体"/>
                <w:color w:val="auto"/>
                <w:kern w:val="0"/>
                <w:szCs w:val="21"/>
                <w:highlight w:val="none"/>
              </w:rPr>
            </w:pPr>
          </w:p>
        </w:tc>
        <w:tc>
          <w:tcPr>
            <w:tcW w:w="4615" w:type="dxa"/>
            <w:vAlign w:val="center"/>
          </w:tcPr>
          <w:p>
            <w:pPr>
              <w:adjustRightInd w:val="0"/>
              <w:snapToGrid w:val="0"/>
              <w:jc w:val="center"/>
              <w:rPr>
                <w:rFonts w:ascii="宋体" w:hAnsi="宋体" w:eastAsia="宋体" w:cs="宋体"/>
                <w:color w:val="auto"/>
                <w:kern w:val="0"/>
                <w:szCs w:val="21"/>
                <w:highlight w:val="none"/>
              </w:rPr>
            </w:pPr>
          </w:p>
        </w:tc>
        <w:tc>
          <w:tcPr>
            <w:tcW w:w="3970" w:type="dxa"/>
            <w:vAlign w:val="center"/>
          </w:tcPr>
          <w:p>
            <w:pPr>
              <w:adjustRightInd w:val="0"/>
              <w:snapToGrid w:val="0"/>
              <w:jc w:val="center"/>
              <w:rPr>
                <w:rFonts w:ascii="宋体" w:hAnsi="宋体" w:eastAsia="宋体" w:cs="宋体"/>
                <w:color w:val="auto"/>
                <w:kern w:val="0"/>
                <w:szCs w:val="21"/>
                <w:highlight w:val="none"/>
              </w:rPr>
            </w:pPr>
          </w:p>
        </w:tc>
      </w:tr>
    </w:tbl>
    <w:p>
      <w:pPr>
        <w:adjustRightInd w:val="0"/>
        <w:snapToGrid w:val="0"/>
        <w:spacing w:line="360" w:lineRule="auto"/>
        <w:ind w:left="1260" w:leftChars="200" w:hanging="840" w:hangingChars="400"/>
        <w:rPr>
          <w:rFonts w:ascii="宋体" w:hAnsi="宋体" w:eastAsia="宋体" w:cs="宋体"/>
          <w:color w:val="auto"/>
          <w:szCs w:val="21"/>
          <w:highlight w:val="none"/>
        </w:rPr>
      </w:pPr>
      <w:r>
        <w:rPr>
          <w:rFonts w:hint="eastAsia" w:ascii="宋体" w:hAnsi="宋体" w:eastAsia="宋体" w:cs="宋体"/>
          <w:color w:val="auto"/>
          <w:szCs w:val="21"/>
          <w:highlight w:val="none"/>
        </w:rPr>
        <w:t>备注：1.危险性较大的分部分项工程（简称危大工程）范围，详见《广东省住房和城乡建设厅关于印发房屋市政工程危险性较大的分部分项工程安全管理实施细则的通知》（粤建规范〔2019〕2号）；</w:t>
      </w:r>
    </w:p>
    <w:p>
      <w:pPr>
        <w:adjustRightInd w:val="0"/>
        <w:snapToGrid w:val="0"/>
        <w:spacing w:line="360" w:lineRule="auto"/>
        <w:ind w:firstLine="1050" w:firstLineChars="500"/>
        <w:rPr>
          <w:rFonts w:ascii="宋体" w:hAnsi="宋体" w:eastAsia="宋体" w:cs="宋体"/>
          <w:color w:val="auto"/>
          <w:szCs w:val="21"/>
          <w:highlight w:val="none"/>
        </w:rPr>
      </w:pPr>
      <w:r>
        <w:rPr>
          <w:rFonts w:hint="eastAsia" w:ascii="宋体" w:hAnsi="宋体" w:eastAsia="宋体" w:cs="宋体"/>
          <w:color w:val="auto"/>
          <w:szCs w:val="21"/>
          <w:highlight w:val="none"/>
        </w:rPr>
        <w:t>2.招标人填写本清单，投标人根据工程实际特点补充完善并明确相应的安全管理措施。</w:t>
      </w:r>
    </w:p>
    <w:p>
      <w:pPr>
        <w:adjustRightInd w:val="0"/>
        <w:snapToGrid w:val="0"/>
        <w:spacing w:line="360" w:lineRule="auto"/>
        <w:ind w:firstLine="1050" w:firstLineChars="500"/>
        <w:rPr>
          <w:rFonts w:ascii="宋体" w:hAnsi="宋体" w:eastAsia="宋体" w:cs="宋体"/>
          <w:color w:val="auto"/>
          <w:szCs w:val="21"/>
          <w:highlight w:val="none"/>
        </w:rPr>
      </w:pPr>
    </w:p>
    <w:p>
      <w:pPr>
        <w:adjustRightInd w:val="0"/>
        <w:snapToGrid w:val="0"/>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“项目管理机构配备”作为明标评审部分，需按照“电子投标文件</w:t>
      </w:r>
      <w:r>
        <w:rPr>
          <w:rFonts w:hint="eastAsia" w:ascii="宋体" w:hAnsi="宋体" w:eastAsia="宋体" w:cs="宋体"/>
          <w:color w:val="auto"/>
          <w:szCs w:val="21"/>
          <w:highlight w:val="none"/>
          <w:lang w:eastAsia="zh-CN"/>
        </w:rPr>
        <w:t>编制工具</w:t>
      </w:r>
      <w:r>
        <w:rPr>
          <w:rFonts w:hint="eastAsia" w:ascii="宋体" w:hAnsi="宋体" w:eastAsia="宋体" w:cs="宋体"/>
          <w:color w:val="auto"/>
          <w:szCs w:val="21"/>
          <w:highlight w:val="none"/>
        </w:rPr>
        <w:t>”中【明标编辑】的要求以独立文件形式编制。</w:t>
      </w:r>
      <w:r>
        <w:rPr>
          <w:rFonts w:hint="eastAsia" w:ascii="宋体" w:hAnsi="宋体" w:eastAsia="宋体" w:cs="宋体"/>
          <w:color w:val="auto"/>
          <w:highlight w:val="none"/>
        </w:rPr>
        <w:br w:type="page"/>
      </w:r>
    </w:p>
    <w:p>
      <w:pPr>
        <w:adjustRightInd w:val="0"/>
        <w:snapToGrid w:val="0"/>
        <w:spacing w:line="360" w:lineRule="auto"/>
        <w:ind w:firstLine="602" w:firstLineChars="200"/>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2.投入本招标工程的主要施工机械设备表</w:t>
      </w:r>
    </w:p>
    <w:tbl>
      <w:tblPr>
        <w:tblStyle w:val="4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序号</w:t>
            </w:r>
          </w:p>
        </w:tc>
        <w:tc>
          <w:tcPr>
            <w:tcW w:w="1722"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机械设备名称</w:t>
            </w:r>
          </w:p>
        </w:tc>
        <w:tc>
          <w:tcPr>
            <w:tcW w:w="1072"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型号</w:t>
            </w:r>
          </w:p>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规格</w:t>
            </w:r>
          </w:p>
        </w:tc>
        <w:tc>
          <w:tcPr>
            <w:tcW w:w="858"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数量</w:t>
            </w:r>
          </w:p>
        </w:tc>
        <w:tc>
          <w:tcPr>
            <w:tcW w:w="858"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国别</w:t>
            </w:r>
          </w:p>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产地</w:t>
            </w:r>
          </w:p>
        </w:tc>
        <w:tc>
          <w:tcPr>
            <w:tcW w:w="834"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制造</w:t>
            </w:r>
          </w:p>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年份</w:t>
            </w:r>
          </w:p>
        </w:tc>
        <w:tc>
          <w:tcPr>
            <w:tcW w:w="1095"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额定功率（KW）</w:t>
            </w:r>
          </w:p>
        </w:tc>
        <w:tc>
          <w:tcPr>
            <w:tcW w:w="1104"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生产</w:t>
            </w:r>
          </w:p>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能力</w:t>
            </w:r>
          </w:p>
        </w:tc>
        <w:tc>
          <w:tcPr>
            <w:tcW w:w="1072"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bl>
    <w:p>
      <w:pPr>
        <w:spacing w:line="20" w:lineRule="exact"/>
        <w:rPr>
          <w:color w:val="auto"/>
          <w:highlight w:val="none"/>
        </w:rPr>
      </w:pPr>
      <w:r>
        <w:rPr>
          <w:color w:val="auto"/>
          <w:highlight w:val="none"/>
        </w:rPr>
        <w:br w:type="page"/>
      </w:r>
    </w:p>
    <w:p>
      <w:pPr>
        <w:adjustRightInd w:val="0"/>
        <w:snapToGrid w:val="0"/>
        <w:spacing w:line="360" w:lineRule="auto"/>
        <w:ind w:firstLine="602" w:firstLineChars="200"/>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3.劳动力安排计划表</w:t>
      </w:r>
    </w:p>
    <w:p>
      <w:pPr>
        <w:adjustRightInd w:val="0"/>
        <w:snapToGrid w:val="0"/>
        <w:spacing w:line="360" w:lineRule="auto"/>
        <w:ind w:firstLine="8085" w:firstLineChars="3850"/>
        <w:rPr>
          <w:rFonts w:ascii="宋体" w:hAnsi="宋体" w:eastAsia="宋体" w:cs="宋体"/>
          <w:color w:val="auto"/>
          <w:szCs w:val="21"/>
          <w:highlight w:val="none"/>
        </w:rPr>
      </w:pPr>
      <w:r>
        <w:rPr>
          <w:rFonts w:hint="eastAsia" w:ascii="宋体" w:hAnsi="宋体" w:eastAsia="宋体" w:cs="宋体"/>
          <w:color w:val="auto"/>
          <w:szCs w:val="21"/>
          <w:highlight w:val="none"/>
        </w:rPr>
        <w:t>单位：人</w:t>
      </w:r>
    </w:p>
    <w:tbl>
      <w:tblPr>
        <w:tblStyle w:val="4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工 种</w:t>
            </w:r>
          </w:p>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级 别</w:t>
            </w:r>
          </w:p>
        </w:tc>
        <w:tc>
          <w:tcPr>
            <w:tcW w:w="8123" w:type="dxa"/>
            <w:gridSpan w:val="7"/>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p>
        </w:tc>
        <w:tc>
          <w:tcPr>
            <w:tcW w:w="1159"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p>
        </w:tc>
        <w:tc>
          <w:tcPr>
            <w:tcW w:w="1161"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p>
        </w:tc>
        <w:tc>
          <w:tcPr>
            <w:tcW w:w="1161"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p>
        </w:tc>
        <w:tc>
          <w:tcPr>
            <w:tcW w:w="1161"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p>
        </w:tc>
        <w:tc>
          <w:tcPr>
            <w:tcW w:w="1161"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p>
        </w:tc>
        <w:tc>
          <w:tcPr>
            <w:tcW w:w="1161"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p>
        </w:tc>
        <w:tc>
          <w:tcPr>
            <w:tcW w:w="1159"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Courier New"/>
                <w:color w:val="auto"/>
                <w:kern w:val="0"/>
                <w:sz w:val="20"/>
                <w:szCs w:val="20"/>
                <w:highlight w:val="none"/>
              </w:rPr>
            </w:pPr>
          </w:p>
        </w:tc>
      </w:tr>
    </w:tbl>
    <w:p>
      <w:pPr>
        <w:adjustRightInd w:val="0"/>
        <w:snapToGrid w:val="0"/>
        <w:spacing w:line="360" w:lineRule="auto"/>
        <w:rPr>
          <w:rFonts w:ascii="楷体_GB2312" w:hAnsi="楷体_GB2312" w:eastAsia="楷体_GB2312" w:cs="楷体_GB2312"/>
          <w:color w:val="auto"/>
          <w:szCs w:val="21"/>
          <w:highlight w:val="none"/>
        </w:rPr>
      </w:pPr>
      <w:r>
        <w:rPr>
          <w:rFonts w:hint="eastAsia" w:ascii="楷体_GB2312" w:hAnsi="楷体_GB2312" w:eastAsia="楷体_GB2312" w:cs="楷体_GB2312"/>
          <w:color w:val="auto"/>
          <w:szCs w:val="21"/>
          <w:highlight w:val="none"/>
        </w:rPr>
        <w:t>注：投标人应接所列格式提交包括分包人在内的估计的劳动力计划表；</w:t>
      </w:r>
    </w:p>
    <w:p>
      <w:pPr>
        <w:adjustRightInd w:val="0"/>
        <w:snapToGrid w:val="0"/>
        <w:spacing w:line="360" w:lineRule="auto"/>
        <w:ind w:firstLine="420" w:firstLineChars="200"/>
        <w:rPr>
          <w:rFonts w:ascii="楷体_GB2312" w:eastAsia="楷体_GB2312"/>
          <w:color w:val="auto"/>
          <w:highlight w:val="none"/>
        </w:rPr>
      </w:pPr>
      <w:r>
        <w:rPr>
          <w:rFonts w:hint="eastAsia" w:ascii="楷体_GB2312" w:hAnsi="楷体_GB2312" w:eastAsia="楷体_GB2312" w:cs="楷体_GB2312"/>
          <w:color w:val="auto"/>
          <w:szCs w:val="21"/>
          <w:highlight w:val="none"/>
        </w:rPr>
        <w:t>本计划表是以每班八小时工作制为基础的。</w:t>
      </w:r>
      <w:r>
        <w:rPr>
          <w:rFonts w:ascii="楷体_GB2312" w:eastAsia="楷体_GB2312"/>
          <w:color w:val="auto"/>
          <w:highlight w:val="none"/>
        </w:rPr>
        <w:br w:type="page"/>
      </w:r>
    </w:p>
    <w:p>
      <w:pPr>
        <w:adjustRightInd w:val="0"/>
        <w:snapToGrid w:val="0"/>
        <w:spacing w:line="360" w:lineRule="auto"/>
        <w:ind w:firstLine="602" w:firstLineChars="200"/>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4.计划开、竣工日期和施工进度网络图</w:t>
      </w:r>
    </w:p>
    <w:p>
      <w:pPr>
        <w:adjustRightInd w:val="0"/>
        <w:snapToGrid w:val="0"/>
        <w:spacing w:line="360" w:lineRule="auto"/>
        <w:ind w:firstLine="480"/>
        <w:rPr>
          <w:color w:val="auto"/>
          <w:highlight w:val="none"/>
        </w:rPr>
      </w:pPr>
      <w:r>
        <w:rPr>
          <w:rFonts w:hint="eastAsia"/>
          <w:color w:val="auto"/>
          <w:highlight w:val="none"/>
        </w:rPr>
        <w:t>…………</w:t>
      </w:r>
    </w:p>
    <w:p>
      <w:pPr>
        <w:adjustRightInd w:val="0"/>
        <w:snapToGrid w:val="0"/>
        <w:spacing w:line="360" w:lineRule="auto"/>
        <w:ind w:firstLine="480"/>
        <w:rPr>
          <w:color w:val="auto"/>
          <w:highlight w:val="none"/>
        </w:rPr>
      </w:pPr>
    </w:p>
    <w:p>
      <w:pPr>
        <w:adjustRightInd w:val="0"/>
        <w:snapToGrid w:val="0"/>
        <w:spacing w:line="360" w:lineRule="auto"/>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注：投标人应提交的施工进度网络图或施工进度表，说明按招标文件要求的工期进行施工的各个关键日期。中标的投标人还要按合同条件有关条款的要求提交详细的施工进度计划。</w:t>
      </w:r>
    </w:p>
    <w:p>
      <w:pPr>
        <w:adjustRightInd w:val="0"/>
        <w:snapToGrid w:val="0"/>
        <w:spacing w:line="360" w:lineRule="auto"/>
        <w:ind w:firstLine="420" w:firstLineChars="200"/>
        <w:rPr>
          <w:rFonts w:ascii="楷体_GB2312" w:eastAsia="楷体_GB2312"/>
          <w:color w:val="auto"/>
          <w:szCs w:val="21"/>
          <w:highlight w:val="none"/>
        </w:rPr>
      </w:pPr>
      <w:r>
        <w:rPr>
          <w:rFonts w:hint="eastAsia" w:ascii="楷体_GB2312" w:eastAsia="楷体_GB2312"/>
          <w:color w:val="auto"/>
          <w:szCs w:val="21"/>
          <w:highlight w:val="none"/>
        </w:rPr>
        <w:t>施工进度表可采用关键线路网络图（或横道图）表示，说明计划开工日期和各分项工程各阶段的完工日期和分包合同签订的日期。</w:t>
      </w:r>
    </w:p>
    <w:p>
      <w:pPr>
        <w:adjustRightInd w:val="0"/>
        <w:snapToGrid w:val="0"/>
        <w:spacing w:line="360" w:lineRule="auto"/>
        <w:ind w:firstLine="420" w:firstLineChars="200"/>
        <w:rPr>
          <w:rFonts w:ascii="楷体_GB2312" w:eastAsia="楷体_GB2312"/>
          <w:color w:val="auto"/>
          <w:highlight w:val="none"/>
        </w:rPr>
      </w:pPr>
      <w:r>
        <w:rPr>
          <w:rFonts w:hint="eastAsia" w:ascii="楷体_GB2312" w:eastAsia="楷体_GB2312"/>
          <w:color w:val="auto"/>
          <w:szCs w:val="21"/>
          <w:highlight w:val="none"/>
        </w:rPr>
        <w:t>施工进度计划应与施工组织设计或施工方案相适应。</w:t>
      </w:r>
      <w:r>
        <w:rPr>
          <w:rFonts w:ascii="楷体_GB2312" w:eastAsia="楷体_GB2312"/>
          <w:color w:val="auto"/>
          <w:highlight w:val="none"/>
        </w:rPr>
        <w:br w:type="page"/>
      </w:r>
    </w:p>
    <w:p>
      <w:pPr>
        <w:adjustRightInd w:val="0"/>
        <w:snapToGrid w:val="0"/>
        <w:spacing w:line="360" w:lineRule="auto"/>
        <w:ind w:firstLine="602" w:firstLineChars="200"/>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5.施工总平面布置图</w:t>
      </w:r>
    </w:p>
    <w:p>
      <w:pPr>
        <w:adjustRightInd w:val="0"/>
        <w:snapToGrid w:val="0"/>
        <w:spacing w:line="360" w:lineRule="auto"/>
        <w:ind w:firstLine="420" w:firstLineChars="200"/>
        <w:rPr>
          <w:color w:val="auto"/>
          <w:highlight w:val="none"/>
        </w:rPr>
      </w:pPr>
      <w:r>
        <w:rPr>
          <w:rFonts w:hint="eastAsia"/>
          <w:color w:val="auto"/>
          <w:highlight w:val="none"/>
        </w:rPr>
        <w:t>…………</w:t>
      </w:r>
    </w:p>
    <w:p>
      <w:pPr>
        <w:adjustRightInd w:val="0"/>
        <w:snapToGrid w:val="0"/>
        <w:spacing w:line="360" w:lineRule="auto"/>
        <w:ind w:firstLine="420" w:firstLineChars="200"/>
        <w:rPr>
          <w:rFonts w:ascii="楷体_GB2312" w:eastAsia="楷体_GB2312"/>
          <w:color w:val="auto"/>
          <w:highlight w:val="none"/>
        </w:rPr>
      </w:pPr>
      <w:r>
        <w:rPr>
          <w:rFonts w:hint="eastAsia" w:ascii="楷体_GB2312" w:eastAsia="楷体_GB2312"/>
          <w:color w:val="auto"/>
          <w:szCs w:val="21"/>
          <w:highlight w:val="none"/>
        </w:rPr>
        <w:t>注：投标人应提交一份施工总平面图，给出现场临时设施布置图表并附文字说明，说明临时设施、加工车间、现场办公、设备及仓储、供电、供水、卫生、生活等设施的情况和布置。</w:t>
      </w:r>
      <w:r>
        <w:rPr>
          <w:rFonts w:ascii="楷体_GB2312" w:eastAsia="楷体_GB2312"/>
          <w:color w:val="auto"/>
          <w:highlight w:val="none"/>
        </w:rPr>
        <w:br w:type="page"/>
      </w:r>
    </w:p>
    <w:p>
      <w:pPr>
        <w:adjustRightInd w:val="0"/>
        <w:snapToGrid w:val="0"/>
        <w:spacing w:line="360" w:lineRule="auto"/>
        <w:ind w:firstLine="602" w:firstLineChars="200"/>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6.临时用地表</w:t>
      </w:r>
    </w:p>
    <w:tbl>
      <w:tblPr>
        <w:tblStyle w:val="4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68"/>
        <w:gridCol w:w="2352"/>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用  途</w:t>
            </w:r>
          </w:p>
        </w:tc>
        <w:tc>
          <w:tcPr>
            <w:tcW w:w="2268"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面积（平方米）</w:t>
            </w:r>
          </w:p>
        </w:tc>
        <w:tc>
          <w:tcPr>
            <w:tcW w:w="2352"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位  置</w:t>
            </w:r>
          </w:p>
        </w:tc>
        <w:tc>
          <w:tcPr>
            <w:tcW w:w="2352"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Courier New"/>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合    计</w:t>
            </w:r>
          </w:p>
        </w:tc>
        <w:tc>
          <w:tcPr>
            <w:tcW w:w="2268"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p>
        </w:tc>
        <w:tc>
          <w:tcPr>
            <w:tcW w:w="2352"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p>
        </w:tc>
        <w:tc>
          <w:tcPr>
            <w:tcW w:w="2352"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p>
        </w:tc>
      </w:tr>
    </w:tbl>
    <w:p>
      <w:pPr>
        <w:adjustRightInd w:val="0"/>
        <w:snapToGrid w:val="0"/>
        <w:spacing w:line="360" w:lineRule="auto"/>
        <w:rPr>
          <w:rFonts w:ascii="楷体_GB2312" w:eastAsia="楷体_GB2312"/>
          <w:color w:val="auto"/>
          <w:highlight w:val="none"/>
        </w:rPr>
      </w:pPr>
      <w:r>
        <w:rPr>
          <w:rFonts w:hint="eastAsia" w:ascii="楷体_GB2312" w:eastAsia="楷体_GB2312"/>
          <w:color w:val="auto"/>
          <w:szCs w:val="21"/>
          <w:highlight w:val="none"/>
        </w:rPr>
        <w:t>注：投标人应逐项填写本表，指出全部临时设施用地面积以及详细用途。</w:t>
      </w:r>
      <w:r>
        <w:rPr>
          <w:rFonts w:ascii="楷体_GB2312" w:eastAsia="楷体_GB2312"/>
          <w:color w:val="auto"/>
          <w:highlight w:val="none"/>
        </w:rPr>
        <w:br w:type="page"/>
      </w:r>
    </w:p>
    <w:p>
      <w:pPr>
        <w:adjustRightInd w:val="0"/>
        <w:snapToGrid w:val="0"/>
        <w:spacing w:line="360" w:lineRule="auto"/>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二、项目管理机构配备情况</w:t>
      </w:r>
    </w:p>
    <w:p>
      <w:pPr>
        <w:adjustRightInd w:val="0"/>
        <w:snapToGrid w:val="0"/>
        <w:spacing w:line="360" w:lineRule="auto"/>
        <w:ind w:firstLine="602" w:firstLineChars="200"/>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1.项目管理机构配备情况表</w:t>
      </w:r>
    </w:p>
    <w:tbl>
      <w:tblPr>
        <w:tblStyle w:val="41"/>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759"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758" w:type="dxa"/>
            <w:vMerge w:val="restart"/>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职称</w:t>
            </w:r>
          </w:p>
        </w:tc>
        <w:tc>
          <w:tcPr>
            <w:tcW w:w="4929" w:type="dxa"/>
            <w:gridSpan w:val="5"/>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上岗资格证明</w:t>
            </w:r>
          </w:p>
        </w:tc>
        <w:tc>
          <w:tcPr>
            <w:tcW w:w="2082"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已承担在建工程</w:t>
            </w:r>
          </w:p>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759"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758" w:type="dxa"/>
            <w:vMerge w:val="continue"/>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137"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证书名称</w:t>
            </w:r>
          </w:p>
        </w:tc>
        <w:tc>
          <w:tcPr>
            <w:tcW w:w="75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级别</w:t>
            </w:r>
          </w:p>
        </w:tc>
        <w:tc>
          <w:tcPr>
            <w:tcW w:w="75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证号</w:t>
            </w:r>
          </w:p>
        </w:tc>
        <w:tc>
          <w:tcPr>
            <w:tcW w:w="75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专业</w:t>
            </w:r>
          </w:p>
        </w:tc>
        <w:tc>
          <w:tcPr>
            <w:tcW w:w="151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原服务单位</w:t>
            </w:r>
          </w:p>
        </w:tc>
        <w:tc>
          <w:tcPr>
            <w:tcW w:w="947"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项目数</w:t>
            </w:r>
          </w:p>
        </w:tc>
        <w:tc>
          <w:tcPr>
            <w:tcW w:w="113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94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94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94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94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94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94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94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94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94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94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94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94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94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94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9"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75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947"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宋体" w:hAnsi="宋体" w:eastAsia="宋体" w:cs="宋体"/>
                <w:color w:val="auto"/>
                <w:kern w:val="0"/>
                <w:sz w:val="20"/>
                <w:szCs w:val="21"/>
                <w:highlight w:val="none"/>
              </w:rPr>
            </w:pPr>
          </w:p>
        </w:tc>
      </w:tr>
    </w:tbl>
    <w:p>
      <w:pPr>
        <w:spacing w:line="20" w:lineRule="exact"/>
        <w:rPr>
          <w:color w:val="auto"/>
          <w:highlight w:val="none"/>
        </w:rPr>
      </w:pPr>
    </w:p>
    <w:p>
      <w:pPr>
        <w:adjustRightInd w:val="0"/>
        <w:snapToGrid w:val="0"/>
        <w:spacing w:line="360" w:lineRule="auto"/>
        <w:ind w:firstLine="420" w:firstLineChars="200"/>
        <w:rPr>
          <w:rFonts w:ascii="楷体_GB2312" w:hAnsi="楷体_GB2312" w:eastAsia="楷体_GB2312" w:cs="楷体_GB2312"/>
          <w:color w:val="auto"/>
          <w:szCs w:val="21"/>
          <w:highlight w:val="none"/>
        </w:rPr>
      </w:pPr>
      <w:r>
        <w:rPr>
          <w:rFonts w:hint="eastAsia" w:ascii="楷体_GB2312" w:hAnsi="楷体_GB2312" w:eastAsia="楷体_GB2312" w:cs="楷体_GB2312"/>
          <w:color w:val="auto"/>
          <w:szCs w:val="21"/>
          <w:highlight w:val="none"/>
        </w:rPr>
        <w:t>注：1.项目管理机构包括：（1）必填项：项目经理、技术负责人、质量负责人、安全负责人、安全员、劳资专管员；（2）选填项：项目副经理、土建工程师、强电工程师、弱电工程师、暖通工程师、给排水工程师、造价工程师、测量工程师、BIM工程师、质量员、施工员、材料员、预算员、资料员、其他施工管理人员；</w:t>
      </w:r>
    </w:p>
    <w:p>
      <w:pPr>
        <w:adjustRightInd w:val="0"/>
        <w:snapToGrid w:val="0"/>
        <w:spacing w:line="360" w:lineRule="auto"/>
        <w:ind w:firstLine="420" w:firstLineChars="200"/>
        <w:rPr>
          <w:rFonts w:ascii="楷体_GB2312" w:hAnsi="楷体_GB2312" w:eastAsia="楷体_GB2312" w:cs="楷体_GB2312"/>
          <w:color w:val="auto"/>
          <w:szCs w:val="21"/>
          <w:highlight w:val="none"/>
        </w:rPr>
      </w:pPr>
      <w:r>
        <w:rPr>
          <w:rFonts w:hint="eastAsia" w:ascii="楷体_GB2312" w:hAnsi="楷体_GB2312" w:eastAsia="楷体_GB2312" w:cs="楷体_GB2312"/>
          <w:color w:val="auto"/>
          <w:szCs w:val="21"/>
          <w:highlight w:val="none"/>
        </w:rPr>
        <w:t>2.本表填报项目管理机构应与提交投标文件时投标子系统填报一致。</w:t>
      </w:r>
    </w:p>
    <w:p>
      <w:pPr>
        <w:rPr>
          <w:b/>
          <w:bCs/>
          <w:color w:val="auto"/>
          <w:sz w:val="28"/>
          <w:highlight w:val="none"/>
        </w:rPr>
      </w:pPr>
      <w:r>
        <w:rPr>
          <w:rFonts w:hint="eastAsia"/>
          <w:b/>
          <w:bCs/>
          <w:color w:val="auto"/>
          <w:sz w:val="28"/>
          <w:highlight w:val="none"/>
        </w:rPr>
        <w:br w:type="page"/>
      </w:r>
    </w:p>
    <w:p>
      <w:pPr>
        <w:adjustRightInd w:val="0"/>
        <w:snapToGrid w:val="0"/>
        <w:spacing w:line="360" w:lineRule="auto"/>
        <w:ind w:firstLine="602" w:firstLineChars="200"/>
        <w:rPr>
          <w:rFonts w:ascii="宋体" w:hAnsi="宋体" w:eastAsia="宋体" w:cs="宋体"/>
          <w:b/>
          <w:bCs/>
          <w:color w:val="auto"/>
          <w:sz w:val="28"/>
          <w:highlight w:val="none"/>
        </w:rPr>
      </w:pPr>
      <w:r>
        <w:rPr>
          <w:rFonts w:hint="eastAsia" w:ascii="宋体" w:hAnsi="宋体" w:eastAsia="宋体" w:cs="宋体"/>
          <w:b/>
          <w:bCs/>
          <w:color w:val="auto"/>
          <w:sz w:val="30"/>
          <w:szCs w:val="30"/>
          <w:highlight w:val="none"/>
        </w:rPr>
        <w:t>2.项目经理（建造师）简历表</w:t>
      </w:r>
      <w:r>
        <w:rPr>
          <w:rFonts w:hint="eastAsia" w:ascii="宋体" w:hAnsi="宋体" w:eastAsia="宋体" w:cs="宋体"/>
          <w:color w:val="auto"/>
          <w:highlight w:val="none"/>
        </w:rPr>
        <w:t>（每个项目只能一个，必填项）</w:t>
      </w:r>
    </w:p>
    <w:tbl>
      <w:tblPr>
        <w:tblStyle w:val="41"/>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0"/>
        <w:gridCol w:w="470"/>
        <w:gridCol w:w="887"/>
        <w:gridCol w:w="194"/>
        <w:gridCol w:w="1397"/>
        <w:gridCol w:w="1975"/>
        <w:gridCol w:w="970"/>
        <w:gridCol w:w="49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2131" w:type="dxa"/>
            <w:gridSpan w:val="4"/>
            <w:shd w:val="clear" w:color="auto" w:fill="auto"/>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1397" w:type="dxa"/>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性  别</w:t>
            </w:r>
          </w:p>
        </w:tc>
        <w:tc>
          <w:tcPr>
            <w:tcW w:w="1975" w:type="dxa"/>
            <w:shd w:val="clear" w:color="auto" w:fill="auto"/>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970" w:type="dxa"/>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龄</w:t>
            </w:r>
          </w:p>
        </w:tc>
        <w:tc>
          <w:tcPr>
            <w:tcW w:w="1850" w:type="dxa"/>
            <w:gridSpan w:val="2"/>
            <w:shd w:val="clear" w:color="auto" w:fill="auto"/>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2131" w:type="dxa"/>
            <w:gridSpan w:val="4"/>
            <w:shd w:val="clear" w:color="auto" w:fill="auto"/>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1397" w:type="dxa"/>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称</w:t>
            </w:r>
          </w:p>
        </w:tc>
        <w:tc>
          <w:tcPr>
            <w:tcW w:w="1975" w:type="dxa"/>
            <w:shd w:val="clear" w:color="auto" w:fill="auto"/>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970" w:type="dxa"/>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学  历</w:t>
            </w:r>
          </w:p>
        </w:tc>
        <w:tc>
          <w:tcPr>
            <w:tcW w:w="1850" w:type="dxa"/>
            <w:gridSpan w:val="2"/>
            <w:shd w:val="clear" w:color="auto" w:fill="auto"/>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adjustRightInd w:val="0"/>
              <w:snapToGrid w:val="0"/>
              <w:ind w:left="-107" w:leftChars="-51" w:right="-107" w:rightChars="-51"/>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证件类型</w:t>
            </w:r>
          </w:p>
        </w:tc>
        <w:tc>
          <w:tcPr>
            <w:tcW w:w="2131" w:type="dxa"/>
            <w:gridSpan w:val="4"/>
            <w:shd w:val="clear" w:color="auto" w:fill="auto"/>
            <w:vAlign w:val="center"/>
          </w:tcPr>
          <w:p>
            <w:pPr>
              <w:adjustRightInd w:val="0"/>
              <w:snapToGrid w:val="0"/>
              <w:ind w:left="-107" w:leftChars="-51" w:right="-107" w:rightChars="-51"/>
              <w:rPr>
                <w:rFonts w:ascii="宋体" w:hAnsi="宋体" w:eastAsia="宋体" w:cs="宋体"/>
                <w:color w:val="auto"/>
                <w:kern w:val="0"/>
                <w:sz w:val="20"/>
                <w:szCs w:val="21"/>
                <w:highlight w:val="none"/>
              </w:rPr>
            </w:pPr>
          </w:p>
        </w:tc>
        <w:tc>
          <w:tcPr>
            <w:tcW w:w="1397" w:type="dxa"/>
            <w:shd w:val="clear" w:color="auto" w:fill="auto"/>
            <w:vAlign w:val="center"/>
          </w:tcPr>
          <w:p>
            <w:pPr>
              <w:adjustRightInd w:val="0"/>
              <w:snapToGrid w:val="0"/>
              <w:ind w:left="-107" w:leftChars="-51" w:right="-107" w:rightChars="-51"/>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证件号码</w:t>
            </w:r>
          </w:p>
        </w:tc>
        <w:tc>
          <w:tcPr>
            <w:tcW w:w="1975" w:type="dxa"/>
            <w:shd w:val="clear" w:color="auto" w:fill="auto"/>
            <w:vAlign w:val="center"/>
          </w:tcPr>
          <w:p>
            <w:pPr>
              <w:adjustRightInd w:val="0"/>
              <w:snapToGrid w:val="0"/>
              <w:ind w:left="-107" w:leftChars="-51" w:right="-107" w:rightChars="-51"/>
              <w:rPr>
                <w:rFonts w:ascii="宋体" w:hAnsi="宋体" w:eastAsia="宋体" w:cs="宋体"/>
                <w:color w:val="auto"/>
                <w:kern w:val="0"/>
                <w:sz w:val="20"/>
                <w:szCs w:val="21"/>
                <w:highlight w:val="none"/>
              </w:rPr>
            </w:pPr>
          </w:p>
        </w:tc>
        <w:tc>
          <w:tcPr>
            <w:tcW w:w="970" w:type="dxa"/>
            <w:shd w:val="clear" w:color="auto" w:fill="auto"/>
            <w:vAlign w:val="center"/>
          </w:tcPr>
          <w:p>
            <w:pPr>
              <w:adjustRightInd w:val="0"/>
              <w:snapToGrid w:val="0"/>
              <w:ind w:left="-107" w:leftChars="-51" w:right="-107" w:rightChars="-51"/>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手机号码</w:t>
            </w:r>
          </w:p>
        </w:tc>
        <w:tc>
          <w:tcPr>
            <w:tcW w:w="1850" w:type="dxa"/>
            <w:gridSpan w:val="2"/>
            <w:shd w:val="clear" w:color="auto" w:fill="auto"/>
            <w:vAlign w:val="center"/>
          </w:tcPr>
          <w:p>
            <w:pPr>
              <w:adjustRightInd w:val="0"/>
              <w:snapToGrid w:val="0"/>
              <w:ind w:left="-107" w:leftChars="-51" w:right="-107" w:rightChars="-51"/>
              <w:rPr>
                <w:rFonts w:ascii="宋体" w:hAnsi="宋体" w:eastAsia="宋体" w:cs="宋体"/>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7" w:type="dxa"/>
            <w:gridSpan w:val="3"/>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参加工作时间</w:t>
            </w:r>
          </w:p>
        </w:tc>
        <w:tc>
          <w:tcPr>
            <w:tcW w:w="2478" w:type="dxa"/>
            <w:gridSpan w:val="3"/>
            <w:shd w:val="clear" w:color="auto" w:fill="auto"/>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2945" w:type="dxa"/>
            <w:gridSpan w:val="2"/>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从事项目经理（建造师）年限</w:t>
            </w:r>
          </w:p>
        </w:tc>
        <w:tc>
          <w:tcPr>
            <w:tcW w:w="1850" w:type="dxa"/>
            <w:gridSpan w:val="2"/>
            <w:shd w:val="clear" w:color="auto" w:fill="auto"/>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项目经理（建造师）</w:t>
            </w:r>
          </w:p>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资格证书编号</w:t>
            </w:r>
          </w:p>
        </w:tc>
        <w:tc>
          <w:tcPr>
            <w:tcW w:w="6386" w:type="dxa"/>
            <w:gridSpan w:val="6"/>
            <w:shd w:val="clear" w:color="auto" w:fill="auto"/>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10"/>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建设单位</w:t>
            </w:r>
          </w:p>
        </w:tc>
        <w:tc>
          <w:tcPr>
            <w:tcW w:w="1551" w:type="dxa"/>
            <w:gridSpan w:val="3"/>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397" w:type="dxa"/>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建设规模</w:t>
            </w:r>
          </w:p>
        </w:tc>
        <w:tc>
          <w:tcPr>
            <w:tcW w:w="1975" w:type="dxa"/>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开、竣工日期</w:t>
            </w:r>
          </w:p>
        </w:tc>
        <w:tc>
          <w:tcPr>
            <w:tcW w:w="1466" w:type="dxa"/>
            <w:gridSpan w:val="2"/>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在建或已完</w:t>
            </w:r>
          </w:p>
        </w:tc>
        <w:tc>
          <w:tcPr>
            <w:tcW w:w="1354" w:type="dxa"/>
            <w:shd w:val="clear" w:color="auto" w:fill="auto"/>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97"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975"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54"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97"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975"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54"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97"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975"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54"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97"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975"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54"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97"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975"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54"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97"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975"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54"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97"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975"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54"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97"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975"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54"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97"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975"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54"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97"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975"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54"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97"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975"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54"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97"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975"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54"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97"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975"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54"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97"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975"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54"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97"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975"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c>
          <w:tcPr>
            <w:tcW w:w="1354" w:type="dxa"/>
            <w:shd w:val="clear" w:color="auto" w:fill="auto"/>
            <w:vAlign w:val="center"/>
          </w:tcPr>
          <w:p>
            <w:pPr>
              <w:adjustRightInd w:val="0"/>
              <w:snapToGrid w:val="0"/>
              <w:spacing w:line="360" w:lineRule="auto"/>
              <w:rPr>
                <w:rFonts w:ascii="宋体" w:hAnsi="宋体" w:eastAsia="宋体" w:cs="宋体"/>
                <w:color w:val="auto"/>
                <w:kern w:val="0"/>
                <w:sz w:val="20"/>
                <w:szCs w:val="20"/>
                <w:highlight w:val="none"/>
              </w:rPr>
            </w:pPr>
          </w:p>
        </w:tc>
      </w:tr>
    </w:tbl>
    <w:p>
      <w:pPr>
        <w:spacing w:line="20" w:lineRule="exact"/>
        <w:rPr>
          <w:rFonts w:ascii="宋体" w:hAnsi="宋体" w:eastAsia="宋体" w:cs="宋体"/>
          <w:color w:val="auto"/>
          <w:highlight w:val="none"/>
        </w:rPr>
      </w:pPr>
      <w:r>
        <w:rPr>
          <w:rFonts w:hint="eastAsia" w:ascii="宋体" w:hAnsi="宋体" w:eastAsia="宋体" w:cs="宋体"/>
          <w:color w:val="auto"/>
          <w:highlight w:val="none"/>
        </w:rPr>
        <w:br w:type="page"/>
      </w:r>
    </w:p>
    <w:p>
      <w:pPr>
        <w:adjustRightInd w:val="0"/>
        <w:snapToGrid w:val="0"/>
        <w:spacing w:line="360" w:lineRule="auto"/>
        <w:ind w:firstLine="602" w:firstLineChars="200"/>
        <w:rPr>
          <w:rFonts w:ascii="宋体" w:hAnsi="宋体" w:eastAsia="宋体" w:cs="宋体"/>
          <w:b/>
          <w:bCs/>
          <w:color w:val="auto"/>
          <w:sz w:val="28"/>
          <w:highlight w:val="none"/>
        </w:rPr>
      </w:pPr>
      <w:r>
        <w:rPr>
          <w:rFonts w:hint="eastAsia" w:ascii="宋体" w:hAnsi="宋体" w:eastAsia="宋体" w:cs="宋体"/>
          <w:b/>
          <w:bCs/>
          <w:color w:val="auto"/>
          <w:sz w:val="30"/>
          <w:szCs w:val="30"/>
          <w:highlight w:val="none"/>
        </w:rPr>
        <w:t>3.技术负责人简历表</w:t>
      </w:r>
      <w:r>
        <w:rPr>
          <w:rFonts w:hint="eastAsia" w:ascii="宋体" w:hAnsi="宋体" w:eastAsia="宋体" w:cs="宋体"/>
          <w:color w:val="auto"/>
          <w:highlight w:val="none"/>
        </w:rPr>
        <w:t>（每个项目只能一个，必填项）</w:t>
      </w:r>
    </w:p>
    <w:tbl>
      <w:tblPr>
        <w:tblStyle w:val="4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1"/>
        <w:gridCol w:w="580"/>
        <w:gridCol w:w="1003"/>
        <w:gridCol w:w="1458"/>
        <w:gridCol w:w="1975"/>
        <w:gridCol w:w="178"/>
        <w:gridCol w:w="581"/>
        <w:gridCol w:w="505"/>
        <w:gridCol w:w="281"/>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704" w:type="dxa"/>
            <w:gridSpan w:val="3"/>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性 别</w:t>
            </w:r>
          </w:p>
        </w:tc>
        <w:tc>
          <w:tcPr>
            <w:tcW w:w="215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086"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龄</w:t>
            </w:r>
          </w:p>
        </w:tc>
        <w:tc>
          <w:tcPr>
            <w:tcW w:w="164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1704" w:type="dxa"/>
            <w:gridSpan w:val="3"/>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称</w:t>
            </w:r>
          </w:p>
        </w:tc>
        <w:tc>
          <w:tcPr>
            <w:tcW w:w="215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086"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学  历</w:t>
            </w:r>
          </w:p>
        </w:tc>
        <w:tc>
          <w:tcPr>
            <w:tcW w:w="164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adjustRightInd w:val="0"/>
              <w:snapToGrid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证件类型</w:t>
            </w:r>
          </w:p>
        </w:tc>
        <w:tc>
          <w:tcPr>
            <w:tcW w:w="1704" w:type="dxa"/>
            <w:gridSpan w:val="3"/>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证件号码</w:t>
            </w:r>
          </w:p>
        </w:tc>
        <w:tc>
          <w:tcPr>
            <w:tcW w:w="4882" w:type="dxa"/>
            <w:gridSpan w:val="6"/>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手机号码</w:t>
            </w:r>
          </w:p>
        </w:tc>
        <w:tc>
          <w:tcPr>
            <w:tcW w:w="2461"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2734" w:type="dxa"/>
            <w:gridSpan w:val="3"/>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证件号（职称证书编号）</w:t>
            </w:r>
          </w:p>
        </w:tc>
        <w:tc>
          <w:tcPr>
            <w:tcW w:w="2148" w:type="dxa"/>
            <w:gridSpan w:val="3"/>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参加工作时间</w:t>
            </w:r>
          </w:p>
        </w:tc>
        <w:tc>
          <w:tcPr>
            <w:tcW w:w="2461"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2734" w:type="dxa"/>
            <w:gridSpan w:val="3"/>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从事技术负责人年限</w:t>
            </w:r>
          </w:p>
        </w:tc>
        <w:tc>
          <w:tcPr>
            <w:tcW w:w="2148" w:type="dxa"/>
            <w:gridSpan w:val="3"/>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7" w:type="dxa"/>
            <w:gridSpan w:val="11"/>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建设单位</w:t>
            </w: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建设规模</w:t>
            </w: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开、竣工日期</w:t>
            </w: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在建或已完</w:t>
            </w: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83" w:type="dxa"/>
            <w:gridSpan w:val="2"/>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458"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975" w:type="dxa"/>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545" w:type="dxa"/>
            <w:gridSpan w:val="4"/>
            <w:shd w:val="clear" w:color="auto" w:fill="auto"/>
            <w:vAlign w:val="center"/>
          </w:tcPr>
          <w:p>
            <w:pPr>
              <w:adjustRightInd w:val="0"/>
              <w:snapToGrid w:val="0"/>
              <w:jc w:val="center"/>
              <w:rPr>
                <w:rFonts w:ascii="宋体" w:hAnsi="宋体" w:eastAsia="宋体" w:cs="宋体"/>
                <w:color w:val="auto"/>
                <w:kern w:val="0"/>
                <w:szCs w:val="21"/>
                <w:highlight w:val="none"/>
              </w:rPr>
            </w:pPr>
          </w:p>
        </w:tc>
        <w:tc>
          <w:tcPr>
            <w:tcW w:w="1362" w:type="dxa"/>
            <w:shd w:val="clear" w:color="auto" w:fill="auto"/>
            <w:vAlign w:val="center"/>
          </w:tcPr>
          <w:p>
            <w:pPr>
              <w:adjustRightInd w:val="0"/>
              <w:snapToGrid w:val="0"/>
              <w:jc w:val="center"/>
              <w:rPr>
                <w:rFonts w:ascii="宋体" w:hAnsi="宋体" w:eastAsia="宋体" w:cs="宋体"/>
                <w:color w:val="auto"/>
                <w:kern w:val="0"/>
                <w:szCs w:val="21"/>
                <w:highlight w:val="none"/>
              </w:rPr>
            </w:pPr>
          </w:p>
        </w:tc>
      </w:tr>
    </w:tbl>
    <w:p>
      <w:pPr>
        <w:spacing w:line="20" w:lineRule="exact"/>
        <w:rPr>
          <w:rFonts w:ascii="宋体" w:hAnsi="宋体" w:eastAsia="宋体" w:cs="宋体"/>
          <w:color w:val="auto"/>
          <w:highlight w:val="none"/>
        </w:rPr>
      </w:pPr>
      <w:r>
        <w:rPr>
          <w:rFonts w:hint="eastAsia" w:ascii="宋体" w:hAnsi="宋体" w:eastAsia="宋体" w:cs="宋体"/>
          <w:color w:val="auto"/>
          <w:highlight w:val="none"/>
        </w:rPr>
        <w:br w:type="page"/>
      </w:r>
    </w:p>
    <w:p>
      <w:pPr>
        <w:adjustRightInd w:val="0"/>
        <w:snapToGrid w:val="0"/>
        <w:spacing w:line="360" w:lineRule="auto"/>
        <w:ind w:firstLine="704" w:firstLineChars="234"/>
        <w:rPr>
          <w:rFonts w:ascii="宋体" w:hAnsi="宋体" w:eastAsia="宋体" w:cs="宋体"/>
          <w:b/>
          <w:bCs/>
          <w:color w:val="auto"/>
          <w:sz w:val="28"/>
          <w:highlight w:val="none"/>
        </w:rPr>
      </w:pPr>
      <w:r>
        <w:rPr>
          <w:rFonts w:hint="eastAsia" w:ascii="宋体" w:hAnsi="宋体" w:eastAsia="宋体" w:cs="宋体"/>
          <w:b/>
          <w:bCs/>
          <w:color w:val="auto"/>
          <w:sz w:val="30"/>
          <w:szCs w:val="30"/>
          <w:highlight w:val="none"/>
        </w:rPr>
        <w:t>4.质量负责人信息表</w:t>
      </w:r>
      <w:r>
        <w:rPr>
          <w:rFonts w:hint="eastAsia" w:ascii="宋体" w:hAnsi="宋体" w:eastAsia="宋体" w:cs="宋体"/>
          <w:color w:val="auto"/>
          <w:highlight w:val="none"/>
        </w:rPr>
        <w:t>（每个项目只能一个，必填项）</w:t>
      </w:r>
    </w:p>
    <w:tbl>
      <w:tblPr>
        <w:tblStyle w:val="40"/>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65"/>
        <w:gridCol w:w="1200"/>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837" w:type="dxa"/>
            <w:vAlign w:val="center"/>
          </w:tcPr>
          <w:p>
            <w:pPr>
              <w:adjustRightInd w:val="0"/>
              <w:snapToGrid w:val="0"/>
              <w:jc w:val="center"/>
              <w:rPr>
                <w:rFonts w:ascii="宋体" w:hAnsi="宋体" w:eastAsia="宋体" w:cs="宋体"/>
                <w:color w:val="auto"/>
                <w:szCs w:val="21"/>
                <w:highlight w:val="none"/>
              </w:rPr>
            </w:pPr>
          </w:p>
        </w:tc>
        <w:tc>
          <w:tcPr>
            <w:tcW w:w="1178"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证件类型</w:t>
            </w:r>
          </w:p>
        </w:tc>
        <w:tc>
          <w:tcPr>
            <w:tcW w:w="1365" w:type="dxa"/>
            <w:vAlign w:val="center"/>
          </w:tcPr>
          <w:p>
            <w:pPr>
              <w:adjustRightInd w:val="0"/>
              <w:snapToGrid w:val="0"/>
              <w:jc w:val="center"/>
              <w:rPr>
                <w:rFonts w:ascii="宋体" w:hAnsi="宋体" w:eastAsia="宋体" w:cs="宋体"/>
                <w:color w:val="auto"/>
                <w:szCs w:val="21"/>
                <w:highlight w:val="none"/>
              </w:rPr>
            </w:pPr>
          </w:p>
        </w:tc>
        <w:tc>
          <w:tcPr>
            <w:tcW w:w="1200"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证件号码</w:t>
            </w:r>
          </w:p>
        </w:tc>
        <w:tc>
          <w:tcPr>
            <w:tcW w:w="2606" w:type="dxa"/>
            <w:vAlign w:val="center"/>
          </w:tcPr>
          <w:p>
            <w:pPr>
              <w:adjustRightInd w:val="0"/>
              <w:snapToGrid w:val="0"/>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手机号码</w:t>
            </w:r>
          </w:p>
        </w:tc>
        <w:tc>
          <w:tcPr>
            <w:tcW w:w="3015" w:type="dxa"/>
            <w:gridSpan w:val="2"/>
            <w:vAlign w:val="center"/>
          </w:tcPr>
          <w:p>
            <w:pPr>
              <w:adjustRightInd w:val="0"/>
              <w:snapToGrid w:val="0"/>
              <w:jc w:val="center"/>
              <w:rPr>
                <w:rFonts w:ascii="宋体" w:hAnsi="宋体" w:eastAsia="宋体" w:cs="宋体"/>
                <w:color w:val="auto"/>
                <w:szCs w:val="21"/>
                <w:highlight w:val="none"/>
              </w:rPr>
            </w:pPr>
          </w:p>
        </w:tc>
        <w:tc>
          <w:tcPr>
            <w:tcW w:w="2565" w:type="dxa"/>
            <w:gridSpan w:val="2"/>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证件号（质量员证编号）</w:t>
            </w:r>
          </w:p>
        </w:tc>
        <w:tc>
          <w:tcPr>
            <w:tcW w:w="2606" w:type="dxa"/>
            <w:vAlign w:val="center"/>
          </w:tcPr>
          <w:p>
            <w:pPr>
              <w:adjustRightInd w:val="0"/>
              <w:snapToGrid w:val="0"/>
              <w:jc w:val="center"/>
              <w:rPr>
                <w:rFonts w:ascii="宋体" w:hAnsi="宋体" w:eastAsia="宋体" w:cs="宋体"/>
                <w:color w:val="auto"/>
                <w:szCs w:val="21"/>
                <w:highlight w:val="none"/>
              </w:rPr>
            </w:pPr>
          </w:p>
        </w:tc>
      </w:tr>
    </w:tbl>
    <w:p>
      <w:pPr>
        <w:adjustRightInd w:val="0"/>
        <w:snapToGrid w:val="0"/>
        <w:spacing w:line="360" w:lineRule="auto"/>
        <w:ind w:firstLine="657" w:firstLineChars="234"/>
        <w:rPr>
          <w:rFonts w:ascii="宋体" w:hAnsi="宋体" w:eastAsia="宋体" w:cs="宋体"/>
          <w:b/>
          <w:bCs/>
          <w:color w:val="auto"/>
          <w:sz w:val="28"/>
          <w:highlight w:val="none"/>
        </w:rPr>
      </w:pPr>
    </w:p>
    <w:p>
      <w:pPr>
        <w:adjustRightInd w:val="0"/>
        <w:snapToGrid w:val="0"/>
        <w:spacing w:line="360" w:lineRule="auto"/>
        <w:ind w:firstLine="704" w:firstLineChars="234"/>
        <w:rPr>
          <w:rFonts w:ascii="宋体" w:hAnsi="宋体" w:eastAsia="宋体" w:cs="宋体"/>
          <w:b/>
          <w:bCs/>
          <w:color w:val="auto"/>
          <w:sz w:val="28"/>
          <w:highlight w:val="none"/>
        </w:rPr>
      </w:pPr>
      <w:r>
        <w:rPr>
          <w:rFonts w:hint="eastAsia" w:ascii="宋体" w:hAnsi="宋体" w:eastAsia="宋体" w:cs="宋体"/>
          <w:b/>
          <w:bCs/>
          <w:color w:val="auto"/>
          <w:sz w:val="30"/>
          <w:szCs w:val="30"/>
          <w:highlight w:val="none"/>
        </w:rPr>
        <w:t>5.安全负责人信息表</w:t>
      </w:r>
      <w:r>
        <w:rPr>
          <w:rFonts w:hint="eastAsia" w:ascii="宋体" w:hAnsi="宋体" w:eastAsia="宋体" w:cs="宋体"/>
          <w:color w:val="auto"/>
          <w:highlight w:val="none"/>
        </w:rPr>
        <w:t>（每个项目只能一个，必填项）</w:t>
      </w:r>
    </w:p>
    <w:tbl>
      <w:tblPr>
        <w:tblStyle w:val="40"/>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00"/>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837" w:type="dxa"/>
            <w:vAlign w:val="center"/>
          </w:tcPr>
          <w:p>
            <w:pPr>
              <w:adjustRightInd w:val="0"/>
              <w:snapToGrid w:val="0"/>
              <w:jc w:val="center"/>
              <w:rPr>
                <w:rFonts w:ascii="宋体" w:hAnsi="宋体" w:eastAsia="宋体" w:cs="宋体"/>
                <w:color w:val="auto"/>
                <w:szCs w:val="21"/>
                <w:highlight w:val="none"/>
              </w:rPr>
            </w:pPr>
          </w:p>
        </w:tc>
        <w:tc>
          <w:tcPr>
            <w:tcW w:w="1178"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证件类型</w:t>
            </w:r>
          </w:p>
        </w:tc>
        <w:tc>
          <w:tcPr>
            <w:tcW w:w="1380" w:type="dxa"/>
            <w:vAlign w:val="center"/>
          </w:tcPr>
          <w:p>
            <w:pPr>
              <w:adjustRightInd w:val="0"/>
              <w:snapToGrid w:val="0"/>
              <w:jc w:val="center"/>
              <w:rPr>
                <w:rFonts w:ascii="宋体" w:hAnsi="宋体" w:eastAsia="宋体" w:cs="宋体"/>
                <w:color w:val="auto"/>
                <w:szCs w:val="21"/>
                <w:highlight w:val="none"/>
              </w:rPr>
            </w:pPr>
          </w:p>
        </w:tc>
        <w:tc>
          <w:tcPr>
            <w:tcW w:w="1200"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证件号码</w:t>
            </w:r>
          </w:p>
        </w:tc>
        <w:tc>
          <w:tcPr>
            <w:tcW w:w="2591" w:type="dxa"/>
            <w:vAlign w:val="center"/>
          </w:tcPr>
          <w:p>
            <w:pPr>
              <w:adjustRightInd w:val="0"/>
              <w:snapToGrid w:val="0"/>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手机号码</w:t>
            </w:r>
          </w:p>
        </w:tc>
        <w:tc>
          <w:tcPr>
            <w:tcW w:w="3015" w:type="dxa"/>
            <w:gridSpan w:val="2"/>
            <w:vAlign w:val="center"/>
          </w:tcPr>
          <w:p>
            <w:pPr>
              <w:adjustRightInd w:val="0"/>
              <w:snapToGrid w:val="0"/>
              <w:jc w:val="center"/>
              <w:rPr>
                <w:rFonts w:ascii="宋体" w:hAnsi="宋体" w:eastAsia="宋体" w:cs="宋体"/>
                <w:color w:val="auto"/>
                <w:szCs w:val="21"/>
                <w:highlight w:val="none"/>
              </w:rPr>
            </w:pPr>
          </w:p>
        </w:tc>
        <w:tc>
          <w:tcPr>
            <w:tcW w:w="2580" w:type="dxa"/>
            <w:gridSpan w:val="2"/>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证件号（C证编号）</w:t>
            </w:r>
          </w:p>
        </w:tc>
        <w:tc>
          <w:tcPr>
            <w:tcW w:w="2591" w:type="dxa"/>
            <w:vAlign w:val="center"/>
          </w:tcPr>
          <w:p>
            <w:pPr>
              <w:adjustRightInd w:val="0"/>
              <w:snapToGrid w:val="0"/>
              <w:jc w:val="center"/>
              <w:rPr>
                <w:rFonts w:ascii="宋体" w:hAnsi="宋体" w:eastAsia="宋体" w:cs="宋体"/>
                <w:color w:val="auto"/>
                <w:szCs w:val="21"/>
                <w:highlight w:val="none"/>
              </w:rPr>
            </w:pPr>
          </w:p>
        </w:tc>
      </w:tr>
    </w:tbl>
    <w:p>
      <w:pPr>
        <w:adjustRightInd w:val="0"/>
        <w:snapToGrid w:val="0"/>
        <w:spacing w:line="360" w:lineRule="auto"/>
        <w:ind w:firstLine="657" w:firstLineChars="234"/>
        <w:rPr>
          <w:rFonts w:ascii="宋体" w:hAnsi="宋体" w:eastAsia="宋体" w:cs="宋体"/>
          <w:b/>
          <w:bCs/>
          <w:color w:val="auto"/>
          <w:sz w:val="28"/>
          <w:highlight w:val="none"/>
        </w:rPr>
      </w:pPr>
    </w:p>
    <w:p>
      <w:pPr>
        <w:adjustRightInd w:val="0"/>
        <w:snapToGrid w:val="0"/>
        <w:ind w:firstLine="602" w:firstLineChars="200"/>
        <w:rPr>
          <w:rFonts w:ascii="宋体" w:hAnsi="宋体" w:eastAsia="宋体" w:cs="宋体"/>
          <w:b/>
          <w:bCs/>
          <w:color w:val="auto"/>
          <w:sz w:val="28"/>
          <w:highlight w:val="none"/>
        </w:rPr>
      </w:pPr>
      <w:r>
        <w:rPr>
          <w:rFonts w:hint="eastAsia" w:ascii="宋体" w:hAnsi="宋体" w:eastAsia="宋体" w:cs="宋体"/>
          <w:b/>
          <w:bCs/>
          <w:color w:val="auto"/>
          <w:sz w:val="30"/>
          <w:szCs w:val="30"/>
          <w:highlight w:val="none"/>
        </w:rPr>
        <w:t>6.安全员信息表</w:t>
      </w:r>
      <w:r>
        <w:rPr>
          <w:rFonts w:hint="eastAsia" w:ascii="宋体" w:hAnsi="宋体" w:eastAsia="宋体" w:cs="宋体"/>
          <w:color w:val="auto"/>
          <w:highlight w:val="none"/>
        </w:rPr>
        <w:t>（每个项目可多个，必</w:t>
      </w:r>
      <w:r>
        <w:rPr>
          <w:rFonts w:hint="eastAsia" w:ascii="宋体" w:hAnsi="宋体" w:eastAsia="宋体" w:cs="宋体"/>
          <w:color w:val="auto"/>
          <w:szCs w:val="21"/>
          <w:highlight w:val="none"/>
        </w:rPr>
        <w:t>填项</w:t>
      </w:r>
      <w:r>
        <w:rPr>
          <w:rFonts w:hint="eastAsia" w:ascii="宋体" w:hAnsi="宋体" w:eastAsia="宋体" w:cs="宋体"/>
          <w:color w:val="auto"/>
          <w:highlight w:val="none"/>
        </w:rPr>
        <w:t>）</w:t>
      </w:r>
    </w:p>
    <w:tbl>
      <w:tblPr>
        <w:tblStyle w:val="40"/>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837" w:type="dxa"/>
            <w:vAlign w:val="center"/>
          </w:tcPr>
          <w:p>
            <w:pPr>
              <w:adjustRightInd w:val="0"/>
              <w:snapToGrid w:val="0"/>
              <w:jc w:val="center"/>
              <w:rPr>
                <w:rFonts w:ascii="宋体" w:hAnsi="宋体" w:eastAsia="宋体" w:cs="宋体"/>
                <w:color w:val="auto"/>
                <w:szCs w:val="21"/>
                <w:highlight w:val="none"/>
              </w:rPr>
            </w:pPr>
          </w:p>
        </w:tc>
        <w:tc>
          <w:tcPr>
            <w:tcW w:w="1178"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证件类型</w:t>
            </w:r>
          </w:p>
        </w:tc>
        <w:tc>
          <w:tcPr>
            <w:tcW w:w="1380" w:type="dxa"/>
            <w:vAlign w:val="center"/>
          </w:tcPr>
          <w:p>
            <w:pPr>
              <w:adjustRightInd w:val="0"/>
              <w:snapToGrid w:val="0"/>
              <w:jc w:val="center"/>
              <w:rPr>
                <w:rFonts w:ascii="宋体" w:hAnsi="宋体" w:eastAsia="宋体" w:cs="宋体"/>
                <w:color w:val="auto"/>
                <w:szCs w:val="21"/>
                <w:highlight w:val="none"/>
              </w:rPr>
            </w:pPr>
          </w:p>
        </w:tc>
        <w:tc>
          <w:tcPr>
            <w:tcW w:w="1215"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证件号码</w:t>
            </w:r>
          </w:p>
        </w:tc>
        <w:tc>
          <w:tcPr>
            <w:tcW w:w="2576" w:type="dxa"/>
            <w:vAlign w:val="center"/>
          </w:tcPr>
          <w:p>
            <w:pPr>
              <w:adjustRightInd w:val="0"/>
              <w:snapToGrid w:val="0"/>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手机号码</w:t>
            </w:r>
          </w:p>
        </w:tc>
        <w:tc>
          <w:tcPr>
            <w:tcW w:w="3015" w:type="dxa"/>
            <w:gridSpan w:val="2"/>
            <w:vAlign w:val="center"/>
          </w:tcPr>
          <w:p>
            <w:pPr>
              <w:adjustRightInd w:val="0"/>
              <w:snapToGrid w:val="0"/>
              <w:jc w:val="center"/>
              <w:rPr>
                <w:rFonts w:ascii="宋体" w:hAnsi="宋体" w:eastAsia="宋体" w:cs="宋体"/>
                <w:color w:val="auto"/>
                <w:szCs w:val="21"/>
                <w:highlight w:val="none"/>
              </w:rPr>
            </w:pPr>
          </w:p>
        </w:tc>
        <w:tc>
          <w:tcPr>
            <w:tcW w:w="2595" w:type="dxa"/>
            <w:gridSpan w:val="2"/>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证件号（C证编号）</w:t>
            </w:r>
          </w:p>
        </w:tc>
        <w:tc>
          <w:tcPr>
            <w:tcW w:w="2576" w:type="dxa"/>
            <w:vAlign w:val="center"/>
          </w:tcPr>
          <w:p>
            <w:pPr>
              <w:adjustRightInd w:val="0"/>
              <w:snapToGrid w:val="0"/>
              <w:jc w:val="center"/>
              <w:rPr>
                <w:rFonts w:ascii="宋体" w:hAnsi="宋体" w:eastAsia="宋体" w:cs="宋体"/>
                <w:color w:val="auto"/>
                <w:szCs w:val="21"/>
                <w:highlight w:val="none"/>
              </w:rPr>
            </w:pPr>
          </w:p>
        </w:tc>
      </w:tr>
    </w:tbl>
    <w:p>
      <w:pPr>
        <w:adjustRightInd w:val="0"/>
        <w:snapToGrid w:val="0"/>
        <w:spacing w:line="360" w:lineRule="auto"/>
        <w:ind w:firstLine="657" w:firstLineChars="234"/>
        <w:rPr>
          <w:rFonts w:ascii="宋体" w:hAnsi="宋体" w:eastAsia="宋体" w:cs="宋体"/>
          <w:b/>
          <w:bCs/>
          <w:color w:val="auto"/>
          <w:sz w:val="28"/>
          <w:highlight w:val="none"/>
        </w:rPr>
      </w:pPr>
    </w:p>
    <w:p>
      <w:pPr>
        <w:adjustRightInd w:val="0"/>
        <w:snapToGrid w:val="0"/>
        <w:spacing w:line="360" w:lineRule="auto"/>
        <w:ind w:firstLine="704" w:firstLineChars="234"/>
        <w:rPr>
          <w:rFonts w:ascii="宋体" w:hAnsi="宋体" w:eastAsia="宋体" w:cs="宋体"/>
          <w:b/>
          <w:bCs/>
          <w:color w:val="auto"/>
          <w:sz w:val="28"/>
          <w:highlight w:val="none"/>
        </w:rPr>
      </w:pPr>
      <w:r>
        <w:rPr>
          <w:rFonts w:hint="eastAsia" w:ascii="宋体" w:hAnsi="宋体" w:eastAsia="宋体" w:cs="宋体"/>
          <w:b/>
          <w:bCs/>
          <w:color w:val="auto"/>
          <w:sz w:val="30"/>
          <w:szCs w:val="30"/>
          <w:highlight w:val="none"/>
        </w:rPr>
        <w:t>7.劳资专管员信息表</w:t>
      </w:r>
      <w:r>
        <w:rPr>
          <w:rFonts w:hint="eastAsia" w:ascii="宋体" w:hAnsi="宋体" w:eastAsia="宋体" w:cs="宋体"/>
          <w:color w:val="auto"/>
          <w:highlight w:val="none"/>
        </w:rPr>
        <w:t>（每个项目可多个，</w:t>
      </w:r>
      <w:r>
        <w:rPr>
          <w:rFonts w:hint="eastAsia" w:ascii="宋体" w:hAnsi="宋体" w:eastAsia="宋体" w:cs="宋体"/>
          <w:color w:val="auto"/>
          <w:szCs w:val="21"/>
          <w:highlight w:val="none"/>
        </w:rPr>
        <w:t>必填项</w:t>
      </w:r>
      <w:r>
        <w:rPr>
          <w:rFonts w:hint="eastAsia" w:ascii="宋体" w:hAnsi="宋体" w:eastAsia="宋体" w:cs="宋体"/>
          <w:color w:val="auto"/>
          <w:highlight w:val="none"/>
        </w:rPr>
        <w:t>）</w:t>
      </w:r>
    </w:p>
    <w:tbl>
      <w:tblPr>
        <w:tblStyle w:val="40"/>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837" w:type="dxa"/>
            <w:vAlign w:val="center"/>
          </w:tcPr>
          <w:p>
            <w:pPr>
              <w:adjustRightInd w:val="0"/>
              <w:snapToGrid w:val="0"/>
              <w:jc w:val="center"/>
              <w:rPr>
                <w:rFonts w:ascii="宋体" w:hAnsi="宋体" w:eastAsia="宋体" w:cs="宋体"/>
                <w:color w:val="auto"/>
                <w:szCs w:val="21"/>
                <w:highlight w:val="none"/>
              </w:rPr>
            </w:pPr>
          </w:p>
        </w:tc>
        <w:tc>
          <w:tcPr>
            <w:tcW w:w="1178"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证件类型</w:t>
            </w:r>
          </w:p>
        </w:tc>
        <w:tc>
          <w:tcPr>
            <w:tcW w:w="1380" w:type="dxa"/>
            <w:vAlign w:val="center"/>
          </w:tcPr>
          <w:p>
            <w:pPr>
              <w:adjustRightInd w:val="0"/>
              <w:snapToGrid w:val="0"/>
              <w:jc w:val="center"/>
              <w:rPr>
                <w:rFonts w:ascii="宋体" w:hAnsi="宋体" w:eastAsia="宋体" w:cs="宋体"/>
                <w:color w:val="auto"/>
                <w:szCs w:val="21"/>
                <w:highlight w:val="none"/>
              </w:rPr>
            </w:pPr>
          </w:p>
        </w:tc>
        <w:tc>
          <w:tcPr>
            <w:tcW w:w="1215"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证件号码</w:t>
            </w:r>
          </w:p>
        </w:tc>
        <w:tc>
          <w:tcPr>
            <w:tcW w:w="2576" w:type="dxa"/>
            <w:vAlign w:val="center"/>
          </w:tcPr>
          <w:p>
            <w:pPr>
              <w:adjustRightInd w:val="0"/>
              <w:snapToGrid w:val="0"/>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手机号码</w:t>
            </w:r>
          </w:p>
        </w:tc>
        <w:tc>
          <w:tcPr>
            <w:tcW w:w="3015" w:type="dxa"/>
            <w:gridSpan w:val="2"/>
            <w:vAlign w:val="center"/>
          </w:tcPr>
          <w:p>
            <w:pPr>
              <w:adjustRightInd w:val="0"/>
              <w:snapToGrid w:val="0"/>
              <w:jc w:val="center"/>
              <w:rPr>
                <w:rFonts w:ascii="宋体" w:hAnsi="宋体" w:eastAsia="宋体" w:cs="宋体"/>
                <w:color w:val="auto"/>
                <w:szCs w:val="21"/>
                <w:highlight w:val="none"/>
              </w:rPr>
            </w:pPr>
          </w:p>
        </w:tc>
        <w:tc>
          <w:tcPr>
            <w:tcW w:w="2595" w:type="dxa"/>
            <w:gridSpan w:val="2"/>
            <w:vAlign w:val="center"/>
          </w:tcPr>
          <w:p>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证件号</w:t>
            </w:r>
          </w:p>
        </w:tc>
        <w:tc>
          <w:tcPr>
            <w:tcW w:w="2576" w:type="dxa"/>
            <w:vAlign w:val="center"/>
          </w:tcPr>
          <w:p>
            <w:pPr>
              <w:adjustRightInd w:val="0"/>
              <w:snapToGrid w:val="0"/>
              <w:jc w:val="center"/>
              <w:rPr>
                <w:rFonts w:ascii="宋体" w:hAnsi="宋体" w:eastAsia="宋体" w:cs="宋体"/>
                <w:color w:val="auto"/>
                <w:szCs w:val="21"/>
                <w:highlight w:val="none"/>
              </w:rPr>
            </w:pPr>
          </w:p>
        </w:tc>
      </w:tr>
    </w:tbl>
    <w:p>
      <w:pPr>
        <w:adjustRightInd w:val="0"/>
        <w:snapToGrid w:val="0"/>
        <w:spacing w:line="360" w:lineRule="auto"/>
        <w:ind w:firstLine="657" w:firstLineChars="234"/>
        <w:rPr>
          <w:rFonts w:ascii="宋体" w:hAnsi="宋体" w:eastAsia="宋体" w:cs="宋体"/>
          <w:b/>
          <w:bCs/>
          <w:color w:val="auto"/>
          <w:sz w:val="28"/>
          <w:highlight w:val="none"/>
        </w:rPr>
      </w:pPr>
    </w:p>
    <w:p>
      <w:pPr>
        <w:adjustRightInd w:val="0"/>
        <w:snapToGrid w:val="0"/>
        <w:spacing w:line="360" w:lineRule="auto"/>
        <w:ind w:firstLine="704" w:firstLineChars="234"/>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8.项目管理机构情况辅助证明材料</w:t>
      </w:r>
    </w:p>
    <w:p>
      <w:pPr>
        <w:adjustRightInd w:val="0"/>
        <w:snapToGrid w:val="0"/>
        <w:spacing w:line="360" w:lineRule="auto"/>
        <w:ind w:firstLine="420" w:firstLineChars="200"/>
        <w:rPr>
          <w:color w:val="auto"/>
          <w:highlight w:val="none"/>
        </w:rPr>
      </w:pPr>
      <w:r>
        <w:rPr>
          <w:rFonts w:hint="eastAsia"/>
          <w:color w:val="auto"/>
          <w:highlight w:val="none"/>
        </w:rPr>
        <w:t>…………</w:t>
      </w:r>
    </w:p>
    <w:p>
      <w:pPr>
        <w:adjustRightInd w:val="0"/>
        <w:snapToGrid w:val="0"/>
        <w:spacing w:line="360" w:lineRule="auto"/>
        <w:ind w:firstLine="420" w:firstLineChars="200"/>
        <w:rPr>
          <w:rFonts w:ascii="楷体_GB2312" w:eastAsia="楷体_GB2312"/>
          <w:color w:val="auto"/>
          <w:highlight w:val="none"/>
        </w:rPr>
      </w:pPr>
      <w:r>
        <w:rPr>
          <w:rFonts w:hint="eastAsia" w:ascii="楷体_GB2312" w:eastAsia="楷体_GB2312"/>
          <w:color w:val="auto"/>
          <w:szCs w:val="21"/>
          <w:highlight w:val="none"/>
        </w:rPr>
        <w:t>注：辅助证明材料主要包括管理机构设置、职责分工、有关社保证明等复印证明资料以及投标人认为有必要提供的资料，辅助说明资料格式不做统一规定，由投标人自行设计。</w:t>
      </w:r>
      <w:r>
        <w:rPr>
          <w:rFonts w:ascii="楷体_GB2312" w:eastAsia="楷体_GB2312"/>
          <w:color w:val="auto"/>
          <w:highlight w:val="none"/>
        </w:rPr>
        <w:br w:type="page"/>
      </w:r>
    </w:p>
    <w:p>
      <w:pPr>
        <w:adjustRightInd w:val="0"/>
        <w:snapToGrid w:val="0"/>
        <w:spacing w:line="360" w:lineRule="auto"/>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三、项目拟分包情况</w:t>
      </w:r>
    </w:p>
    <w:p>
      <w:pPr>
        <w:adjustRightInd w:val="0"/>
        <w:snapToGrid w:val="0"/>
        <w:spacing w:line="360" w:lineRule="auto"/>
        <w:jc w:val="center"/>
        <w:rPr>
          <w:b/>
          <w:bCs/>
          <w:color w:val="auto"/>
          <w:sz w:val="28"/>
          <w:highlight w:val="none"/>
        </w:rPr>
      </w:pPr>
      <w:r>
        <w:rPr>
          <w:rFonts w:hint="eastAsia" w:ascii="宋体" w:hAnsi="宋体" w:eastAsia="宋体" w:cs="宋体"/>
          <w:b/>
          <w:bCs/>
          <w:color w:val="auto"/>
          <w:sz w:val="30"/>
          <w:szCs w:val="30"/>
          <w:highlight w:val="none"/>
        </w:rPr>
        <w:t>项目分包情况表</w:t>
      </w:r>
    </w:p>
    <w:tbl>
      <w:tblPr>
        <w:tblStyle w:val="41"/>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129"/>
        <w:gridCol w:w="290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分包的工程项目</w:t>
            </w:r>
          </w:p>
        </w:tc>
        <w:tc>
          <w:tcPr>
            <w:tcW w:w="2129"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分包人名称</w:t>
            </w:r>
          </w:p>
        </w:tc>
        <w:tc>
          <w:tcPr>
            <w:tcW w:w="2904"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分包项目造价（万元）</w:t>
            </w:r>
          </w:p>
        </w:tc>
        <w:tc>
          <w:tcPr>
            <w:tcW w:w="1548" w:type="dxa"/>
            <w:shd w:val="clear" w:color="auto" w:fill="auto"/>
            <w:vAlign w:val="center"/>
          </w:tcPr>
          <w:p>
            <w:pPr>
              <w:adjustRightInd w:val="0"/>
              <w:snapToGrid w:val="0"/>
              <w:jc w:val="center"/>
              <w:rPr>
                <w:rFonts w:ascii="Times New Roman" w:hAnsi="Times New Roman" w:eastAsia="宋体" w:cs="Courier New"/>
                <w:color w:val="auto"/>
                <w:kern w:val="0"/>
                <w:szCs w:val="21"/>
                <w:highlight w:val="none"/>
              </w:rPr>
            </w:pPr>
            <w:r>
              <w:rPr>
                <w:rFonts w:hint="eastAsia" w:ascii="Times New Roman" w:hAnsi="Times New Roman" w:eastAsia="宋体" w:cs="Courier New"/>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Courier New"/>
                <w:b/>
                <w:bCs/>
                <w:color w:val="auto"/>
                <w:kern w:val="0"/>
                <w:sz w:val="20"/>
                <w:szCs w:val="20"/>
                <w:highlight w:val="none"/>
              </w:rPr>
            </w:pPr>
          </w:p>
        </w:tc>
      </w:tr>
    </w:tbl>
    <w:p>
      <w:pPr>
        <w:spacing w:line="20" w:lineRule="exact"/>
        <w:rPr>
          <w:color w:val="auto"/>
          <w:highlight w:val="none"/>
        </w:rPr>
      </w:pPr>
    </w:p>
    <w:p>
      <w:pPr>
        <w:spacing w:line="20" w:lineRule="exact"/>
        <w:rPr>
          <w:color w:val="auto"/>
          <w:highlight w:val="none"/>
        </w:rPr>
      </w:pPr>
    </w:p>
    <w:p>
      <w:pPr>
        <w:spacing w:line="20" w:lineRule="exact"/>
        <w:rPr>
          <w:color w:val="auto"/>
          <w:highlight w:val="none"/>
        </w:rPr>
      </w:pPr>
    </w:p>
    <w:p>
      <w:pPr>
        <w:spacing w:line="20" w:lineRule="exact"/>
        <w:rPr>
          <w:color w:val="auto"/>
          <w:highlight w:val="none"/>
        </w:rPr>
        <w:sectPr>
          <w:pgSz w:w="11907" w:h="16840"/>
          <w:pgMar w:top="1417" w:right="1417" w:bottom="1417" w:left="1417" w:header="851" w:footer="851" w:gutter="0"/>
          <w:pgNumType w:fmt="decimal"/>
          <w:cols w:space="425" w:num="1"/>
          <w:docGrid w:type="lines" w:linePitch="312" w:charSpace="0"/>
        </w:sectPr>
      </w:pPr>
    </w:p>
    <w:p>
      <w:pPr>
        <w:adjustRightInd w:val="0"/>
        <w:snapToGrid w:val="0"/>
        <w:spacing w:line="360" w:lineRule="auto"/>
        <w:ind w:firstLine="5140" w:firstLineChars="160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工程编号：</w:t>
      </w:r>
      <w:r>
        <w:rPr>
          <w:rFonts w:hint="eastAsia" w:ascii="宋体" w:hAnsi="宋体" w:eastAsia="宋体" w:cs="宋体"/>
          <w:b/>
          <w:bCs/>
          <w:color w:val="auto"/>
          <w:sz w:val="32"/>
          <w:szCs w:val="32"/>
          <w:highlight w:val="none"/>
          <w:u w:val="single"/>
        </w:rPr>
        <w:t>_____________</w:t>
      </w:r>
    </w:p>
    <w:p>
      <w:pPr>
        <w:adjustRightInd w:val="0"/>
        <w:snapToGrid w:val="0"/>
        <w:spacing w:line="360" w:lineRule="auto"/>
        <w:rPr>
          <w:rFonts w:ascii="宋体" w:hAnsi="宋体" w:eastAsia="宋体" w:cs="宋体"/>
          <w:b/>
          <w:bCs/>
          <w:color w:val="auto"/>
          <w:sz w:val="28"/>
          <w:highlight w:val="none"/>
        </w:rPr>
      </w:pPr>
    </w:p>
    <w:p>
      <w:pPr>
        <w:adjustRightInd w:val="0"/>
        <w:snapToGrid w:val="0"/>
        <w:spacing w:line="360" w:lineRule="auto"/>
        <w:rPr>
          <w:rFonts w:ascii="宋体" w:hAnsi="宋体" w:eastAsia="宋体" w:cs="宋体"/>
          <w:b/>
          <w:bCs/>
          <w:color w:val="auto"/>
          <w:sz w:val="28"/>
          <w:highlight w:val="none"/>
        </w:rPr>
      </w:pPr>
    </w:p>
    <w:p>
      <w:pPr>
        <w:adjustRightInd w:val="0"/>
        <w:snapToGrid w:val="0"/>
        <w:spacing w:line="360" w:lineRule="auto"/>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深圳市建设工程施工招标</w:t>
      </w:r>
    </w:p>
    <w:p>
      <w:pPr>
        <w:adjustRightInd w:val="0"/>
        <w:snapToGrid w:val="0"/>
        <w:spacing w:line="360" w:lineRule="auto"/>
        <w:jc w:val="center"/>
        <w:rPr>
          <w:rFonts w:ascii="宋体" w:hAnsi="宋体" w:eastAsia="宋体" w:cs="宋体"/>
          <w:b/>
          <w:color w:val="auto"/>
          <w:sz w:val="72"/>
          <w:highlight w:val="none"/>
        </w:rPr>
      </w:pPr>
      <w:r>
        <w:rPr>
          <w:rFonts w:hint="eastAsia" w:ascii="宋体" w:hAnsi="宋体" w:eastAsia="宋体" w:cs="宋体"/>
          <w:b/>
          <w:color w:val="auto"/>
          <w:sz w:val="72"/>
          <w:highlight w:val="none"/>
        </w:rPr>
        <w:t>投 标 文 件</w:t>
      </w:r>
    </w:p>
    <w:p>
      <w:pPr>
        <w:adjustRightInd w:val="0"/>
        <w:snapToGrid w:val="0"/>
        <w:spacing w:line="360" w:lineRule="auto"/>
        <w:jc w:val="center"/>
        <w:rPr>
          <w:rFonts w:ascii="宋体" w:hAnsi="宋体" w:eastAsia="宋体" w:cs="宋体"/>
          <w:b/>
          <w:color w:val="auto"/>
          <w:sz w:val="72"/>
          <w:highlight w:val="none"/>
        </w:rPr>
      </w:pPr>
    </w:p>
    <w:p>
      <w:pPr>
        <w:adjustRightInd w:val="0"/>
        <w:snapToGrid w:val="0"/>
        <w:spacing w:line="360" w:lineRule="auto"/>
        <w:jc w:val="center"/>
        <w:rPr>
          <w:rFonts w:ascii="宋体" w:hAnsi="宋体" w:eastAsia="宋体" w:cs="宋体"/>
          <w:b/>
          <w:color w:val="auto"/>
          <w:sz w:val="72"/>
          <w:highlight w:val="none"/>
        </w:rPr>
      </w:pPr>
    </w:p>
    <w:p>
      <w:pPr>
        <w:adjustRightInd w:val="0"/>
        <w:snapToGrid w:val="0"/>
        <w:spacing w:line="360" w:lineRule="auto"/>
        <w:rPr>
          <w:rFonts w:ascii="宋体" w:hAnsi="宋体" w:eastAsia="宋体" w:cs="宋体"/>
          <w:b/>
          <w:color w:val="auto"/>
          <w:sz w:val="32"/>
          <w:highlight w:val="none"/>
        </w:rPr>
      </w:pPr>
      <w:r>
        <w:rPr>
          <w:rFonts w:hint="eastAsia" w:ascii="宋体" w:hAnsi="宋体" w:eastAsia="宋体" w:cs="宋体"/>
          <w:b/>
          <w:color w:val="auto"/>
          <w:sz w:val="32"/>
          <w:highlight w:val="none"/>
        </w:rPr>
        <w:t>工程名称：</w:t>
      </w:r>
      <w:r>
        <w:rPr>
          <w:rFonts w:hint="eastAsia" w:ascii="宋体" w:hAnsi="宋体" w:eastAsia="宋体" w:cs="宋体"/>
          <w:b/>
          <w:color w:val="auto"/>
          <w:sz w:val="32"/>
          <w:highlight w:val="none"/>
          <w:u w:val="single"/>
        </w:rPr>
        <w:t>___________________________________________</w:t>
      </w:r>
    </w:p>
    <w:p>
      <w:pPr>
        <w:adjustRightInd w:val="0"/>
        <w:snapToGrid w:val="0"/>
        <w:spacing w:line="360" w:lineRule="auto"/>
        <w:rPr>
          <w:rFonts w:ascii="宋体" w:hAnsi="宋体" w:eastAsia="宋体" w:cs="宋体"/>
          <w:b/>
          <w:color w:val="auto"/>
          <w:sz w:val="32"/>
          <w:highlight w:val="none"/>
        </w:rPr>
      </w:pPr>
    </w:p>
    <w:p>
      <w:pPr>
        <w:adjustRightInd w:val="0"/>
        <w:snapToGrid w:val="0"/>
        <w:spacing w:line="360" w:lineRule="auto"/>
        <w:outlineLvl w:val="1"/>
        <w:rPr>
          <w:rFonts w:ascii="宋体" w:hAnsi="宋体" w:eastAsia="宋体" w:cs="宋体"/>
          <w:b/>
          <w:color w:val="auto"/>
          <w:sz w:val="32"/>
          <w:highlight w:val="none"/>
        </w:rPr>
      </w:pPr>
      <w:bookmarkStart w:id="5048" w:name="_Toc24917"/>
      <w:bookmarkStart w:id="5049" w:name="_Toc27938"/>
      <w:bookmarkStart w:id="5050" w:name="_Toc12915"/>
      <w:bookmarkStart w:id="5051" w:name="_Toc17383"/>
      <w:bookmarkStart w:id="5052" w:name="_Toc820"/>
      <w:r>
        <w:rPr>
          <w:rFonts w:hint="eastAsia" w:ascii="宋体" w:hAnsi="宋体" w:eastAsia="宋体" w:cs="宋体"/>
          <w:b/>
          <w:color w:val="auto"/>
          <w:sz w:val="32"/>
          <w:highlight w:val="none"/>
        </w:rPr>
        <w:t>投标文件内容：</w:t>
      </w:r>
      <w:r>
        <w:rPr>
          <w:rFonts w:hint="eastAsia" w:ascii="宋体" w:hAnsi="宋体" w:eastAsia="宋体" w:cs="宋体"/>
          <w:b/>
          <w:color w:val="auto"/>
          <w:sz w:val="52"/>
          <w:highlight w:val="none"/>
          <w:u w:val="single"/>
        </w:rPr>
        <w:t xml:space="preserve">       BIM标部分</w:t>
      </w:r>
      <w:bookmarkEnd w:id="5048"/>
      <w:bookmarkEnd w:id="5049"/>
      <w:bookmarkEnd w:id="5050"/>
      <w:bookmarkEnd w:id="5051"/>
      <w:bookmarkEnd w:id="5052"/>
      <w:r>
        <w:rPr>
          <w:rFonts w:hint="eastAsia" w:ascii="宋体" w:hAnsi="宋体" w:eastAsia="宋体" w:cs="宋体"/>
          <w:b/>
          <w:color w:val="auto"/>
          <w:sz w:val="52"/>
          <w:highlight w:val="none"/>
          <w:u w:val="single"/>
        </w:rPr>
        <w:t xml:space="preserve">       </w:t>
      </w:r>
    </w:p>
    <w:p>
      <w:pPr>
        <w:adjustRightInd w:val="0"/>
        <w:snapToGrid w:val="0"/>
        <w:spacing w:line="360" w:lineRule="auto"/>
        <w:rPr>
          <w:rFonts w:ascii="宋体" w:hAnsi="宋体" w:eastAsia="宋体" w:cs="宋体"/>
          <w:b/>
          <w:color w:val="auto"/>
          <w:sz w:val="32"/>
          <w:highlight w:val="none"/>
        </w:rPr>
      </w:pPr>
    </w:p>
    <w:p>
      <w:pPr>
        <w:adjustRightInd w:val="0"/>
        <w:snapToGrid w:val="0"/>
        <w:spacing w:line="360" w:lineRule="auto"/>
        <w:rPr>
          <w:rFonts w:ascii="宋体" w:hAnsi="宋体" w:eastAsia="宋体" w:cs="宋体"/>
          <w:b/>
          <w:color w:val="auto"/>
          <w:sz w:val="32"/>
          <w:highlight w:val="none"/>
        </w:rPr>
      </w:pPr>
      <w:r>
        <w:rPr>
          <w:rFonts w:hint="eastAsia" w:ascii="宋体" w:hAnsi="宋体" w:eastAsia="宋体" w:cs="宋体"/>
          <w:b/>
          <w:color w:val="auto"/>
          <w:sz w:val="32"/>
          <w:highlight w:val="none"/>
        </w:rPr>
        <w:t>投标人：</w:t>
      </w:r>
      <w:r>
        <w:rPr>
          <w:rFonts w:hint="eastAsia" w:ascii="宋体" w:hAnsi="宋体" w:eastAsia="宋体" w:cs="宋体"/>
          <w:b/>
          <w:color w:val="auto"/>
          <w:sz w:val="32"/>
          <w:highlight w:val="none"/>
          <w:u w:val="single"/>
        </w:rPr>
        <w:t>_____________________________________</w:t>
      </w:r>
    </w:p>
    <w:p>
      <w:pPr>
        <w:adjustRightInd w:val="0"/>
        <w:snapToGrid w:val="0"/>
        <w:spacing w:line="360" w:lineRule="auto"/>
        <w:rPr>
          <w:rFonts w:ascii="宋体" w:hAnsi="宋体" w:eastAsia="宋体" w:cs="宋体"/>
          <w:b/>
          <w:color w:val="auto"/>
          <w:sz w:val="32"/>
          <w:highlight w:val="none"/>
        </w:rPr>
      </w:pPr>
    </w:p>
    <w:p>
      <w:pPr>
        <w:adjustRightInd w:val="0"/>
        <w:snapToGrid w:val="0"/>
        <w:spacing w:line="360" w:lineRule="auto"/>
        <w:rPr>
          <w:color w:val="auto"/>
          <w:highlight w:val="none"/>
        </w:rPr>
      </w:pPr>
      <w:r>
        <w:rPr>
          <w:rFonts w:hint="eastAsia" w:ascii="宋体" w:hAnsi="宋体" w:eastAsia="宋体" w:cs="宋体"/>
          <w:b/>
          <w:color w:val="auto"/>
          <w:sz w:val="32"/>
          <w:highlight w:val="none"/>
        </w:rPr>
        <w:t>日  期：</w:t>
      </w:r>
      <w:r>
        <w:rPr>
          <w:rFonts w:hint="eastAsia" w:ascii="宋体" w:hAnsi="宋体" w:eastAsia="宋体" w:cs="宋体"/>
          <w:b/>
          <w:color w:val="auto"/>
          <w:sz w:val="32"/>
          <w:highlight w:val="none"/>
          <w:u w:val="single"/>
        </w:rPr>
        <w:t>____________</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______</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______</w:t>
      </w:r>
      <w:r>
        <w:rPr>
          <w:rFonts w:hint="eastAsia" w:ascii="宋体" w:hAnsi="宋体" w:eastAsia="宋体" w:cs="宋体"/>
          <w:b/>
          <w:color w:val="auto"/>
          <w:sz w:val="32"/>
          <w:highlight w:val="none"/>
        </w:rPr>
        <w:t>日</w:t>
      </w:r>
      <w:r>
        <w:rPr>
          <w:color w:val="auto"/>
          <w:highlight w:val="none"/>
        </w:rPr>
        <w:br w:type="page"/>
      </w:r>
    </w:p>
    <w:p>
      <w:pPr>
        <w:adjustRightInd w:val="0"/>
        <w:snapToGrid w:val="0"/>
        <w:spacing w:line="360" w:lineRule="auto"/>
        <w:rPr>
          <w:rFonts w:ascii="宋体"/>
          <w:color w:val="auto"/>
          <w:highlight w:val="none"/>
        </w:rPr>
      </w:pPr>
    </w:p>
    <w:p>
      <w:pPr>
        <w:adjustRightInd w:val="0"/>
        <w:snapToGrid w:val="0"/>
        <w:spacing w:line="360" w:lineRule="auto"/>
        <w:ind w:firstLine="880" w:firstLineChars="200"/>
        <w:jc w:val="center"/>
        <w:rPr>
          <w:rFonts w:hAnsi="宋体"/>
          <w:b/>
          <w:color w:val="auto"/>
          <w:kern w:val="0"/>
          <w:sz w:val="44"/>
          <w:szCs w:val="44"/>
          <w:highlight w:val="none"/>
        </w:rPr>
      </w:pPr>
      <w:r>
        <w:rPr>
          <w:rFonts w:hint="eastAsia" w:hAnsi="宋体"/>
          <w:b/>
          <w:color w:val="auto"/>
          <w:kern w:val="0"/>
          <w:sz w:val="44"/>
          <w:szCs w:val="44"/>
          <w:highlight w:val="none"/>
        </w:rPr>
        <w:t>BIM标编写目录及要求</w:t>
      </w:r>
    </w:p>
    <w:p>
      <w:pPr>
        <w:adjustRightInd w:val="0"/>
        <w:snapToGrid w:val="0"/>
        <w:spacing w:line="360" w:lineRule="auto"/>
        <w:rPr>
          <w:rFonts w:ascii="宋体"/>
          <w:b/>
          <w:color w:val="auto"/>
          <w:kern w:val="0"/>
          <w:sz w:val="28"/>
          <w:highlight w:val="none"/>
        </w:rPr>
      </w:pPr>
    </w:p>
    <w:p>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招标人要求投标人编制BIM标书的，应在招标文件中明确列出BIM标部分要求，包括</w:t>
      </w:r>
      <w:bookmarkStart w:id="5053" w:name="_Hlk520143922"/>
      <w:r>
        <w:rPr>
          <w:rFonts w:hint="eastAsia" w:ascii="宋体" w:hAnsi="宋体"/>
          <w:color w:val="auto"/>
          <w:kern w:val="0"/>
          <w:szCs w:val="21"/>
          <w:highlight w:val="none"/>
        </w:rPr>
        <w:t>BIM实施方案评审、模型、进度、场布、工艺、资金资源、清单、直接费等的编制要求。</w:t>
      </w:r>
      <w:bookmarkEnd w:id="5053"/>
      <w:r>
        <w:rPr>
          <w:rFonts w:hint="eastAsia" w:ascii="宋体" w:hAnsi="宋体"/>
          <w:color w:val="auto"/>
          <w:kern w:val="0"/>
          <w:szCs w:val="21"/>
          <w:highlight w:val="none"/>
        </w:rPr>
        <w:t>招标人可以限制B</w:t>
      </w:r>
      <w:r>
        <w:rPr>
          <w:rFonts w:ascii="宋体" w:hAnsi="宋体"/>
          <w:color w:val="auto"/>
          <w:kern w:val="0"/>
          <w:szCs w:val="21"/>
          <w:highlight w:val="none"/>
        </w:rPr>
        <w:t>IM</w:t>
      </w:r>
      <w:r>
        <w:rPr>
          <w:rFonts w:hint="eastAsia" w:ascii="宋体" w:hAnsi="宋体"/>
          <w:color w:val="auto"/>
          <w:kern w:val="0"/>
          <w:szCs w:val="21"/>
          <w:highlight w:val="none"/>
        </w:rPr>
        <w:t>标部分的最大文件存储量。</w:t>
      </w:r>
    </w:p>
    <w:p>
      <w:pPr>
        <w:adjustRightInd w:val="0"/>
        <w:snapToGrid w:val="0"/>
        <w:spacing w:line="360" w:lineRule="auto"/>
        <w:jc w:val="center"/>
        <w:rPr>
          <w:rFonts w:ascii="宋体" w:hAnsi="宋体"/>
          <w:color w:val="auto"/>
          <w:kern w:val="0"/>
          <w:sz w:val="32"/>
          <w:highlight w:val="none"/>
        </w:rPr>
      </w:pPr>
    </w:p>
    <w:p>
      <w:pPr>
        <w:adjustRightInd w:val="0"/>
        <w:snapToGrid w:val="0"/>
        <w:spacing w:line="360" w:lineRule="auto"/>
        <w:jc w:val="center"/>
        <w:rPr>
          <w:rFonts w:ascii="宋体"/>
          <w:b/>
          <w:color w:val="auto"/>
          <w:kern w:val="0"/>
          <w:sz w:val="32"/>
          <w:highlight w:val="none"/>
        </w:rPr>
      </w:pPr>
      <w:r>
        <w:rPr>
          <w:rFonts w:hint="eastAsia" w:ascii="宋体"/>
          <w:b/>
          <w:color w:val="auto"/>
          <w:kern w:val="0"/>
          <w:sz w:val="32"/>
          <w:highlight w:val="none"/>
        </w:rPr>
        <w:t>本节编写指南</w:t>
      </w:r>
    </w:p>
    <w:p>
      <w:pPr>
        <w:adjustRightInd w:val="0"/>
        <w:snapToGrid w:val="0"/>
        <w:spacing w:line="360" w:lineRule="auto"/>
        <w:ind w:firstLine="1365" w:firstLineChars="650"/>
        <w:rPr>
          <w:rFonts w:ascii="宋体" w:hAnsi="宋体"/>
          <w:color w:val="auto"/>
          <w:kern w:val="0"/>
          <w:szCs w:val="21"/>
          <w:highlight w:val="none"/>
        </w:rPr>
      </w:pPr>
      <w:r>
        <w:rPr>
          <w:rFonts w:hint="eastAsia" w:ascii="宋体" w:hAnsi="宋体"/>
          <w:color w:val="auto"/>
          <w:kern w:val="0"/>
          <w:szCs w:val="21"/>
          <w:highlight w:val="none"/>
        </w:rPr>
        <w:t>（仅供参考，不作评审依据，评审的内容详见“评审项目”）</w:t>
      </w:r>
    </w:p>
    <w:p>
      <w:pPr>
        <w:adjustRightInd w:val="0"/>
        <w:snapToGrid w:val="0"/>
        <w:spacing w:line="360" w:lineRule="auto"/>
        <w:rPr>
          <w:rFonts w:ascii="宋体"/>
          <w:b/>
          <w:color w:val="auto"/>
          <w:kern w:val="0"/>
          <w:szCs w:val="21"/>
          <w:highlight w:val="none"/>
        </w:rPr>
      </w:pPr>
      <w:r>
        <w:rPr>
          <w:rFonts w:hint="eastAsia" w:ascii="宋体"/>
          <w:b/>
          <w:color w:val="auto"/>
          <w:kern w:val="0"/>
          <w:szCs w:val="21"/>
          <w:highlight w:val="none"/>
        </w:rPr>
        <w:t xml:space="preserve">第一章 </w:t>
      </w:r>
      <w:r>
        <w:rPr>
          <w:rFonts w:ascii="宋体"/>
          <w:b/>
          <w:color w:val="auto"/>
          <w:kern w:val="0"/>
          <w:szCs w:val="21"/>
          <w:highlight w:val="none"/>
        </w:rPr>
        <w:t xml:space="preserve"> </w:t>
      </w:r>
      <w:r>
        <w:rPr>
          <w:rFonts w:hint="eastAsia" w:ascii="宋体"/>
          <w:b/>
          <w:color w:val="auto"/>
          <w:kern w:val="0"/>
          <w:szCs w:val="21"/>
          <w:highlight w:val="none"/>
        </w:rPr>
        <w:t>BIM实施方案</w:t>
      </w:r>
    </w:p>
    <w:p>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该部分考察投标人的</w:t>
      </w:r>
      <w:r>
        <w:rPr>
          <w:rFonts w:ascii="宋体" w:hAnsi="宋体"/>
          <w:color w:val="auto"/>
          <w:kern w:val="0"/>
          <w:szCs w:val="21"/>
          <w:highlight w:val="none"/>
        </w:rPr>
        <w:t>BIM</w:t>
      </w:r>
      <w:r>
        <w:rPr>
          <w:rFonts w:hint="eastAsia" w:ascii="宋体" w:hAnsi="宋体"/>
          <w:color w:val="auto"/>
          <w:kern w:val="0"/>
          <w:szCs w:val="21"/>
          <w:highlight w:val="none"/>
        </w:rPr>
        <w:t>综合应用能力。</w:t>
      </w:r>
    </w:p>
    <w:p>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BIM应用实施方案应包括以下内容：</w:t>
      </w:r>
      <w:r>
        <w:rPr>
          <w:rFonts w:ascii="宋体" w:hAnsi="宋体"/>
          <w:color w:val="auto"/>
          <w:kern w:val="0"/>
          <w:szCs w:val="21"/>
          <w:highlight w:val="none"/>
        </w:rPr>
        <w:t xml:space="preserve"> </w:t>
      </w:r>
    </w:p>
    <w:p>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1 工程概况； </w:t>
      </w:r>
    </w:p>
    <w:p>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2 编制依据； </w:t>
      </w:r>
    </w:p>
    <w:p>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3 应用预期目标和效益； </w:t>
      </w:r>
    </w:p>
    <w:p>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4 应用内容和范围； </w:t>
      </w:r>
    </w:p>
    <w:p>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5 应用人员组织和相应职责； </w:t>
      </w:r>
    </w:p>
    <w:p>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6 应用流程； </w:t>
      </w:r>
    </w:p>
    <w:p>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7 模型创建、使用和管理要求； </w:t>
      </w:r>
    </w:p>
    <w:p>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8 信息交换要求； </w:t>
      </w:r>
    </w:p>
    <w:p>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9 模型质量控制规则； </w:t>
      </w:r>
    </w:p>
    <w:p>
      <w:pPr>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10 进度计划和模型交付要求； </w:t>
      </w:r>
    </w:p>
    <w:p>
      <w:pPr>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11 应用基础技术条件要求，包括软硬件的选择，以及软件版本。</w:t>
      </w:r>
    </w:p>
    <w:p>
      <w:pPr>
        <w:adjustRightInd w:val="0"/>
        <w:snapToGrid w:val="0"/>
        <w:spacing w:line="360" w:lineRule="auto"/>
        <w:ind w:firstLine="420" w:firstLineChars="200"/>
        <w:rPr>
          <w:rFonts w:hint="eastAsia" w:ascii="宋体" w:hAnsi="宋体"/>
          <w:color w:val="auto"/>
          <w:kern w:val="0"/>
          <w:szCs w:val="21"/>
          <w:highlight w:val="none"/>
        </w:rPr>
      </w:pPr>
    </w:p>
    <w:p>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br w:type="page"/>
      </w:r>
    </w:p>
    <w:p>
      <w:pPr>
        <w:spacing w:line="20" w:lineRule="exact"/>
        <w:rPr>
          <w:rFonts w:hint="eastAsia" w:ascii="宋体" w:hAnsi="宋体"/>
          <w:color w:val="auto"/>
          <w:kern w:val="0"/>
          <w:szCs w:val="21"/>
          <w:highlight w:val="none"/>
        </w:rPr>
        <w:sectPr>
          <w:pgSz w:w="11907" w:h="16840"/>
          <w:pgMar w:top="1417" w:right="1417" w:bottom="1417" w:left="1417" w:header="851" w:footer="851" w:gutter="0"/>
          <w:pgNumType w:fmt="decimal"/>
          <w:cols w:space="425" w:num="1"/>
          <w:docGrid w:type="lines" w:linePitch="312" w:charSpace="0"/>
        </w:sectPr>
      </w:pPr>
    </w:p>
    <w:p>
      <w:pPr>
        <w:spacing w:line="20" w:lineRule="exact"/>
        <w:rPr>
          <w:color w:val="auto"/>
          <w:highlight w:val="none"/>
        </w:rPr>
      </w:pPr>
    </w:p>
    <w:p>
      <w:pPr>
        <w:adjustRightInd w:val="0"/>
        <w:snapToGrid w:val="0"/>
        <w:spacing w:line="360" w:lineRule="auto"/>
        <w:jc w:val="center"/>
        <w:outlineLvl w:val="0"/>
        <w:rPr>
          <w:rFonts w:ascii="黑体" w:hAnsi="黑体" w:eastAsia="黑体" w:cs="黑体"/>
          <w:bCs/>
          <w:color w:val="auto"/>
          <w:sz w:val="32"/>
          <w:szCs w:val="32"/>
          <w:highlight w:val="none"/>
        </w:rPr>
      </w:pPr>
      <w:bookmarkStart w:id="5054" w:name="_Toc20318"/>
      <w:bookmarkStart w:id="5055" w:name="_Toc10054"/>
      <w:bookmarkStart w:id="5056" w:name="_Toc19950"/>
      <w:bookmarkStart w:id="5057" w:name="_Toc24860"/>
      <w:bookmarkStart w:id="5058" w:name="_Toc13871"/>
      <w:bookmarkStart w:id="5059" w:name="_Toc4697"/>
      <w:r>
        <w:rPr>
          <w:rFonts w:hint="eastAsia" w:ascii="黑体" w:hAnsi="黑体" w:eastAsia="黑体" w:cs="黑体"/>
          <w:bCs/>
          <w:color w:val="auto"/>
          <w:sz w:val="32"/>
          <w:szCs w:val="32"/>
          <w:highlight w:val="none"/>
        </w:rPr>
        <w:t>第十章  担保书格式</w:t>
      </w:r>
      <w:bookmarkEnd w:id="5054"/>
      <w:bookmarkEnd w:id="5055"/>
      <w:bookmarkEnd w:id="5056"/>
      <w:bookmarkEnd w:id="5057"/>
      <w:bookmarkEnd w:id="5058"/>
      <w:bookmarkEnd w:id="5059"/>
    </w:p>
    <w:p>
      <w:pPr>
        <w:adjustRightInd w:val="0"/>
        <w:snapToGrid w:val="0"/>
        <w:spacing w:line="360" w:lineRule="auto"/>
        <w:jc w:val="center"/>
        <w:outlineLvl w:val="0"/>
        <w:rPr>
          <w:rFonts w:ascii="黑体" w:hAnsi="黑体" w:eastAsia="黑体" w:cs="黑体"/>
          <w:bCs/>
          <w:color w:val="auto"/>
          <w:sz w:val="32"/>
          <w:szCs w:val="32"/>
          <w:highlight w:val="none"/>
        </w:rPr>
      </w:pPr>
    </w:p>
    <w:p>
      <w:pPr>
        <w:adjustRightInd w:val="0"/>
        <w:snapToGrid w:val="0"/>
        <w:spacing w:line="360" w:lineRule="auto"/>
        <w:jc w:val="center"/>
        <w:rPr>
          <w:rFonts w:ascii="宋体" w:hAnsi="宋体" w:eastAsia="宋体" w:cs="宋体"/>
          <w:color w:val="auto"/>
          <w:sz w:val="44"/>
          <w:highlight w:val="none"/>
        </w:rPr>
      </w:pPr>
      <w:r>
        <w:rPr>
          <w:rFonts w:hint="eastAsia" w:ascii="宋体" w:hAnsi="宋体" w:eastAsia="宋体" w:cs="宋体"/>
          <w:color w:val="auto"/>
          <w:sz w:val="44"/>
          <w:highlight w:val="none"/>
        </w:rPr>
        <w:t>不可撤销支付保函</w:t>
      </w:r>
    </w:p>
    <w:p>
      <w:pPr>
        <w:adjustRightInd w:val="0"/>
        <w:snapToGrid w:val="0"/>
        <w:spacing w:line="360" w:lineRule="auto"/>
        <w:ind w:firstLine="5460" w:firstLineChars="2600"/>
        <w:rPr>
          <w:rFonts w:ascii="宋体" w:hAnsi="宋体" w:eastAsia="宋体" w:cs="宋体"/>
          <w:color w:val="auto"/>
          <w:szCs w:val="21"/>
          <w:highlight w:val="none"/>
        </w:rPr>
      </w:pPr>
      <w:r>
        <w:rPr>
          <w:rFonts w:hint="eastAsia" w:ascii="宋体" w:hAnsi="宋体" w:eastAsia="宋体" w:cs="宋体"/>
          <w:color w:val="auto"/>
          <w:szCs w:val="21"/>
          <w:highlight w:val="none"/>
        </w:rPr>
        <w:t>保函编号：</w:t>
      </w:r>
      <w:r>
        <w:rPr>
          <w:rFonts w:hint="eastAsia" w:ascii="宋体" w:hAnsi="宋体" w:eastAsia="宋体" w:cs="宋体"/>
          <w:color w:val="auto"/>
          <w:szCs w:val="21"/>
          <w:highlight w:val="none"/>
          <w:u w:val="single"/>
        </w:rPr>
        <w:t xml:space="preserve">      </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（下称受益人）：</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（下称被保证人）已与贵方签订了工程编号为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工程的施工合同（下称合同），工期自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。我方接受被保证人的委托，在此向受益人提供不可撤销的工程款支付保证：</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一、本保证担保的最高担保金额为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（币种）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二、本保证担保的保证期间自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三、在本保证担保的保证期间内，我方将在收到受益人经法定代表人或其授权委托代理人签字并加盖公章的书面索赔通知后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个工作日内，不争辩、不挑剔、不可撤销地向受益人支付索赔款，直至本保证担保的最高担保金额。</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四、索赔通知应当说明索赔理由，并必须在本保证担保的保证期间内送达我方。</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五、本保证担保项下的权利不得转让。</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六、我方提供本保证担保后，受益人与被保证人对合同进行修订的，应当将修订后的合同原件送我方备案。</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七、本保证担保的保证期间届满，或我方向受益人支付的索赔款已达本保证担保的最高担保金额，我方的保证责任免除。</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八、本保证担保适用中华人民共和国法律。</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九、本保证担保以中文文本为准，涂改无效。</w:t>
      </w:r>
    </w:p>
    <w:p>
      <w:pPr>
        <w:adjustRightInd w:val="0"/>
        <w:snapToGrid w:val="0"/>
        <w:spacing w:line="360" w:lineRule="auto"/>
        <w:ind w:firstLine="420" w:firstLineChars="200"/>
        <w:rPr>
          <w:rFonts w:ascii="宋体" w:hAnsi="宋体" w:eastAsia="宋体" w:cs="宋体"/>
          <w:color w:val="auto"/>
          <w:szCs w:val="21"/>
          <w:highlight w:val="none"/>
        </w:rPr>
      </w:pP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保证人：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法定代表人或其授权委托代理人（签字或盖章）：</w:t>
      </w:r>
      <w:r>
        <w:rPr>
          <w:rFonts w:hint="eastAsia" w:ascii="宋体" w:hAnsi="宋体" w:eastAsia="宋体" w:cs="宋体"/>
          <w:color w:val="auto"/>
          <w:szCs w:val="21"/>
          <w:highlight w:val="none"/>
          <w:u w:val="single"/>
        </w:rPr>
        <w:t xml:space="preserve">      </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adjustRightInd w:val="0"/>
        <w:snapToGrid w:val="0"/>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（本保函失效后，请将原件退回我方注销）</w:t>
      </w:r>
      <w:r>
        <w:rPr>
          <w:rFonts w:hint="eastAsia" w:ascii="宋体" w:hAnsi="宋体" w:eastAsia="宋体" w:cs="宋体"/>
          <w:color w:val="auto"/>
          <w:highlight w:val="none"/>
        </w:rPr>
        <w:br w:type="page"/>
      </w:r>
    </w:p>
    <w:p>
      <w:pPr>
        <w:adjustRightInd w:val="0"/>
        <w:snapToGrid w:val="0"/>
        <w:spacing w:line="360" w:lineRule="auto"/>
        <w:jc w:val="center"/>
        <w:rPr>
          <w:rFonts w:ascii="宋体" w:hAnsi="宋体" w:eastAsia="宋体" w:cs="宋体"/>
          <w:color w:val="auto"/>
          <w:sz w:val="44"/>
          <w:highlight w:val="none"/>
        </w:rPr>
      </w:pPr>
      <w:r>
        <w:rPr>
          <w:rFonts w:hint="eastAsia" w:ascii="宋体" w:hAnsi="宋体" w:eastAsia="宋体" w:cs="宋体"/>
          <w:color w:val="auto"/>
          <w:sz w:val="44"/>
          <w:highlight w:val="none"/>
        </w:rPr>
        <w:t>不可撤销履约保函</w:t>
      </w:r>
    </w:p>
    <w:p>
      <w:pPr>
        <w:adjustRightInd w:val="0"/>
        <w:snapToGrid w:val="0"/>
        <w:spacing w:line="360" w:lineRule="auto"/>
        <w:ind w:firstLine="5460" w:firstLineChars="2600"/>
        <w:rPr>
          <w:rFonts w:ascii="宋体" w:hAnsi="宋体" w:eastAsia="宋体" w:cs="宋体"/>
          <w:color w:val="auto"/>
          <w:szCs w:val="21"/>
          <w:highlight w:val="none"/>
        </w:rPr>
      </w:pPr>
      <w:r>
        <w:rPr>
          <w:rFonts w:hint="eastAsia" w:ascii="宋体" w:hAnsi="宋体" w:eastAsia="宋体" w:cs="宋体"/>
          <w:color w:val="auto"/>
          <w:szCs w:val="21"/>
          <w:highlight w:val="none"/>
        </w:rPr>
        <w:t>保函编号：</w:t>
      </w:r>
      <w:r>
        <w:rPr>
          <w:rFonts w:hint="eastAsia" w:ascii="宋体" w:hAnsi="宋体" w:eastAsia="宋体" w:cs="宋体"/>
          <w:bCs/>
          <w:color w:val="auto"/>
          <w:szCs w:val="21"/>
          <w:highlight w:val="none"/>
          <w:u w:val="single"/>
        </w:rPr>
        <w:t xml:space="preserve">      </w:t>
      </w:r>
    </w:p>
    <w:p>
      <w:pPr>
        <w:adjustRightInd w:val="0"/>
        <w:snapToGrid w:val="0"/>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（下称受益人）：</w:t>
      </w:r>
    </w:p>
    <w:p>
      <w:pPr>
        <w:adjustRightInd w:val="0"/>
        <w:snapToGrid w:val="0"/>
        <w:spacing w:line="44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（下称被保证人）已与贵方签订了工程编号为</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的</w:t>
      </w:r>
    </w:p>
    <w:p>
      <w:pPr>
        <w:adjustRightInd w:val="0"/>
        <w:snapToGrid w:val="0"/>
        <w:spacing w:line="440" w:lineRule="exact"/>
        <w:ind w:firstLine="482"/>
        <w:rPr>
          <w:rFonts w:ascii="宋体" w:hAnsi="宋体" w:eastAsia="宋体" w:cs="宋体"/>
          <w:color w:val="auto"/>
          <w:szCs w:val="21"/>
          <w:highlight w:val="none"/>
        </w:rPr>
      </w:pP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工程的施工合同（下称合同），工期自</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至</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。我方接受被保证人的委托，在此向受益人提供不可撤销的履约保证：</w:t>
      </w:r>
    </w:p>
    <w:p>
      <w:pPr>
        <w:adjustRightInd w:val="0"/>
        <w:snapToGrid w:val="0"/>
        <w:spacing w:line="44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rPr>
        <w:t>一、本保证担保的最高担保金额为</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（币种）</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元（小写）</w:t>
      </w:r>
    </w:p>
    <w:p>
      <w:pPr>
        <w:adjustRightInd w:val="0"/>
        <w:snapToGrid w:val="0"/>
        <w:spacing w:line="440" w:lineRule="exact"/>
        <w:ind w:firstLine="482"/>
        <w:rPr>
          <w:rFonts w:ascii="宋体" w:hAnsi="宋体" w:eastAsia="宋体" w:cs="宋体"/>
          <w:color w:val="auto"/>
          <w:szCs w:val="21"/>
          <w:highlight w:val="none"/>
        </w:rPr>
      </w:pP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（大写）。</w:t>
      </w:r>
    </w:p>
    <w:p>
      <w:pPr>
        <w:adjustRightInd w:val="0"/>
        <w:snapToGrid w:val="0"/>
        <w:spacing w:line="44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rPr>
        <w:t>二、本保证担保的保证期间自</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至</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w:t>
      </w:r>
    </w:p>
    <w:p>
      <w:pPr>
        <w:adjustRightInd w:val="0"/>
        <w:snapToGrid w:val="0"/>
        <w:spacing w:line="44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rPr>
        <w:t>三、在本保证担保的保证期间内，我方将在收到受益人、该工程监理公司（全称：</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）两方法定代表人或其授权委托代理人签字确认并加盖公章的书面索赔通知后</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个工作日内，不争辩、不挑剔、不可撤销地向受益人支付索赔款，直至本保证担保的最高担保金额。</w:t>
      </w:r>
    </w:p>
    <w:p>
      <w:pPr>
        <w:adjustRightInd w:val="0"/>
        <w:snapToGrid w:val="0"/>
        <w:spacing w:line="44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rPr>
        <w:t>四、索赔通知应当说明索赔理由、索赔款额的计算方法，并必须在本保证担保的保证期间内送达我方。</w:t>
      </w:r>
    </w:p>
    <w:p>
      <w:pPr>
        <w:adjustRightInd w:val="0"/>
        <w:snapToGrid w:val="0"/>
        <w:spacing w:line="44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rPr>
        <w:t>五、本保证担保项下的权利不得转让。</w:t>
      </w:r>
    </w:p>
    <w:p>
      <w:pPr>
        <w:adjustRightInd w:val="0"/>
        <w:snapToGrid w:val="0"/>
        <w:spacing w:line="44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rPr>
        <w:t>六、我方提供本保证担保后，受益人与被保证人对合同进行修订的，应当将修订后的合同原件送我方备案。</w:t>
      </w:r>
    </w:p>
    <w:p>
      <w:pPr>
        <w:adjustRightInd w:val="0"/>
        <w:snapToGrid w:val="0"/>
        <w:spacing w:line="44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rPr>
        <w:t>七、本保证担保的保证期间届满，或我方向受益人支付的索赔款已达本保证担保的最高担保金额，我方的保证责任免除。</w:t>
      </w:r>
    </w:p>
    <w:p>
      <w:pPr>
        <w:adjustRightInd w:val="0"/>
        <w:snapToGrid w:val="0"/>
        <w:spacing w:line="44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rPr>
        <w:t>八、本保证担保适用中华人民共和国法律。</w:t>
      </w:r>
    </w:p>
    <w:p>
      <w:pPr>
        <w:adjustRightInd w:val="0"/>
        <w:snapToGrid w:val="0"/>
        <w:spacing w:line="440" w:lineRule="exact"/>
        <w:ind w:firstLine="420"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rPr>
        <w:t>九、本保证担保以中文文本为准，涂改无效。</w:t>
      </w:r>
    </w:p>
    <w:p>
      <w:pPr>
        <w:adjustRightInd w:val="0"/>
        <w:snapToGrid w:val="0"/>
        <w:spacing w:line="440" w:lineRule="exact"/>
        <w:rPr>
          <w:rFonts w:ascii="宋体" w:hAnsi="宋体" w:eastAsia="宋体" w:cs="宋体"/>
          <w:color w:val="auto"/>
          <w:szCs w:val="21"/>
          <w:highlight w:val="none"/>
        </w:rPr>
      </w:pPr>
    </w:p>
    <w:p>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保证人：</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（盖章）</w:t>
      </w:r>
    </w:p>
    <w:p>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法定代表人或其授权委托代理人（签字或盖章）：</w:t>
      </w:r>
      <w:r>
        <w:rPr>
          <w:rFonts w:hint="eastAsia" w:ascii="宋体" w:hAnsi="宋体" w:eastAsia="宋体" w:cs="宋体"/>
          <w:bCs/>
          <w:color w:val="auto"/>
          <w:szCs w:val="21"/>
          <w:highlight w:val="none"/>
          <w:u w:val="single"/>
        </w:rPr>
        <w:t xml:space="preserve">      </w:t>
      </w:r>
    </w:p>
    <w:p>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bCs/>
          <w:color w:val="auto"/>
          <w:szCs w:val="21"/>
          <w:highlight w:val="none"/>
          <w:u w:val="single"/>
        </w:rPr>
        <w:t xml:space="preserve">      </w:t>
      </w:r>
    </w:p>
    <w:p>
      <w:pPr>
        <w:adjustRightInd w:val="0"/>
        <w:snapToGrid w:val="0"/>
        <w:spacing w:line="44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bCs/>
          <w:color w:val="auto"/>
          <w:szCs w:val="21"/>
          <w:highlight w:val="none"/>
          <w:u w:val="single"/>
        </w:rPr>
        <w:t xml:space="preserve">      </w:t>
      </w:r>
    </w:p>
    <w:p>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bCs/>
          <w:color w:val="auto"/>
          <w:szCs w:val="21"/>
          <w:highlight w:val="none"/>
          <w:u w:val="single"/>
        </w:rPr>
        <w:t xml:space="preserve">      </w:t>
      </w:r>
    </w:p>
    <w:p>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（本保函失效后，请将原件退回我方注销）</w:t>
      </w:r>
    </w:p>
    <w:p>
      <w:pPr>
        <w:adjustRightInd w:val="0"/>
        <w:snapToGrid w:val="0"/>
        <w:spacing w:line="440" w:lineRule="exact"/>
        <w:ind w:firstLine="420" w:firstLineChars="200"/>
        <w:rPr>
          <w:rFonts w:ascii="宋体" w:hAnsi="宋体" w:eastAsia="宋体" w:cs="宋体"/>
          <w:color w:val="auto"/>
          <w:szCs w:val="21"/>
          <w:highlight w:val="none"/>
        </w:rPr>
      </w:pPr>
    </w:p>
    <w:p>
      <w:pPr>
        <w:spacing w:line="600" w:lineRule="exact"/>
        <w:rPr>
          <w:rFonts w:asciiTheme="minorEastAsia" w:hAnsiTheme="minorEastAsia"/>
          <w:b/>
          <w:color w:val="auto"/>
          <w:sz w:val="30"/>
          <w:szCs w:val="30"/>
          <w:highlight w:val="none"/>
        </w:rPr>
      </w:pPr>
    </w:p>
    <w:p>
      <w:pPr>
        <w:adjustRightInd w:val="0"/>
        <w:snapToGrid w:val="0"/>
        <w:spacing w:line="360" w:lineRule="auto"/>
        <w:jc w:val="center"/>
        <w:rPr>
          <w:rFonts w:ascii="宋体" w:hAnsi="宋体" w:eastAsia="宋体" w:cs="宋体"/>
          <w:color w:val="auto"/>
          <w:sz w:val="44"/>
          <w:highlight w:val="none"/>
        </w:rPr>
      </w:pPr>
      <w:r>
        <w:rPr>
          <w:rFonts w:hint="eastAsia" w:ascii="宋体" w:hAnsi="宋体" w:eastAsia="宋体" w:cs="宋体"/>
          <w:color w:val="auto"/>
          <w:sz w:val="44"/>
          <w:highlight w:val="none"/>
        </w:rPr>
        <w:t>建设工程施工合同履约保证保险保险凭证</w:t>
      </w:r>
    </w:p>
    <w:p>
      <w:pPr>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 xml:space="preserve">    编号：</w:t>
      </w:r>
    </w:p>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致：                         </w:t>
      </w:r>
      <w:r>
        <w:rPr>
          <w:rFonts w:hint="eastAsia" w:ascii="宋体" w:hAnsi="宋体" w:eastAsia="宋体" w:cs="宋体"/>
          <w:color w:val="auto"/>
          <w:kern w:val="0"/>
          <w:szCs w:val="21"/>
          <w:highlight w:val="none"/>
        </w:rPr>
        <w:t>（招标人名称）：</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（下称被保证人）已与贵方签订了工程编号为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工程的施工合同，工期自</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至</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。我方已接受被保证人的请求，并出具《建设工程施工合同履约保证保险》保险单。   </w:t>
      </w:r>
    </w:p>
    <w:p>
      <w:pPr>
        <w:widowControl/>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一、保证保险金额</w:t>
      </w:r>
    </w:p>
    <w:p>
      <w:pPr>
        <w:widowControl/>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我方承担的履约保证保险的保险金额（最高限额）为人民币（大写）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widowControl/>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二、保证保险的责任范围</w:t>
      </w:r>
    </w:p>
    <w:p>
      <w:pPr>
        <w:snapToGrid w:val="0"/>
        <w:spacing w:line="3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在保险期间内，</w:t>
      </w:r>
      <w:r>
        <w:rPr>
          <w:rFonts w:hint="eastAsia" w:ascii="宋体" w:hAnsi="宋体" w:eastAsia="宋体" w:cs="宋体"/>
          <w:color w:val="auto"/>
          <w:kern w:val="0"/>
          <w:szCs w:val="21"/>
          <w:highlight w:val="none"/>
        </w:rPr>
        <w:t>被保证人</w:t>
      </w:r>
      <w:r>
        <w:rPr>
          <w:rFonts w:hint="eastAsia" w:ascii="宋体" w:hAnsi="宋体" w:eastAsia="宋体" w:cs="宋体"/>
          <w:color w:val="auto"/>
          <w:szCs w:val="21"/>
          <w:highlight w:val="none"/>
        </w:rPr>
        <w:t>因自身原因未按照与招标人（被保险人）签订的《建设工程施工合同》（合同编号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）履行相关义务，导致工程竣工延误或工程质量不符合建设工程施工合同要求，给被保险人造成损失的，被保险人可向保险人提出索赔，保险人按照保险合同的约定承担损失赔偿责任。</w:t>
      </w:r>
    </w:p>
    <w:p>
      <w:pPr>
        <w:snapToGrid w:val="0"/>
        <w:spacing w:line="3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三、代偿的安排</w:t>
      </w:r>
    </w:p>
    <w:p>
      <w:pPr>
        <w:snapToGrid w:val="0"/>
        <w:spacing w:line="3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贵方要求我方承担保证保险责任的，应向我方发出书面索赔通知。索赔通知应写明要求索赔的金额，支付款项应到达的银行账号，并附被保证人违约造成贵方损失情况的证明材料。</w:t>
      </w:r>
    </w:p>
    <w:p>
      <w:pPr>
        <w:snapToGrid w:val="0"/>
        <w:spacing w:line="380" w:lineRule="exac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我方收到贵方的书面索赔通知及相应证明材料后，在</w:t>
      </w:r>
      <w:r>
        <w:rPr>
          <w:rFonts w:hint="eastAsia" w:ascii="宋体" w:hAnsi="宋体" w:eastAsia="宋体" w:cs="宋体"/>
          <w:color w:val="auto"/>
          <w:szCs w:val="21"/>
          <w:highlight w:val="none"/>
          <w:u w:val="single"/>
        </w:rPr>
        <w:t>10</w:t>
      </w:r>
      <w:r>
        <w:rPr>
          <w:rFonts w:hint="eastAsia" w:ascii="宋体" w:hAnsi="宋体" w:eastAsia="宋体" w:cs="宋体"/>
          <w:color w:val="auto"/>
          <w:szCs w:val="21"/>
          <w:highlight w:val="none"/>
        </w:rPr>
        <w:t>个工作日内进行核定并按照保险合同约定承担保证保险责任。</w:t>
      </w:r>
      <w:r>
        <w:rPr>
          <w:rFonts w:hint="eastAsia" w:ascii="宋体" w:hAnsi="宋体" w:eastAsia="宋体" w:cs="宋体"/>
          <w:color w:val="auto"/>
          <w:kern w:val="0"/>
          <w:szCs w:val="21"/>
          <w:highlight w:val="none"/>
        </w:rPr>
        <w:t xml:space="preserve">            </w:t>
      </w:r>
    </w:p>
    <w:p>
      <w:pPr>
        <w:numPr>
          <w:ilvl w:val="0"/>
          <w:numId w:val="5"/>
        </w:numPr>
        <w:snapToGrid w:val="0"/>
        <w:spacing w:line="380" w:lineRule="exac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生效时间</w:t>
      </w:r>
    </w:p>
    <w:p>
      <w:pPr>
        <w:snapToGrid w:val="0"/>
        <w:spacing w:line="380" w:lineRule="exac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本保险凭证自我方法定代表人（或其授权代理人）签字并加盖保险承保专用章之日起生效。</w:t>
      </w:r>
    </w:p>
    <w:p>
      <w:pPr>
        <w:widowControl/>
        <w:spacing w:line="360" w:lineRule="auto"/>
        <w:ind w:firstLine="420" w:firstLineChars="200"/>
        <w:jc w:val="left"/>
        <w:rPr>
          <w:rFonts w:ascii="宋体" w:hAnsi="宋体" w:eastAsia="宋体" w:cs="宋体"/>
          <w:color w:val="auto"/>
          <w:kern w:val="0"/>
          <w:szCs w:val="21"/>
          <w:highlight w:val="none"/>
        </w:rPr>
      </w:pPr>
    </w:p>
    <w:p>
      <w:pPr>
        <w:adjustRightInd w:val="0"/>
        <w:snapToGrid w:val="0"/>
        <w:spacing w:after="156" w:afterLines="50"/>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附：《</w:t>
      </w:r>
      <w:r>
        <w:rPr>
          <w:rFonts w:hint="eastAsia" w:ascii="宋体" w:hAnsi="宋体" w:eastAsia="宋体" w:cs="宋体"/>
          <w:color w:val="auto"/>
          <w:szCs w:val="21"/>
          <w:highlight w:val="none"/>
        </w:rPr>
        <w:t>XXX保险有限公司建设工程施工合同履约保证保险（X款）条款》及保单</w:t>
      </w:r>
    </w:p>
    <w:p>
      <w:pPr>
        <w:widowControl/>
        <w:spacing w:line="360" w:lineRule="auto"/>
        <w:ind w:firstLine="420" w:firstLineChars="200"/>
        <w:jc w:val="left"/>
        <w:rPr>
          <w:rFonts w:ascii="宋体" w:hAnsi="宋体" w:eastAsia="宋体" w:cs="宋体"/>
          <w:color w:val="auto"/>
          <w:kern w:val="0"/>
          <w:szCs w:val="21"/>
          <w:highlight w:val="none"/>
        </w:rPr>
      </w:pPr>
    </w:p>
    <w:p>
      <w:pPr>
        <w:widowControl/>
        <w:spacing w:line="360" w:lineRule="auto"/>
        <w:ind w:firstLine="5040" w:firstLineChars="24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保险人：（盖章）</w:t>
      </w:r>
    </w:p>
    <w:p>
      <w:pPr>
        <w:widowControl/>
        <w:spacing w:line="360" w:lineRule="auto"/>
        <w:ind w:firstLine="420" w:firstLineChars="20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法定代表人或授权代理人：________ </w:t>
      </w:r>
    </w:p>
    <w:p>
      <w:pPr>
        <w:widowControl/>
        <w:spacing w:line="360" w:lineRule="auto"/>
        <w:ind w:firstLine="5250" w:firstLineChars="25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p>
      <w:pPr>
        <w:rPr>
          <w:rFonts w:ascii="宋体" w:hAnsi="宋体" w:eastAsia="宋体" w:cs="宋体"/>
          <w:color w:val="auto"/>
          <w:szCs w:val="21"/>
          <w:highlight w:val="none"/>
        </w:rPr>
      </w:pPr>
    </w:p>
    <w:sectPr>
      <w:pgSz w:w="11907" w:h="16840"/>
      <w:pgMar w:top="1417" w:right="1417" w:bottom="1417" w:left="1417" w:header="851" w:footer="85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Microsoft YaHei UI">
    <w:altName w:val="Droid Sans Fallback"/>
    <w:panose1 w:val="020B0503020204020204"/>
    <w:charset w:val="86"/>
    <w:family w:val="swiss"/>
    <w:pitch w:val="default"/>
    <w:sig w:usb0="00000000" w:usb1="00000000" w:usb2="00000016" w:usb3="00000000" w:csb0="0004001F" w:csb1="00000000"/>
  </w:font>
  <w:font w:name="MingLiU">
    <w:altName w:val="宋体"/>
    <w:panose1 w:val="02010609000101010101"/>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微软雅黑">
    <w:altName w:val="黑体"/>
    <w:panose1 w:val="020B0503020204020204"/>
    <w:charset w:val="86"/>
    <w:family w:val="swiss"/>
    <w:pitch w:val="default"/>
    <w:sig w:usb0="00000000" w:usb1="00000000" w:usb2="00000016" w:usb3="00000000" w:csb0="0004001F" w:csb1="00000000"/>
  </w:font>
  <w:font w:name="方正书宋简体">
    <w:altName w:val="宋体"/>
    <w:panose1 w:val="00000000000000000000"/>
    <w:charset w:val="00"/>
    <w:family w:val="auto"/>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ind w:firstLine="420" w:firstLineChars="200"/>
      <w:rPr>
        <w:rFonts w:hint="eastAsia" w:ascii="宋体" w:hAnsi="宋体" w:eastAsia="宋体" w:cs="宋体"/>
        <w:color w:val="000000" w:themeColor="text1"/>
        <w:szCs w:val="21"/>
        <w:lang w:val="en-US" w:eastAsia="zh-CN"/>
        <w14:textFill>
          <w14:solidFill>
            <w14:schemeClr w14:val="tx1"/>
          </w14:solidFill>
        </w14:textFill>
      </w:rPr>
    </w:pPr>
  </w:p>
  <w:p>
    <w:pPr>
      <w:pStyle w:val="25"/>
      <w:jc w:val="lef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１</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329"/>
                          </w:sdtPr>
                          <w:sdtContent>
                            <w:p>
                              <w:pPr>
                                <w:pStyle w:val="25"/>
                                <w:jc w:val="left"/>
                              </w:pP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147456329"/>
                    </w:sdtPr>
                    <w:sdtContent>
                      <w:p>
                        <w:pPr>
                          <w:pStyle w:val="25"/>
                          <w:jc w:val="left"/>
                        </w:pPr>
                      </w:p>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widowControl w:val="0"/>
      <w:snapToGrid w:val="0"/>
      <w:jc w:val="left"/>
      <w:rPr>
        <w:rStyle w:val="44"/>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44"/>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lef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42</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left"/>
                          </w:pP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5"/>
                      <w:jc w:val="left"/>
                    </w:pPr>
                  </w:p>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pPr>
        <w:adjustRightInd w:val="0"/>
        <w:snapToGrid w:val="0"/>
        <w:ind w:firstLine="420" w:firstLineChars="200"/>
      </w:pPr>
      <w:r>
        <w:rPr>
          <w:rFonts w:hint="eastAsia" w:ascii="宋体" w:hAnsi="宋体" w:eastAsia="宋体" w:cs="宋体"/>
          <w:color w:val="000000" w:themeColor="text1"/>
          <w:szCs w:val="21"/>
          <w:lang w:val="en-US" w:eastAsia="zh-CN"/>
          <w14:textFill>
            <w14:solidFill>
              <w14:schemeClr w14:val="tx1"/>
            </w14:solidFill>
          </w14:textFill>
        </w:rPr>
        <w:t>[1]的具体要求源自《深圳市住房和建设局关于明确建设工程招标相关事宜的通知》第四条。</w:t>
      </w:r>
    </w:p>
  </w:footnote>
  <w:footnote w:id="1">
    <w:p>
      <w:pPr>
        <w:adjustRightInd w:val="0"/>
        <w:snapToGrid w:val="0"/>
        <w:ind w:firstLine="420" w:firstLineChars="2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[2]的具体要求源自《深圳市人民政府关于进一步规范建设工程招标投标活动的通知》(深府规〔2024〕8号)第八条。</w:t>
      </w:r>
    </w:p>
    <w:p>
      <w:pPr>
        <w:pStyle w:val="29"/>
        <w:snapToGrid w:val="0"/>
      </w:pPr>
    </w:p>
  </w:footnote>
  <w:footnote w:id="2">
    <w:p>
      <w:pPr>
        <w:adjustRightInd w:val="0"/>
        <w:snapToGrid w:val="0"/>
        <w:ind w:firstLine="420" w:firstLineChars="2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[3]的具体要求源自《深圳市住房和建设局关于推行差异化缴纳投标保证金进一步降低招标投标交易成本的通知》（深建市场〔2023〕2号）第一条。</w:t>
      </w:r>
    </w:p>
    <w:p>
      <w:pPr>
        <w:pStyle w:val="29"/>
        <w:snapToGrid w:val="0"/>
      </w:pPr>
    </w:p>
  </w:footnote>
  <w:footnote w:id="3">
    <w:p>
      <w:pPr>
        <w:adjustRightInd w:val="0"/>
        <w:snapToGrid w:val="0"/>
        <w:ind w:firstLine="420" w:firstLineChars="200"/>
        <w:rPr>
          <w:highlight w:val="none"/>
        </w:rPr>
      </w:pPr>
      <w:r>
        <w:rPr>
          <w:rFonts w:hint="eastAsia" w:ascii="宋体" w:hAnsi="宋体" w:eastAsia="宋体" w:cs="宋体"/>
          <w:color w:val="000000" w:themeColor="text1"/>
          <w:szCs w:val="21"/>
          <w:highlight w:val="none"/>
          <w:lang w:val="en-US" w:eastAsia="zh-CN"/>
          <w14:textFill>
            <w14:solidFill>
              <w14:schemeClr w14:val="tx1"/>
            </w14:solidFill>
          </w14:textFill>
        </w:rPr>
        <w:t>[4]、[5]的具体要求源自《深圳市人民政府关于进一步规范建设工程招标投标活动的通知》(深府规〔2024〕8号)第三、四条。</w:t>
      </w:r>
    </w:p>
  </w:footnote>
  <w:footnote w:id="4">
    <w:p>
      <w:pPr>
        <w:pStyle w:val="29"/>
        <w:snapToGrid w:val="0"/>
      </w:pPr>
    </w:p>
  </w:footnote>
  <w:footnote w:id="5">
    <w:p>
      <w:pPr>
        <w:adjustRightInd w:val="0"/>
        <w:snapToGrid w:val="0"/>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[6]的具体要求源自《深圳市人民政府关于进一步规范建设工程招标投标活动的通知》(深府规〔2024〕8号)第七条。</w:t>
      </w:r>
    </w:p>
    <w:p>
      <w:pPr>
        <w:pStyle w:val="29"/>
        <w:snapToGrid w:val="0"/>
      </w:pPr>
    </w:p>
  </w:footnote>
  <w:footnote w:id="6">
    <w:p>
      <w:pPr>
        <w:adjustRightInd w:val="0"/>
        <w:snapToGrid w:val="0"/>
        <w:ind w:firstLine="420" w:firstLineChars="200"/>
      </w:pPr>
      <w:r>
        <w:rPr>
          <w:rFonts w:hint="eastAsia" w:ascii="宋体" w:hAnsi="宋体" w:eastAsia="宋体" w:cs="宋体"/>
          <w:color w:val="000000" w:themeColor="text1"/>
          <w:szCs w:val="21"/>
          <w:lang w:val="en-US" w:eastAsia="zh-CN"/>
          <w14:textFill>
            <w14:solidFill>
              <w14:schemeClr w14:val="tx1"/>
            </w14:solidFill>
          </w14:textFill>
        </w:rPr>
        <w:t>[7]的具体要求源自《深圳市住房和建设局关于进一步规范招标投标有关事宜的通知》（深建市场〔2022〕4号）第三条。</w:t>
      </w:r>
    </w:p>
    <w:p>
      <w:pPr>
        <w:pStyle w:val="29"/>
        <w:snapToGrid w:val="0"/>
      </w:pPr>
    </w:p>
  </w:footnote>
  <w:footnote w:id="7">
    <w:p>
      <w:pPr>
        <w:adjustRightInd w:val="0"/>
        <w:snapToGrid w:val="0"/>
        <w:ind w:firstLine="420" w:firstLineChars="20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[8]的具体要求源自《深圳市人民政府关于进一步规范建设工程招标投标活动的通知》(深府规〔2024〕8号)第九条。</w:t>
      </w:r>
    </w:p>
    <w:p>
      <w:pPr>
        <w:pStyle w:val="29"/>
        <w:snapToGrid w:val="0"/>
      </w:pPr>
    </w:p>
  </w:footnote>
  <w:footnote w:id="8">
    <w:p>
      <w:pPr>
        <w:adjustRightInd w:val="0"/>
        <w:snapToGrid w:val="0"/>
        <w:ind w:firstLine="420" w:firstLineChars="20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[9]-[11]的具体要求源自《深圳市人民政府关于进一步规范建设工程招标投标活动的通知》(深</w:t>
      </w:r>
    </w:p>
    <w:p>
      <w:pPr>
        <w:adjustRightInd w:val="0"/>
        <w:snapToGrid w:val="0"/>
        <w:ind w:firstLine="0" w:firstLineChars="0"/>
        <w:rPr>
          <w:rFonts w:hint="default"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府规〔2024〕8号)第五、七、九条，以及《深圳市人民政府印发关于建设工程招标投标改革若干规</w:t>
      </w:r>
    </w:p>
  </w:footnote>
  <w:footnote w:id="9">
    <w:p>
      <w:pPr>
        <w:adjustRightInd w:val="0"/>
        <w:snapToGrid w:val="0"/>
        <w:ind w:firstLine="0" w:firstLine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定的通知》（深府〔2015〕73号）第四十七条。</w:t>
      </w:r>
    </w:p>
  </w:footnote>
  <w:footnote w:id="10">
    <w:p>
      <w:pPr>
        <w:pStyle w:val="29"/>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spacing w:line="240" w:lineRule="atLeast"/>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6px;height:15px" o:bullet="t">
        <v:imagedata r:id="rId1" o:title=""/>
      </v:shape>
    </w:pict>
  </w:numPicBullet>
  <w:abstractNum w:abstractNumId="0">
    <w:nsid w:val="EE2DB9B4"/>
    <w:multiLevelType w:val="singleLevel"/>
    <w:tmpl w:val="EE2DB9B4"/>
    <w:lvl w:ilvl="0" w:tentative="0">
      <w:start w:val="4"/>
      <w:numFmt w:val="chineseCounting"/>
      <w:suff w:val="nothing"/>
      <w:lvlText w:val="%1、"/>
      <w:lvlJc w:val="left"/>
      <w:rPr>
        <w:rFonts w:hint="eastAsia"/>
      </w:rPr>
    </w:lvl>
  </w:abstractNum>
  <w:abstractNum w:abstractNumId="1">
    <w:nsid w:val="1B0E1F07"/>
    <w:multiLevelType w:val="multilevel"/>
    <w:tmpl w:val="1B0E1F07"/>
    <w:lvl w:ilvl="0" w:tentative="0">
      <w:start w:val="1"/>
      <w:numFmt w:val="bullet"/>
      <w:lvlText w:val=""/>
      <w:lvlPicBulletId w:val="0"/>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2">
    <w:nsid w:val="22091C47"/>
    <w:multiLevelType w:val="singleLevel"/>
    <w:tmpl w:val="22091C47"/>
    <w:lvl w:ilvl="0" w:tentative="0">
      <w:start w:val="18"/>
      <w:numFmt w:val="decimal"/>
      <w:suff w:val="nothing"/>
      <w:lvlText w:val="%1、"/>
      <w:lvlJc w:val="left"/>
    </w:lvl>
  </w:abstractNum>
  <w:abstractNum w:abstractNumId="3">
    <w:nsid w:val="45C42C9A"/>
    <w:multiLevelType w:val="multilevel"/>
    <w:tmpl w:val="45C42C9A"/>
    <w:lvl w:ilvl="0" w:tentative="0">
      <w:start w:val="1"/>
      <w:numFmt w:val="decimal"/>
      <w:lvlText w:val="%1"/>
      <w:lvlJc w:val="left"/>
      <w:pPr>
        <w:tabs>
          <w:tab w:val="left" w:pos="4032"/>
        </w:tabs>
        <w:ind w:left="4032" w:hanging="432"/>
      </w:pPr>
    </w:lvl>
    <w:lvl w:ilvl="1" w:tentative="0">
      <w:start w:val="1"/>
      <w:numFmt w:val="decimal"/>
      <w:lvlText w:val="%1.%2"/>
      <w:lvlJc w:val="left"/>
      <w:pPr>
        <w:tabs>
          <w:tab w:val="left" w:pos="576"/>
        </w:tabs>
        <w:ind w:left="576" w:hanging="576"/>
      </w:pPr>
      <w:rPr>
        <w:strike w:val="0"/>
        <w:color w:val="auto"/>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22"/>
    <w:footnote w:id="2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mOTMwMTRjZDY4NTcwNWRkYzc5MjI4ZThkNzIyOGUifQ=="/>
    <w:docVar w:name="KSO_WPS_MARK_KEY" w:val="54b5509e-139f-42dd-8581-25ef069bea78"/>
  </w:docVars>
  <w:rsids>
    <w:rsidRoot w:val="00172A27"/>
    <w:rsid w:val="00005A05"/>
    <w:rsid w:val="000437E3"/>
    <w:rsid w:val="000566C2"/>
    <w:rsid w:val="000B5DA1"/>
    <w:rsid w:val="000C2473"/>
    <w:rsid w:val="00166598"/>
    <w:rsid w:val="00172A27"/>
    <w:rsid w:val="00172FAD"/>
    <w:rsid w:val="002242AA"/>
    <w:rsid w:val="002A04EC"/>
    <w:rsid w:val="002D0A40"/>
    <w:rsid w:val="003047FA"/>
    <w:rsid w:val="003E55F7"/>
    <w:rsid w:val="0040553E"/>
    <w:rsid w:val="005651E2"/>
    <w:rsid w:val="00572956"/>
    <w:rsid w:val="005F00B1"/>
    <w:rsid w:val="006906B2"/>
    <w:rsid w:val="006F4B83"/>
    <w:rsid w:val="00743E1E"/>
    <w:rsid w:val="0085539A"/>
    <w:rsid w:val="008A73D1"/>
    <w:rsid w:val="0095694B"/>
    <w:rsid w:val="00977503"/>
    <w:rsid w:val="00A01960"/>
    <w:rsid w:val="00A235C6"/>
    <w:rsid w:val="00A51EB6"/>
    <w:rsid w:val="00A714A7"/>
    <w:rsid w:val="00B661C3"/>
    <w:rsid w:val="00BA24BC"/>
    <w:rsid w:val="00BB4731"/>
    <w:rsid w:val="00C42408"/>
    <w:rsid w:val="00C55466"/>
    <w:rsid w:val="00C6526C"/>
    <w:rsid w:val="00CC2F4C"/>
    <w:rsid w:val="00CE4FC5"/>
    <w:rsid w:val="00CE6753"/>
    <w:rsid w:val="00D80F4E"/>
    <w:rsid w:val="00DC3998"/>
    <w:rsid w:val="00DC4494"/>
    <w:rsid w:val="00DE537A"/>
    <w:rsid w:val="00DF73EB"/>
    <w:rsid w:val="00E1509A"/>
    <w:rsid w:val="00E70338"/>
    <w:rsid w:val="00E870A6"/>
    <w:rsid w:val="00F3646D"/>
    <w:rsid w:val="00FF2678"/>
    <w:rsid w:val="010D7DD7"/>
    <w:rsid w:val="01140B7E"/>
    <w:rsid w:val="018922E6"/>
    <w:rsid w:val="018A1C98"/>
    <w:rsid w:val="01976F9D"/>
    <w:rsid w:val="01AC2232"/>
    <w:rsid w:val="01F56E3F"/>
    <w:rsid w:val="0209750F"/>
    <w:rsid w:val="02355C61"/>
    <w:rsid w:val="02436620"/>
    <w:rsid w:val="025178BC"/>
    <w:rsid w:val="02617B60"/>
    <w:rsid w:val="026F3433"/>
    <w:rsid w:val="028A2DD8"/>
    <w:rsid w:val="029501E3"/>
    <w:rsid w:val="029D33DC"/>
    <w:rsid w:val="02C32E43"/>
    <w:rsid w:val="02DA018C"/>
    <w:rsid w:val="02E903CF"/>
    <w:rsid w:val="02F30791"/>
    <w:rsid w:val="03323413"/>
    <w:rsid w:val="03461F14"/>
    <w:rsid w:val="034C1B99"/>
    <w:rsid w:val="03682087"/>
    <w:rsid w:val="039B7AAF"/>
    <w:rsid w:val="03B37755"/>
    <w:rsid w:val="03CD1237"/>
    <w:rsid w:val="03E07A24"/>
    <w:rsid w:val="04004BE4"/>
    <w:rsid w:val="043E5A69"/>
    <w:rsid w:val="044C50BA"/>
    <w:rsid w:val="044D4127"/>
    <w:rsid w:val="0450785F"/>
    <w:rsid w:val="049238FB"/>
    <w:rsid w:val="049A6784"/>
    <w:rsid w:val="04C658A8"/>
    <w:rsid w:val="04C93CBC"/>
    <w:rsid w:val="04CA305F"/>
    <w:rsid w:val="051300AE"/>
    <w:rsid w:val="051B6CA7"/>
    <w:rsid w:val="05AF5900"/>
    <w:rsid w:val="061170EC"/>
    <w:rsid w:val="06286C84"/>
    <w:rsid w:val="063E052E"/>
    <w:rsid w:val="06491FB0"/>
    <w:rsid w:val="06D94C3D"/>
    <w:rsid w:val="070F34A1"/>
    <w:rsid w:val="0750494E"/>
    <w:rsid w:val="07615C0D"/>
    <w:rsid w:val="0772426A"/>
    <w:rsid w:val="07BF3919"/>
    <w:rsid w:val="07C21D59"/>
    <w:rsid w:val="07CE6DE2"/>
    <w:rsid w:val="07DB4BD0"/>
    <w:rsid w:val="07E4566F"/>
    <w:rsid w:val="07EE3A1A"/>
    <w:rsid w:val="0815364B"/>
    <w:rsid w:val="082C5F73"/>
    <w:rsid w:val="08324F0A"/>
    <w:rsid w:val="08356D17"/>
    <w:rsid w:val="085F032A"/>
    <w:rsid w:val="088E3F38"/>
    <w:rsid w:val="08BB636A"/>
    <w:rsid w:val="09160E7D"/>
    <w:rsid w:val="09463445"/>
    <w:rsid w:val="09481CE7"/>
    <w:rsid w:val="095036F0"/>
    <w:rsid w:val="0970101E"/>
    <w:rsid w:val="097142C6"/>
    <w:rsid w:val="09825509"/>
    <w:rsid w:val="09836E38"/>
    <w:rsid w:val="098E7C10"/>
    <w:rsid w:val="099F7A3A"/>
    <w:rsid w:val="09BE73EA"/>
    <w:rsid w:val="09C01C5E"/>
    <w:rsid w:val="09CB68FE"/>
    <w:rsid w:val="09D253DD"/>
    <w:rsid w:val="09E4408E"/>
    <w:rsid w:val="09FB4338"/>
    <w:rsid w:val="0A2A19F9"/>
    <w:rsid w:val="0A6F39F4"/>
    <w:rsid w:val="0A7C2223"/>
    <w:rsid w:val="0A9925EA"/>
    <w:rsid w:val="0AA9774E"/>
    <w:rsid w:val="0ABF65E6"/>
    <w:rsid w:val="0AC172C9"/>
    <w:rsid w:val="0AE25CA4"/>
    <w:rsid w:val="0B0D03D6"/>
    <w:rsid w:val="0B372897"/>
    <w:rsid w:val="0B38066E"/>
    <w:rsid w:val="0B6F6F8A"/>
    <w:rsid w:val="0BCC3C32"/>
    <w:rsid w:val="0BFA42A8"/>
    <w:rsid w:val="0C0E259A"/>
    <w:rsid w:val="0C7255AB"/>
    <w:rsid w:val="0CBA669D"/>
    <w:rsid w:val="0CD611D6"/>
    <w:rsid w:val="0D145641"/>
    <w:rsid w:val="0D1A1613"/>
    <w:rsid w:val="0D1A285D"/>
    <w:rsid w:val="0D2D40C0"/>
    <w:rsid w:val="0D904269"/>
    <w:rsid w:val="0D9A0C44"/>
    <w:rsid w:val="0DA1511D"/>
    <w:rsid w:val="0DBB629A"/>
    <w:rsid w:val="0DD44DAA"/>
    <w:rsid w:val="0DF44A78"/>
    <w:rsid w:val="0E027B39"/>
    <w:rsid w:val="0E0A4988"/>
    <w:rsid w:val="0E1E1875"/>
    <w:rsid w:val="0E27365D"/>
    <w:rsid w:val="0E2E5C98"/>
    <w:rsid w:val="0E564CA2"/>
    <w:rsid w:val="0E740472"/>
    <w:rsid w:val="0E9206A6"/>
    <w:rsid w:val="0E924011"/>
    <w:rsid w:val="0EA6783D"/>
    <w:rsid w:val="0EAD49F3"/>
    <w:rsid w:val="0EC24061"/>
    <w:rsid w:val="0ECF2B6F"/>
    <w:rsid w:val="0EED7DDA"/>
    <w:rsid w:val="0F137FFB"/>
    <w:rsid w:val="0F36499C"/>
    <w:rsid w:val="0F523506"/>
    <w:rsid w:val="0F890F70"/>
    <w:rsid w:val="0FE34B24"/>
    <w:rsid w:val="0FE97C61"/>
    <w:rsid w:val="0FEE19ED"/>
    <w:rsid w:val="0FF15984"/>
    <w:rsid w:val="1004651E"/>
    <w:rsid w:val="107D490A"/>
    <w:rsid w:val="109B53FF"/>
    <w:rsid w:val="10C46F42"/>
    <w:rsid w:val="10E210C9"/>
    <w:rsid w:val="110E0962"/>
    <w:rsid w:val="111C79B0"/>
    <w:rsid w:val="113F0B6A"/>
    <w:rsid w:val="1148213C"/>
    <w:rsid w:val="11492BA1"/>
    <w:rsid w:val="1198193E"/>
    <w:rsid w:val="119D71B4"/>
    <w:rsid w:val="11BA18B5"/>
    <w:rsid w:val="121B502E"/>
    <w:rsid w:val="12971C13"/>
    <w:rsid w:val="12B85D17"/>
    <w:rsid w:val="13086525"/>
    <w:rsid w:val="133A3813"/>
    <w:rsid w:val="135D5B9B"/>
    <w:rsid w:val="136C6BDF"/>
    <w:rsid w:val="137A0DF2"/>
    <w:rsid w:val="139E4801"/>
    <w:rsid w:val="13AB5E31"/>
    <w:rsid w:val="13F74301"/>
    <w:rsid w:val="140C2617"/>
    <w:rsid w:val="141938DC"/>
    <w:rsid w:val="1495096B"/>
    <w:rsid w:val="14D44BA1"/>
    <w:rsid w:val="14F10DAB"/>
    <w:rsid w:val="151E647C"/>
    <w:rsid w:val="15421DCB"/>
    <w:rsid w:val="15761F97"/>
    <w:rsid w:val="157E2C40"/>
    <w:rsid w:val="1594241D"/>
    <w:rsid w:val="15F72014"/>
    <w:rsid w:val="16084351"/>
    <w:rsid w:val="160A4023"/>
    <w:rsid w:val="161746E1"/>
    <w:rsid w:val="161C715F"/>
    <w:rsid w:val="1649379C"/>
    <w:rsid w:val="167800B5"/>
    <w:rsid w:val="16792604"/>
    <w:rsid w:val="16A426B5"/>
    <w:rsid w:val="16BF3D30"/>
    <w:rsid w:val="16DB7867"/>
    <w:rsid w:val="16FA0481"/>
    <w:rsid w:val="171657DF"/>
    <w:rsid w:val="17C3523B"/>
    <w:rsid w:val="17C6497F"/>
    <w:rsid w:val="17DA6BEB"/>
    <w:rsid w:val="17EC3CD3"/>
    <w:rsid w:val="17F32E73"/>
    <w:rsid w:val="18100480"/>
    <w:rsid w:val="18104644"/>
    <w:rsid w:val="18292BCD"/>
    <w:rsid w:val="183F48C2"/>
    <w:rsid w:val="18400B20"/>
    <w:rsid w:val="189A1F0B"/>
    <w:rsid w:val="18B03A11"/>
    <w:rsid w:val="18CB5A3D"/>
    <w:rsid w:val="18DD49B1"/>
    <w:rsid w:val="18E214FB"/>
    <w:rsid w:val="19197809"/>
    <w:rsid w:val="19314B52"/>
    <w:rsid w:val="19664A1B"/>
    <w:rsid w:val="19936DE4"/>
    <w:rsid w:val="199447DA"/>
    <w:rsid w:val="19B906A4"/>
    <w:rsid w:val="19CE5C9A"/>
    <w:rsid w:val="19D43730"/>
    <w:rsid w:val="1A042A30"/>
    <w:rsid w:val="1A114259"/>
    <w:rsid w:val="1A274FFA"/>
    <w:rsid w:val="1A277F18"/>
    <w:rsid w:val="1A537DB8"/>
    <w:rsid w:val="1A5D700A"/>
    <w:rsid w:val="1A88649F"/>
    <w:rsid w:val="1AA024D3"/>
    <w:rsid w:val="1AC35E60"/>
    <w:rsid w:val="1AC50222"/>
    <w:rsid w:val="1ACD08AB"/>
    <w:rsid w:val="1AE94FB9"/>
    <w:rsid w:val="1B8B45D4"/>
    <w:rsid w:val="1B926277"/>
    <w:rsid w:val="1BCB6ED2"/>
    <w:rsid w:val="1BEF177D"/>
    <w:rsid w:val="1BFF5BC7"/>
    <w:rsid w:val="1C0C427F"/>
    <w:rsid w:val="1C1147C7"/>
    <w:rsid w:val="1C12025D"/>
    <w:rsid w:val="1C272F53"/>
    <w:rsid w:val="1C2A78F2"/>
    <w:rsid w:val="1C3630BE"/>
    <w:rsid w:val="1C5A0E01"/>
    <w:rsid w:val="1C5F1E78"/>
    <w:rsid w:val="1C7C46B6"/>
    <w:rsid w:val="1C81712F"/>
    <w:rsid w:val="1CA1494D"/>
    <w:rsid w:val="1CC21806"/>
    <w:rsid w:val="1CFE4A96"/>
    <w:rsid w:val="1D0D31E0"/>
    <w:rsid w:val="1D251D75"/>
    <w:rsid w:val="1D446615"/>
    <w:rsid w:val="1D62363A"/>
    <w:rsid w:val="1D657A0F"/>
    <w:rsid w:val="1D7348AC"/>
    <w:rsid w:val="1E0817C1"/>
    <w:rsid w:val="1E325A17"/>
    <w:rsid w:val="1E407D36"/>
    <w:rsid w:val="1E594203"/>
    <w:rsid w:val="1E7F2D4B"/>
    <w:rsid w:val="1E8B641B"/>
    <w:rsid w:val="1EDF4BC2"/>
    <w:rsid w:val="1EE933B9"/>
    <w:rsid w:val="1EF9536B"/>
    <w:rsid w:val="1F0C13AB"/>
    <w:rsid w:val="1F2936B5"/>
    <w:rsid w:val="1F2E743E"/>
    <w:rsid w:val="1F32379A"/>
    <w:rsid w:val="1F846356"/>
    <w:rsid w:val="1FA12306"/>
    <w:rsid w:val="1FED7370"/>
    <w:rsid w:val="20057A01"/>
    <w:rsid w:val="20526627"/>
    <w:rsid w:val="2054286A"/>
    <w:rsid w:val="20743960"/>
    <w:rsid w:val="207F03EA"/>
    <w:rsid w:val="20954F3F"/>
    <w:rsid w:val="209E24B7"/>
    <w:rsid w:val="20BA3849"/>
    <w:rsid w:val="20D44015"/>
    <w:rsid w:val="20DF525D"/>
    <w:rsid w:val="20E57FD0"/>
    <w:rsid w:val="21000FF2"/>
    <w:rsid w:val="214B21A5"/>
    <w:rsid w:val="216B660D"/>
    <w:rsid w:val="216C24A0"/>
    <w:rsid w:val="217F273B"/>
    <w:rsid w:val="218422E4"/>
    <w:rsid w:val="21CE19D0"/>
    <w:rsid w:val="21F42BC1"/>
    <w:rsid w:val="220A1F47"/>
    <w:rsid w:val="22197F6A"/>
    <w:rsid w:val="22322DDE"/>
    <w:rsid w:val="223E3B2E"/>
    <w:rsid w:val="22473317"/>
    <w:rsid w:val="224A27E1"/>
    <w:rsid w:val="2250591D"/>
    <w:rsid w:val="22696DE5"/>
    <w:rsid w:val="22AE55CF"/>
    <w:rsid w:val="22DF491E"/>
    <w:rsid w:val="22FD63CE"/>
    <w:rsid w:val="23342EDF"/>
    <w:rsid w:val="2355768F"/>
    <w:rsid w:val="237C5F92"/>
    <w:rsid w:val="240E3AF8"/>
    <w:rsid w:val="2415201E"/>
    <w:rsid w:val="241B036A"/>
    <w:rsid w:val="2485631A"/>
    <w:rsid w:val="248D5CD9"/>
    <w:rsid w:val="24BC4213"/>
    <w:rsid w:val="24CA19B7"/>
    <w:rsid w:val="24D46CDA"/>
    <w:rsid w:val="24DE3063"/>
    <w:rsid w:val="252A2616"/>
    <w:rsid w:val="252B2EA9"/>
    <w:rsid w:val="252D4CAB"/>
    <w:rsid w:val="25315EDA"/>
    <w:rsid w:val="25401543"/>
    <w:rsid w:val="261738A3"/>
    <w:rsid w:val="262E63AD"/>
    <w:rsid w:val="266E11AF"/>
    <w:rsid w:val="26716A8E"/>
    <w:rsid w:val="26832765"/>
    <w:rsid w:val="26963338"/>
    <w:rsid w:val="26B14AD3"/>
    <w:rsid w:val="26B15ECB"/>
    <w:rsid w:val="27176EF9"/>
    <w:rsid w:val="27455C6D"/>
    <w:rsid w:val="27871DE1"/>
    <w:rsid w:val="27B801ED"/>
    <w:rsid w:val="27D24D61"/>
    <w:rsid w:val="281049A4"/>
    <w:rsid w:val="281713B7"/>
    <w:rsid w:val="2818190D"/>
    <w:rsid w:val="281B36D9"/>
    <w:rsid w:val="2826133D"/>
    <w:rsid w:val="28311ADD"/>
    <w:rsid w:val="285370EA"/>
    <w:rsid w:val="285A12A4"/>
    <w:rsid w:val="286914E7"/>
    <w:rsid w:val="28B704A4"/>
    <w:rsid w:val="28EF7C3E"/>
    <w:rsid w:val="29115E06"/>
    <w:rsid w:val="29130717"/>
    <w:rsid w:val="291E643B"/>
    <w:rsid w:val="296F1CD7"/>
    <w:rsid w:val="29902933"/>
    <w:rsid w:val="29916BD3"/>
    <w:rsid w:val="29C966E1"/>
    <w:rsid w:val="2A2A5EFE"/>
    <w:rsid w:val="2A2E677F"/>
    <w:rsid w:val="2A3864F7"/>
    <w:rsid w:val="2A4F59B8"/>
    <w:rsid w:val="2AB32EED"/>
    <w:rsid w:val="2AC82E3D"/>
    <w:rsid w:val="2AED28A3"/>
    <w:rsid w:val="2AF505D0"/>
    <w:rsid w:val="2B3C3F46"/>
    <w:rsid w:val="2B8C5236"/>
    <w:rsid w:val="2B953A99"/>
    <w:rsid w:val="2BFB58D0"/>
    <w:rsid w:val="2C262A94"/>
    <w:rsid w:val="2C4D0C76"/>
    <w:rsid w:val="2C4E236D"/>
    <w:rsid w:val="2C700D67"/>
    <w:rsid w:val="2C805C39"/>
    <w:rsid w:val="2CA945A8"/>
    <w:rsid w:val="2CBE44F7"/>
    <w:rsid w:val="2CC73B34"/>
    <w:rsid w:val="2CF41AC6"/>
    <w:rsid w:val="2CFF4C74"/>
    <w:rsid w:val="2D187E6E"/>
    <w:rsid w:val="2DB476A8"/>
    <w:rsid w:val="2DCA4350"/>
    <w:rsid w:val="2DCD5785"/>
    <w:rsid w:val="2E0A3DAE"/>
    <w:rsid w:val="2E2F38A3"/>
    <w:rsid w:val="2E734E6D"/>
    <w:rsid w:val="2E924C57"/>
    <w:rsid w:val="2E9A30C2"/>
    <w:rsid w:val="2EC1207D"/>
    <w:rsid w:val="2EF32025"/>
    <w:rsid w:val="2F226F83"/>
    <w:rsid w:val="2F542EF1"/>
    <w:rsid w:val="2F613983"/>
    <w:rsid w:val="2F9A1FFC"/>
    <w:rsid w:val="2FE11BBB"/>
    <w:rsid w:val="2FE127DD"/>
    <w:rsid w:val="2FE204FD"/>
    <w:rsid w:val="2FE907EA"/>
    <w:rsid w:val="30222BBD"/>
    <w:rsid w:val="302C23C8"/>
    <w:rsid w:val="30311398"/>
    <w:rsid w:val="30462F67"/>
    <w:rsid w:val="305C7EB4"/>
    <w:rsid w:val="306D33F8"/>
    <w:rsid w:val="3072600F"/>
    <w:rsid w:val="3097123F"/>
    <w:rsid w:val="30D67594"/>
    <w:rsid w:val="31534274"/>
    <w:rsid w:val="3155021B"/>
    <w:rsid w:val="315C4A76"/>
    <w:rsid w:val="319770C5"/>
    <w:rsid w:val="31BF2E81"/>
    <w:rsid w:val="31C6045D"/>
    <w:rsid w:val="31E2246F"/>
    <w:rsid w:val="3203548E"/>
    <w:rsid w:val="320E76D0"/>
    <w:rsid w:val="321C37E8"/>
    <w:rsid w:val="3230145A"/>
    <w:rsid w:val="324D574B"/>
    <w:rsid w:val="32577A48"/>
    <w:rsid w:val="328C46E6"/>
    <w:rsid w:val="328C68A8"/>
    <w:rsid w:val="33055436"/>
    <w:rsid w:val="330E13A4"/>
    <w:rsid w:val="33661445"/>
    <w:rsid w:val="33947DCC"/>
    <w:rsid w:val="33F464DE"/>
    <w:rsid w:val="340422A7"/>
    <w:rsid w:val="34160775"/>
    <w:rsid w:val="34264730"/>
    <w:rsid w:val="342C7F98"/>
    <w:rsid w:val="34407838"/>
    <w:rsid w:val="348B41BE"/>
    <w:rsid w:val="34954B08"/>
    <w:rsid w:val="352D670F"/>
    <w:rsid w:val="35633E2F"/>
    <w:rsid w:val="35956B7D"/>
    <w:rsid w:val="35A45588"/>
    <w:rsid w:val="35B2788E"/>
    <w:rsid w:val="35F05311"/>
    <w:rsid w:val="3614429B"/>
    <w:rsid w:val="36277986"/>
    <w:rsid w:val="367114E0"/>
    <w:rsid w:val="3678231E"/>
    <w:rsid w:val="3679346B"/>
    <w:rsid w:val="370033CB"/>
    <w:rsid w:val="37D168FA"/>
    <w:rsid w:val="37DF5322"/>
    <w:rsid w:val="37F60FE9"/>
    <w:rsid w:val="386A4F0E"/>
    <w:rsid w:val="3886378E"/>
    <w:rsid w:val="38C567F6"/>
    <w:rsid w:val="38D03AA3"/>
    <w:rsid w:val="38F00061"/>
    <w:rsid w:val="38F11F24"/>
    <w:rsid w:val="38FF3BAA"/>
    <w:rsid w:val="39506D9D"/>
    <w:rsid w:val="397573A2"/>
    <w:rsid w:val="398A718D"/>
    <w:rsid w:val="39AD6EE2"/>
    <w:rsid w:val="39AE1450"/>
    <w:rsid w:val="39C54A80"/>
    <w:rsid w:val="39CA6EC6"/>
    <w:rsid w:val="39EE4921"/>
    <w:rsid w:val="3A0704AB"/>
    <w:rsid w:val="3A105C66"/>
    <w:rsid w:val="3A333EAD"/>
    <w:rsid w:val="3A7C08E8"/>
    <w:rsid w:val="3A8C79E3"/>
    <w:rsid w:val="3AB72586"/>
    <w:rsid w:val="3AFB7815"/>
    <w:rsid w:val="3B2B1DF2"/>
    <w:rsid w:val="3B5441F0"/>
    <w:rsid w:val="3B8406BA"/>
    <w:rsid w:val="3B9D3C7E"/>
    <w:rsid w:val="3BED3F86"/>
    <w:rsid w:val="3BFA33C2"/>
    <w:rsid w:val="3C0A39AE"/>
    <w:rsid w:val="3C336FAE"/>
    <w:rsid w:val="3C396C88"/>
    <w:rsid w:val="3C5A58BF"/>
    <w:rsid w:val="3C8612EC"/>
    <w:rsid w:val="3CAB5E72"/>
    <w:rsid w:val="3CF8074C"/>
    <w:rsid w:val="3D5266A0"/>
    <w:rsid w:val="3D6B7851"/>
    <w:rsid w:val="3D7A6BFB"/>
    <w:rsid w:val="3D7C34EE"/>
    <w:rsid w:val="3DB771A5"/>
    <w:rsid w:val="3DCC50B9"/>
    <w:rsid w:val="3DD84CED"/>
    <w:rsid w:val="3E3059B2"/>
    <w:rsid w:val="3E481E73"/>
    <w:rsid w:val="3E4C6995"/>
    <w:rsid w:val="3E9522AF"/>
    <w:rsid w:val="3EA47CEA"/>
    <w:rsid w:val="3EBE5DC6"/>
    <w:rsid w:val="3F043B7A"/>
    <w:rsid w:val="3F0B4C4E"/>
    <w:rsid w:val="3F0F3EA5"/>
    <w:rsid w:val="3F2E2A49"/>
    <w:rsid w:val="3F3F5061"/>
    <w:rsid w:val="3F4C4DAE"/>
    <w:rsid w:val="3F9A2B87"/>
    <w:rsid w:val="3FA00753"/>
    <w:rsid w:val="3FA621E7"/>
    <w:rsid w:val="3FB52ADC"/>
    <w:rsid w:val="3FBB3274"/>
    <w:rsid w:val="3FC30D60"/>
    <w:rsid w:val="3FFC69ED"/>
    <w:rsid w:val="40424496"/>
    <w:rsid w:val="40525B09"/>
    <w:rsid w:val="4054107D"/>
    <w:rsid w:val="40542A66"/>
    <w:rsid w:val="406D317B"/>
    <w:rsid w:val="406E0E6B"/>
    <w:rsid w:val="407F76A2"/>
    <w:rsid w:val="40A8309D"/>
    <w:rsid w:val="40BE0DAC"/>
    <w:rsid w:val="40CC5A15"/>
    <w:rsid w:val="40D95DE4"/>
    <w:rsid w:val="40DE011C"/>
    <w:rsid w:val="40EB11DB"/>
    <w:rsid w:val="41E1555C"/>
    <w:rsid w:val="42467F67"/>
    <w:rsid w:val="425E287D"/>
    <w:rsid w:val="426D12D2"/>
    <w:rsid w:val="427063C3"/>
    <w:rsid w:val="42C23871"/>
    <w:rsid w:val="42D251E4"/>
    <w:rsid w:val="42D743BD"/>
    <w:rsid w:val="43341F66"/>
    <w:rsid w:val="434A52AA"/>
    <w:rsid w:val="434C2AE2"/>
    <w:rsid w:val="43787D7B"/>
    <w:rsid w:val="43895548"/>
    <w:rsid w:val="43A33313"/>
    <w:rsid w:val="43C41293"/>
    <w:rsid w:val="43D815DD"/>
    <w:rsid w:val="440C7115"/>
    <w:rsid w:val="442742D8"/>
    <w:rsid w:val="44441214"/>
    <w:rsid w:val="44652850"/>
    <w:rsid w:val="44840FB9"/>
    <w:rsid w:val="44902013"/>
    <w:rsid w:val="449049E4"/>
    <w:rsid w:val="44B007B1"/>
    <w:rsid w:val="44D62F03"/>
    <w:rsid w:val="44DD0967"/>
    <w:rsid w:val="44E328F5"/>
    <w:rsid w:val="44E623E5"/>
    <w:rsid w:val="45031765"/>
    <w:rsid w:val="450B35E8"/>
    <w:rsid w:val="450B50C0"/>
    <w:rsid w:val="450D709C"/>
    <w:rsid w:val="451204A4"/>
    <w:rsid w:val="45323980"/>
    <w:rsid w:val="456F23DB"/>
    <w:rsid w:val="45734BDC"/>
    <w:rsid w:val="45765517"/>
    <w:rsid w:val="45AD246B"/>
    <w:rsid w:val="45B10B6C"/>
    <w:rsid w:val="45D07F9D"/>
    <w:rsid w:val="45E03102"/>
    <w:rsid w:val="460C19D8"/>
    <w:rsid w:val="463E0334"/>
    <w:rsid w:val="464E3D9E"/>
    <w:rsid w:val="46612F50"/>
    <w:rsid w:val="46625A9C"/>
    <w:rsid w:val="466931C7"/>
    <w:rsid w:val="46956DE4"/>
    <w:rsid w:val="46CD53A0"/>
    <w:rsid w:val="46D559CF"/>
    <w:rsid w:val="472C7B08"/>
    <w:rsid w:val="47840359"/>
    <w:rsid w:val="47AE24AF"/>
    <w:rsid w:val="47C104A9"/>
    <w:rsid w:val="47FE3E4D"/>
    <w:rsid w:val="4817163E"/>
    <w:rsid w:val="481C6889"/>
    <w:rsid w:val="48480CC1"/>
    <w:rsid w:val="48807FB7"/>
    <w:rsid w:val="488F50E1"/>
    <w:rsid w:val="48CE5B46"/>
    <w:rsid w:val="491D5918"/>
    <w:rsid w:val="49651F36"/>
    <w:rsid w:val="496626B7"/>
    <w:rsid w:val="498C3FC4"/>
    <w:rsid w:val="49D239FC"/>
    <w:rsid w:val="49D81FE8"/>
    <w:rsid w:val="49E82D66"/>
    <w:rsid w:val="49F2622A"/>
    <w:rsid w:val="4A0065AD"/>
    <w:rsid w:val="4A583773"/>
    <w:rsid w:val="4A632324"/>
    <w:rsid w:val="4A7142E8"/>
    <w:rsid w:val="4A7D6156"/>
    <w:rsid w:val="4A7E09CA"/>
    <w:rsid w:val="4A7E1C85"/>
    <w:rsid w:val="4A93629D"/>
    <w:rsid w:val="4AAB216E"/>
    <w:rsid w:val="4AC078AE"/>
    <w:rsid w:val="4AC62BC0"/>
    <w:rsid w:val="4AC7629A"/>
    <w:rsid w:val="4AEE5B50"/>
    <w:rsid w:val="4B0372DA"/>
    <w:rsid w:val="4B7FFABB"/>
    <w:rsid w:val="4BA16207"/>
    <w:rsid w:val="4BDE3E16"/>
    <w:rsid w:val="4BE020B6"/>
    <w:rsid w:val="4C300CB9"/>
    <w:rsid w:val="4C616EE1"/>
    <w:rsid w:val="4C7F2566"/>
    <w:rsid w:val="4C895736"/>
    <w:rsid w:val="4CA22024"/>
    <w:rsid w:val="4CA90414"/>
    <w:rsid w:val="4CC144F9"/>
    <w:rsid w:val="4D023454"/>
    <w:rsid w:val="4D1B0CBC"/>
    <w:rsid w:val="4D4279BA"/>
    <w:rsid w:val="4D4934F5"/>
    <w:rsid w:val="4D5325E2"/>
    <w:rsid w:val="4D58437F"/>
    <w:rsid w:val="4DAA59D6"/>
    <w:rsid w:val="4DAC274C"/>
    <w:rsid w:val="4DE97FDF"/>
    <w:rsid w:val="4DEB0F27"/>
    <w:rsid w:val="4E1213C3"/>
    <w:rsid w:val="4E1E674C"/>
    <w:rsid w:val="4E540359"/>
    <w:rsid w:val="4E5C7274"/>
    <w:rsid w:val="4E7775F6"/>
    <w:rsid w:val="4EBB45F9"/>
    <w:rsid w:val="4EDC52DF"/>
    <w:rsid w:val="4EEA3E4F"/>
    <w:rsid w:val="4EFF315F"/>
    <w:rsid w:val="4F2401F2"/>
    <w:rsid w:val="4F310701"/>
    <w:rsid w:val="4F94394C"/>
    <w:rsid w:val="4FB370C6"/>
    <w:rsid w:val="4FD334F0"/>
    <w:rsid w:val="4FD47AE7"/>
    <w:rsid w:val="4FDF4EFA"/>
    <w:rsid w:val="500D205E"/>
    <w:rsid w:val="5035297F"/>
    <w:rsid w:val="50566671"/>
    <w:rsid w:val="50635071"/>
    <w:rsid w:val="508947C0"/>
    <w:rsid w:val="50A045B3"/>
    <w:rsid w:val="50B138A7"/>
    <w:rsid w:val="50F96C53"/>
    <w:rsid w:val="515254C7"/>
    <w:rsid w:val="516665D2"/>
    <w:rsid w:val="517C698E"/>
    <w:rsid w:val="51816E8F"/>
    <w:rsid w:val="518D4C8D"/>
    <w:rsid w:val="51B24DEB"/>
    <w:rsid w:val="51D14E4E"/>
    <w:rsid w:val="51D169A5"/>
    <w:rsid w:val="51F13A71"/>
    <w:rsid w:val="523E7D99"/>
    <w:rsid w:val="52667708"/>
    <w:rsid w:val="52754DA9"/>
    <w:rsid w:val="52F451C8"/>
    <w:rsid w:val="532A44BF"/>
    <w:rsid w:val="535C1148"/>
    <w:rsid w:val="535F2819"/>
    <w:rsid w:val="53647D73"/>
    <w:rsid w:val="53807561"/>
    <w:rsid w:val="53AA4A52"/>
    <w:rsid w:val="53E44745"/>
    <w:rsid w:val="53ED1419"/>
    <w:rsid w:val="543A0058"/>
    <w:rsid w:val="543F11CA"/>
    <w:rsid w:val="54596975"/>
    <w:rsid w:val="545C3AE1"/>
    <w:rsid w:val="545F186C"/>
    <w:rsid w:val="547F60BF"/>
    <w:rsid w:val="550D12C8"/>
    <w:rsid w:val="55266256"/>
    <w:rsid w:val="552739D6"/>
    <w:rsid w:val="552B2255"/>
    <w:rsid w:val="553F3638"/>
    <w:rsid w:val="555320AF"/>
    <w:rsid w:val="55624EAE"/>
    <w:rsid w:val="558A14E6"/>
    <w:rsid w:val="55E9386B"/>
    <w:rsid w:val="55F2238E"/>
    <w:rsid w:val="55F63D2B"/>
    <w:rsid w:val="55FA5A26"/>
    <w:rsid w:val="56355871"/>
    <w:rsid w:val="56A4002C"/>
    <w:rsid w:val="56BF76F4"/>
    <w:rsid w:val="56CB3090"/>
    <w:rsid w:val="56DE778F"/>
    <w:rsid w:val="56EF6FF2"/>
    <w:rsid w:val="572A7F10"/>
    <w:rsid w:val="5738773E"/>
    <w:rsid w:val="574D0586"/>
    <w:rsid w:val="57835872"/>
    <w:rsid w:val="57DB745C"/>
    <w:rsid w:val="57EF662B"/>
    <w:rsid w:val="57F35A67"/>
    <w:rsid w:val="57F7487B"/>
    <w:rsid w:val="57F97599"/>
    <w:rsid w:val="57FA697D"/>
    <w:rsid w:val="58457365"/>
    <w:rsid w:val="58524FB0"/>
    <w:rsid w:val="5873383F"/>
    <w:rsid w:val="589D4DFF"/>
    <w:rsid w:val="58A23BE3"/>
    <w:rsid w:val="58DB417A"/>
    <w:rsid w:val="58DE45DD"/>
    <w:rsid w:val="59162881"/>
    <w:rsid w:val="591E1186"/>
    <w:rsid w:val="59275315"/>
    <w:rsid w:val="59306CDC"/>
    <w:rsid w:val="594E11CF"/>
    <w:rsid w:val="59BB5797"/>
    <w:rsid w:val="59BF6BB7"/>
    <w:rsid w:val="59D16E7F"/>
    <w:rsid w:val="59E52814"/>
    <w:rsid w:val="59ED3476"/>
    <w:rsid w:val="59FB3737"/>
    <w:rsid w:val="5A0D113D"/>
    <w:rsid w:val="5A1F57EA"/>
    <w:rsid w:val="5A272C1B"/>
    <w:rsid w:val="5A4F72BC"/>
    <w:rsid w:val="5A560F28"/>
    <w:rsid w:val="5A717777"/>
    <w:rsid w:val="5A897B09"/>
    <w:rsid w:val="5A8A42B8"/>
    <w:rsid w:val="5AA5183D"/>
    <w:rsid w:val="5AE2331B"/>
    <w:rsid w:val="5B1F3B03"/>
    <w:rsid w:val="5B3841D2"/>
    <w:rsid w:val="5B3F0314"/>
    <w:rsid w:val="5B607711"/>
    <w:rsid w:val="5B90055D"/>
    <w:rsid w:val="5B9F052D"/>
    <w:rsid w:val="5BB11832"/>
    <w:rsid w:val="5BD94EAB"/>
    <w:rsid w:val="5BDE8098"/>
    <w:rsid w:val="5C472EC2"/>
    <w:rsid w:val="5C512216"/>
    <w:rsid w:val="5C6003F8"/>
    <w:rsid w:val="5C7A5696"/>
    <w:rsid w:val="5C7B40D3"/>
    <w:rsid w:val="5C7F5B00"/>
    <w:rsid w:val="5C9D76D9"/>
    <w:rsid w:val="5CBB0364"/>
    <w:rsid w:val="5CBB055D"/>
    <w:rsid w:val="5CE6401F"/>
    <w:rsid w:val="5D2B2E6F"/>
    <w:rsid w:val="5D4360AF"/>
    <w:rsid w:val="5D6B1282"/>
    <w:rsid w:val="5D702069"/>
    <w:rsid w:val="5DCF3690"/>
    <w:rsid w:val="5DE17E9F"/>
    <w:rsid w:val="5DEA0C4B"/>
    <w:rsid w:val="5E4B70D3"/>
    <w:rsid w:val="5E6A4C3B"/>
    <w:rsid w:val="5E7833BE"/>
    <w:rsid w:val="5E7F5C4A"/>
    <w:rsid w:val="5E8E6FD6"/>
    <w:rsid w:val="5EE52F14"/>
    <w:rsid w:val="5EF318B9"/>
    <w:rsid w:val="5EF61EC8"/>
    <w:rsid w:val="5F00021A"/>
    <w:rsid w:val="5F030830"/>
    <w:rsid w:val="5F0674B4"/>
    <w:rsid w:val="5F2711D9"/>
    <w:rsid w:val="5F496BD7"/>
    <w:rsid w:val="5F73007F"/>
    <w:rsid w:val="5F896AA6"/>
    <w:rsid w:val="5F976E27"/>
    <w:rsid w:val="5F9A5869"/>
    <w:rsid w:val="5FA83300"/>
    <w:rsid w:val="5FAF18FA"/>
    <w:rsid w:val="5FC658EF"/>
    <w:rsid w:val="5FDF66CA"/>
    <w:rsid w:val="600739C7"/>
    <w:rsid w:val="60146320"/>
    <w:rsid w:val="602D5997"/>
    <w:rsid w:val="608B73CF"/>
    <w:rsid w:val="60965B1F"/>
    <w:rsid w:val="610B3822"/>
    <w:rsid w:val="61250D22"/>
    <w:rsid w:val="61400C90"/>
    <w:rsid w:val="618B0D89"/>
    <w:rsid w:val="61C40340"/>
    <w:rsid w:val="61C55405"/>
    <w:rsid w:val="61DFB1D3"/>
    <w:rsid w:val="61E3588B"/>
    <w:rsid w:val="622D0305"/>
    <w:rsid w:val="6240065E"/>
    <w:rsid w:val="62431503"/>
    <w:rsid w:val="624F2A51"/>
    <w:rsid w:val="62B17F61"/>
    <w:rsid w:val="62C42828"/>
    <w:rsid w:val="62E306B6"/>
    <w:rsid w:val="630F0D31"/>
    <w:rsid w:val="63330FFD"/>
    <w:rsid w:val="63585BC8"/>
    <w:rsid w:val="636E5628"/>
    <w:rsid w:val="63D96148"/>
    <w:rsid w:val="63FE517A"/>
    <w:rsid w:val="641E4D72"/>
    <w:rsid w:val="644E500A"/>
    <w:rsid w:val="645046EA"/>
    <w:rsid w:val="64DD02EE"/>
    <w:rsid w:val="64E605D2"/>
    <w:rsid w:val="64F16511"/>
    <w:rsid w:val="65071890"/>
    <w:rsid w:val="657A6B85"/>
    <w:rsid w:val="65B80DDC"/>
    <w:rsid w:val="65F77A0A"/>
    <w:rsid w:val="661B7E6F"/>
    <w:rsid w:val="662D17CA"/>
    <w:rsid w:val="66D57047"/>
    <w:rsid w:val="670375C4"/>
    <w:rsid w:val="67390C13"/>
    <w:rsid w:val="67445AE1"/>
    <w:rsid w:val="676A47D3"/>
    <w:rsid w:val="67774CB6"/>
    <w:rsid w:val="67A37331"/>
    <w:rsid w:val="67BC2E06"/>
    <w:rsid w:val="67CE63F2"/>
    <w:rsid w:val="67E9057B"/>
    <w:rsid w:val="67EB04CB"/>
    <w:rsid w:val="67F73609"/>
    <w:rsid w:val="67FF12D2"/>
    <w:rsid w:val="680F45AC"/>
    <w:rsid w:val="685A7E7B"/>
    <w:rsid w:val="68620F9E"/>
    <w:rsid w:val="68721717"/>
    <w:rsid w:val="68757459"/>
    <w:rsid w:val="687B40BB"/>
    <w:rsid w:val="687E0F07"/>
    <w:rsid w:val="68835638"/>
    <w:rsid w:val="68AB4C28"/>
    <w:rsid w:val="68BA4A5A"/>
    <w:rsid w:val="68C77CB4"/>
    <w:rsid w:val="68E5037D"/>
    <w:rsid w:val="691B37EA"/>
    <w:rsid w:val="69212641"/>
    <w:rsid w:val="69501F9D"/>
    <w:rsid w:val="69526A95"/>
    <w:rsid w:val="696B101F"/>
    <w:rsid w:val="69787F3C"/>
    <w:rsid w:val="698A2F37"/>
    <w:rsid w:val="699D1260"/>
    <w:rsid w:val="69A000B1"/>
    <w:rsid w:val="69CE0BCF"/>
    <w:rsid w:val="69D56D6D"/>
    <w:rsid w:val="6A2F646E"/>
    <w:rsid w:val="6A357864"/>
    <w:rsid w:val="6A3A3016"/>
    <w:rsid w:val="6A93051A"/>
    <w:rsid w:val="6B424146"/>
    <w:rsid w:val="6B5477F9"/>
    <w:rsid w:val="6B5B627C"/>
    <w:rsid w:val="6B8A6D77"/>
    <w:rsid w:val="6BDA50C7"/>
    <w:rsid w:val="6BE071F2"/>
    <w:rsid w:val="6BE45C10"/>
    <w:rsid w:val="6BEF0421"/>
    <w:rsid w:val="6BF03018"/>
    <w:rsid w:val="6C0C1173"/>
    <w:rsid w:val="6C20045E"/>
    <w:rsid w:val="6C5172C5"/>
    <w:rsid w:val="6C7800AB"/>
    <w:rsid w:val="6C85495B"/>
    <w:rsid w:val="6C994AB5"/>
    <w:rsid w:val="6C9A1DC5"/>
    <w:rsid w:val="6CAF3ECE"/>
    <w:rsid w:val="6CD233A2"/>
    <w:rsid w:val="6CE8644B"/>
    <w:rsid w:val="6D101512"/>
    <w:rsid w:val="6D461C71"/>
    <w:rsid w:val="6D96027F"/>
    <w:rsid w:val="6D9E0895"/>
    <w:rsid w:val="6DB602F7"/>
    <w:rsid w:val="6DD615C2"/>
    <w:rsid w:val="6DDB7AFB"/>
    <w:rsid w:val="6DED394A"/>
    <w:rsid w:val="6E0D7171"/>
    <w:rsid w:val="6E272FA3"/>
    <w:rsid w:val="6E3B0D05"/>
    <w:rsid w:val="6E4331B0"/>
    <w:rsid w:val="6E8403F6"/>
    <w:rsid w:val="6E8946B1"/>
    <w:rsid w:val="6E990CC2"/>
    <w:rsid w:val="6EB524F6"/>
    <w:rsid w:val="6F165CDC"/>
    <w:rsid w:val="6F2D580C"/>
    <w:rsid w:val="6F3516F0"/>
    <w:rsid w:val="6F437D66"/>
    <w:rsid w:val="6F5A5A96"/>
    <w:rsid w:val="6F6B6EC0"/>
    <w:rsid w:val="6F6D34B7"/>
    <w:rsid w:val="6F7467D2"/>
    <w:rsid w:val="6F924BE8"/>
    <w:rsid w:val="6F9E39D8"/>
    <w:rsid w:val="6FBE1176"/>
    <w:rsid w:val="6FC7680C"/>
    <w:rsid w:val="6FE86762"/>
    <w:rsid w:val="7023779A"/>
    <w:rsid w:val="70712387"/>
    <w:rsid w:val="707B2A75"/>
    <w:rsid w:val="70F11AA2"/>
    <w:rsid w:val="70F33FC7"/>
    <w:rsid w:val="71105F71"/>
    <w:rsid w:val="711D2771"/>
    <w:rsid w:val="715B7722"/>
    <w:rsid w:val="71761AC1"/>
    <w:rsid w:val="718B5C17"/>
    <w:rsid w:val="719855A4"/>
    <w:rsid w:val="719C7804"/>
    <w:rsid w:val="719E357C"/>
    <w:rsid w:val="71E665A2"/>
    <w:rsid w:val="71FC02A3"/>
    <w:rsid w:val="720C498A"/>
    <w:rsid w:val="72167BCC"/>
    <w:rsid w:val="722A4E10"/>
    <w:rsid w:val="72D35F3E"/>
    <w:rsid w:val="7320549F"/>
    <w:rsid w:val="7339278B"/>
    <w:rsid w:val="733A73BE"/>
    <w:rsid w:val="733C5B10"/>
    <w:rsid w:val="734212B5"/>
    <w:rsid w:val="734B14EC"/>
    <w:rsid w:val="734B3290"/>
    <w:rsid w:val="73536105"/>
    <w:rsid w:val="73742B86"/>
    <w:rsid w:val="73782FDA"/>
    <w:rsid w:val="738549F4"/>
    <w:rsid w:val="7386251A"/>
    <w:rsid w:val="73EF43E7"/>
    <w:rsid w:val="73F45B3F"/>
    <w:rsid w:val="742B392C"/>
    <w:rsid w:val="74310977"/>
    <w:rsid w:val="746959DD"/>
    <w:rsid w:val="746960C4"/>
    <w:rsid w:val="747B4B56"/>
    <w:rsid w:val="748005A0"/>
    <w:rsid w:val="748144D9"/>
    <w:rsid w:val="748B539F"/>
    <w:rsid w:val="749C4C03"/>
    <w:rsid w:val="74E02B7D"/>
    <w:rsid w:val="74ED2619"/>
    <w:rsid w:val="7557416E"/>
    <w:rsid w:val="75872BE3"/>
    <w:rsid w:val="758E3908"/>
    <w:rsid w:val="758F6280"/>
    <w:rsid w:val="75C17239"/>
    <w:rsid w:val="75D4368B"/>
    <w:rsid w:val="763C2050"/>
    <w:rsid w:val="764C1E75"/>
    <w:rsid w:val="76533A8D"/>
    <w:rsid w:val="766C15EB"/>
    <w:rsid w:val="766F3F6E"/>
    <w:rsid w:val="7671171A"/>
    <w:rsid w:val="767659EC"/>
    <w:rsid w:val="76767CB4"/>
    <w:rsid w:val="769629FC"/>
    <w:rsid w:val="76BA2238"/>
    <w:rsid w:val="76CE760F"/>
    <w:rsid w:val="772C321F"/>
    <w:rsid w:val="772F38AF"/>
    <w:rsid w:val="775739FD"/>
    <w:rsid w:val="776675AD"/>
    <w:rsid w:val="776E0238"/>
    <w:rsid w:val="778244CA"/>
    <w:rsid w:val="77BC29AE"/>
    <w:rsid w:val="77C00385"/>
    <w:rsid w:val="77D347C5"/>
    <w:rsid w:val="77DB069D"/>
    <w:rsid w:val="77F33DE0"/>
    <w:rsid w:val="781B44A5"/>
    <w:rsid w:val="78226B1D"/>
    <w:rsid w:val="786F2C57"/>
    <w:rsid w:val="786F7A21"/>
    <w:rsid w:val="7893036A"/>
    <w:rsid w:val="78A22EC5"/>
    <w:rsid w:val="795C61F7"/>
    <w:rsid w:val="797823BC"/>
    <w:rsid w:val="79B95FCE"/>
    <w:rsid w:val="79E5020B"/>
    <w:rsid w:val="79FB7A95"/>
    <w:rsid w:val="79FC3536"/>
    <w:rsid w:val="7A0D5743"/>
    <w:rsid w:val="7A1E2B0D"/>
    <w:rsid w:val="7A2A7C69"/>
    <w:rsid w:val="7A307C99"/>
    <w:rsid w:val="7A6922EE"/>
    <w:rsid w:val="7A754F04"/>
    <w:rsid w:val="7A835A05"/>
    <w:rsid w:val="7A92797C"/>
    <w:rsid w:val="7AA87312"/>
    <w:rsid w:val="7AC34EAD"/>
    <w:rsid w:val="7AF00FB6"/>
    <w:rsid w:val="7AFD437D"/>
    <w:rsid w:val="7B022D7E"/>
    <w:rsid w:val="7B193091"/>
    <w:rsid w:val="7B243FFA"/>
    <w:rsid w:val="7B294AE0"/>
    <w:rsid w:val="7B705BD1"/>
    <w:rsid w:val="7B81739D"/>
    <w:rsid w:val="7B8B0A14"/>
    <w:rsid w:val="7BF5096A"/>
    <w:rsid w:val="7BFE1246"/>
    <w:rsid w:val="7C483CF1"/>
    <w:rsid w:val="7C7E7A0B"/>
    <w:rsid w:val="7C8735D6"/>
    <w:rsid w:val="7C8B30E4"/>
    <w:rsid w:val="7C8D4989"/>
    <w:rsid w:val="7CC9653E"/>
    <w:rsid w:val="7CFFB006"/>
    <w:rsid w:val="7D5E0064"/>
    <w:rsid w:val="7DB223A6"/>
    <w:rsid w:val="7DFD676A"/>
    <w:rsid w:val="7E043B92"/>
    <w:rsid w:val="7E152AB0"/>
    <w:rsid w:val="7E3F39F1"/>
    <w:rsid w:val="7E433943"/>
    <w:rsid w:val="7E57717E"/>
    <w:rsid w:val="7E8F3772"/>
    <w:rsid w:val="7EF22A12"/>
    <w:rsid w:val="7F372BCA"/>
    <w:rsid w:val="7F4A74CC"/>
    <w:rsid w:val="7F537FF4"/>
    <w:rsid w:val="7F6F69B9"/>
    <w:rsid w:val="7F8B7CC9"/>
    <w:rsid w:val="7FB06469"/>
    <w:rsid w:val="7FC43F12"/>
    <w:rsid w:val="7FC70AC0"/>
    <w:rsid w:val="7FC7340B"/>
    <w:rsid w:val="7FD250FB"/>
    <w:rsid w:val="7FD91071"/>
    <w:rsid w:val="7FFB67DC"/>
    <w:rsid w:val="8CE75E2E"/>
    <w:rsid w:val="9DFF67BB"/>
    <w:rsid w:val="9EFF0E4F"/>
    <w:rsid w:val="A9FD584C"/>
    <w:rsid w:val="ABFA8B79"/>
    <w:rsid w:val="AFDF796E"/>
    <w:rsid w:val="AFE6326F"/>
    <w:rsid w:val="BF69C393"/>
    <w:rsid w:val="BFBFA16D"/>
    <w:rsid w:val="BFFF8741"/>
    <w:rsid w:val="D65FE300"/>
    <w:rsid w:val="DFD5520C"/>
    <w:rsid w:val="FDBF44BA"/>
    <w:rsid w:val="FDEFD271"/>
    <w:rsid w:val="FED93BFC"/>
    <w:rsid w:val="FFAD3DAA"/>
    <w:rsid w:val="FFD70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0"/>
    <w:qFormat/>
    <w:uiPriority w:val="0"/>
    <w:pPr>
      <w:keepNext/>
      <w:keepLines/>
      <w:widowControl/>
      <w:spacing w:before="340" w:after="330"/>
      <w:jc w:val="left"/>
      <w:outlineLvl w:val="0"/>
    </w:pPr>
    <w:rPr>
      <w:rFonts w:ascii="华文细黑" w:hAnsi="宋体" w:eastAsia="宋体" w:cs="宋体"/>
      <w:b/>
      <w:bCs/>
      <w:snapToGrid w:val="0"/>
      <w:kern w:val="0"/>
      <w:sz w:val="28"/>
      <w:szCs w:val="44"/>
      <w:lang w:val="zh-CN"/>
    </w:rPr>
  </w:style>
  <w:style w:type="paragraph" w:styleId="3">
    <w:name w:val="heading 2"/>
    <w:basedOn w:val="1"/>
    <w:next w:val="1"/>
    <w:link w:val="51"/>
    <w:qFormat/>
    <w:uiPriority w:val="0"/>
    <w:pPr>
      <w:widowControl/>
      <w:spacing w:before="260" w:after="260"/>
      <w:jc w:val="center"/>
      <w:outlineLvl w:val="1"/>
    </w:pPr>
    <w:rPr>
      <w:rFonts w:ascii="华文细黑" w:hAnsi="Arial" w:eastAsia="宋体" w:cs="宋体"/>
      <w:b/>
      <w:bCs/>
      <w:kern w:val="0"/>
      <w:sz w:val="44"/>
      <w:szCs w:val="32"/>
      <w:lang w:val="zh-CN"/>
    </w:rPr>
  </w:style>
  <w:style w:type="paragraph" w:styleId="4">
    <w:name w:val="heading 3"/>
    <w:basedOn w:val="5"/>
    <w:next w:val="5"/>
    <w:link w:val="52"/>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paragraph" w:styleId="6">
    <w:name w:val="heading 4"/>
    <w:basedOn w:val="1"/>
    <w:next w:val="1"/>
    <w:link w:val="53"/>
    <w:qFormat/>
    <w:uiPriority w:val="0"/>
    <w:pPr>
      <w:keepNext/>
      <w:keepLines/>
      <w:widowControl/>
      <w:spacing w:before="280" w:after="290" w:line="376" w:lineRule="auto"/>
      <w:jc w:val="left"/>
      <w:outlineLvl w:val="3"/>
    </w:pPr>
    <w:rPr>
      <w:rFonts w:ascii="Arial" w:hAnsi="Arial" w:eastAsia="黑体" w:cs="宋体"/>
      <w:b/>
      <w:bCs/>
      <w:kern w:val="0"/>
      <w:sz w:val="28"/>
      <w:szCs w:val="28"/>
      <w:lang w:val="zh-CN"/>
    </w:rPr>
  </w:style>
  <w:style w:type="paragraph" w:styleId="7">
    <w:name w:val="heading 5"/>
    <w:basedOn w:val="1"/>
    <w:next w:val="1"/>
    <w:link w:val="54"/>
    <w:qFormat/>
    <w:uiPriority w:val="0"/>
    <w:pPr>
      <w:keepNext/>
      <w:keepLines/>
      <w:widowControl/>
      <w:spacing w:before="280" w:after="290" w:line="376" w:lineRule="auto"/>
      <w:jc w:val="left"/>
      <w:outlineLvl w:val="4"/>
    </w:pPr>
    <w:rPr>
      <w:rFonts w:ascii="宋体" w:hAnsi="宋体" w:eastAsia="宋体" w:cs="宋体"/>
      <w:b/>
      <w:bCs/>
      <w:kern w:val="0"/>
      <w:sz w:val="28"/>
      <w:szCs w:val="28"/>
      <w:lang w:val="zh-CN"/>
    </w:rPr>
  </w:style>
  <w:style w:type="paragraph" w:styleId="8">
    <w:name w:val="heading 6"/>
    <w:basedOn w:val="1"/>
    <w:next w:val="1"/>
    <w:link w:val="55"/>
    <w:qFormat/>
    <w:uiPriority w:val="0"/>
    <w:pPr>
      <w:keepNext/>
      <w:keepLines/>
      <w:widowControl/>
      <w:spacing w:before="240" w:after="64" w:line="320" w:lineRule="auto"/>
      <w:jc w:val="left"/>
      <w:outlineLvl w:val="5"/>
    </w:pPr>
    <w:rPr>
      <w:rFonts w:ascii="Arial" w:hAnsi="Arial" w:eastAsia="黑体" w:cs="宋体"/>
      <w:b/>
      <w:bCs/>
      <w:kern w:val="0"/>
      <w:sz w:val="24"/>
      <w:szCs w:val="24"/>
      <w:lang w:val="zh-CN"/>
    </w:rPr>
  </w:style>
  <w:style w:type="paragraph" w:styleId="9">
    <w:name w:val="heading 7"/>
    <w:basedOn w:val="1"/>
    <w:next w:val="1"/>
    <w:link w:val="56"/>
    <w:qFormat/>
    <w:uiPriority w:val="0"/>
    <w:pPr>
      <w:keepNext/>
      <w:keepLines/>
      <w:widowControl/>
      <w:spacing w:before="240" w:after="64" w:line="320" w:lineRule="auto"/>
      <w:jc w:val="left"/>
      <w:outlineLvl w:val="6"/>
    </w:pPr>
    <w:rPr>
      <w:rFonts w:ascii="宋体" w:hAnsi="宋体" w:eastAsia="宋体" w:cs="宋体"/>
      <w:b/>
      <w:bCs/>
      <w:kern w:val="0"/>
      <w:sz w:val="24"/>
      <w:szCs w:val="24"/>
      <w:lang w:val="zh-CN"/>
    </w:rPr>
  </w:style>
  <w:style w:type="paragraph" w:styleId="10">
    <w:name w:val="heading 8"/>
    <w:basedOn w:val="1"/>
    <w:next w:val="1"/>
    <w:link w:val="57"/>
    <w:qFormat/>
    <w:uiPriority w:val="0"/>
    <w:pPr>
      <w:keepNext/>
      <w:keepLines/>
      <w:widowControl/>
      <w:spacing w:before="240" w:after="64" w:line="320" w:lineRule="auto"/>
      <w:jc w:val="left"/>
      <w:outlineLvl w:val="7"/>
    </w:pPr>
    <w:rPr>
      <w:rFonts w:ascii="Arial" w:hAnsi="Arial" w:eastAsia="黑体" w:cs="宋体"/>
      <w:kern w:val="0"/>
      <w:sz w:val="24"/>
      <w:szCs w:val="24"/>
      <w:lang w:val="zh-CN"/>
    </w:rPr>
  </w:style>
  <w:style w:type="paragraph" w:styleId="11">
    <w:name w:val="heading 9"/>
    <w:basedOn w:val="1"/>
    <w:next w:val="1"/>
    <w:link w:val="58"/>
    <w:qFormat/>
    <w:uiPriority w:val="0"/>
    <w:pPr>
      <w:keepNext/>
      <w:keepLines/>
      <w:widowControl/>
      <w:spacing w:before="240" w:after="64" w:line="320" w:lineRule="auto"/>
      <w:jc w:val="left"/>
      <w:outlineLvl w:val="8"/>
    </w:pPr>
    <w:rPr>
      <w:rFonts w:ascii="Arial" w:hAnsi="Arial" w:eastAsia="黑体" w:cs="宋体"/>
      <w:kern w:val="0"/>
      <w:sz w:val="24"/>
      <w:szCs w:val="21"/>
      <w:lang w:val="zh-CN"/>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200" w:leftChars="200"/>
    </w:pPr>
  </w:style>
  <w:style w:type="paragraph" w:styleId="12">
    <w:name w:val="toc 7"/>
    <w:basedOn w:val="1"/>
    <w:next w:val="1"/>
    <w:qFormat/>
    <w:uiPriority w:val="39"/>
    <w:pPr>
      <w:widowControl/>
      <w:ind w:left="1440"/>
      <w:jc w:val="left"/>
    </w:pPr>
    <w:rPr>
      <w:rFonts w:ascii="宋体" w:hAnsi="宋体" w:eastAsia="宋体" w:cs="宋体"/>
      <w:kern w:val="0"/>
      <w:sz w:val="18"/>
      <w:szCs w:val="18"/>
    </w:rPr>
  </w:style>
  <w:style w:type="paragraph" w:styleId="13">
    <w:name w:val="Normal Indent"/>
    <w:basedOn w:val="1"/>
    <w:qFormat/>
    <w:uiPriority w:val="0"/>
    <w:pPr>
      <w:widowControl/>
      <w:ind w:firstLine="420"/>
      <w:jc w:val="left"/>
    </w:pPr>
    <w:rPr>
      <w:rFonts w:ascii="宋体" w:hAnsi="宋体" w:eastAsia="宋体" w:cs="宋体"/>
      <w:kern w:val="0"/>
      <w:sz w:val="24"/>
      <w:szCs w:val="20"/>
    </w:rPr>
  </w:style>
  <w:style w:type="paragraph" w:styleId="14">
    <w:name w:val="Document Map"/>
    <w:basedOn w:val="1"/>
    <w:link w:val="63"/>
    <w:qFormat/>
    <w:uiPriority w:val="0"/>
    <w:pPr>
      <w:widowControl/>
      <w:shd w:val="clear" w:color="auto" w:fill="000080"/>
      <w:jc w:val="left"/>
    </w:pPr>
    <w:rPr>
      <w:rFonts w:ascii="Times New Roman" w:hAnsi="Times New Roman"/>
      <w:sz w:val="24"/>
      <w:szCs w:val="24"/>
    </w:rPr>
  </w:style>
  <w:style w:type="paragraph" w:styleId="15">
    <w:name w:val="annotation text"/>
    <w:basedOn w:val="1"/>
    <w:link w:val="59"/>
    <w:qFormat/>
    <w:uiPriority w:val="0"/>
    <w:pPr>
      <w:widowControl/>
      <w:jc w:val="left"/>
    </w:pPr>
    <w:rPr>
      <w:rFonts w:ascii="Times New Roman" w:hAnsi="Times New Roman"/>
      <w:szCs w:val="24"/>
    </w:rPr>
  </w:style>
  <w:style w:type="paragraph" w:styleId="16">
    <w:name w:val="Body Text"/>
    <w:basedOn w:val="1"/>
    <w:link w:val="73"/>
    <w:qFormat/>
    <w:uiPriority w:val="0"/>
    <w:pPr>
      <w:widowControl/>
      <w:spacing w:line="320" w:lineRule="exact"/>
      <w:jc w:val="left"/>
    </w:pPr>
    <w:rPr>
      <w:rFonts w:ascii="宋体" w:hAnsi="宋体" w:eastAsia="宋体" w:cs="宋体"/>
      <w:b/>
      <w:bCs/>
      <w:kern w:val="0"/>
      <w:sz w:val="24"/>
      <w:szCs w:val="24"/>
    </w:rPr>
  </w:style>
  <w:style w:type="paragraph" w:styleId="17">
    <w:name w:val="Body Text Indent"/>
    <w:basedOn w:val="1"/>
    <w:link w:val="75"/>
    <w:qFormat/>
    <w:uiPriority w:val="0"/>
    <w:pPr>
      <w:widowControl/>
      <w:spacing w:line="360" w:lineRule="auto"/>
      <w:ind w:firstLine="630"/>
      <w:jc w:val="left"/>
    </w:pPr>
    <w:rPr>
      <w:rFonts w:ascii="宋体" w:hAnsi="宋体" w:eastAsia="宋体" w:cs="宋体"/>
      <w:kern w:val="0"/>
      <w:sz w:val="24"/>
      <w:szCs w:val="20"/>
    </w:rPr>
  </w:style>
  <w:style w:type="paragraph" w:styleId="18">
    <w:name w:val="toc 5"/>
    <w:basedOn w:val="1"/>
    <w:next w:val="1"/>
    <w:qFormat/>
    <w:uiPriority w:val="39"/>
    <w:pPr>
      <w:widowControl/>
      <w:ind w:left="960"/>
      <w:jc w:val="left"/>
    </w:pPr>
    <w:rPr>
      <w:rFonts w:ascii="宋体" w:hAnsi="宋体" w:eastAsia="宋体" w:cs="宋体"/>
      <w:kern w:val="0"/>
      <w:sz w:val="18"/>
      <w:szCs w:val="18"/>
    </w:rPr>
  </w:style>
  <w:style w:type="paragraph" w:styleId="19">
    <w:name w:val="toc 3"/>
    <w:basedOn w:val="1"/>
    <w:next w:val="1"/>
    <w:qFormat/>
    <w:uiPriority w:val="39"/>
    <w:pPr>
      <w:widowControl/>
      <w:ind w:left="480"/>
      <w:jc w:val="left"/>
    </w:pPr>
    <w:rPr>
      <w:rFonts w:ascii="宋体" w:hAnsi="宋体" w:eastAsia="宋体" w:cs="宋体"/>
      <w:i/>
      <w:iCs/>
      <w:kern w:val="0"/>
      <w:sz w:val="20"/>
      <w:szCs w:val="20"/>
    </w:rPr>
  </w:style>
  <w:style w:type="paragraph" w:styleId="20">
    <w:name w:val="Plain Text"/>
    <w:basedOn w:val="1"/>
    <w:link w:val="72"/>
    <w:qFormat/>
    <w:uiPriority w:val="0"/>
    <w:pPr>
      <w:widowControl/>
      <w:jc w:val="left"/>
    </w:pPr>
    <w:rPr>
      <w:rFonts w:ascii="宋体" w:hAnsi="Courier New" w:eastAsia="宋体" w:cs="Courier New"/>
      <w:kern w:val="0"/>
      <w:sz w:val="24"/>
      <w:szCs w:val="21"/>
    </w:rPr>
  </w:style>
  <w:style w:type="paragraph" w:styleId="21">
    <w:name w:val="toc 8"/>
    <w:basedOn w:val="1"/>
    <w:next w:val="1"/>
    <w:qFormat/>
    <w:uiPriority w:val="39"/>
    <w:pPr>
      <w:widowControl/>
      <w:ind w:left="1680"/>
      <w:jc w:val="left"/>
    </w:pPr>
    <w:rPr>
      <w:rFonts w:ascii="宋体" w:hAnsi="宋体" w:eastAsia="宋体" w:cs="宋体"/>
      <w:kern w:val="0"/>
      <w:sz w:val="18"/>
      <w:szCs w:val="18"/>
    </w:rPr>
  </w:style>
  <w:style w:type="paragraph" w:styleId="22">
    <w:name w:val="Date"/>
    <w:basedOn w:val="1"/>
    <w:next w:val="1"/>
    <w:link w:val="78"/>
    <w:qFormat/>
    <w:uiPriority w:val="0"/>
    <w:pPr>
      <w:widowControl/>
      <w:ind w:left="100" w:leftChars="2500"/>
      <w:jc w:val="left"/>
    </w:pPr>
    <w:rPr>
      <w:szCs w:val="24"/>
    </w:rPr>
  </w:style>
  <w:style w:type="paragraph" w:styleId="23">
    <w:name w:val="Body Text Indent 2"/>
    <w:basedOn w:val="1"/>
    <w:link w:val="74"/>
    <w:qFormat/>
    <w:uiPriority w:val="0"/>
    <w:pPr>
      <w:widowControl/>
      <w:ind w:firstLine="640" w:firstLineChars="200"/>
      <w:jc w:val="left"/>
    </w:pPr>
    <w:rPr>
      <w:rFonts w:ascii="宋体" w:hAnsi="宋体" w:eastAsia="仿宋_GB2312" w:cs="宋体"/>
      <w:kern w:val="0"/>
      <w:sz w:val="32"/>
      <w:szCs w:val="24"/>
    </w:rPr>
  </w:style>
  <w:style w:type="paragraph" w:styleId="24">
    <w:name w:val="Balloon Text"/>
    <w:basedOn w:val="1"/>
    <w:link w:val="62"/>
    <w:qFormat/>
    <w:uiPriority w:val="0"/>
    <w:pPr>
      <w:widowControl/>
      <w:jc w:val="left"/>
    </w:pPr>
    <w:rPr>
      <w:rFonts w:ascii="宋体" w:hAnsi="宋体" w:eastAsia="宋体" w:cs="宋体"/>
      <w:kern w:val="0"/>
      <w:sz w:val="18"/>
      <w:szCs w:val="18"/>
      <w:lang w:val="zh-CN"/>
    </w:rPr>
  </w:style>
  <w:style w:type="paragraph" w:styleId="25">
    <w:name w:val="footer"/>
    <w:basedOn w:val="1"/>
    <w:link w:val="68"/>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26">
    <w:name w:val="header"/>
    <w:basedOn w:val="1"/>
    <w:link w:val="66"/>
    <w:unhideWhenUsed/>
    <w:qFormat/>
    <w:uiPriority w:val="0"/>
    <w:pPr>
      <w:widowControl/>
      <w:pBdr>
        <w:bottom w:val="single" w:color="auto" w:sz="6" w:space="1"/>
      </w:pBdr>
      <w:tabs>
        <w:tab w:val="center" w:pos="4153"/>
        <w:tab w:val="right" w:pos="8306"/>
      </w:tabs>
      <w:snapToGrid w:val="0"/>
      <w:jc w:val="center"/>
    </w:pPr>
    <w:rPr>
      <w:rFonts w:ascii="宋体" w:hAnsi="宋体" w:eastAsia="宋体" w:cs="宋体"/>
      <w:kern w:val="0"/>
      <w:sz w:val="18"/>
      <w:szCs w:val="18"/>
    </w:rPr>
  </w:style>
  <w:style w:type="paragraph" w:styleId="27">
    <w:name w:val="toc 1"/>
    <w:basedOn w:val="1"/>
    <w:next w:val="1"/>
    <w:qFormat/>
    <w:uiPriority w:val="39"/>
    <w:pPr>
      <w:widowControl/>
      <w:spacing w:before="120" w:after="120"/>
      <w:jc w:val="left"/>
    </w:pPr>
    <w:rPr>
      <w:rFonts w:ascii="宋体" w:hAnsi="宋体" w:eastAsia="宋体" w:cs="宋体"/>
      <w:b/>
      <w:bCs/>
      <w:caps/>
      <w:kern w:val="0"/>
      <w:sz w:val="20"/>
      <w:szCs w:val="20"/>
    </w:rPr>
  </w:style>
  <w:style w:type="paragraph" w:styleId="28">
    <w:name w:val="toc 4"/>
    <w:basedOn w:val="1"/>
    <w:next w:val="1"/>
    <w:qFormat/>
    <w:uiPriority w:val="39"/>
    <w:pPr>
      <w:widowControl/>
      <w:ind w:left="720"/>
      <w:jc w:val="left"/>
    </w:pPr>
    <w:rPr>
      <w:rFonts w:ascii="宋体" w:hAnsi="宋体" w:eastAsia="宋体" w:cs="宋体"/>
      <w:kern w:val="0"/>
      <w:sz w:val="18"/>
      <w:szCs w:val="18"/>
    </w:rPr>
  </w:style>
  <w:style w:type="paragraph" w:styleId="29">
    <w:name w:val="footnote text"/>
    <w:basedOn w:val="1"/>
    <w:qFormat/>
    <w:uiPriority w:val="0"/>
    <w:pPr>
      <w:snapToGrid w:val="0"/>
      <w:jc w:val="left"/>
    </w:pPr>
    <w:rPr>
      <w:rFonts w:ascii="Times New Roman" w:hAnsi="Times New Roman" w:cs="Times New Roman"/>
      <w:sz w:val="18"/>
    </w:rPr>
  </w:style>
  <w:style w:type="paragraph" w:styleId="30">
    <w:name w:val="toc 6"/>
    <w:basedOn w:val="1"/>
    <w:next w:val="1"/>
    <w:qFormat/>
    <w:uiPriority w:val="39"/>
    <w:pPr>
      <w:widowControl/>
      <w:ind w:left="1200"/>
      <w:jc w:val="left"/>
    </w:pPr>
    <w:rPr>
      <w:rFonts w:ascii="宋体" w:hAnsi="宋体" w:eastAsia="宋体" w:cs="宋体"/>
      <w:kern w:val="0"/>
      <w:sz w:val="18"/>
      <w:szCs w:val="18"/>
    </w:rPr>
  </w:style>
  <w:style w:type="paragraph" w:styleId="31">
    <w:name w:val="List 5"/>
    <w:basedOn w:val="1"/>
    <w:qFormat/>
    <w:uiPriority w:val="0"/>
    <w:pPr>
      <w:widowControl/>
      <w:ind w:left="2100" w:hanging="420"/>
      <w:jc w:val="left"/>
    </w:pPr>
    <w:rPr>
      <w:rFonts w:ascii="宋体" w:hAnsi="宋体" w:eastAsia="宋体" w:cs="宋体"/>
      <w:kern w:val="0"/>
      <w:sz w:val="24"/>
      <w:szCs w:val="20"/>
    </w:rPr>
  </w:style>
  <w:style w:type="paragraph" w:styleId="32">
    <w:name w:val="Body Text Indent 3"/>
    <w:basedOn w:val="1"/>
    <w:link w:val="76"/>
    <w:qFormat/>
    <w:uiPriority w:val="0"/>
    <w:pPr>
      <w:widowControl/>
      <w:spacing w:line="400" w:lineRule="exact"/>
      <w:ind w:firstLine="630"/>
      <w:jc w:val="left"/>
    </w:pPr>
    <w:rPr>
      <w:rFonts w:ascii="宋体" w:hAnsi="宋体" w:eastAsia="宋体" w:cs="宋体"/>
      <w:kern w:val="0"/>
      <w:sz w:val="24"/>
      <w:szCs w:val="24"/>
    </w:rPr>
  </w:style>
  <w:style w:type="paragraph" w:styleId="33">
    <w:name w:val="toc 2"/>
    <w:basedOn w:val="1"/>
    <w:next w:val="1"/>
    <w:qFormat/>
    <w:uiPriority w:val="39"/>
    <w:pPr>
      <w:widowControl/>
      <w:ind w:left="240"/>
      <w:jc w:val="left"/>
    </w:pPr>
    <w:rPr>
      <w:rFonts w:ascii="宋体" w:hAnsi="宋体" w:eastAsia="宋体" w:cs="宋体"/>
      <w:smallCaps/>
      <w:kern w:val="0"/>
      <w:sz w:val="20"/>
      <w:szCs w:val="20"/>
    </w:rPr>
  </w:style>
  <w:style w:type="paragraph" w:styleId="34">
    <w:name w:val="toc 9"/>
    <w:basedOn w:val="1"/>
    <w:next w:val="1"/>
    <w:qFormat/>
    <w:uiPriority w:val="39"/>
    <w:pPr>
      <w:widowControl/>
      <w:ind w:left="1920"/>
      <w:jc w:val="left"/>
    </w:pPr>
    <w:rPr>
      <w:rFonts w:ascii="宋体" w:hAnsi="宋体" w:eastAsia="宋体" w:cs="宋体"/>
      <w:kern w:val="0"/>
      <w:sz w:val="18"/>
      <w:szCs w:val="18"/>
    </w:rPr>
  </w:style>
  <w:style w:type="paragraph" w:styleId="35">
    <w:name w:val="Body Text 2"/>
    <w:basedOn w:val="1"/>
    <w:link w:val="77"/>
    <w:qFormat/>
    <w:uiPriority w:val="0"/>
    <w:pPr>
      <w:widowControl/>
      <w:jc w:val="left"/>
    </w:pPr>
    <w:rPr>
      <w:rFonts w:ascii="楷体_GB2312" w:hAnsi="宋体" w:eastAsia="楷体_GB2312" w:cs="宋体"/>
      <w:color w:val="000000"/>
      <w:kern w:val="0"/>
      <w:sz w:val="24"/>
      <w:szCs w:val="21"/>
    </w:rPr>
  </w:style>
  <w:style w:type="paragraph" w:styleId="3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37">
    <w:name w:val="index 1"/>
    <w:basedOn w:val="1"/>
    <w:next w:val="1"/>
    <w:qFormat/>
    <w:uiPriority w:val="0"/>
    <w:pPr>
      <w:widowControl/>
      <w:spacing w:line="360" w:lineRule="auto"/>
      <w:jc w:val="left"/>
    </w:pPr>
    <w:rPr>
      <w:rFonts w:ascii="宋体" w:hAnsi="宋体" w:eastAsia="宋体" w:cs="宋体"/>
      <w:b/>
      <w:color w:val="0000FF"/>
      <w:kern w:val="0"/>
      <w:sz w:val="24"/>
      <w:szCs w:val="24"/>
    </w:rPr>
  </w:style>
  <w:style w:type="paragraph" w:styleId="38">
    <w:name w:val="Title"/>
    <w:basedOn w:val="1"/>
    <w:next w:val="1"/>
    <w:link w:val="86"/>
    <w:qFormat/>
    <w:uiPriority w:val="0"/>
    <w:pPr>
      <w:widowControl/>
      <w:spacing w:before="240" w:after="60"/>
      <w:jc w:val="center"/>
      <w:outlineLvl w:val="0"/>
    </w:pPr>
    <w:rPr>
      <w:rFonts w:ascii="Cambria" w:hAnsi="Cambria" w:eastAsia="宋体" w:cs="宋体"/>
      <w:b/>
      <w:bCs/>
      <w:kern w:val="0"/>
      <w:sz w:val="32"/>
      <w:szCs w:val="32"/>
    </w:rPr>
  </w:style>
  <w:style w:type="paragraph" w:styleId="39">
    <w:name w:val="annotation subject"/>
    <w:basedOn w:val="15"/>
    <w:next w:val="15"/>
    <w:link w:val="69"/>
    <w:unhideWhenUsed/>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unhideWhenUsed/>
    <w:qFormat/>
    <w:uiPriority w:val="99"/>
    <w:rPr>
      <w:color w:val="800080"/>
      <w:u w:val="single"/>
    </w:rPr>
  </w:style>
  <w:style w:type="character" w:styleId="46">
    <w:name w:val="Emphasis"/>
    <w:basedOn w:val="42"/>
    <w:qFormat/>
    <w:uiPriority w:val="20"/>
    <w:rPr>
      <w:i/>
    </w:rPr>
  </w:style>
  <w:style w:type="character" w:styleId="47">
    <w:name w:val="Hyperlink"/>
    <w:qFormat/>
    <w:uiPriority w:val="99"/>
    <w:rPr>
      <w:color w:val="0000FF"/>
      <w:u w:val="single"/>
    </w:rPr>
  </w:style>
  <w:style w:type="character" w:styleId="48">
    <w:name w:val="annotation reference"/>
    <w:unhideWhenUsed/>
    <w:qFormat/>
    <w:uiPriority w:val="99"/>
    <w:rPr>
      <w:sz w:val="21"/>
      <w:szCs w:val="21"/>
    </w:rPr>
  </w:style>
  <w:style w:type="character" w:styleId="49">
    <w:name w:val="footnote reference"/>
    <w:basedOn w:val="42"/>
    <w:semiHidden/>
    <w:unhideWhenUsed/>
    <w:qFormat/>
    <w:uiPriority w:val="99"/>
    <w:rPr>
      <w:vertAlign w:val="superscript"/>
    </w:rPr>
  </w:style>
  <w:style w:type="character" w:customStyle="1" w:styleId="50">
    <w:name w:val="标题 1 字符"/>
    <w:basedOn w:val="42"/>
    <w:link w:val="2"/>
    <w:qFormat/>
    <w:uiPriority w:val="0"/>
    <w:rPr>
      <w:rFonts w:ascii="华文细黑" w:hAnsi="宋体" w:eastAsia="宋体" w:cs="宋体"/>
      <w:b/>
      <w:bCs/>
      <w:snapToGrid w:val="0"/>
      <w:kern w:val="0"/>
      <w:sz w:val="28"/>
      <w:szCs w:val="44"/>
      <w:lang w:val="zh-CN" w:eastAsia="zh-CN"/>
    </w:rPr>
  </w:style>
  <w:style w:type="character" w:customStyle="1" w:styleId="51">
    <w:name w:val="标题 2 字符"/>
    <w:basedOn w:val="42"/>
    <w:link w:val="3"/>
    <w:qFormat/>
    <w:uiPriority w:val="0"/>
    <w:rPr>
      <w:rFonts w:ascii="华文细黑" w:hAnsi="Arial" w:eastAsia="宋体" w:cs="宋体"/>
      <w:b/>
      <w:bCs/>
      <w:kern w:val="0"/>
      <w:sz w:val="44"/>
      <w:szCs w:val="32"/>
      <w:lang w:val="zh-CN" w:eastAsia="zh-CN"/>
    </w:rPr>
  </w:style>
  <w:style w:type="character" w:customStyle="1" w:styleId="52">
    <w:name w:val="标题 3 字符"/>
    <w:basedOn w:val="42"/>
    <w:link w:val="4"/>
    <w:qFormat/>
    <w:uiPriority w:val="0"/>
    <w:rPr>
      <w:rFonts w:ascii="宋体" w:hAnsi="宋体" w:eastAsia="华文细黑" w:cs="宋体"/>
      <w:bCs/>
      <w:kern w:val="0"/>
      <w:sz w:val="36"/>
      <w:szCs w:val="32"/>
      <w:lang w:val="zh-CN" w:eastAsia="zh-CN"/>
    </w:rPr>
  </w:style>
  <w:style w:type="character" w:customStyle="1" w:styleId="53">
    <w:name w:val="标题 4 字符"/>
    <w:basedOn w:val="42"/>
    <w:link w:val="6"/>
    <w:qFormat/>
    <w:uiPriority w:val="0"/>
    <w:rPr>
      <w:rFonts w:ascii="Arial" w:hAnsi="Arial" w:eastAsia="黑体" w:cs="宋体"/>
      <w:b/>
      <w:bCs/>
      <w:kern w:val="0"/>
      <w:sz w:val="28"/>
      <w:szCs w:val="28"/>
      <w:lang w:val="zh-CN" w:eastAsia="zh-CN"/>
    </w:rPr>
  </w:style>
  <w:style w:type="character" w:customStyle="1" w:styleId="54">
    <w:name w:val="标题 5 字符"/>
    <w:basedOn w:val="42"/>
    <w:link w:val="7"/>
    <w:qFormat/>
    <w:uiPriority w:val="0"/>
    <w:rPr>
      <w:rFonts w:ascii="宋体" w:hAnsi="宋体" w:eastAsia="宋体" w:cs="宋体"/>
      <w:b/>
      <w:bCs/>
      <w:kern w:val="0"/>
      <w:sz w:val="28"/>
      <w:szCs w:val="28"/>
      <w:lang w:val="zh-CN" w:eastAsia="zh-CN"/>
    </w:rPr>
  </w:style>
  <w:style w:type="character" w:customStyle="1" w:styleId="55">
    <w:name w:val="标题 6 字符"/>
    <w:basedOn w:val="42"/>
    <w:link w:val="8"/>
    <w:qFormat/>
    <w:uiPriority w:val="0"/>
    <w:rPr>
      <w:rFonts w:ascii="Arial" w:hAnsi="Arial" w:eastAsia="黑体" w:cs="宋体"/>
      <w:b/>
      <w:bCs/>
      <w:kern w:val="0"/>
      <w:sz w:val="24"/>
      <w:szCs w:val="24"/>
      <w:lang w:val="zh-CN" w:eastAsia="zh-CN"/>
    </w:rPr>
  </w:style>
  <w:style w:type="character" w:customStyle="1" w:styleId="56">
    <w:name w:val="标题 7 字符"/>
    <w:basedOn w:val="42"/>
    <w:link w:val="9"/>
    <w:qFormat/>
    <w:uiPriority w:val="0"/>
    <w:rPr>
      <w:rFonts w:ascii="宋体" w:hAnsi="宋体" w:eastAsia="宋体" w:cs="宋体"/>
      <w:b/>
      <w:bCs/>
      <w:kern w:val="0"/>
      <w:sz w:val="24"/>
      <w:szCs w:val="24"/>
      <w:lang w:val="zh-CN" w:eastAsia="zh-CN"/>
    </w:rPr>
  </w:style>
  <w:style w:type="character" w:customStyle="1" w:styleId="57">
    <w:name w:val="标题 8 字符"/>
    <w:basedOn w:val="42"/>
    <w:link w:val="10"/>
    <w:qFormat/>
    <w:uiPriority w:val="0"/>
    <w:rPr>
      <w:rFonts w:ascii="Arial" w:hAnsi="Arial" w:eastAsia="黑体" w:cs="宋体"/>
      <w:kern w:val="0"/>
      <w:sz w:val="24"/>
      <w:szCs w:val="24"/>
      <w:lang w:val="zh-CN" w:eastAsia="zh-CN"/>
    </w:rPr>
  </w:style>
  <w:style w:type="character" w:customStyle="1" w:styleId="58">
    <w:name w:val="标题 9 字符"/>
    <w:basedOn w:val="42"/>
    <w:link w:val="11"/>
    <w:qFormat/>
    <w:uiPriority w:val="0"/>
    <w:rPr>
      <w:rFonts w:ascii="Arial" w:hAnsi="Arial" w:eastAsia="黑体" w:cs="宋体"/>
      <w:kern w:val="0"/>
      <w:sz w:val="24"/>
      <w:szCs w:val="21"/>
      <w:lang w:val="zh-CN" w:eastAsia="zh-CN"/>
    </w:rPr>
  </w:style>
  <w:style w:type="character" w:customStyle="1" w:styleId="59">
    <w:name w:val="批注文字 字符"/>
    <w:link w:val="15"/>
    <w:qFormat/>
    <w:uiPriority w:val="0"/>
    <w:rPr>
      <w:rFonts w:ascii="Times New Roman" w:hAnsi="Times New Roman"/>
      <w:szCs w:val="24"/>
    </w:rPr>
  </w:style>
  <w:style w:type="character" w:customStyle="1" w:styleId="60">
    <w:name w:val="批注文字 字符1"/>
    <w:basedOn w:val="42"/>
    <w:semiHidden/>
    <w:qFormat/>
    <w:uiPriority w:val="99"/>
  </w:style>
  <w:style w:type="character" w:customStyle="1" w:styleId="61">
    <w:name w:val="批注文字 Char1"/>
    <w:basedOn w:val="42"/>
    <w:qFormat/>
    <w:uiPriority w:val="0"/>
    <w:rPr>
      <w:rFonts w:ascii="Times New Roman" w:hAnsi="Times New Roman" w:eastAsia="宋体" w:cs="Times New Roman"/>
      <w:szCs w:val="24"/>
    </w:rPr>
  </w:style>
  <w:style w:type="character" w:customStyle="1" w:styleId="62">
    <w:name w:val="批注框文本 字符"/>
    <w:basedOn w:val="42"/>
    <w:link w:val="24"/>
    <w:qFormat/>
    <w:uiPriority w:val="0"/>
    <w:rPr>
      <w:rFonts w:ascii="宋体" w:hAnsi="宋体" w:eastAsia="宋体" w:cs="宋体"/>
      <w:kern w:val="0"/>
      <w:sz w:val="18"/>
      <w:szCs w:val="18"/>
      <w:lang w:val="zh-CN" w:eastAsia="zh-CN"/>
    </w:rPr>
  </w:style>
  <w:style w:type="character" w:customStyle="1" w:styleId="63">
    <w:name w:val="文档结构图 字符"/>
    <w:link w:val="14"/>
    <w:qFormat/>
    <w:uiPriority w:val="0"/>
    <w:rPr>
      <w:rFonts w:ascii="Times New Roman" w:hAnsi="Times New Roman"/>
      <w:sz w:val="24"/>
      <w:szCs w:val="24"/>
      <w:shd w:val="clear" w:color="auto" w:fill="000080"/>
    </w:rPr>
  </w:style>
  <w:style w:type="character" w:customStyle="1" w:styleId="64">
    <w:name w:val="文档结构图 字符1"/>
    <w:basedOn w:val="42"/>
    <w:semiHidden/>
    <w:qFormat/>
    <w:uiPriority w:val="99"/>
    <w:rPr>
      <w:rFonts w:ascii="Microsoft YaHei UI" w:eastAsia="Microsoft YaHei UI"/>
      <w:sz w:val="18"/>
      <w:szCs w:val="18"/>
    </w:rPr>
  </w:style>
  <w:style w:type="character" w:customStyle="1" w:styleId="65">
    <w:name w:val="文档结构图 Char1"/>
    <w:basedOn w:val="42"/>
    <w:qFormat/>
    <w:uiPriority w:val="0"/>
    <w:rPr>
      <w:rFonts w:ascii="宋体" w:hAnsi="Times New Roman" w:eastAsia="宋体" w:cs="Times New Roman"/>
      <w:sz w:val="18"/>
      <w:szCs w:val="18"/>
    </w:rPr>
  </w:style>
  <w:style w:type="character" w:customStyle="1" w:styleId="66">
    <w:name w:val="页眉 字符"/>
    <w:basedOn w:val="42"/>
    <w:link w:val="26"/>
    <w:qFormat/>
    <w:uiPriority w:val="0"/>
    <w:rPr>
      <w:rFonts w:ascii="宋体" w:hAnsi="宋体" w:eastAsia="宋体" w:cs="宋体"/>
      <w:kern w:val="0"/>
      <w:sz w:val="18"/>
      <w:szCs w:val="18"/>
    </w:rPr>
  </w:style>
  <w:style w:type="character" w:customStyle="1" w:styleId="67">
    <w:name w:val="日期 Char1"/>
    <w:basedOn w:val="42"/>
    <w:qFormat/>
    <w:uiPriority w:val="0"/>
    <w:rPr>
      <w:rFonts w:ascii="Times New Roman" w:hAnsi="Times New Roman" w:eastAsia="宋体" w:cs="Times New Roman"/>
      <w:szCs w:val="24"/>
    </w:rPr>
  </w:style>
  <w:style w:type="character" w:customStyle="1" w:styleId="68">
    <w:name w:val="页脚 字符"/>
    <w:basedOn w:val="42"/>
    <w:link w:val="25"/>
    <w:qFormat/>
    <w:uiPriority w:val="99"/>
    <w:rPr>
      <w:rFonts w:ascii="宋体" w:hAnsi="宋体" w:eastAsia="宋体" w:cs="宋体"/>
      <w:kern w:val="0"/>
      <w:sz w:val="18"/>
      <w:szCs w:val="18"/>
    </w:rPr>
  </w:style>
  <w:style w:type="character" w:customStyle="1" w:styleId="69">
    <w:name w:val="批注主题 字符"/>
    <w:basedOn w:val="60"/>
    <w:link w:val="39"/>
    <w:qFormat/>
    <w:uiPriority w:val="0"/>
    <w:rPr>
      <w:rFonts w:ascii="Times New Roman" w:hAnsi="Times New Roman"/>
      <w:b/>
      <w:bCs/>
      <w:szCs w:val="24"/>
    </w:rPr>
  </w:style>
  <w:style w:type="paragraph" w:customStyle="1" w:styleId="70">
    <w:name w:val="修订1"/>
    <w:hidden/>
    <w:qFormat/>
    <w:uiPriority w:val="71"/>
    <w:rPr>
      <w:rFonts w:ascii="Times New Roman" w:hAnsi="Times New Roman" w:eastAsia="宋体" w:cs="Times New Roman"/>
      <w:kern w:val="2"/>
      <w:sz w:val="21"/>
      <w:szCs w:val="24"/>
      <w:lang w:val="en-US" w:eastAsia="zh-CN" w:bidi="ar-SA"/>
    </w:rPr>
  </w:style>
  <w:style w:type="paragraph" w:customStyle="1" w:styleId="71">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72">
    <w:name w:val="纯文本 字符"/>
    <w:basedOn w:val="42"/>
    <w:link w:val="20"/>
    <w:qFormat/>
    <w:uiPriority w:val="0"/>
    <w:rPr>
      <w:rFonts w:ascii="宋体" w:hAnsi="Courier New" w:eastAsia="宋体" w:cs="Courier New"/>
      <w:kern w:val="0"/>
      <w:sz w:val="24"/>
      <w:szCs w:val="21"/>
    </w:rPr>
  </w:style>
  <w:style w:type="character" w:customStyle="1" w:styleId="73">
    <w:name w:val="正文文本 字符"/>
    <w:basedOn w:val="42"/>
    <w:link w:val="16"/>
    <w:qFormat/>
    <w:uiPriority w:val="0"/>
    <w:rPr>
      <w:rFonts w:ascii="宋体" w:hAnsi="宋体" w:eastAsia="宋体" w:cs="宋体"/>
      <w:b/>
      <w:bCs/>
      <w:kern w:val="0"/>
      <w:sz w:val="24"/>
      <w:szCs w:val="24"/>
    </w:rPr>
  </w:style>
  <w:style w:type="character" w:customStyle="1" w:styleId="74">
    <w:name w:val="正文文本缩进 2 字符"/>
    <w:basedOn w:val="42"/>
    <w:link w:val="23"/>
    <w:qFormat/>
    <w:uiPriority w:val="0"/>
    <w:rPr>
      <w:rFonts w:ascii="宋体" w:hAnsi="宋体" w:eastAsia="仿宋_GB2312" w:cs="宋体"/>
      <w:kern w:val="0"/>
      <w:sz w:val="32"/>
      <w:szCs w:val="24"/>
    </w:rPr>
  </w:style>
  <w:style w:type="character" w:customStyle="1" w:styleId="75">
    <w:name w:val="正文文本缩进 字符"/>
    <w:basedOn w:val="42"/>
    <w:link w:val="17"/>
    <w:qFormat/>
    <w:uiPriority w:val="0"/>
    <w:rPr>
      <w:rFonts w:ascii="宋体" w:hAnsi="宋体" w:eastAsia="宋体" w:cs="宋体"/>
      <w:kern w:val="0"/>
      <w:sz w:val="24"/>
      <w:szCs w:val="20"/>
    </w:rPr>
  </w:style>
  <w:style w:type="character" w:customStyle="1" w:styleId="76">
    <w:name w:val="正文文本缩进 3 字符"/>
    <w:basedOn w:val="42"/>
    <w:link w:val="32"/>
    <w:qFormat/>
    <w:uiPriority w:val="0"/>
    <w:rPr>
      <w:rFonts w:ascii="宋体" w:hAnsi="宋体" w:eastAsia="宋体" w:cs="宋体"/>
      <w:kern w:val="0"/>
      <w:sz w:val="24"/>
      <w:szCs w:val="24"/>
    </w:rPr>
  </w:style>
  <w:style w:type="character" w:customStyle="1" w:styleId="77">
    <w:name w:val="正文文本 2 字符"/>
    <w:basedOn w:val="42"/>
    <w:link w:val="35"/>
    <w:qFormat/>
    <w:uiPriority w:val="0"/>
    <w:rPr>
      <w:rFonts w:ascii="楷体_GB2312" w:hAnsi="宋体" w:eastAsia="楷体_GB2312" w:cs="宋体"/>
      <w:color w:val="000000"/>
      <w:kern w:val="0"/>
      <w:sz w:val="24"/>
      <w:szCs w:val="21"/>
    </w:rPr>
  </w:style>
  <w:style w:type="character" w:customStyle="1" w:styleId="78">
    <w:name w:val="日期 字符"/>
    <w:link w:val="22"/>
    <w:qFormat/>
    <w:uiPriority w:val="0"/>
    <w:rPr>
      <w:szCs w:val="24"/>
    </w:rPr>
  </w:style>
  <w:style w:type="character" w:customStyle="1" w:styleId="79">
    <w:name w:val="日期 字符1"/>
    <w:basedOn w:val="42"/>
    <w:semiHidden/>
    <w:qFormat/>
    <w:uiPriority w:val="99"/>
  </w:style>
  <w:style w:type="character" w:customStyle="1" w:styleId="80">
    <w:name w:val="日期 Char2"/>
    <w:basedOn w:val="42"/>
    <w:semiHidden/>
    <w:qFormat/>
    <w:uiPriority w:val="0"/>
    <w:rPr>
      <w:rFonts w:ascii="Times New Roman" w:hAnsi="Times New Roman" w:eastAsia="宋体" w:cs="Times New Roman"/>
      <w:szCs w:val="24"/>
    </w:rPr>
  </w:style>
  <w:style w:type="paragraph" w:customStyle="1" w:styleId="81">
    <w:name w:val="Char"/>
    <w:basedOn w:val="1"/>
    <w:qFormat/>
    <w:uiPriority w:val="0"/>
    <w:pPr>
      <w:widowControl/>
      <w:tabs>
        <w:tab w:val="left" w:pos="360"/>
      </w:tabs>
      <w:jc w:val="left"/>
    </w:pPr>
    <w:rPr>
      <w:rFonts w:ascii="宋体" w:hAnsi="宋体" w:eastAsia="宋体" w:cs="宋体"/>
      <w:kern w:val="0"/>
      <w:sz w:val="24"/>
      <w:szCs w:val="24"/>
    </w:rPr>
  </w:style>
  <w:style w:type="paragraph" w:customStyle="1" w:styleId="82">
    <w:name w:val="彩色列表 - 强调文字颜色 11"/>
    <w:basedOn w:val="1"/>
    <w:qFormat/>
    <w:uiPriority w:val="0"/>
    <w:pPr>
      <w:widowControl/>
      <w:ind w:firstLine="420" w:firstLineChars="200"/>
      <w:jc w:val="left"/>
    </w:pPr>
    <w:rPr>
      <w:rFonts w:ascii="Calibri" w:hAnsi="Calibri" w:eastAsia="宋体" w:cs="宋体"/>
      <w:kern w:val="0"/>
      <w:sz w:val="24"/>
    </w:rPr>
  </w:style>
  <w:style w:type="paragraph" w:customStyle="1" w:styleId="83">
    <w:name w:val="Char Char Char Char"/>
    <w:basedOn w:val="1"/>
    <w:qFormat/>
    <w:uiPriority w:val="0"/>
    <w:pPr>
      <w:widowControl/>
      <w:tabs>
        <w:tab w:val="left" w:pos="360"/>
      </w:tabs>
      <w:jc w:val="left"/>
    </w:pPr>
    <w:rPr>
      <w:rFonts w:ascii="宋体" w:hAnsi="宋体" w:eastAsia="宋体" w:cs="宋体"/>
      <w:kern w:val="0"/>
      <w:sz w:val="24"/>
      <w:szCs w:val="24"/>
    </w:rPr>
  </w:style>
  <w:style w:type="paragraph" w:customStyle="1" w:styleId="84">
    <w:name w:val="Char1"/>
    <w:basedOn w:val="1"/>
    <w:qFormat/>
    <w:uiPriority w:val="0"/>
    <w:pPr>
      <w:widowControl/>
      <w:tabs>
        <w:tab w:val="left" w:pos="360"/>
      </w:tabs>
      <w:jc w:val="left"/>
    </w:pPr>
    <w:rPr>
      <w:rFonts w:ascii="宋体" w:hAnsi="宋体" w:eastAsia="宋体" w:cs="宋体"/>
      <w:kern w:val="0"/>
      <w:sz w:val="24"/>
      <w:szCs w:val="24"/>
    </w:rPr>
  </w:style>
  <w:style w:type="character" w:customStyle="1" w:styleId="85">
    <w:name w:val="defaultfont1"/>
    <w:basedOn w:val="42"/>
    <w:qFormat/>
    <w:uiPriority w:val="0"/>
  </w:style>
  <w:style w:type="character" w:customStyle="1" w:styleId="86">
    <w:name w:val="标题 字符"/>
    <w:basedOn w:val="42"/>
    <w:link w:val="38"/>
    <w:qFormat/>
    <w:uiPriority w:val="0"/>
    <w:rPr>
      <w:rFonts w:ascii="Cambria" w:hAnsi="Cambria" w:eastAsia="宋体" w:cs="宋体"/>
      <w:b/>
      <w:bCs/>
      <w:kern w:val="0"/>
      <w:sz w:val="32"/>
      <w:szCs w:val="32"/>
    </w:rPr>
  </w:style>
  <w:style w:type="character" w:customStyle="1" w:styleId="87">
    <w:name w:val="Char Char16"/>
    <w:qFormat/>
    <w:uiPriority w:val="0"/>
    <w:rPr>
      <w:rFonts w:ascii="华文细黑" w:hAnsi="Arial" w:eastAsia="宋体"/>
      <w:b/>
      <w:bCs/>
      <w:sz w:val="44"/>
      <w:szCs w:val="32"/>
      <w:lang w:val="en-US" w:eastAsia="zh-CN" w:bidi="ar-SA"/>
    </w:rPr>
  </w:style>
  <w:style w:type="character" w:customStyle="1" w:styleId="88">
    <w:name w:val="正文文本 (32) + 10.5 pt5"/>
    <w:qFormat/>
    <w:uiPriority w:val="99"/>
    <w:rPr>
      <w:rFonts w:ascii="MingLiU" w:eastAsia="MingLiU" w:cs="MingLiU"/>
      <w:sz w:val="21"/>
      <w:szCs w:val="21"/>
      <w:u w:val="none"/>
    </w:rPr>
  </w:style>
  <w:style w:type="character" w:customStyle="1" w:styleId="89">
    <w:name w:val="正文文本 (2)_"/>
    <w:link w:val="90"/>
    <w:qFormat/>
    <w:uiPriority w:val="99"/>
    <w:rPr>
      <w:rFonts w:ascii="MingLiU" w:eastAsia="MingLiU" w:cs="MingLiU"/>
      <w:spacing w:val="20"/>
      <w:sz w:val="19"/>
      <w:szCs w:val="19"/>
      <w:shd w:val="clear" w:color="auto" w:fill="FFFFFF"/>
    </w:rPr>
  </w:style>
  <w:style w:type="paragraph" w:customStyle="1" w:styleId="90">
    <w:name w:val="正文文本 (2)1"/>
    <w:basedOn w:val="1"/>
    <w:link w:val="89"/>
    <w:qFormat/>
    <w:uiPriority w:val="99"/>
    <w:pPr>
      <w:widowControl/>
      <w:shd w:val="clear" w:color="auto" w:fill="FFFFFF"/>
      <w:spacing w:after="1320" w:line="240" w:lineRule="atLeast"/>
      <w:jc w:val="left"/>
    </w:pPr>
    <w:rPr>
      <w:rFonts w:ascii="MingLiU" w:eastAsia="MingLiU" w:cs="MingLiU"/>
      <w:spacing w:val="20"/>
      <w:sz w:val="19"/>
      <w:szCs w:val="19"/>
    </w:rPr>
  </w:style>
  <w:style w:type="character" w:customStyle="1" w:styleId="91">
    <w:name w:val="正文文本 (32) + 10.5 pt"/>
    <w:qFormat/>
    <w:uiPriority w:val="99"/>
    <w:rPr>
      <w:rFonts w:ascii="MingLiU" w:eastAsia="MingLiU" w:cs="MingLiU"/>
      <w:sz w:val="21"/>
      <w:szCs w:val="21"/>
      <w:u w:val="none"/>
    </w:rPr>
  </w:style>
  <w:style w:type="character" w:customStyle="1" w:styleId="92">
    <w:name w:val="正文文本 (2) + 6 pt"/>
    <w:qFormat/>
    <w:uiPriority w:val="99"/>
    <w:rPr>
      <w:rFonts w:ascii="MingLiU" w:eastAsia="MingLiU" w:cs="MingLiU"/>
      <w:spacing w:val="0"/>
      <w:sz w:val="12"/>
      <w:szCs w:val="12"/>
      <w:u w:val="none"/>
      <w:shd w:val="clear" w:color="auto" w:fill="FFFFFF"/>
    </w:rPr>
  </w:style>
  <w:style w:type="paragraph" w:customStyle="1" w:styleId="9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4">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
    <w:name w:val="reader-word-layer reader-word-s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
    <w:name w:val="reader-word-layer reader-word-s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wmf"/><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195</Pages>
  <Words>1457</Words>
  <Characters>1610</Characters>
  <Lines>1047</Lines>
  <Paragraphs>294</Paragraphs>
  <TotalTime>5</TotalTime>
  <ScaleCrop>false</ScaleCrop>
  <LinksUpToDate>false</LinksUpToDate>
  <CharactersWithSpaces>1714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2021-11-03T16:06:00Z</dcterms:created>
  <dc:creator>靳 欢</dc:creator>
  <cp:lastModifiedBy>yanliping</cp:lastModifiedBy>
  <cp:lastPrinted>2021-03-19T16:59:00Z</cp:lastPrinted>
  <dcterms:modified xsi:type="dcterms:W3CDTF">2025-07-07T15:48:06Z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87189F7C6F164319A49942336A76FC4B_13</vt:lpwstr>
  </property>
  <property fmtid="{D5CDD505-2E9C-101B-9397-08002B2CF9AE}" pid="4" name="KSOTemplateDocerSaveRecord">
    <vt:lpwstr>eyJoZGlkIjoiMjgxNDIzNjM1OWU4NDRiM2NkZjUzMDIwMzcyZjAzYmEiLCJ1c2VySWQiOiIzMTY4Njk4MDUifQ==</vt:lpwstr>
  </property>
</Properties>
</file>