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ascii="仿宋_GB2312" w:hAnsi="仿宋_GB2312" w:eastAsia="仿宋_GB2312" w:cs="仿宋_GB2312"/>
          <w:b/>
          <w:sz w:val="30"/>
          <w:szCs w:val="30"/>
        </w:rPr>
      </w:pPr>
    </w:p>
    <w:p>
      <w:pPr>
        <w:spacing w:line="560" w:lineRule="exact"/>
        <w:ind w:firstLine="0" w:firstLineChars="0"/>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深圳市本级公租房小区物业服务</w:t>
      </w:r>
    </w:p>
    <w:p>
      <w:pPr>
        <w:spacing w:line="560" w:lineRule="exact"/>
        <w:ind w:firstLine="0" w:firstLineChars="0"/>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履约评价办法</w:t>
      </w:r>
    </w:p>
    <w:p>
      <w:pPr>
        <w:spacing w:line="560" w:lineRule="exact"/>
        <w:ind w:firstLine="600"/>
        <w:rPr>
          <w:rFonts w:ascii="仿宋_GB2312" w:hAnsi="仿宋_GB2312" w:eastAsia="仿宋_GB2312" w:cs="仿宋_GB2312"/>
          <w:sz w:val="30"/>
          <w:szCs w:val="30"/>
        </w:rPr>
      </w:pPr>
    </w:p>
    <w:p>
      <w:pPr>
        <w:spacing w:line="560" w:lineRule="exact"/>
        <w:ind w:firstLine="0" w:firstLineChars="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第一章</w:t>
      </w:r>
      <w:r>
        <w:rPr>
          <w:rFonts w:ascii="仿宋_GB2312" w:hAnsi="仿宋_GB2312" w:eastAsia="仿宋_GB2312" w:cs="仿宋_GB2312"/>
          <w:b/>
          <w:sz w:val="30"/>
          <w:szCs w:val="30"/>
        </w:rPr>
        <w:t>  </w:t>
      </w:r>
      <w:r>
        <w:rPr>
          <w:rFonts w:hint="eastAsia" w:ascii="仿宋_GB2312" w:hAnsi="仿宋_GB2312" w:eastAsia="仿宋_GB2312" w:cs="仿宋_GB2312"/>
          <w:b/>
          <w:sz w:val="30"/>
          <w:szCs w:val="30"/>
        </w:rPr>
        <w:t>总则</w:t>
      </w:r>
    </w:p>
    <w:p>
      <w:pPr>
        <w:spacing w:line="560" w:lineRule="exact"/>
        <w:ind w:firstLine="0" w:firstLineChars="0"/>
        <w:jc w:val="center"/>
        <w:rPr>
          <w:rFonts w:ascii="仿宋_GB2312" w:hAnsi="仿宋_GB2312" w:eastAsia="仿宋_GB2312" w:cs="仿宋_GB2312"/>
          <w:sz w:val="30"/>
          <w:szCs w:val="30"/>
        </w:rPr>
      </w:pPr>
      <w:bookmarkStart w:id="0" w:name="_GoBack"/>
      <w:bookmarkEnd w:id="0"/>
    </w:p>
    <w:p>
      <w:pPr>
        <w:numPr>
          <w:ilvl w:val="0"/>
          <w:numId w:val="1"/>
        </w:numPr>
        <w:spacing w:line="560" w:lineRule="exact"/>
        <w:ind w:firstLine="600"/>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为了掌握公租房小区物业服务企业的真实服务水平，逐步提升公租房物业服务企业物业服务质量水平，创造平安和谐的公租房社区生活环境。根据有关法律法规和管理制度的规定，结合公租房物业管理实际，特制定本办法。</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履约评价工作应遵循公开、公平、公正的原则，以客观量化、第三方评价以及定性和定量相结合的形式，评价过客应当客观反映物业服务企业的履约程度和服务水平。</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第三条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本办法所称的公租房小区是指深圳市住房和建设局提供政策支持，各种社会主体通过新建或者其他方式筹集而建设的公租房。</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第四条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深圳市住房</w:t>
      </w:r>
      <w:r>
        <w:rPr>
          <w:rFonts w:hint="eastAsia" w:ascii="仿宋_GB2312" w:hAnsi="仿宋_GB2312" w:eastAsia="仿宋_GB2312" w:cs="仿宋_GB2312"/>
          <w:bCs/>
          <w:sz w:val="30"/>
          <w:szCs w:val="30"/>
        </w:rPr>
        <w:t>保障署（以下简称市保障署）</w:t>
      </w:r>
      <w:r>
        <w:rPr>
          <w:rFonts w:hint="eastAsia" w:ascii="仿宋_GB2312" w:hAnsi="仿宋_GB2312" w:eastAsia="仿宋_GB2312" w:cs="仿宋_GB2312"/>
          <w:sz w:val="30"/>
          <w:szCs w:val="30"/>
        </w:rPr>
        <w:t>负责公租房小区物业服务企业的履约评价工作。</w:t>
      </w:r>
    </w:p>
    <w:p>
      <w:pPr>
        <w:spacing w:line="560" w:lineRule="exact"/>
        <w:ind w:firstLine="0" w:firstLineChars="0"/>
        <w:rPr>
          <w:rFonts w:ascii="仿宋_GB2312" w:hAnsi="仿宋_GB2312" w:eastAsia="仿宋_GB2312" w:cs="仿宋_GB2312"/>
          <w:sz w:val="30"/>
          <w:szCs w:val="30"/>
        </w:rPr>
      </w:pPr>
    </w:p>
    <w:p>
      <w:pPr>
        <w:spacing w:line="560" w:lineRule="exact"/>
        <w:ind w:firstLine="0" w:firstLineChars="0"/>
        <w:jc w:val="center"/>
        <w:rPr>
          <w:rFonts w:ascii="仿宋_GB2312" w:hAnsi="仿宋_GB2312" w:eastAsia="仿宋_GB2312" w:cs="仿宋_GB2312"/>
          <w:bCs/>
          <w:sz w:val="30"/>
          <w:szCs w:val="30"/>
        </w:rPr>
      </w:pPr>
      <w:r>
        <w:rPr>
          <w:rFonts w:hint="eastAsia" w:ascii="仿宋_GB2312" w:hAnsi="仿宋_GB2312" w:eastAsia="仿宋_GB2312" w:cs="仿宋_GB2312"/>
          <w:b/>
          <w:bCs/>
          <w:sz w:val="30"/>
          <w:szCs w:val="30"/>
        </w:rPr>
        <w:t>第二章　评价方式</w:t>
      </w:r>
    </w:p>
    <w:p>
      <w:pPr>
        <w:spacing w:line="560" w:lineRule="exact"/>
        <w:ind w:firstLine="0" w:firstLineChars="0"/>
        <w:rPr>
          <w:rFonts w:ascii="仿宋_GB2312" w:hAnsi="仿宋_GB2312" w:eastAsia="仿宋_GB2312" w:cs="仿宋_GB2312"/>
          <w:bCs/>
          <w:sz w:val="30"/>
          <w:szCs w:val="30"/>
        </w:rPr>
      </w:pP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第五条</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履约评价原则上每半年实施一次，由市保障署委托专业的第三方机构进行评价。</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第六条</w:t>
      </w:r>
      <w:r>
        <w:rPr>
          <w:rFonts w:ascii="仿宋_GB2312" w:hAnsi="仿宋_GB2312" w:eastAsia="仿宋_GB2312" w:cs="仿宋_GB2312"/>
          <w:sz w:val="30"/>
          <w:szCs w:val="30"/>
        </w:rPr>
        <w:t xml:space="preserve"> </w:t>
      </w:r>
      <w:r>
        <w:rPr>
          <w:rFonts w:hint="eastAsia" w:ascii="仿宋_GB2312" w:hAnsi="仿宋_GB2312" w:eastAsia="仿宋_GB2312" w:cs="仿宋_GB2312"/>
          <w:bCs/>
          <w:sz w:val="30"/>
          <w:szCs w:val="30"/>
        </w:rPr>
        <w:t>履约</w:t>
      </w:r>
      <w:r>
        <w:rPr>
          <w:rFonts w:hint="eastAsia" w:ascii="仿宋_GB2312" w:hAnsi="仿宋_GB2312" w:eastAsia="仿宋_GB2312" w:cs="仿宋_GB2312"/>
          <w:sz w:val="30"/>
          <w:szCs w:val="30"/>
        </w:rPr>
        <w:t>评价采用综合评定打分的方式，评价体系共包括四个模块，分别为现场考评、甲方评价、租户评价和信用信息记录认定。</w:t>
      </w:r>
    </w:p>
    <w:p>
      <w:pPr>
        <w:spacing w:line="560" w:lineRule="exact"/>
        <w:ind w:firstLine="0" w:firstLineChars="0"/>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第七条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现场考评是指考评专家对项目物业服务的基础管理、房屋管理、设备设施维护、安全与环境管理等方面进行的现场检查与评价。</w:t>
      </w:r>
    </w:p>
    <w:p>
      <w:pPr>
        <w:numPr>
          <w:ilvl w:val="0"/>
          <w:numId w:val="2"/>
        </w:num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甲方评价主要是指合同委托方或大业主对被委托方在物业服务监管、服务沟通、甲方需求配合以及合同履行等方面的认可程度。</w:t>
      </w:r>
    </w:p>
    <w:p>
      <w:pPr>
        <w:spacing w:line="560" w:lineRule="exact"/>
        <w:ind w:firstLine="0" w:firstLineChars="0"/>
        <w:rPr>
          <w:rFonts w:ascii="仿宋_GB2312" w:hAnsi="仿宋_GB2312" w:eastAsia="仿宋_GB2312" w:cs="仿宋_GB2312"/>
          <w:b/>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第九条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租户评价是指本项目的租户对物业服务体验的评价，通过租户评价，了解对物业服务的满意程度。</w:t>
      </w:r>
    </w:p>
    <w:p>
      <w:pPr>
        <w:spacing w:line="560" w:lineRule="exact"/>
        <w:ind w:firstLine="600"/>
        <w:rPr>
          <w:rFonts w:ascii="仿宋_GB2312" w:hAnsi="仿宋_GB2312" w:eastAsia="仿宋_GB2312" w:cs="仿宋_GB2312"/>
          <w:b/>
          <w:sz w:val="30"/>
          <w:szCs w:val="30"/>
        </w:rPr>
      </w:pPr>
      <w:r>
        <w:rPr>
          <w:rFonts w:hint="eastAsia" w:ascii="仿宋_GB2312" w:hAnsi="仿宋_GB2312" w:eastAsia="仿宋_GB2312" w:cs="仿宋_GB2312"/>
          <w:sz w:val="30"/>
          <w:szCs w:val="30"/>
        </w:rPr>
        <w:t>第十条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信用信息记录认定是指企业及受评价项目获得的荣誉和受到的惩处。</w:t>
      </w:r>
    </w:p>
    <w:p>
      <w:pPr>
        <w:spacing w:line="560" w:lineRule="exact"/>
        <w:ind w:firstLine="0" w:firstLineChars="0"/>
        <w:jc w:val="center"/>
        <w:rPr>
          <w:rFonts w:ascii="仿宋_GB2312" w:hAnsi="仿宋_GB2312" w:eastAsia="仿宋_GB2312" w:cs="仿宋_GB2312"/>
          <w:b/>
          <w:sz w:val="30"/>
          <w:szCs w:val="30"/>
        </w:rPr>
      </w:pPr>
    </w:p>
    <w:p>
      <w:pPr>
        <w:numPr>
          <w:ilvl w:val="0"/>
          <w:numId w:val="3"/>
        </w:numPr>
        <w:spacing w:line="560" w:lineRule="exact"/>
        <w:ind w:firstLine="0" w:firstLineChars="0"/>
        <w:jc w:val="center"/>
        <w:rPr>
          <w:rFonts w:ascii="仿宋_GB2312" w:hAnsi="仿宋_GB2312" w:eastAsia="仿宋_GB2312" w:cs="仿宋_GB2312"/>
          <w:b/>
          <w:sz w:val="30"/>
          <w:szCs w:val="30"/>
        </w:rPr>
      </w:pPr>
      <w:r>
        <w:rPr>
          <w:rFonts w:ascii="仿宋_GB2312" w:hAnsi="仿宋_GB2312" w:eastAsia="仿宋_GB2312" w:cs="仿宋_GB2312"/>
          <w:b/>
          <w:sz w:val="30"/>
          <w:szCs w:val="30"/>
        </w:rPr>
        <w:t>  </w:t>
      </w:r>
      <w:r>
        <w:rPr>
          <w:rFonts w:hint="eastAsia" w:ascii="仿宋_GB2312" w:hAnsi="仿宋_GB2312" w:eastAsia="仿宋_GB2312" w:cs="仿宋_GB2312"/>
          <w:b/>
          <w:sz w:val="30"/>
          <w:szCs w:val="30"/>
        </w:rPr>
        <w:t>评价控制</w:t>
      </w:r>
    </w:p>
    <w:p>
      <w:pPr>
        <w:spacing w:line="560" w:lineRule="exact"/>
        <w:ind w:firstLine="600" w:firstLineChars="0"/>
        <w:rPr>
          <w:rFonts w:ascii="仿宋_GB2312" w:hAnsi="仿宋_GB2312" w:eastAsia="仿宋_GB2312" w:cs="仿宋_GB2312"/>
          <w:sz w:val="30"/>
          <w:szCs w:val="30"/>
        </w:rPr>
      </w:pPr>
    </w:p>
    <w:p>
      <w:pPr>
        <w:spacing w:line="560" w:lineRule="exact"/>
        <w:ind w:firstLine="600" w:firstLineChars="0"/>
        <w:rPr>
          <w:rFonts w:ascii="仿宋_GB2312" w:hAnsi="仿宋_GB2312" w:eastAsia="仿宋_GB2312" w:cs="仿宋_GB2312"/>
          <w:bCs/>
          <w:sz w:val="30"/>
          <w:szCs w:val="30"/>
        </w:rPr>
      </w:pPr>
      <w:r>
        <w:rPr>
          <w:rFonts w:hint="eastAsia" w:ascii="仿宋_GB2312" w:hAnsi="仿宋_GB2312" w:eastAsia="仿宋_GB2312" w:cs="仿宋_GB2312"/>
          <w:sz w:val="30"/>
          <w:szCs w:val="30"/>
        </w:rPr>
        <w:t>第十一条</w:t>
      </w:r>
      <w:r>
        <w:rPr>
          <w:rFonts w:ascii="仿宋_GB2312" w:hAnsi="仿宋_GB2312" w:eastAsia="仿宋_GB2312" w:cs="仿宋_GB2312"/>
          <w:sz w:val="30"/>
          <w:szCs w:val="30"/>
        </w:rPr>
        <w:t xml:space="preserve"> </w:t>
      </w:r>
      <w:r>
        <w:rPr>
          <w:rFonts w:hint="eastAsia" w:ascii="仿宋_GB2312" w:hAnsi="仿宋_GB2312" w:eastAsia="仿宋_GB2312" w:cs="仿宋_GB2312"/>
          <w:bCs/>
          <w:sz w:val="30"/>
          <w:szCs w:val="30"/>
        </w:rPr>
        <w:t>现场评价期间，市保障署应派遣一到两名工作人员，作为甲方代表参与考评。负责考评过程的管理监督、协调。</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第十二条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现场考评发现的问题，物业服务企业应当在10个工作日内进行整改，并将整改的结果报送给</w:t>
      </w:r>
      <w:r>
        <w:rPr>
          <w:rFonts w:hint="eastAsia" w:ascii="仿宋_GB2312" w:hAnsi="仿宋_GB2312" w:eastAsia="仿宋_GB2312" w:cs="仿宋_GB2312"/>
          <w:bCs/>
          <w:sz w:val="30"/>
          <w:szCs w:val="30"/>
        </w:rPr>
        <w:t>评价工作组</w:t>
      </w:r>
      <w:r>
        <w:rPr>
          <w:rFonts w:hint="eastAsia" w:ascii="仿宋_GB2312" w:hAnsi="仿宋_GB2312" w:eastAsia="仿宋_GB2312" w:cs="仿宋_GB2312"/>
          <w:sz w:val="30"/>
          <w:szCs w:val="30"/>
        </w:rPr>
        <w:t>。</w:t>
      </w:r>
    </w:p>
    <w:p>
      <w:pPr>
        <w:spacing w:line="560" w:lineRule="exact"/>
        <w:ind w:firstLine="600"/>
        <w:rPr>
          <w:rFonts w:ascii="仿宋_GB2312" w:hAnsi="仿宋_GB2312" w:eastAsia="仿宋_GB2312" w:cs="仿宋_GB2312"/>
          <w:b/>
          <w:sz w:val="30"/>
          <w:szCs w:val="30"/>
        </w:rPr>
      </w:pPr>
      <w:r>
        <w:rPr>
          <w:rFonts w:hint="eastAsia" w:ascii="仿宋_GB2312" w:hAnsi="仿宋_GB2312" w:eastAsia="仿宋_GB2312" w:cs="仿宋_GB2312"/>
          <w:sz w:val="30"/>
          <w:szCs w:val="30"/>
        </w:rPr>
        <w:t>第十三条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租户评价包括有效投诉数量统计和租户访谈评价。</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有效投诉数量统计是根据市保障署统计的因公租房物业管理单位对租户反映问题处理不当或不及时，进而投诉至市保障署的有效投诉数量。</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租户评价中，应随机向本项目的租户总数的0.5</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租户进行书面调查，租户需签字后回收。</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第十四条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信用信息的认定由被考评的公共租赁住房项目提供相关证明信息，完成后被考评项目代表签字确认。</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sz w:val="30"/>
          <w:szCs w:val="30"/>
        </w:rPr>
        <w:t>第十二条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对本履约评价为不合格的物业服务企业，市保障署应发送整改通知，要求物业服务企业按通知单对照整改，整改完成后同时上报。</w:t>
      </w:r>
    </w:p>
    <w:p>
      <w:pPr>
        <w:spacing w:line="560" w:lineRule="exact"/>
        <w:ind w:firstLine="0" w:firstLineChars="0"/>
        <w:rPr>
          <w:rFonts w:ascii="仿宋_GB2312" w:hAnsi="仿宋_GB2312" w:eastAsia="仿宋_GB2312" w:cs="仿宋_GB2312"/>
          <w:bCs/>
          <w:sz w:val="30"/>
          <w:szCs w:val="30"/>
        </w:rPr>
      </w:pPr>
    </w:p>
    <w:p>
      <w:pPr>
        <w:spacing w:line="560" w:lineRule="exact"/>
        <w:ind w:firstLine="0" w:firstLineChars="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第四章　考评记分与处理</w:t>
      </w:r>
    </w:p>
    <w:p>
      <w:pPr>
        <w:spacing w:line="560" w:lineRule="exact"/>
        <w:ind w:firstLine="600"/>
        <w:rPr>
          <w:rFonts w:ascii="仿宋_GB2312" w:hAnsi="仿宋_GB2312" w:eastAsia="仿宋_GB2312" w:cs="仿宋_GB2312"/>
          <w:bCs/>
          <w:sz w:val="30"/>
          <w:szCs w:val="30"/>
        </w:rPr>
      </w:pPr>
    </w:p>
    <w:p>
      <w:pPr>
        <w:numPr>
          <w:ilvl w:val="0"/>
          <w:numId w:val="4"/>
        </w:num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评价体系四个模块的每个模块分别为满分</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分并赋予相应权重。其中现场考评占总分的30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，甲方评价占30%，租户评价占35%（其中有效投诉占15%，租户访谈占20%），信用信息记录认定占5%。</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第十九条</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市保障署应在评价结束后及时将评价结果报告市住房和建设局、市采购中心等单位；非单一产权公租房小区考评结果同时函告该小区业主委员会。</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第二十条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根据评价结果，对优秀物业服务企业在年底给予表彰，在以后公司的物业招标过程中，享受优惠待遇；视情况可将履约评价结果在网站进行公布。</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sz w:val="30"/>
          <w:szCs w:val="30"/>
        </w:rPr>
        <w:t>第二十一条</w:t>
      </w:r>
      <w:r>
        <w:rPr>
          <w:rFonts w:ascii="仿宋_GB2312" w:hAnsi="仿宋_GB2312" w:eastAsia="仿宋_GB2312" w:cs="仿宋_GB2312"/>
          <w:sz w:val="30"/>
          <w:szCs w:val="30"/>
        </w:rPr>
        <w:t xml:space="preserve"> </w:t>
      </w:r>
      <w:r>
        <w:rPr>
          <w:rFonts w:hint="eastAsia" w:ascii="仿宋_GB2312" w:hAnsi="仿宋_GB2312" w:eastAsia="仿宋_GB2312" w:cs="仿宋_GB2312"/>
          <w:bCs/>
          <w:sz w:val="30"/>
          <w:szCs w:val="30"/>
        </w:rPr>
        <w:t>评价结果分为四级，分别为：</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1</w:t>
      </w:r>
      <w:r>
        <w:rPr>
          <w:rFonts w:hint="eastAsia" w:ascii="仿宋_GB2312" w:hAnsi="仿宋_GB2312" w:eastAsia="仿宋_GB2312" w:cs="仿宋_GB2312"/>
          <w:bCs/>
          <w:sz w:val="30"/>
          <w:szCs w:val="30"/>
        </w:rPr>
        <w:t>.优秀：评价分数为</w:t>
      </w:r>
      <w:r>
        <w:rPr>
          <w:rFonts w:ascii="仿宋_GB2312" w:hAnsi="仿宋_GB2312" w:eastAsia="仿宋_GB2312" w:cs="仿宋_GB2312"/>
          <w:bCs/>
          <w:sz w:val="30"/>
          <w:szCs w:val="30"/>
        </w:rPr>
        <w:t>90</w:t>
      </w:r>
      <w:r>
        <w:rPr>
          <w:rFonts w:hint="eastAsia" w:ascii="仿宋_GB2312" w:hAnsi="仿宋_GB2312" w:eastAsia="仿宋_GB2312" w:cs="仿宋_GB2312"/>
          <w:bCs/>
          <w:sz w:val="30"/>
          <w:szCs w:val="30"/>
        </w:rPr>
        <w:t>（含）分以上。</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2</w:t>
      </w:r>
      <w:r>
        <w:rPr>
          <w:rFonts w:hint="eastAsia" w:ascii="仿宋_GB2312" w:hAnsi="仿宋_GB2312" w:eastAsia="仿宋_GB2312" w:cs="仿宋_GB2312"/>
          <w:bCs/>
          <w:sz w:val="30"/>
          <w:szCs w:val="30"/>
        </w:rPr>
        <w:t>.良好：评价分数为</w:t>
      </w:r>
      <w:r>
        <w:rPr>
          <w:rFonts w:ascii="仿宋_GB2312" w:hAnsi="仿宋_GB2312" w:eastAsia="仿宋_GB2312" w:cs="仿宋_GB2312"/>
          <w:bCs/>
          <w:sz w:val="30"/>
          <w:szCs w:val="30"/>
        </w:rPr>
        <w:t>80</w:t>
      </w:r>
      <w:r>
        <w:rPr>
          <w:rFonts w:hint="eastAsia" w:ascii="仿宋_GB2312" w:hAnsi="仿宋_GB2312" w:eastAsia="仿宋_GB2312" w:cs="仿宋_GB2312"/>
          <w:bCs/>
          <w:sz w:val="30"/>
          <w:szCs w:val="30"/>
        </w:rPr>
        <w:t>分（含）</w:t>
      </w:r>
      <w:r>
        <w:rPr>
          <w:rFonts w:ascii="仿宋_GB2312" w:hAnsi="仿宋_GB2312" w:eastAsia="仿宋_GB2312" w:cs="仿宋_GB2312"/>
          <w:bCs/>
          <w:sz w:val="30"/>
          <w:szCs w:val="30"/>
        </w:rPr>
        <w:t>— 90</w:t>
      </w:r>
      <w:r>
        <w:rPr>
          <w:rFonts w:hint="eastAsia" w:ascii="仿宋_GB2312" w:hAnsi="仿宋_GB2312" w:eastAsia="仿宋_GB2312" w:cs="仿宋_GB2312"/>
          <w:bCs/>
          <w:sz w:val="30"/>
          <w:szCs w:val="30"/>
        </w:rPr>
        <w:t>分。</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3</w:t>
      </w:r>
      <w:r>
        <w:rPr>
          <w:rFonts w:hint="eastAsia" w:ascii="仿宋_GB2312" w:hAnsi="仿宋_GB2312" w:eastAsia="仿宋_GB2312" w:cs="仿宋_GB2312"/>
          <w:bCs/>
          <w:sz w:val="30"/>
          <w:szCs w:val="30"/>
        </w:rPr>
        <w:t>.合格：评价分数为</w:t>
      </w:r>
      <w:r>
        <w:rPr>
          <w:rFonts w:ascii="仿宋_GB2312" w:hAnsi="仿宋_GB2312" w:eastAsia="仿宋_GB2312" w:cs="仿宋_GB2312"/>
          <w:bCs/>
          <w:sz w:val="30"/>
          <w:szCs w:val="30"/>
        </w:rPr>
        <w:t>70</w:t>
      </w:r>
      <w:r>
        <w:rPr>
          <w:rFonts w:hint="eastAsia" w:ascii="仿宋_GB2312" w:hAnsi="仿宋_GB2312" w:eastAsia="仿宋_GB2312" w:cs="仿宋_GB2312"/>
          <w:bCs/>
          <w:sz w:val="30"/>
          <w:szCs w:val="30"/>
        </w:rPr>
        <w:t>分（含）</w:t>
      </w:r>
      <w:r>
        <w:rPr>
          <w:rFonts w:ascii="仿宋_GB2312" w:hAnsi="仿宋_GB2312" w:eastAsia="仿宋_GB2312" w:cs="仿宋_GB2312"/>
          <w:bCs/>
          <w:sz w:val="30"/>
          <w:szCs w:val="30"/>
        </w:rPr>
        <w:t>— 80</w:t>
      </w:r>
      <w:r>
        <w:rPr>
          <w:rFonts w:hint="eastAsia" w:ascii="仿宋_GB2312" w:hAnsi="仿宋_GB2312" w:eastAsia="仿宋_GB2312" w:cs="仿宋_GB2312"/>
          <w:bCs/>
          <w:sz w:val="30"/>
          <w:szCs w:val="30"/>
        </w:rPr>
        <w:t>分。</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4</w:t>
      </w:r>
      <w:r>
        <w:rPr>
          <w:rFonts w:hint="eastAsia" w:ascii="仿宋_GB2312" w:hAnsi="仿宋_GB2312" w:eastAsia="仿宋_GB2312" w:cs="仿宋_GB2312"/>
          <w:bCs/>
          <w:sz w:val="30"/>
          <w:szCs w:val="30"/>
        </w:rPr>
        <w:t>.不合格：评价分为</w:t>
      </w:r>
      <w:r>
        <w:rPr>
          <w:rFonts w:ascii="仿宋_GB2312" w:hAnsi="仿宋_GB2312" w:eastAsia="仿宋_GB2312" w:cs="仿宋_GB2312"/>
          <w:bCs/>
          <w:sz w:val="30"/>
          <w:szCs w:val="30"/>
        </w:rPr>
        <w:t>70</w:t>
      </w:r>
      <w:r>
        <w:rPr>
          <w:rFonts w:hint="eastAsia" w:ascii="仿宋_GB2312" w:hAnsi="仿宋_GB2312" w:eastAsia="仿宋_GB2312" w:cs="仿宋_GB2312"/>
          <w:bCs/>
          <w:sz w:val="30"/>
          <w:szCs w:val="30"/>
        </w:rPr>
        <w:t>分（不含）以下。</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获得优秀的可以直接续约并适当予以奖励；获得良好的可以直接续约但不奖励；获得合格的不予以续约但有参加项目重新投标的资格；获得不合格的不予续约且取消其参加项目重新投标的资格。</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第二十二条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履约评价遵循公开、公正、公平的原则，自觉接受各级职能部门监督。在履约评价过程中如果物业服务企业有异议的，可进行投诉。</w:t>
      </w:r>
    </w:p>
    <w:p>
      <w:pPr>
        <w:spacing w:line="560" w:lineRule="exact"/>
        <w:ind w:firstLine="600"/>
        <w:rPr>
          <w:sz w:val="30"/>
          <w:szCs w:val="30"/>
        </w:rPr>
      </w:pPr>
      <w:r>
        <w:rPr>
          <w:rFonts w:hint="eastAsia" w:ascii="仿宋_GB2312" w:hAnsi="仿宋_GB2312" w:eastAsia="仿宋_GB2312" w:cs="仿宋_GB2312"/>
          <w:sz w:val="30"/>
          <w:szCs w:val="30"/>
        </w:rPr>
        <w:t>第二十三条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本办法由市保障署负责解释。</w:t>
      </w:r>
    </w:p>
    <w:p>
      <w:pPr>
        <w:ind w:firstLine="420"/>
      </w:pPr>
    </w:p>
    <w:p>
      <w:pPr>
        <w:ind w:firstLine="0" w:firstLineChars="0"/>
      </w:pPr>
    </w:p>
    <w:p>
      <w:pPr>
        <w:spacing w:line="560" w:lineRule="exact"/>
        <w:ind w:firstLine="0" w:firstLineChars="0"/>
        <w:rPr>
          <w:rFonts w:ascii="仿宋_GB2312" w:hAnsi="仿宋_GB2312" w:eastAsia="仿宋_GB2312" w:cs="仿宋_GB2312"/>
          <w:b/>
          <w:bCs/>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9" w:charSpace="0"/>
        </w:sectPr>
      </w:pPr>
    </w:p>
    <w:p>
      <w:pPr>
        <w:spacing w:line="560" w:lineRule="exact"/>
        <w:ind w:firstLine="0" w:firstLineChars="0"/>
        <w:rPr>
          <w:rFonts w:ascii="仿宋_GB2312" w:hAnsi="仿宋_GB2312" w:eastAsia="仿宋_GB2312" w:cs="仿宋_GB2312"/>
          <w:b/>
          <w:bCs/>
          <w:sz w:val="24"/>
          <w:szCs w:val="24"/>
        </w:rPr>
      </w:pPr>
      <w:r>
        <w:rPr>
          <w:rFonts w:hint="eastAsia" w:ascii="仿宋_GB2312" w:hAnsi="仿宋_GB2312" w:eastAsia="仿宋_GB2312" w:cs="仿宋_GB2312"/>
          <w:b/>
          <w:bCs/>
          <w:sz w:val="30"/>
          <w:szCs w:val="30"/>
        </w:rPr>
        <w:t>附件一：</w:t>
      </w:r>
      <w:r>
        <w:rPr>
          <w:rFonts w:hint="eastAsia" w:ascii="仿宋_GB2312" w:hAnsi="仿宋_GB2312" w:eastAsia="仿宋_GB2312" w:cs="仿宋_GB2312"/>
          <w:b/>
          <w:bCs/>
          <w:sz w:val="32"/>
          <w:szCs w:val="32"/>
        </w:rPr>
        <w:t>深圳市公共租赁住房小区物业服务</w:t>
      </w:r>
      <w:r>
        <w:rPr>
          <w:rFonts w:hint="eastAsia" w:ascii="仿宋_GB2312" w:hAnsi="仿宋_GB2312" w:eastAsia="仿宋_GB2312" w:cs="仿宋_GB2312"/>
          <w:b/>
          <w:sz w:val="32"/>
          <w:szCs w:val="32"/>
        </w:rPr>
        <w:t>现场考核评价</w:t>
      </w:r>
      <w:r>
        <w:rPr>
          <w:rFonts w:hint="eastAsia" w:ascii="仿宋_GB2312" w:hAnsi="仿宋_GB2312" w:eastAsia="仿宋_GB2312" w:cs="仿宋_GB2312"/>
          <w:b/>
          <w:bCs/>
          <w:sz w:val="32"/>
          <w:szCs w:val="32"/>
        </w:rPr>
        <w:t>表</w:t>
      </w:r>
    </w:p>
    <w:p>
      <w:pPr>
        <w:spacing w:line="240" w:lineRule="auto"/>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本考核评价表内容主要是根据物业服务合同要求，以《全国物业管理示范住宅小区标准》为主体，以《深圳市住宅物业管理服务收费指导标准》为参考，以深圳市《物业服务通用规范》为最低控制标准，在结合我市公共租赁住房小区的实际情况的基础上，综合制订产生。</w:t>
      </w:r>
    </w:p>
    <w:p>
      <w:pPr>
        <w:spacing w:line="24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根据合同，8个公共租赁住房服务标准主要是以《深圳市住宅物业管理服务收费指导标准》中二级标准为参考，所以现场考评标准的服务要求是以二级标准为主要参考，由于时效性的原因，也有部分考评标准根据行业专家意见进行了修订。</w:t>
      </w:r>
    </w:p>
    <w:p>
      <w:pPr>
        <w:spacing w:line="240" w:lineRule="auto"/>
        <w:ind w:firstLine="480"/>
        <w:rPr>
          <w:rFonts w:ascii="仿宋_GB2312" w:hAnsi="仿宋_GB2312" w:eastAsia="仿宋_GB2312" w:cs="仿宋_GB2312"/>
          <w:b/>
          <w:bCs/>
          <w:sz w:val="32"/>
          <w:szCs w:val="32"/>
        </w:rPr>
      </w:pPr>
      <w:r>
        <w:rPr>
          <w:rFonts w:hint="eastAsia" w:ascii="仿宋_GB2312" w:hAnsi="仿宋_GB2312" w:eastAsia="仿宋_GB2312" w:cs="仿宋_GB2312"/>
          <w:sz w:val="24"/>
          <w:szCs w:val="24"/>
        </w:rPr>
        <w:t>现场考评内容共</w:t>
      </w:r>
      <w:r>
        <w:rPr>
          <w:rFonts w:ascii="仿宋_GB2312" w:hAnsi="仿宋_GB2312" w:eastAsia="仿宋_GB2312" w:cs="仿宋_GB2312"/>
          <w:sz w:val="24"/>
          <w:szCs w:val="24"/>
        </w:rPr>
        <w:t>8</w:t>
      </w:r>
      <w:r>
        <w:rPr>
          <w:rFonts w:hint="eastAsia" w:ascii="仿宋_GB2312" w:hAnsi="仿宋_GB2312" w:eastAsia="仿宋_GB2312" w:cs="仿宋_GB2312"/>
          <w:sz w:val="24"/>
          <w:szCs w:val="24"/>
        </w:rPr>
        <w:t>项，分别是：</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、基础管理（</w:t>
      </w:r>
      <w:r>
        <w:rPr>
          <w:rFonts w:ascii="仿宋_GB2312" w:hAnsi="仿宋_GB2312" w:eastAsia="仿宋_GB2312" w:cs="仿宋_GB2312"/>
          <w:sz w:val="24"/>
          <w:szCs w:val="24"/>
        </w:rPr>
        <w:t>22</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、房屋管理与维修养护（</w:t>
      </w:r>
      <w:r>
        <w:rPr>
          <w:rFonts w:ascii="仿宋_GB2312" w:hAnsi="仿宋_GB2312" w:eastAsia="仿宋_GB2312" w:cs="仿宋_GB2312"/>
          <w:sz w:val="24"/>
          <w:szCs w:val="24"/>
        </w:rPr>
        <w:t>16</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、共用设施设备管理（</w:t>
      </w:r>
      <w:r>
        <w:rPr>
          <w:rFonts w:ascii="仿宋_GB2312" w:hAnsi="仿宋_GB2312" w:eastAsia="仿宋_GB2312" w:cs="仿宋_GB2312"/>
          <w:sz w:val="24"/>
          <w:szCs w:val="24"/>
        </w:rPr>
        <w:t>16</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、安全管理（</w:t>
      </w:r>
      <w:r>
        <w:rPr>
          <w:rFonts w:ascii="仿宋_GB2312" w:hAnsi="仿宋_GB2312" w:eastAsia="仿宋_GB2312" w:cs="仿宋_GB2312"/>
          <w:sz w:val="24"/>
          <w:szCs w:val="24"/>
        </w:rPr>
        <w:t>18</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、环境卫生管理（</w:t>
      </w:r>
      <w:r>
        <w:rPr>
          <w:rFonts w:ascii="仿宋_GB2312" w:hAnsi="仿宋_GB2312" w:eastAsia="仿宋_GB2312" w:cs="仿宋_GB2312"/>
          <w:sz w:val="24"/>
          <w:szCs w:val="24"/>
        </w:rPr>
        <w:t>16</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6</w:t>
      </w:r>
      <w:r>
        <w:rPr>
          <w:rFonts w:hint="eastAsia" w:ascii="仿宋_GB2312" w:hAnsi="仿宋_GB2312" w:eastAsia="仿宋_GB2312" w:cs="仿宋_GB2312"/>
          <w:sz w:val="24"/>
          <w:szCs w:val="24"/>
        </w:rPr>
        <w:t>、绿化管理（</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、精神文明建设（</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8</w:t>
      </w:r>
      <w:r>
        <w:rPr>
          <w:rFonts w:hint="eastAsia" w:ascii="仿宋_GB2312" w:hAnsi="仿宋_GB2312" w:eastAsia="仿宋_GB2312" w:cs="仿宋_GB2312"/>
          <w:sz w:val="24"/>
          <w:szCs w:val="24"/>
        </w:rPr>
        <w:t>、管理效益（</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分）。</w:t>
      </w:r>
    </w:p>
    <w:p>
      <w:pPr>
        <w:spacing w:line="56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深圳市公共租赁住房小区物业服务</w:t>
      </w:r>
      <w:r>
        <w:rPr>
          <w:rFonts w:hint="eastAsia" w:ascii="仿宋_GB2312" w:hAnsi="仿宋_GB2312" w:eastAsia="仿宋_GB2312" w:cs="仿宋_GB2312"/>
          <w:b/>
          <w:sz w:val="32"/>
          <w:szCs w:val="32"/>
        </w:rPr>
        <w:t>现场考核评价</w:t>
      </w:r>
      <w:r>
        <w:rPr>
          <w:rFonts w:hint="eastAsia" w:ascii="仿宋_GB2312" w:hAnsi="仿宋_GB2312" w:eastAsia="仿宋_GB2312" w:cs="仿宋_GB2312"/>
          <w:b/>
          <w:bCs/>
          <w:sz w:val="32"/>
          <w:szCs w:val="32"/>
        </w:rPr>
        <w:t>表</w:t>
      </w:r>
    </w:p>
    <w:tbl>
      <w:tblPr>
        <w:tblStyle w:val="6"/>
        <w:tblpPr w:leftFromText="180" w:rightFromText="180" w:vertAnchor="text" w:horzAnchor="page" w:tblpX="1616" w:tblpY="487"/>
        <w:tblOverlap w:val="never"/>
        <w:tblW w:w="13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
        <w:gridCol w:w="1229"/>
        <w:gridCol w:w="3814"/>
        <w:gridCol w:w="3524"/>
        <w:gridCol w:w="3338"/>
        <w:gridCol w:w="1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trPr>
        <w:tc>
          <w:tcPr>
            <w:tcW w:w="580" w:type="dxa"/>
            <w:tcBorders>
              <w:top w:val="single" w:color="auto" w:sz="12" w:space="0"/>
            </w:tcBorders>
            <w:vAlign w:val="center"/>
          </w:tcPr>
          <w:p>
            <w:pPr>
              <w:spacing w:after="78"/>
              <w:ind w:firstLine="0" w:firstLineChars="0"/>
              <w:rPr>
                <w:rFonts w:ascii="楷体_GB2312" w:hAnsi="楷体_GB2312" w:eastAsia="楷体_GB2312" w:cs="楷体_GB2312"/>
                <w:b/>
                <w:sz w:val="24"/>
                <w:szCs w:val="24"/>
              </w:rPr>
            </w:pPr>
            <w:r>
              <w:rPr>
                <w:rFonts w:hint="eastAsia" w:ascii="楷体_GB2312" w:hAnsi="楷体_GB2312" w:eastAsia="楷体_GB2312" w:cs="楷体_GB2312"/>
                <w:b/>
                <w:sz w:val="24"/>
                <w:szCs w:val="24"/>
              </w:rPr>
              <w:t>序号</w:t>
            </w:r>
          </w:p>
        </w:tc>
        <w:tc>
          <w:tcPr>
            <w:tcW w:w="1229" w:type="dxa"/>
            <w:tcBorders>
              <w:top w:val="single" w:color="auto" w:sz="12" w:space="0"/>
            </w:tcBorders>
            <w:vAlign w:val="center"/>
          </w:tcPr>
          <w:p>
            <w:pPr>
              <w:spacing w:after="78" w:line="320" w:lineRule="exact"/>
              <w:ind w:firstLine="0" w:firstLineChars="0"/>
              <w:rPr>
                <w:rFonts w:ascii="楷体_GB2312" w:hAnsi="楷体_GB2312" w:eastAsia="楷体_GB2312" w:cs="楷体_GB2312"/>
                <w:b/>
                <w:sz w:val="24"/>
                <w:szCs w:val="24"/>
              </w:rPr>
            </w:pPr>
            <w:r>
              <w:rPr>
                <w:rFonts w:hint="eastAsia" w:ascii="楷体_GB2312" w:hAnsi="楷体_GB2312" w:eastAsia="楷体_GB2312" w:cs="楷体_GB2312"/>
                <w:b/>
                <w:sz w:val="24"/>
                <w:szCs w:val="24"/>
              </w:rPr>
              <w:t>量化指标</w:t>
            </w:r>
          </w:p>
          <w:p>
            <w:pPr>
              <w:spacing w:after="78" w:line="320" w:lineRule="exact"/>
              <w:ind w:firstLine="0" w:firstLineChars="0"/>
              <w:rPr>
                <w:rFonts w:ascii="楷体_GB2312" w:hAnsi="楷体_GB2312" w:eastAsia="楷体_GB2312" w:cs="楷体_GB2312"/>
                <w:b/>
                <w:sz w:val="24"/>
                <w:szCs w:val="24"/>
              </w:rPr>
            </w:pPr>
            <w:r>
              <w:rPr>
                <w:rFonts w:hint="eastAsia" w:ascii="楷体_GB2312" w:hAnsi="楷体_GB2312" w:eastAsia="楷体_GB2312" w:cs="楷体_GB2312"/>
                <w:b/>
                <w:sz w:val="24"/>
                <w:szCs w:val="24"/>
              </w:rPr>
              <w:t>（分值）</w:t>
            </w:r>
          </w:p>
        </w:tc>
        <w:tc>
          <w:tcPr>
            <w:tcW w:w="3814" w:type="dxa"/>
            <w:tcBorders>
              <w:top w:val="single" w:color="auto" w:sz="12" w:space="0"/>
            </w:tcBorders>
            <w:vAlign w:val="center"/>
          </w:tcPr>
          <w:p>
            <w:pPr>
              <w:spacing w:after="78"/>
              <w:ind w:firstLine="0" w:firstLineChars="0"/>
              <w:jc w:val="center"/>
              <w:rPr>
                <w:rFonts w:ascii="楷体_GB2312" w:hAnsi="楷体_GB2312" w:eastAsia="楷体_GB2312" w:cs="楷体_GB2312"/>
                <w:b/>
                <w:sz w:val="24"/>
                <w:szCs w:val="24"/>
              </w:rPr>
            </w:pPr>
            <w:r>
              <w:rPr>
                <w:rFonts w:hint="eastAsia" w:ascii="楷体_GB2312" w:hAnsi="楷体_GB2312" w:eastAsia="楷体_GB2312" w:cs="楷体_GB2312"/>
                <w:b/>
                <w:sz w:val="24"/>
                <w:szCs w:val="24"/>
              </w:rPr>
              <w:t>考评项目</w:t>
            </w:r>
          </w:p>
        </w:tc>
        <w:tc>
          <w:tcPr>
            <w:tcW w:w="3524" w:type="dxa"/>
            <w:tcBorders>
              <w:top w:val="single" w:color="auto" w:sz="12" w:space="0"/>
            </w:tcBorders>
            <w:vAlign w:val="center"/>
          </w:tcPr>
          <w:p>
            <w:pPr>
              <w:spacing w:after="78"/>
              <w:ind w:firstLine="0" w:firstLineChars="0"/>
              <w:jc w:val="center"/>
              <w:rPr>
                <w:rFonts w:ascii="楷体_GB2312" w:hAnsi="楷体_GB2312" w:eastAsia="楷体_GB2312" w:cs="楷体_GB2312"/>
                <w:b/>
                <w:sz w:val="24"/>
                <w:szCs w:val="24"/>
              </w:rPr>
            </w:pPr>
            <w:r>
              <w:rPr>
                <w:rFonts w:hint="eastAsia" w:ascii="楷体_GB2312" w:hAnsi="楷体_GB2312" w:eastAsia="楷体_GB2312" w:cs="楷体_GB2312"/>
                <w:b/>
                <w:sz w:val="24"/>
                <w:szCs w:val="24"/>
              </w:rPr>
              <w:t>考评标准</w:t>
            </w:r>
          </w:p>
        </w:tc>
        <w:tc>
          <w:tcPr>
            <w:tcW w:w="3338" w:type="dxa"/>
            <w:tcBorders>
              <w:top w:val="single" w:color="auto" w:sz="12" w:space="0"/>
              <w:right w:val="single" w:color="auto" w:sz="4" w:space="0"/>
            </w:tcBorders>
            <w:vAlign w:val="center"/>
          </w:tcPr>
          <w:p>
            <w:pPr>
              <w:spacing w:after="78" w:line="320" w:lineRule="exact"/>
              <w:ind w:firstLine="0" w:firstLineChars="0"/>
              <w:jc w:val="center"/>
              <w:rPr>
                <w:rFonts w:ascii="楷体_GB2312" w:hAnsi="楷体_GB2312" w:eastAsia="楷体_GB2312" w:cs="楷体_GB2312"/>
                <w:b/>
                <w:spacing w:val="-12"/>
                <w:sz w:val="24"/>
                <w:szCs w:val="24"/>
              </w:rPr>
            </w:pPr>
            <w:r>
              <w:rPr>
                <w:rFonts w:hint="eastAsia" w:ascii="楷体_GB2312" w:hAnsi="楷体_GB2312" w:eastAsia="楷体_GB2312" w:cs="楷体_GB2312"/>
                <w:b/>
                <w:spacing w:val="-12"/>
                <w:sz w:val="24"/>
                <w:szCs w:val="24"/>
              </w:rPr>
              <w:t>制定依据</w:t>
            </w:r>
          </w:p>
        </w:tc>
        <w:tc>
          <w:tcPr>
            <w:tcW w:w="1404" w:type="dxa"/>
            <w:tcBorders>
              <w:top w:val="single" w:color="auto" w:sz="12" w:space="0"/>
              <w:left w:val="single" w:color="auto" w:sz="4" w:space="0"/>
            </w:tcBorders>
            <w:vAlign w:val="center"/>
          </w:tcPr>
          <w:p>
            <w:pPr>
              <w:spacing w:after="78" w:line="320" w:lineRule="exact"/>
              <w:ind w:firstLine="0" w:firstLineChars="0"/>
              <w:jc w:val="center"/>
              <w:rPr>
                <w:rFonts w:ascii="楷体_GB2312" w:hAnsi="楷体_GB2312" w:eastAsia="楷体_GB2312" w:cs="楷体_GB2312"/>
                <w:b/>
                <w:spacing w:val="-12"/>
                <w:sz w:val="24"/>
                <w:szCs w:val="24"/>
              </w:rPr>
            </w:pPr>
            <w:r>
              <w:rPr>
                <w:rFonts w:hint="eastAsia" w:ascii="楷体_GB2312" w:hAnsi="楷体_GB2312" w:eastAsia="楷体_GB2312" w:cs="楷体_GB2312"/>
                <w:b/>
                <w:spacing w:val="-12"/>
                <w:sz w:val="24"/>
                <w:szCs w:val="24"/>
              </w:rPr>
              <w:t>考评得分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trPr>
        <w:tc>
          <w:tcPr>
            <w:tcW w:w="580" w:type="dxa"/>
            <w:vMerge w:val="restart"/>
            <w:vAlign w:val="center"/>
          </w:tcPr>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r>
              <w:rPr>
                <w:rFonts w:ascii="楷体_GB2312" w:hAnsi="楷体_GB2312" w:eastAsia="楷体_GB2312" w:cs="楷体_GB2312"/>
                <w:szCs w:val="21"/>
              </w:rPr>
              <w:t>1</w:t>
            </w:r>
          </w:p>
        </w:tc>
        <w:tc>
          <w:tcPr>
            <w:tcW w:w="1229" w:type="dxa"/>
            <w:vMerge w:val="restart"/>
            <w:vAlign w:val="center"/>
          </w:tcPr>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r>
              <w:rPr>
                <w:rFonts w:hint="eastAsia" w:ascii="楷体_GB2312" w:hAnsi="楷体_GB2312" w:eastAsia="楷体_GB2312" w:cs="楷体_GB2312"/>
                <w:szCs w:val="21"/>
              </w:rPr>
              <w:t>基础管理</w:t>
            </w:r>
          </w:p>
          <w:p>
            <w:pPr>
              <w:spacing w:after="78" w:line="320" w:lineRule="exact"/>
              <w:ind w:firstLine="16" w:firstLineChars="8"/>
              <w:jc w:val="center"/>
              <w:rPr>
                <w:rFonts w:ascii="楷体_GB2312" w:hAnsi="楷体_GB2312" w:eastAsia="楷体_GB2312" w:cs="楷体_GB2312"/>
                <w:szCs w:val="21"/>
              </w:rPr>
            </w:pPr>
            <w:r>
              <w:rPr>
                <w:rFonts w:hint="eastAsia" w:ascii="楷体_GB2312" w:hAnsi="楷体_GB2312" w:eastAsia="楷体_GB2312" w:cs="楷体_GB2312"/>
                <w:szCs w:val="21"/>
              </w:rPr>
              <w:t>（</w:t>
            </w:r>
            <w:r>
              <w:rPr>
                <w:rFonts w:ascii="楷体_GB2312" w:hAnsi="楷体_GB2312" w:eastAsia="楷体_GB2312" w:cs="楷体_GB2312"/>
                <w:szCs w:val="21"/>
              </w:rPr>
              <w:t>22</w:t>
            </w:r>
            <w:r>
              <w:rPr>
                <w:rFonts w:hint="eastAsia" w:ascii="楷体_GB2312" w:hAnsi="楷体_GB2312" w:eastAsia="楷体_GB2312" w:cs="楷体_GB2312"/>
                <w:szCs w:val="21"/>
              </w:rPr>
              <w:t>）</w:t>
            </w:r>
          </w:p>
        </w:tc>
        <w:tc>
          <w:tcPr>
            <w:tcW w:w="3814" w:type="dxa"/>
            <w:vAlign w:val="center"/>
          </w:tcPr>
          <w:p>
            <w:pPr>
              <w:numPr>
                <w:ilvl w:val="0"/>
                <w:numId w:val="5"/>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管理人员人均管理建筑面积在</w:t>
            </w:r>
            <w:r>
              <w:rPr>
                <w:rFonts w:ascii="楷体_GB2312" w:hAnsi="楷体_GB2312" w:eastAsia="楷体_GB2312" w:cs="楷体_GB2312"/>
                <w:szCs w:val="21"/>
              </w:rPr>
              <w:t>8000</w:t>
            </w:r>
            <w:r>
              <w:rPr>
                <w:rFonts w:hint="eastAsia" w:ascii="楷体_GB2312" w:hAnsi="楷体_GB2312" w:eastAsia="楷体_GB2312" w:cs="楷体_GB2312"/>
                <w:szCs w:val="21"/>
              </w:rPr>
              <w:t>或</w:t>
            </w:r>
            <w:r>
              <w:rPr>
                <w:rFonts w:ascii="楷体_GB2312" w:hAnsi="楷体_GB2312" w:eastAsia="楷体_GB2312" w:cs="楷体_GB2312"/>
                <w:szCs w:val="21"/>
              </w:rPr>
              <w:t>10000</w:t>
            </w:r>
            <w:r>
              <w:rPr>
                <w:rFonts w:hint="eastAsia" w:ascii="楷体_GB2312" w:hAnsi="楷体_GB2312" w:eastAsia="楷体_GB2312" w:cs="楷体_GB2312"/>
                <w:szCs w:val="21"/>
              </w:rPr>
              <w:t>㎡以下。（高层</w:t>
            </w:r>
            <w:r>
              <w:rPr>
                <w:rFonts w:ascii="楷体_GB2312" w:hAnsi="楷体_GB2312" w:eastAsia="楷体_GB2312" w:cs="楷体_GB2312"/>
                <w:szCs w:val="21"/>
              </w:rPr>
              <w:t>8000</w:t>
            </w:r>
            <w:r>
              <w:rPr>
                <w:rFonts w:hint="eastAsia" w:ascii="楷体_GB2312" w:hAnsi="楷体_GB2312" w:eastAsia="楷体_GB2312" w:cs="楷体_GB2312"/>
                <w:szCs w:val="21"/>
              </w:rPr>
              <w:t>㎡、多层</w:t>
            </w:r>
            <w:r>
              <w:rPr>
                <w:rFonts w:ascii="楷体_GB2312" w:hAnsi="楷体_GB2312" w:eastAsia="楷体_GB2312" w:cs="楷体_GB2312"/>
                <w:szCs w:val="21"/>
              </w:rPr>
              <w:t>10000</w:t>
            </w:r>
            <w:r>
              <w:rPr>
                <w:rFonts w:hint="eastAsia" w:ascii="楷体_GB2312" w:hAnsi="楷体_GB2312" w:eastAsia="楷体_GB2312" w:cs="楷体_GB2312"/>
                <w:szCs w:val="21"/>
              </w:rPr>
              <w:t>㎡）</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《深圳市住宅物业管理服务收费指导标准》中二级指导标准（以下简称二级标准）中综合管理二级为参考。</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16" w:firstLineChars="8"/>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、管理人员具有大专以上学历的占总人数的</w:t>
            </w:r>
            <w:r>
              <w:rPr>
                <w:rFonts w:ascii="楷体_GB2312" w:hAnsi="楷体_GB2312" w:eastAsia="楷体_GB2312" w:cs="楷体_GB2312"/>
                <w:szCs w:val="21"/>
              </w:rPr>
              <w:t>50%</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16" w:firstLineChars="8"/>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、建立维修资金管理制度，其管理、使用、续筹符合有关规定。</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，已建立但管理、使用、续筹不符合规定扣</w:t>
            </w:r>
            <w:r>
              <w:rPr>
                <w:rFonts w:ascii="楷体_GB2312" w:hAnsi="楷体_GB2312" w:eastAsia="楷体_GB2312" w:cs="楷体_GB2312"/>
                <w:szCs w:val="21"/>
              </w:rPr>
              <w:t>0.5</w:t>
            </w:r>
            <w:r>
              <w:rPr>
                <w:rFonts w:hint="eastAsia" w:ascii="楷体_GB2312" w:hAnsi="楷体_GB2312" w:eastAsia="楷体_GB2312" w:cs="楷体_GB2312"/>
                <w:szCs w:val="21"/>
              </w:rPr>
              <w:t>，未建立</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《全国物业管理示范住宅小区标准》（以下简称评优标准）基础管理第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、对租户的求助、咨询即时答复或处理，对租户的投诉在</w:t>
            </w:r>
            <w:r>
              <w:rPr>
                <w:rFonts w:ascii="楷体_GB2312" w:hAnsi="楷体_GB2312" w:eastAsia="楷体_GB2312" w:cs="楷体_GB2312"/>
                <w:szCs w:val="21"/>
              </w:rPr>
              <w:t>24</w:t>
            </w:r>
            <w:r>
              <w:rPr>
                <w:rFonts w:hint="eastAsia" w:ascii="楷体_GB2312" w:hAnsi="楷体_GB2312" w:eastAsia="楷体_GB2312" w:cs="楷体_GB2312"/>
                <w:szCs w:val="21"/>
              </w:rPr>
              <w:t>小时内答复。</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numPr>
                <w:ilvl w:val="0"/>
                <w:numId w:val="6"/>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房屋使用手册、装饰装修管理规定及管理规约等各项公众制度完善。</w:t>
            </w:r>
          </w:p>
          <w:p>
            <w:pPr>
              <w:spacing w:line="360" w:lineRule="exact"/>
              <w:ind w:firstLine="0" w:firstLineChars="0"/>
              <w:rPr>
                <w:rFonts w:ascii="楷体_GB2312" w:hAnsi="楷体_GB2312" w:eastAsia="楷体_GB2312" w:cs="楷体_GB2312"/>
                <w:szCs w:val="21"/>
              </w:rPr>
            </w:pPr>
          </w:p>
          <w:p>
            <w:pPr>
              <w:spacing w:line="360" w:lineRule="exact"/>
              <w:ind w:firstLine="0" w:firstLineChars="0"/>
              <w:rPr>
                <w:rFonts w:ascii="楷体_GB2312" w:hAnsi="楷体_GB2312" w:eastAsia="楷体_GB2312" w:cs="楷体_GB2312"/>
                <w:szCs w:val="21"/>
              </w:rPr>
            </w:pP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完善</w:t>
            </w:r>
            <w:r>
              <w:rPr>
                <w:rFonts w:ascii="楷体_GB2312" w:hAnsi="楷体_GB2312" w:eastAsia="楷体_GB2312" w:cs="楷体_GB2312"/>
                <w:szCs w:val="21"/>
              </w:rPr>
              <w:t>1.0</w:t>
            </w:r>
            <w:r>
              <w:rPr>
                <w:rFonts w:hint="eastAsia" w:ascii="楷体_GB2312" w:hAnsi="楷体_GB2312" w:eastAsia="楷体_GB2312" w:cs="楷体_GB2312"/>
                <w:szCs w:val="21"/>
              </w:rPr>
              <w:t>，基本完善</w:t>
            </w:r>
            <w:r>
              <w:rPr>
                <w:rFonts w:ascii="楷体_GB2312" w:hAnsi="楷体_GB2312" w:eastAsia="楷体_GB2312" w:cs="楷体_GB2312"/>
                <w:szCs w:val="21"/>
              </w:rPr>
              <w:t>1.0</w:t>
            </w:r>
            <w:r>
              <w:rPr>
                <w:rFonts w:hint="eastAsia" w:ascii="楷体_GB2312" w:hAnsi="楷体_GB2312" w:eastAsia="楷体_GB2312" w:cs="楷体_GB2312"/>
                <w:szCs w:val="21"/>
              </w:rPr>
              <w:t>，不完善</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、每年至少两次以书面、电话方式征询租户对物业管理服务的意见，满意率达到</w:t>
            </w:r>
            <w:r>
              <w:rPr>
                <w:rFonts w:ascii="楷体_GB2312" w:hAnsi="楷体_GB2312" w:eastAsia="楷体_GB2312" w:cs="楷体_GB2312"/>
                <w:szCs w:val="21"/>
              </w:rPr>
              <w:t>95%</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2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、客户服务投诉渠道畅通，投诉电话在显著位置公示。建立完善的投诉处理机制，所有投诉有完整的记录，有跟进结果。对有效投诉予以回访，定期统计分析投诉处理情况。有效投诉处理率</w:t>
            </w:r>
            <w:r>
              <w:rPr>
                <w:rFonts w:ascii="楷体_GB2312" w:hAnsi="楷体_GB2312" w:eastAsia="楷体_GB2312" w:cs="楷体_GB2312"/>
                <w:szCs w:val="21"/>
              </w:rPr>
              <w:t>100%</w:t>
            </w:r>
            <w:r>
              <w:rPr>
                <w:rFonts w:hint="eastAsia" w:ascii="楷体_GB2312" w:hAnsi="楷体_GB2312" w:eastAsia="楷体_GB2312" w:cs="楷体_GB2312"/>
                <w:szCs w:val="21"/>
              </w:rPr>
              <w:t>、满意率</w:t>
            </w:r>
            <w:r>
              <w:rPr>
                <w:rFonts w:ascii="楷体_GB2312" w:hAnsi="楷体_GB2312" w:eastAsia="楷体_GB2312" w:cs="楷体_GB2312"/>
                <w:szCs w:val="21"/>
              </w:rPr>
              <w:t>95%</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、小区物业管理建立健全各项管理制度、各岗位工作标准，并制定具体的落实措施和考核办法。</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、物业服务企业的管理人员和专业技术人员持证上岗；员工统一着装，佩戴明显标志，工作规范，作风严谨。</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，每发现</w:t>
            </w:r>
            <w:r>
              <w:rPr>
                <w:rFonts w:ascii="楷体_GB2312" w:hAnsi="楷体_GB2312" w:eastAsia="楷体_GB2312" w:cs="楷体_GB2312"/>
                <w:szCs w:val="21"/>
              </w:rPr>
              <w:t>1</w:t>
            </w:r>
            <w:r>
              <w:rPr>
                <w:rFonts w:hint="eastAsia" w:ascii="楷体_GB2312" w:hAnsi="楷体_GB2312" w:eastAsia="楷体_GB2312" w:cs="楷体_GB2312"/>
                <w:szCs w:val="21"/>
              </w:rPr>
              <w:t>人无上岗证书扣</w:t>
            </w:r>
            <w:r>
              <w:rPr>
                <w:rFonts w:ascii="楷体_GB2312" w:hAnsi="楷体_GB2312" w:eastAsia="楷体_GB2312" w:cs="楷体_GB2312"/>
                <w:szCs w:val="21"/>
              </w:rPr>
              <w:t>0.1</w:t>
            </w:r>
            <w:r>
              <w:rPr>
                <w:rFonts w:hint="eastAsia" w:ascii="楷体_GB2312" w:hAnsi="楷体_GB2312" w:eastAsia="楷体_GB2312" w:cs="楷体_GB2312"/>
                <w:szCs w:val="21"/>
              </w:rPr>
              <w:t>；着装及标志符合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2"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10</w:t>
            </w:r>
            <w:r>
              <w:rPr>
                <w:rFonts w:hint="eastAsia" w:ascii="楷体_GB2312" w:hAnsi="楷体_GB2312" w:eastAsia="楷体_GB2312" w:cs="楷体_GB2312"/>
                <w:szCs w:val="21"/>
              </w:rPr>
              <w:t>、物业服务企业应用计算机、智能化设备等现代化管理手段，提高管理效率。</w:t>
            </w:r>
            <w:r>
              <w:rPr>
                <w:rFonts w:ascii="楷体_GB2312" w:hAnsi="楷体_GB2312" w:eastAsia="楷体_GB2312" w:cs="楷体_GB2312"/>
                <w:szCs w:val="21"/>
              </w:rPr>
              <w:t xml:space="preserve"> </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、物业服务企业在收费、财务管理、会计核算、税收等方面按相关规定执行。</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执行有关规定</w:t>
            </w:r>
            <w:r>
              <w:rPr>
                <w:rFonts w:ascii="楷体_GB2312" w:hAnsi="楷体_GB2312" w:eastAsia="楷体_GB2312" w:cs="楷体_GB2312"/>
                <w:szCs w:val="21"/>
              </w:rPr>
              <w:t>2.0</w:t>
            </w:r>
            <w:r>
              <w:rPr>
                <w:rFonts w:hint="eastAsia" w:ascii="楷体_GB2312" w:hAnsi="楷体_GB2312" w:eastAsia="楷体_GB2312" w:cs="楷体_GB2312"/>
                <w:szCs w:val="21"/>
              </w:rPr>
              <w:t>，未执行</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14</w:t>
            </w:r>
            <w:r>
              <w:rPr>
                <w:rFonts w:hint="eastAsia" w:ascii="楷体_GB2312" w:hAnsi="楷体_GB2312" w:eastAsia="楷体_GB2312" w:cs="楷体_GB2312"/>
                <w:szCs w:val="21"/>
              </w:rPr>
              <w:t>条</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和专家意见。</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12</w:t>
            </w:r>
            <w:r>
              <w:rPr>
                <w:rFonts w:hint="eastAsia" w:ascii="楷体_GB2312" w:hAnsi="楷体_GB2312" w:eastAsia="楷体_GB2312" w:cs="楷体_GB2312"/>
                <w:szCs w:val="21"/>
              </w:rPr>
              <w:t>、建立租户档案、房屋及其配套设施权属清册，查阅方便。</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0.2</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15</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8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13</w:t>
            </w:r>
            <w:r>
              <w:rPr>
                <w:rFonts w:hint="eastAsia" w:ascii="楷体_GB2312" w:hAnsi="楷体_GB2312" w:eastAsia="楷体_GB2312" w:cs="楷体_GB2312"/>
                <w:szCs w:val="21"/>
              </w:rPr>
              <w:t>、建立</w:t>
            </w:r>
            <w:r>
              <w:rPr>
                <w:rFonts w:ascii="楷体_GB2312" w:hAnsi="楷体_GB2312" w:eastAsia="楷体_GB2312" w:cs="楷体_GB2312"/>
                <w:szCs w:val="21"/>
              </w:rPr>
              <w:t>24</w:t>
            </w:r>
            <w:r>
              <w:rPr>
                <w:rFonts w:hint="eastAsia" w:ascii="楷体_GB2312" w:hAnsi="楷体_GB2312" w:eastAsia="楷体_GB2312" w:cs="楷体_GB2312"/>
                <w:szCs w:val="21"/>
              </w:rPr>
              <w:t>小时值班制度和</w:t>
            </w:r>
            <w:r>
              <w:rPr>
                <w:rFonts w:ascii="楷体_GB2312" w:hAnsi="楷体_GB2312" w:eastAsia="楷体_GB2312" w:cs="楷体_GB2312"/>
                <w:szCs w:val="21"/>
              </w:rPr>
              <w:t>24</w:t>
            </w:r>
            <w:r>
              <w:rPr>
                <w:rFonts w:hint="eastAsia" w:ascii="楷体_GB2312" w:hAnsi="楷体_GB2312" w:eastAsia="楷体_GB2312" w:cs="楷体_GB2312"/>
                <w:szCs w:val="21"/>
              </w:rPr>
              <w:t>小时服务电话，接受租户对物业管理服务报修、求助、建议、问询、质疑、投诉等各类信息的收集和反馈，并及时处理，有回访制度和记录。</w:t>
            </w:r>
            <w:r>
              <w:rPr>
                <w:rFonts w:ascii="楷体_GB2312" w:hAnsi="楷体_GB2312" w:eastAsia="楷体_GB2312" w:cs="楷体_GB2312"/>
                <w:szCs w:val="21"/>
              </w:rPr>
              <w:t xml:space="preserve"> </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，值班制度不符合扣</w:t>
            </w:r>
            <w:r>
              <w:rPr>
                <w:rFonts w:ascii="楷体_GB2312" w:hAnsi="楷体_GB2312" w:eastAsia="楷体_GB2312" w:cs="楷体_GB2312"/>
                <w:szCs w:val="21"/>
              </w:rPr>
              <w:t>0.5</w:t>
            </w:r>
            <w:r>
              <w:rPr>
                <w:rFonts w:hint="eastAsia" w:ascii="楷体_GB2312" w:hAnsi="楷体_GB2312" w:eastAsia="楷体_GB2312" w:cs="楷体_GB2312"/>
                <w:szCs w:val="21"/>
              </w:rPr>
              <w:t>，未设服务电话扣</w:t>
            </w:r>
            <w:r>
              <w:rPr>
                <w:rFonts w:ascii="楷体_GB2312" w:hAnsi="楷体_GB2312" w:eastAsia="楷体_GB2312" w:cs="楷体_GB2312"/>
                <w:szCs w:val="21"/>
              </w:rPr>
              <w:t>0.5</w:t>
            </w:r>
            <w:r>
              <w:rPr>
                <w:rFonts w:hint="eastAsia" w:ascii="楷体_GB2312" w:hAnsi="楷体_GB2312" w:eastAsia="楷体_GB2312" w:cs="楷体_GB2312"/>
                <w:szCs w:val="21"/>
              </w:rPr>
              <w:t>，发现一处处理不及时扣</w:t>
            </w:r>
            <w:r>
              <w:rPr>
                <w:rFonts w:ascii="楷体_GB2312" w:hAnsi="楷体_GB2312" w:eastAsia="楷体_GB2312" w:cs="楷体_GB2312"/>
                <w:szCs w:val="21"/>
              </w:rPr>
              <w:t>0.2</w:t>
            </w:r>
            <w:r>
              <w:rPr>
                <w:rFonts w:hint="eastAsia" w:ascii="楷体_GB2312" w:hAnsi="楷体_GB2312" w:eastAsia="楷体_GB2312" w:cs="楷体_GB2312"/>
                <w:szCs w:val="21"/>
              </w:rPr>
              <w:t>，没有回访录每次扣</w:t>
            </w:r>
            <w:r>
              <w:rPr>
                <w:rFonts w:ascii="楷体_GB2312" w:hAnsi="楷体_GB2312" w:eastAsia="楷体_GB2312" w:cs="楷体_GB2312"/>
                <w:szCs w:val="21"/>
              </w:rPr>
              <w:t>0.1</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17</w:t>
            </w:r>
            <w:r>
              <w:rPr>
                <w:rFonts w:hint="eastAsia" w:ascii="楷体_GB2312" w:hAnsi="楷体_GB2312" w:eastAsia="楷体_GB2312" w:cs="楷体_GB2312"/>
                <w:szCs w:val="21"/>
              </w:rPr>
              <w:t>条。</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和专家意见。</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14</w:t>
            </w:r>
            <w:r>
              <w:rPr>
                <w:rFonts w:hint="eastAsia" w:ascii="楷体_GB2312" w:hAnsi="楷体_GB2312" w:eastAsia="楷体_GB2312" w:cs="楷体_GB2312"/>
                <w:szCs w:val="21"/>
              </w:rPr>
              <w:t>、物业管理处无占用共用部位情况或者占用后并私自出租的现象。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3.0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15</w:t>
            </w:r>
            <w:r>
              <w:rPr>
                <w:rFonts w:hint="eastAsia" w:ascii="楷体_GB2312" w:hAnsi="楷体_GB2312" w:eastAsia="楷体_GB2312" w:cs="楷体_GB2312"/>
                <w:szCs w:val="21"/>
              </w:rPr>
              <w:t>、物业管理处有偿服务明码标价</w:t>
            </w:r>
            <w:r>
              <w:rPr>
                <w:rFonts w:ascii="楷体_GB2312" w:hAnsi="楷体_GB2312" w:eastAsia="楷体_GB2312" w:cs="楷体_GB2312"/>
                <w:szCs w:val="21"/>
              </w:rPr>
              <w:t>,</w:t>
            </w:r>
            <w:r>
              <w:rPr>
                <w:rFonts w:hint="eastAsia" w:ascii="楷体_GB2312" w:hAnsi="楷体_GB2312" w:eastAsia="楷体_GB2312" w:cs="楷体_GB2312"/>
                <w:szCs w:val="21"/>
              </w:rPr>
              <w:t>并上墙公示</w:t>
            </w:r>
            <w:r>
              <w:rPr>
                <w:rFonts w:ascii="楷体_GB2312" w:hAnsi="楷体_GB2312" w:eastAsia="楷体_GB2312" w:cs="楷体_GB2312"/>
                <w:szCs w:val="21"/>
              </w:rPr>
              <w:t>,</w:t>
            </w:r>
            <w:r>
              <w:rPr>
                <w:rFonts w:hint="eastAsia" w:ascii="楷体_GB2312" w:hAnsi="楷体_GB2312" w:eastAsia="楷体_GB2312" w:cs="楷体_GB2312"/>
                <w:szCs w:val="21"/>
              </w:rPr>
              <w:t>无其他乱收费现象。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3.0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2</w:t>
            </w:r>
          </w:p>
        </w:tc>
        <w:tc>
          <w:tcPr>
            <w:tcW w:w="1229" w:type="dxa"/>
            <w:vMerge w:val="restart"/>
            <w:vAlign w:val="center"/>
          </w:tcPr>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kern w:val="0"/>
                <w:szCs w:val="21"/>
              </w:rPr>
              <w:t>房屋管理与维修养护（</w:t>
            </w:r>
            <w:r>
              <w:rPr>
                <w:rFonts w:ascii="楷体_GB2312" w:hAnsi="楷体_GB2312" w:eastAsia="楷体_GB2312" w:cs="楷体_GB2312"/>
                <w:kern w:val="0"/>
                <w:szCs w:val="21"/>
              </w:rPr>
              <w:t>16</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、主出入口设有小区平面示意图，主要路口设有路标，组团及幢、单元（门）、户门标号标志明显。</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，无示意图扣</w:t>
            </w:r>
            <w:r>
              <w:rPr>
                <w:rFonts w:ascii="楷体_GB2312" w:hAnsi="楷体_GB2312" w:eastAsia="楷体_GB2312" w:cs="楷体_GB2312"/>
                <w:szCs w:val="21"/>
              </w:rPr>
              <w:t>0.5</w:t>
            </w:r>
            <w:r>
              <w:rPr>
                <w:rFonts w:hint="eastAsia" w:ascii="楷体_GB2312" w:hAnsi="楷体_GB2312" w:eastAsia="楷体_GB2312" w:cs="楷体_GB2312"/>
                <w:szCs w:val="21"/>
              </w:rPr>
              <w:t>，无路标扣</w:t>
            </w:r>
            <w:r>
              <w:rPr>
                <w:rFonts w:ascii="楷体_GB2312" w:hAnsi="楷体_GB2312" w:eastAsia="楷体_GB2312" w:cs="楷体_GB2312"/>
                <w:szCs w:val="21"/>
              </w:rPr>
              <w:t>0.3</w:t>
            </w:r>
            <w:r>
              <w:rPr>
                <w:rFonts w:hint="eastAsia" w:ascii="楷体_GB2312" w:hAnsi="楷体_GB2312" w:eastAsia="楷体_GB2312" w:cs="楷体_GB2312"/>
                <w:szCs w:val="21"/>
              </w:rPr>
              <w:t>，幢、单元、户号每缺一个扣</w:t>
            </w:r>
            <w:r>
              <w:rPr>
                <w:rFonts w:ascii="楷体_GB2312" w:hAnsi="楷体_GB2312" w:eastAsia="楷体_GB2312" w:cs="楷体_GB2312"/>
                <w:szCs w:val="21"/>
              </w:rPr>
              <w:t>0.1</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、无违反规划私搭乱建，无擅自改变房屋用途现象。如违规搭建，安装防盗门等。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，每发现一处私搭乱建或擅自改变房屋使用用途扣</w:t>
            </w:r>
            <w:r>
              <w:rPr>
                <w:rFonts w:ascii="楷体_GB2312" w:hAnsi="楷体_GB2312" w:eastAsia="楷体_GB2312" w:cs="楷体_GB2312"/>
                <w:szCs w:val="21"/>
              </w:rPr>
              <w:t>1.0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、建立设备设施管理制度，日常检查有记录，包括日检、周检、月检等。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bottom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、室外招牌、广告牌、霓虹灯按规定设置，保持整洁统一美观，无安全隐患或破损。</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未按规定设置</w:t>
            </w:r>
            <w:r>
              <w:rPr>
                <w:rFonts w:ascii="楷体_GB2312" w:hAnsi="楷体_GB2312" w:eastAsia="楷体_GB2312" w:cs="楷体_GB2312"/>
                <w:szCs w:val="21"/>
              </w:rPr>
              <w:t>0</w:t>
            </w:r>
            <w:r>
              <w:rPr>
                <w:rFonts w:hint="eastAsia" w:ascii="楷体_GB2312" w:hAnsi="楷体_GB2312" w:eastAsia="楷体_GB2312" w:cs="楷体_GB2312"/>
                <w:szCs w:val="21"/>
              </w:rPr>
              <w:t>；按规定设置，但不整齐或有破损每处扣</w:t>
            </w:r>
            <w:r>
              <w:rPr>
                <w:rFonts w:ascii="楷体_GB2312" w:hAnsi="楷体_GB2312" w:eastAsia="楷体_GB2312" w:cs="楷体_GB2312"/>
                <w:szCs w:val="21"/>
              </w:rPr>
              <w:t>0.1</w:t>
            </w:r>
            <w:r>
              <w:rPr>
                <w:rFonts w:hint="eastAsia" w:ascii="楷体_GB2312" w:hAnsi="楷体_GB2312" w:eastAsia="楷体_GB2312" w:cs="楷体_GB2312"/>
                <w:szCs w:val="21"/>
              </w:rPr>
              <w:t>，</w:t>
            </w:r>
            <w:r>
              <w:rPr>
                <w:rFonts w:ascii="楷体_GB2312" w:hAnsi="楷体_GB2312" w:eastAsia="楷体_GB2312" w:cs="楷体_GB2312"/>
                <w:szCs w:val="21"/>
              </w:rPr>
              <w:t xml:space="preserve"> </w:t>
            </w:r>
            <w:r>
              <w:rPr>
                <w:rFonts w:hint="eastAsia" w:ascii="楷体_GB2312" w:hAnsi="楷体_GB2312" w:eastAsia="楷体_GB2312" w:cs="楷体_GB2312"/>
                <w:szCs w:val="21"/>
              </w:rPr>
              <w:t>有安主隐患每处扣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top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4</w:t>
            </w:r>
            <w:r>
              <w:rPr>
                <w:rFonts w:hint="eastAsia" w:ascii="楷体_GB2312" w:hAnsi="楷体_GB2312" w:eastAsia="楷体_GB2312" w:cs="楷体_GB2312"/>
                <w:szCs w:val="21"/>
              </w:rPr>
              <w:t>条。</w:t>
            </w:r>
          </w:p>
        </w:tc>
        <w:tc>
          <w:tcPr>
            <w:tcW w:w="1404" w:type="dxa"/>
            <w:tcBorders>
              <w:top w:val="single" w:color="auto" w:sz="4" w:space="0"/>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、阳台统一有序，色调一致，不超出外墙面；除建筑设计或甲方有要求，不得安装外廊及户外防盗网、晾晒架、遮阳棚等。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0.2</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5</w:t>
            </w:r>
            <w:r>
              <w:rPr>
                <w:rFonts w:hint="eastAsia" w:ascii="楷体_GB2312" w:hAnsi="楷体_GB2312" w:eastAsia="楷体_GB2312" w:cs="楷体_GB2312"/>
                <w:szCs w:val="21"/>
              </w:rPr>
              <w:t>条和专家意见。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、空调安装位置统一，冷凝水集中收集，支架无锈蚀。</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、室外、阳台、室外空调等存在危及公共安全的因素</w:t>
            </w:r>
            <w:r>
              <w:rPr>
                <w:rFonts w:ascii="楷体_GB2312" w:hAnsi="楷体_GB2312" w:eastAsia="楷体_GB2312" w:cs="楷体_GB2312"/>
                <w:szCs w:val="21"/>
              </w:rPr>
              <w:t>,</w:t>
            </w:r>
            <w:r>
              <w:rPr>
                <w:rFonts w:hint="eastAsia" w:ascii="楷体_GB2312" w:hAnsi="楷体_GB2312" w:eastAsia="楷体_GB2312" w:cs="楷体_GB2312"/>
                <w:szCs w:val="21"/>
              </w:rPr>
              <w:t>物业公司应有提醒并告知。</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、房屋装饰装修符合规定，未发生危及房屋结构安全及拆改管线和损害他人利益的现象。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5"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3</w:t>
            </w:r>
          </w:p>
        </w:tc>
        <w:tc>
          <w:tcPr>
            <w:tcW w:w="1229" w:type="dxa"/>
            <w:vMerge w:val="restart"/>
            <w:vAlign w:val="center"/>
          </w:tcPr>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共用设施设备管理</w:t>
            </w:r>
          </w:p>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w:t>
            </w:r>
            <w:r>
              <w:rPr>
                <w:rFonts w:ascii="楷体_GB2312" w:hAnsi="楷体_GB2312" w:eastAsia="楷体_GB2312" w:cs="楷体_GB2312"/>
                <w:kern w:val="0"/>
                <w:szCs w:val="21"/>
              </w:rPr>
              <w:t>17</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、工程人员人均管理建筑面积为</w:t>
            </w:r>
            <w:r>
              <w:rPr>
                <w:rFonts w:ascii="楷体_GB2312" w:hAnsi="楷体_GB2312" w:eastAsia="楷体_GB2312" w:cs="楷体_GB2312"/>
                <w:szCs w:val="21"/>
              </w:rPr>
              <w:t>9000</w:t>
            </w:r>
            <w:r>
              <w:rPr>
                <w:rFonts w:hint="eastAsia" w:ascii="楷体_GB2312" w:hAnsi="楷体_GB2312" w:eastAsia="楷体_GB2312" w:cs="楷体_GB2312"/>
                <w:szCs w:val="21"/>
              </w:rPr>
              <w:t>㎡或</w:t>
            </w:r>
            <w:r>
              <w:rPr>
                <w:rFonts w:ascii="楷体_GB2312" w:hAnsi="楷体_GB2312" w:eastAsia="楷体_GB2312" w:cs="楷体_GB2312"/>
                <w:szCs w:val="21"/>
              </w:rPr>
              <w:t>12000</w:t>
            </w:r>
            <w:r>
              <w:rPr>
                <w:rFonts w:hint="eastAsia" w:ascii="楷体_GB2312" w:hAnsi="楷体_GB2312" w:eastAsia="楷体_GB2312" w:cs="楷体_GB2312"/>
                <w:szCs w:val="21"/>
              </w:rPr>
              <w:t>㎡以下。（高层</w:t>
            </w:r>
            <w:r>
              <w:rPr>
                <w:rFonts w:ascii="楷体_GB2312" w:hAnsi="楷体_GB2312" w:eastAsia="楷体_GB2312" w:cs="楷体_GB2312"/>
                <w:szCs w:val="21"/>
              </w:rPr>
              <w:t>9000</w:t>
            </w:r>
            <w:r>
              <w:rPr>
                <w:rFonts w:hint="eastAsia" w:ascii="楷体_GB2312" w:hAnsi="楷体_GB2312" w:eastAsia="楷体_GB2312" w:cs="楷体_GB2312"/>
                <w:szCs w:val="21"/>
              </w:rPr>
              <w:t>㎡、多层</w:t>
            </w:r>
            <w:r>
              <w:rPr>
                <w:rFonts w:ascii="楷体_GB2312" w:hAnsi="楷体_GB2312" w:eastAsia="楷体_GB2312" w:cs="楷体_GB2312"/>
                <w:szCs w:val="21"/>
              </w:rPr>
              <w:t>12000</w:t>
            </w:r>
            <w:r>
              <w:rPr>
                <w:rFonts w:hint="eastAsia" w:ascii="楷体_GB2312" w:hAnsi="楷体_GB2312" w:eastAsia="楷体_GB2312" w:cs="楷体_GB2312"/>
                <w:szCs w:val="21"/>
              </w:rPr>
              <w:t>㎡）</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、各类设备设施的完好率达到</w:t>
            </w:r>
            <w:r>
              <w:rPr>
                <w:rFonts w:ascii="楷体_GB2312" w:hAnsi="楷体_GB2312" w:eastAsia="楷体_GB2312" w:cs="楷体_GB2312"/>
                <w:szCs w:val="21"/>
              </w:rPr>
              <w:t>96%</w:t>
            </w:r>
            <w:r>
              <w:rPr>
                <w:rFonts w:hint="eastAsia" w:ascii="楷体_GB2312" w:hAnsi="楷体_GB2312" w:eastAsia="楷体_GB2312" w:cs="楷体_GB2312"/>
                <w:szCs w:val="21"/>
              </w:rPr>
              <w:t>以上；共用部位、停车场等照明系统的完好率达到</w:t>
            </w:r>
            <w:r>
              <w:rPr>
                <w:rFonts w:ascii="楷体_GB2312" w:hAnsi="楷体_GB2312" w:eastAsia="楷体_GB2312" w:cs="楷体_GB2312"/>
                <w:szCs w:val="21"/>
              </w:rPr>
              <w:t>98%</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3、设施设备维保单位具有相关资质。</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4、建立设备设施管理制度，日常检查有记录，包括日检、周检、月检等。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5、加强对消防系统的检查保养，消防栓、灭火器、报警功能巡查每周不少于三次；消防泵启动每年不少于三次。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6、</w:t>
            </w:r>
            <w:r>
              <w:rPr>
                <w:rFonts w:ascii="楷体_GB2312" w:hAnsi="楷体_GB2312" w:eastAsia="楷体_GB2312" w:cs="楷体_GB2312"/>
                <w:szCs w:val="21"/>
              </w:rPr>
              <w:t>24</w:t>
            </w:r>
            <w:r>
              <w:rPr>
                <w:rFonts w:hint="eastAsia" w:ascii="楷体_GB2312" w:hAnsi="楷体_GB2312" w:eastAsia="楷体_GB2312" w:cs="楷体_GB2312"/>
                <w:szCs w:val="21"/>
              </w:rPr>
              <w:t>小时受理租户报修，急修半小时内到现场处理，一般修理</w:t>
            </w:r>
            <w:r>
              <w:rPr>
                <w:rFonts w:ascii="楷体_GB2312" w:hAnsi="楷体_GB2312" w:eastAsia="楷体_GB2312" w:cs="楷体_GB2312"/>
                <w:szCs w:val="21"/>
              </w:rPr>
              <w:t>1</w:t>
            </w:r>
            <w:r>
              <w:rPr>
                <w:rFonts w:hint="eastAsia" w:ascii="楷体_GB2312" w:hAnsi="楷体_GB2312" w:eastAsia="楷体_GB2312" w:cs="楷体_GB2312"/>
                <w:szCs w:val="21"/>
              </w:rPr>
              <w:t>天内处理。</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7、室外共用管线统一入地或入公共管道，无架空管线，无碍观瞻。</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8、排水、排污管道通畅，无堵塞外溢现象。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4</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9、道路通畅，路面平整；井盖无缺损、无丢失，路面井盖不影响车辆和行人通行。</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5</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10、供水设备运行正常，设施完好、无渗漏、无污染；二次生活用水有严格的保障措施，水质符合卫生标准；制定停水及事故处理方案。</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1、制订供电系统管理措施并严格执行，记录完整：供电设备运行正常，配电室管理符合规定；路灯、楼道灯等公共照明设备完好。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2"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12、加强对电梯的保养，单台电梯的年故障频率不超过一次。大厦电梯由专业人员维护，维修合同签订，安全检查市检证件齐全，安全运行和维修保养落实，有材料可查，通风照明及附属设施完好。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3、电梯按规定或约定时间运行，安全设施齐全，无安全事故，机房、轿厢、井道保持清洁；电梯机房通风、照明良好；有完善的应急处理方案。</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8</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4、配电设备和中央空调运行安全、正常、良好，设备及环境整洁，应急用发电机可随时启动，并有完善的管理制度。</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5、康体设施、游泳池管理制度健全，管理规范，无安全隐患。</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，基本符合</w:t>
            </w:r>
            <w:r>
              <w:rPr>
                <w:rFonts w:ascii="楷体_GB2312" w:hAnsi="楷体_GB2312" w:eastAsia="楷体_GB2312" w:cs="楷体_GB2312"/>
                <w:szCs w:val="21"/>
              </w:rPr>
              <w:t>1</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4</w:t>
            </w:r>
          </w:p>
        </w:tc>
        <w:tc>
          <w:tcPr>
            <w:tcW w:w="1229" w:type="dxa"/>
            <w:vMerge w:val="restart"/>
            <w:tcBorders>
              <w:top w:val="single" w:color="auto" w:sz="4" w:space="0"/>
            </w:tcBorders>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安全管理</w:t>
            </w: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w:t>
            </w:r>
            <w:r>
              <w:rPr>
                <w:rFonts w:ascii="楷体_GB2312" w:hAnsi="楷体_GB2312" w:eastAsia="楷体_GB2312" w:cs="楷体_GB2312"/>
                <w:szCs w:val="21"/>
              </w:rPr>
              <w:t>18</w:t>
            </w:r>
            <w:r>
              <w:rPr>
                <w:rFonts w:hint="eastAsia" w:ascii="楷体_GB2312" w:hAnsi="楷体_GB2312" w:eastAsia="楷体_GB2312" w:cs="楷体_GB2312"/>
                <w:szCs w:val="21"/>
              </w:rPr>
              <w:t>）</w:t>
            </w:r>
          </w:p>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、秩序维护人员人均管理建筑面积为</w:t>
            </w:r>
            <w:r>
              <w:rPr>
                <w:rFonts w:ascii="楷体_GB2312" w:hAnsi="楷体_GB2312" w:eastAsia="楷体_GB2312" w:cs="楷体_GB2312"/>
                <w:szCs w:val="21"/>
              </w:rPr>
              <w:t>3000</w:t>
            </w:r>
            <w:r>
              <w:rPr>
                <w:rFonts w:hint="eastAsia" w:ascii="楷体_GB2312" w:hAnsi="楷体_GB2312" w:eastAsia="楷体_GB2312" w:cs="楷体_GB2312"/>
                <w:szCs w:val="21"/>
              </w:rPr>
              <w:t>㎡或</w:t>
            </w:r>
            <w:r>
              <w:rPr>
                <w:rFonts w:ascii="楷体_GB2312" w:hAnsi="楷体_GB2312" w:eastAsia="楷体_GB2312" w:cs="楷体_GB2312"/>
                <w:szCs w:val="21"/>
              </w:rPr>
              <w:t>4000</w:t>
            </w:r>
            <w:r>
              <w:rPr>
                <w:rFonts w:hint="eastAsia" w:ascii="楷体_GB2312" w:hAnsi="楷体_GB2312" w:eastAsia="楷体_GB2312" w:cs="楷体_GB2312"/>
                <w:szCs w:val="21"/>
              </w:rPr>
              <w:t>㎡以下。（高层</w:t>
            </w:r>
            <w:r>
              <w:rPr>
                <w:rFonts w:ascii="楷体_GB2312" w:hAnsi="楷体_GB2312" w:eastAsia="楷体_GB2312" w:cs="楷体_GB2312"/>
                <w:szCs w:val="21"/>
              </w:rPr>
              <w:t>3000</w:t>
            </w:r>
            <w:r>
              <w:rPr>
                <w:rFonts w:hint="eastAsia" w:ascii="楷体_GB2312" w:hAnsi="楷体_GB2312" w:eastAsia="楷体_GB2312" w:cs="楷体_GB2312"/>
                <w:szCs w:val="21"/>
              </w:rPr>
              <w:t>、多层</w:t>
            </w:r>
            <w:r>
              <w:rPr>
                <w:rFonts w:ascii="楷体_GB2312" w:hAnsi="楷体_GB2312" w:eastAsia="楷体_GB2312" w:cs="楷体_GB2312"/>
                <w:szCs w:val="21"/>
              </w:rPr>
              <w:t>4000</w:t>
            </w:r>
            <w:r>
              <w:rPr>
                <w:rFonts w:hint="eastAsia" w:ascii="楷体_GB2312" w:hAnsi="楷体_GB2312" w:eastAsia="楷体_GB2312" w:cs="楷体_GB2312"/>
                <w:szCs w:val="21"/>
              </w:rPr>
              <w:t>）</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、每年组织有租户参与的消防演习不少于两次。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、秩序维护人员熟悉各自岗位职责</w:t>
            </w:r>
            <w:r>
              <w:rPr>
                <w:rFonts w:ascii="楷体_GB2312" w:hAnsi="楷体_GB2312" w:eastAsia="楷体_GB2312" w:cs="楷体_GB2312"/>
                <w:szCs w:val="21"/>
              </w:rPr>
              <w:t>,</w:t>
            </w:r>
            <w:r>
              <w:rPr>
                <w:rFonts w:hint="eastAsia" w:ascii="楷体_GB2312" w:hAnsi="楷体_GB2312" w:eastAsia="楷体_GB2312" w:cs="楷体_GB2312"/>
                <w:szCs w:val="21"/>
              </w:rPr>
              <w:t>定期组织秩序维护人员岗位培训</w:t>
            </w:r>
            <w:r>
              <w:rPr>
                <w:rFonts w:ascii="楷体_GB2312" w:hAnsi="楷体_GB2312" w:eastAsia="楷体_GB2312" w:cs="楷体_GB2312"/>
                <w:szCs w:val="21"/>
              </w:rPr>
              <w:t>,</w:t>
            </w:r>
            <w:r>
              <w:rPr>
                <w:rFonts w:hint="eastAsia" w:ascii="楷体_GB2312" w:hAnsi="楷体_GB2312" w:eastAsia="楷体_GB2312" w:cs="楷体_GB2312"/>
                <w:szCs w:val="21"/>
              </w:rPr>
              <w:t>并掌握相关培训内容。</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、设定合理的巡逻路线，确保小区关键线路和关键时间节点的巡逻</w:t>
            </w:r>
            <w:r>
              <w:rPr>
                <w:rFonts w:ascii="楷体_GB2312" w:hAnsi="楷体_GB2312" w:eastAsia="楷体_GB2312" w:cs="楷体_GB2312"/>
                <w:szCs w:val="21"/>
              </w:rPr>
              <w:t>;</w:t>
            </w:r>
            <w:r>
              <w:rPr>
                <w:rFonts w:hint="eastAsia" w:ascii="楷体_GB2312" w:hAnsi="楷体_GB2312" w:eastAsia="楷体_GB2312" w:cs="楷体_GB2312"/>
                <w:szCs w:val="21"/>
              </w:rPr>
              <w:t>秩序维护人员每隔一个半小时到指定区域巡逻一次。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、实行封闭式管理的，对外来人员进入物业小区进行询问和登记（按小区要求进行管理）。</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。一次没按要求处理扣</w:t>
            </w:r>
            <w:r>
              <w:rPr>
                <w:rFonts w:ascii="楷体_GB2312" w:hAnsi="楷体_GB2312" w:eastAsia="楷体_GB2312" w:cs="楷体_GB2312"/>
                <w:szCs w:val="21"/>
              </w:rPr>
              <w:t>0.5</w:t>
            </w:r>
            <w:r>
              <w:rPr>
                <w:rFonts w:hint="eastAsia" w:ascii="楷体_GB2312" w:hAnsi="楷体_GB2312" w:eastAsia="楷体_GB2312" w:cs="楷体_GB2312"/>
                <w:szCs w:val="21"/>
              </w:rPr>
              <w:t>分。</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、对居住满一年的租户，熟悉率达到</w:t>
            </w:r>
            <w:r>
              <w:rPr>
                <w:rFonts w:ascii="楷体_GB2312" w:hAnsi="楷体_GB2312" w:eastAsia="楷体_GB2312" w:cs="楷体_GB2312"/>
                <w:szCs w:val="21"/>
              </w:rPr>
              <w:t>60%</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、车辆行驶有规定路线，停车场内配置道闸和录像监视系统，停车标识清晰明确，有人员巡视和协助停车事宜。</w:t>
            </w:r>
            <w:r>
              <w:rPr>
                <w:rFonts w:ascii="楷体_GB2312" w:hAnsi="楷体_GB2312" w:eastAsia="楷体_GB2312" w:cs="楷体_GB2312"/>
                <w:szCs w:val="21"/>
              </w:rPr>
              <w:t xml:space="preserve"> </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、建立物品出入管理制度</w:t>
            </w:r>
            <w:r>
              <w:rPr>
                <w:rFonts w:ascii="楷体_GB2312" w:hAnsi="楷体_GB2312" w:eastAsia="楷体_GB2312" w:cs="楷体_GB2312"/>
                <w:szCs w:val="21"/>
              </w:rPr>
              <w:t>,</w:t>
            </w:r>
            <w:r>
              <w:rPr>
                <w:rFonts w:hint="eastAsia" w:ascii="楷体_GB2312" w:hAnsi="楷体_GB2312" w:eastAsia="楷体_GB2312" w:cs="楷体_GB2312"/>
                <w:szCs w:val="21"/>
              </w:rPr>
              <w:t>按要求和规范执行。</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一次不记录扣</w:t>
            </w:r>
            <w:r>
              <w:rPr>
                <w:rFonts w:ascii="楷体_GB2312" w:hAnsi="楷体_GB2312" w:eastAsia="楷体_GB2312" w:cs="楷体_GB2312"/>
                <w:szCs w:val="21"/>
              </w:rPr>
              <w:t>0.5</w:t>
            </w:r>
            <w:r>
              <w:rPr>
                <w:rFonts w:hint="eastAsia" w:ascii="楷体_GB2312" w:hAnsi="楷体_GB2312" w:eastAsia="楷体_GB2312" w:cs="楷体_GB2312"/>
                <w:szCs w:val="21"/>
              </w:rPr>
              <w:t>分。</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、危及人身安全处有明显标识和具体的防范措施。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评优标准保安、消防、车辆管理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10</w:t>
            </w:r>
            <w:r>
              <w:rPr>
                <w:rFonts w:hint="eastAsia" w:ascii="楷体_GB2312" w:hAnsi="楷体_GB2312" w:eastAsia="楷体_GB2312" w:cs="楷体_GB2312"/>
                <w:szCs w:val="21"/>
              </w:rPr>
              <w:t>、保证消防通道畅通。</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1"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、建立各类应急方案</w:t>
            </w:r>
            <w:r>
              <w:rPr>
                <w:rFonts w:ascii="楷体_GB2312" w:hAnsi="楷体_GB2312" w:eastAsia="楷体_GB2312" w:cs="楷体_GB2312"/>
                <w:szCs w:val="21"/>
              </w:rPr>
              <w:t>;</w:t>
            </w:r>
            <w:r>
              <w:rPr>
                <w:rFonts w:hint="eastAsia" w:ascii="楷体_GB2312" w:hAnsi="楷体_GB2312" w:eastAsia="楷体_GB2312" w:cs="楷体_GB2312"/>
                <w:szCs w:val="21"/>
              </w:rPr>
              <w:t>消防物资和消防工具配备齐全</w:t>
            </w:r>
            <w:r>
              <w:rPr>
                <w:rFonts w:ascii="楷体_GB2312" w:hAnsi="楷体_GB2312" w:eastAsia="楷体_GB2312" w:cs="楷体_GB2312"/>
                <w:szCs w:val="21"/>
              </w:rPr>
              <w:t>,</w:t>
            </w:r>
            <w:r>
              <w:rPr>
                <w:rFonts w:hint="eastAsia" w:ascii="楷体_GB2312" w:hAnsi="楷体_GB2312" w:eastAsia="楷体_GB2312" w:cs="楷体_GB2312"/>
                <w:szCs w:val="21"/>
              </w:rPr>
              <w:t>管理规范。</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pacing w:val="-16"/>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12</w:t>
            </w:r>
            <w:r>
              <w:rPr>
                <w:rFonts w:hint="eastAsia" w:ascii="楷体_GB2312" w:hAnsi="楷体_GB2312" w:eastAsia="楷体_GB2312" w:cs="楷体_GB2312"/>
                <w:szCs w:val="21"/>
              </w:rPr>
              <w:t>、机动车停车场管理制度完善，管理责任明确，车辆进出有登记。</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评优标准保安、消防、车辆管理第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13</w:t>
            </w:r>
            <w:r>
              <w:rPr>
                <w:rFonts w:hint="eastAsia" w:ascii="楷体_GB2312" w:hAnsi="楷体_GB2312" w:eastAsia="楷体_GB2312" w:cs="楷体_GB2312"/>
                <w:szCs w:val="21"/>
              </w:rPr>
              <w:t>、非机动车车辆（含共享单车）管理制度完善，按规定位置停放，管理有序。</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评优标准保安、消防、车辆管理第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14、对电动自行车火灾防范纳入日常管理中，有安全管理防范措施。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15、严格执行用电安全规程，依法依规定期开展电气防火检测，是否有相关记录。</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7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6、将突发事件报告给其它有关部门及业主单位值班领导，并作好报警准备；情况处理完毕后，做好登记，根据需要配合公安部门的调查取证。</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8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7、做好交接班工作，认真填写值班记录。值班记录中应详细注明当班的值班情况、突发事件的处置经过及结果、系统的运行情况及监控设施的日检情况。</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8" w:hRule="atLeast"/>
        </w:trPr>
        <w:tc>
          <w:tcPr>
            <w:tcW w:w="580" w:type="dxa"/>
            <w:vMerge w:val="restart"/>
            <w:tcBorders>
              <w:top w:val="single" w:color="auto" w:sz="4" w:space="0"/>
            </w:tcBorders>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w:t>
            </w:r>
          </w:p>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5</w:t>
            </w:r>
          </w:p>
        </w:tc>
        <w:tc>
          <w:tcPr>
            <w:tcW w:w="1229" w:type="dxa"/>
            <w:vMerge w:val="restart"/>
            <w:tcBorders>
              <w:top w:val="single" w:color="auto" w:sz="4" w:space="0"/>
            </w:tcBorders>
            <w:vAlign w:val="center"/>
          </w:tcPr>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kern w:val="0"/>
                <w:szCs w:val="21"/>
              </w:rPr>
              <w:t>环境卫生管理（</w:t>
            </w:r>
            <w:r>
              <w:rPr>
                <w:rFonts w:ascii="楷体_GB2312" w:hAnsi="楷体_GB2312" w:eastAsia="楷体_GB2312" w:cs="楷体_GB2312"/>
                <w:kern w:val="0"/>
                <w:szCs w:val="21"/>
              </w:rPr>
              <w:t>16</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、清洁卫生人员人均管理建筑面积为</w:t>
            </w:r>
            <w:r>
              <w:rPr>
                <w:rFonts w:ascii="楷体_GB2312" w:hAnsi="楷体_GB2312" w:eastAsia="楷体_GB2312" w:cs="楷体_GB2312"/>
                <w:szCs w:val="21"/>
              </w:rPr>
              <w:t>6000</w:t>
            </w:r>
            <w:r>
              <w:rPr>
                <w:rFonts w:hint="eastAsia" w:ascii="楷体_GB2312" w:hAnsi="楷体_GB2312" w:eastAsia="楷体_GB2312" w:cs="楷体_GB2312"/>
                <w:szCs w:val="21"/>
              </w:rPr>
              <w:t>㎡以下。</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7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numPr>
                <w:ilvl w:val="0"/>
                <w:numId w:val="5"/>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制定规范、完善的清洁卫生制度和计划；建立各类清洁卫生工作</w:t>
            </w:r>
            <w:r>
              <w:rPr>
                <w:rFonts w:hint="eastAsia" w:ascii="楷体_GB2312" w:hAnsi="楷体_GB2312" w:eastAsia="楷体_GB2312" w:cs="楷体_GB2312"/>
                <w:szCs w:val="21"/>
                <w:lang w:eastAsia="zh-CN"/>
              </w:rPr>
              <w:t>台账</w:t>
            </w:r>
            <w:r>
              <w:rPr>
                <w:rFonts w:hint="eastAsia" w:ascii="楷体_GB2312" w:hAnsi="楷体_GB2312" w:eastAsia="楷体_GB2312" w:cs="楷体_GB2312"/>
                <w:szCs w:val="21"/>
              </w:rPr>
              <w:t>，认真记录每一次清洁和消毒情况，清洁卫生台账完整、准确率</w:t>
            </w:r>
            <w:r>
              <w:rPr>
                <w:rFonts w:ascii="楷体_GB2312" w:hAnsi="楷体_GB2312" w:eastAsia="楷体_GB2312" w:cs="楷体_GB2312"/>
                <w:szCs w:val="21"/>
              </w:rPr>
              <w:t>100%</w:t>
            </w:r>
            <w:r>
              <w:rPr>
                <w:rFonts w:hint="eastAsia" w:ascii="楷体_GB2312" w:hAnsi="楷体_GB2312" w:eastAsia="楷体_GB2312" w:cs="楷体_GB2312"/>
                <w:szCs w:val="21"/>
              </w:rPr>
              <w:t>。日常检查有记录，包括日检、周检、月检等。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33"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、电梯轿厢、操作板、地面等清洁保养每天不少于一次，电梯门壁打蜡上光每月不少于一次，表面光亮、无污迹；大堂地面抛光打蜡或晶面研磨每月不少于一次。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w:t>
            </w:r>
            <w:r>
              <w:rPr>
                <w:rFonts w:ascii="楷体_GB2312" w:hAnsi="楷体_GB2312" w:eastAsia="楷体_GB2312" w:cs="楷体_GB2312"/>
                <w:szCs w:val="21"/>
              </w:rPr>
              <w:t>5-10</w:t>
            </w:r>
            <w:r>
              <w:rPr>
                <w:rFonts w:hint="eastAsia" w:ascii="楷体_GB2312" w:hAnsi="楷体_GB2312" w:eastAsia="楷体_GB2312" w:cs="楷体_GB2312"/>
                <w:szCs w:val="21"/>
              </w:rPr>
              <w:t>月的灭蚊、灭蟑螂等消杀工作每月不少于三次，其余月份每月不少于两次。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、外墙清洁每两年不少于一次。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7"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、环卫设备完备，设有垃圾箱、果皮箱、垃圾中转站。</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、清洁卫生实行责任制，有专职的清洁人员和明确的责任范围，实行标准化保洁。</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、垃圾日产日清，定期进行卫生消毒灭杀。</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、房屋共用部位共用设施设备无蚁害。</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4</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numPr>
                <w:ilvl w:val="0"/>
                <w:numId w:val="7"/>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小区内道路等共用场地保持整洁卫生。</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、建立药剂管理相应制度，按照制度对药剂进行的保存及使用。</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12</w:t>
            </w:r>
            <w:r>
              <w:rPr>
                <w:rFonts w:hint="eastAsia" w:ascii="楷体_GB2312" w:hAnsi="楷体_GB2312" w:eastAsia="楷体_GB2312" w:cs="楷体_GB2312"/>
                <w:szCs w:val="21"/>
              </w:rPr>
              <w:t>、房屋共用部位保持清洁，无乱贴、乱画，无擅自占用和堆放杂物现象；楼梯扶拦、天台公共玻璃窗等保持洁净。</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bottom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13</w:t>
            </w:r>
            <w:r>
              <w:rPr>
                <w:rFonts w:hint="eastAsia" w:ascii="楷体_GB2312" w:hAnsi="楷体_GB2312" w:eastAsia="楷体_GB2312" w:cs="楷体_GB2312"/>
                <w:szCs w:val="21"/>
              </w:rPr>
              <w:t>、商业网点管理有序，符合卫生标准；无乱设摊点、广告牌和乱贴、乱画现象。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top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top w:val="single" w:color="auto" w:sz="4" w:space="0"/>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14</w:t>
            </w:r>
            <w:r>
              <w:rPr>
                <w:rFonts w:hint="eastAsia" w:ascii="楷体_GB2312" w:hAnsi="楷体_GB2312" w:eastAsia="楷体_GB2312" w:cs="楷体_GB2312"/>
                <w:szCs w:val="21"/>
              </w:rPr>
              <w:t>、无违反规定饲养宠物、家禽、家畜。</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8</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15</w:t>
            </w:r>
            <w:r>
              <w:rPr>
                <w:rFonts w:hint="eastAsia" w:ascii="楷体_GB2312" w:hAnsi="楷体_GB2312" w:eastAsia="楷体_GB2312" w:cs="楷体_GB2312"/>
                <w:szCs w:val="21"/>
              </w:rPr>
              <w:t>、排放油烟、噪音等符合国家环保标准，外墙无污染。</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9</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6</w:t>
            </w:r>
          </w:p>
        </w:tc>
        <w:tc>
          <w:tcPr>
            <w:tcW w:w="1229" w:type="dxa"/>
            <w:vMerge w:val="restart"/>
            <w:tcBorders>
              <w:top w:val="single" w:color="auto" w:sz="4" w:space="0"/>
            </w:tcBorders>
            <w:vAlign w:val="center"/>
          </w:tcPr>
          <w:p>
            <w:pPr>
              <w:spacing w:after="78" w:line="320" w:lineRule="exact"/>
              <w:ind w:firstLine="18" w:firstLineChars="9"/>
              <w:jc w:val="center"/>
              <w:rPr>
                <w:rFonts w:ascii="楷体_GB2312" w:hAnsi="楷体_GB2312" w:eastAsia="楷体_GB2312" w:cs="楷体_GB2312"/>
                <w:szCs w:val="21"/>
              </w:rPr>
            </w:pPr>
            <w:r>
              <w:rPr>
                <w:rFonts w:hint="eastAsia" w:ascii="楷体_GB2312" w:hAnsi="楷体_GB2312" w:eastAsia="楷体_GB2312" w:cs="楷体_GB2312"/>
                <w:szCs w:val="21"/>
              </w:rPr>
              <w:t>绿化管理</w:t>
            </w:r>
          </w:p>
          <w:p>
            <w:pPr>
              <w:spacing w:after="78" w:line="320" w:lineRule="exact"/>
              <w:ind w:firstLine="18" w:firstLineChars="9"/>
              <w:jc w:val="center"/>
              <w:rPr>
                <w:rFonts w:ascii="楷体_GB2312" w:hAnsi="楷体_GB2312" w:eastAsia="楷体_GB2312" w:cs="楷体_GB2312"/>
                <w:szCs w:val="21"/>
              </w:rPr>
            </w:pPr>
            <w:r>
              <w:rPr>
                <w:rFonts w:hint="eastAsia" w:ascii="楷体_GB2312" w:hAnsi="楷体_GB2312" w:eastAsia="楷体_GB2312" w:cs="楷体_GB2312"/>
                <w:szCs w:val="21"/>
              </w:rPr>
              <w:t>（</w:t>
            </w:r>
            <w:r>
              <w:rPr>
                <w:rFonts w:ascii="楷体_GB2312" w:hAnsi="楷体_GB2312" w:eastAsia="楷体_GB2312" w:cs="楷体_GB2312"/>
                <w:szCs w:val="21"/>
              </w:rPr>
              <w:t>6</w:t>
            </w:r>
            <w:r>
              <w:rPr>
                <w:rFonts w:hint="eastAsia" w:ascii="楷体_GB2312" w:hAnsi="楷体_GB2312" w:eastAsia="楷体_GB2312" w:cs="楷体_GB2312"/>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、草坪常年保持平整，基本无杂草</w:t>
            </w:r>
            <w:r>
              <w:rPr>
                <w:rFonts w:ascii="楷体_GB2312" w:hAnsi="楷体_GB2312" w:eastAsia="楷体_GB2312" w:cs="楷体_GB2312"/>
                <w:szCs w:val="21"/>
              </w:rPr>
              <w:t>,</w:t>
            </w:r>
            <w:r>
              <w:rPr>
                <w:rFonts w:hint="eastAsia" w:ascii="楷体_GB2312" w:hAnsi="楷体_GB2312" w:eastAsia="楷体_GB2312" w:cs="楷体_GB2312"/>
                <w:szCs w:val="21"/>
              </w:rPr>
              <w:t>无大面积黄土裸露。</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、乔、灌木树冠完整</w:t>
            </w:r>
            <w:r>
              <w:rPr>
                <w:rFonts w:ascii="楷体_GB2312" w:hAnsi="楷体_GB2312" w:eastAsia="楷体_GB2312" w:cs="楷体_GB2312"/>
                <w:szCs w:val="21"/>
              </w:rPr>
              <w:t>,</w:t>
            </w:r>
            <w:r>
              <w:rPr>
                <w:rFonts w:hint="eastAsia" w:ascii="楷体_GB2312" w:hAnsi="楷体_GB2312" w:eastAsia="楷体_GB2312" w:cs="楷体_GB2312"/>
                <w:szCs w:val="21"/>
              </w:rPr>
              <w:t>无枯枝烂叶和死苗，各种植被生长良好。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、小区内绿地布局合理，花草树木与建筑小区配置得当。</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评优标准绿化管理第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、绿地无擅自改变使用用途和破</w:t>
            </w:r>
            <w:r>
              <w:rPr>
                <w:rFonts w:hint="eastAsia" w:ascii="楷体_GB2312" w:hAnsi="楷体_GB2312" w:eastAsia="楷体_GB2312" w:cs="楷体_GB2312"/>
                <w:szCs w:val="21"/>
                <w:lang w:eastAsia="zh-CN"/>
              </w:rPr>
              <w:t>坏</w:t>
            </w:r>
            <w:r>
              <w:rPr>
                <w:rFonts w:hint="eastAsia" w:ascii="楷体_GB2312" w:hAnsi="楷体_GB2312" w:eastAsia="楷体_GB2312" w:cs="楷体_GB2312"/>
                <w:szCs w:val="21"/>
              </w:rPr>
              <w:t>、践踏、占用现象。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评优标准绿化管理第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、花草树木长势良好，修剪整齐美观，无病虫害，无折损现象，无斑秃。</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评优标准绿化管理第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、建立绿化管理制度，日常检查有记录包括日检、周检、月检等。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restart"/>
            <w:vAlign w:val="center"/>
          </w:tcPr>
          <w:p>
            <w:pPr>
              <w:spacing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7</w:t>
            </w:r>
          </w:p>
        </w:tc>
        <w:tc>
          <w:tcPr>
            <w:tcW w:w="1229" w:type="dxa"/>
            <w:vMerge w:val="restart"/>
            <w:vAlign w:val="center"/>
          </w:tcPr>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kern w:val="0"/>
                <w:szCs w:val="21"/>
              </w:rPr>
              <w:t>精神文明建设（</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l</w:t>
            </w:r>
            <w:r>
              <w:rPr>
                <w:rFonts w:hint="eastAsia" w:ascii="楷体_GB2312" w:hAnsi="楷体_GB2312" w:eastAsia="楷体_GB2312" w:cs="楷体_GB2312"/>
                <w:szCs w:val="21"/>
              </w:rPr>
              <w:t>、积极开展各类社区文化活动，每年组织有租户参与的社区文化活动不少于三次；重要节日有专题布置不少于</w:t>
            </w:r>
            <w:r>
              <w:rPr>
                <w:rFonts w:ascii="楷体_GB2312" w:hAnsi="楷体_GB2312" w:eastAsia="楷体_GB2312" w:cs="楷体_GB2312"/>
                <w:szCs w:val="21"/>
              </w:rPr>
              <w:t>1</w:t>
            </w:r>
            <w:r>
              <w:rPr>
                <w:rFonts w:hint="eastAsia" w:ascii="楷体_GB2312" w:hAnsi="楷体_GB2312" w:eastAsia="楷体_GB2312" w:cs="楷体_GB2312"/>
                <w:szCs w:val="21"/>
              </w:rPr>
              <w:t>次</w:t>
            </w:r>
            <w:r>
              <w:rPr>
                <w:rFonts w:ascii="楷体_GB2312" w:hAnsi="楷体_GB2312" w:eastAsia="楷体_GB2312" w:cs="楷体_GB2312"/>
                <w:szCs w:val="21"/>
              </w:rPr>
              <w:t>;</w:t>
            </w:r>
            <w:r>
              <w:rPr>
                <w:rFonts w:hint="eastAsia" w:ascii="楷体_GB2312" w:hAnsi="楷体_GB2312" w:eastAsia="楷体_GB2312" w:cs="楷体_GB2312"/>
                <w:szCs w:val="21"/>
              </w:rPr>
              <w:t>公共宣传不少于</w:t>
            </w:r>
            <w:r>
              <w:rPr>
                <w:rFonts w:ascii="楷体_GB2312" w:hAnsi="楷体_GB2312" w:eastAsia="楷体_GB2312" w:cs="楷体_GB2312"/>
                <w:szCs w:val="21"/>
              </w:rPr>
              <w:t>4</w:t>
            </w:r>
            <w:r>
              <w:rPr>
                <w:rFonts w:hint="eastAsia" w:ascii="楷体_GB2312" w:hAnsi="楷体_GB2312" w:eastAsia="楷体_GB2312" w:cs="楷体_GB2312"/>
                <w:szCs w:val="21"/>
              </w:rPr>
              <w:t>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二级标准（综合管理二级）和专家意见。</w:t>
            </w:r>
          </w:p>
        </w:tc>
        <w:tc>
          <w:tcPr>
            <w:tcW w:w="1404" w:type="dxa"/>
            <w:tcBorders>
              <w:left w:val="single" w:color="auto" w:sz="4" w:space="0"/>
              <w:bottom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、创造条件，积极配合、支持并参与社区文化建设，并有相关记录。</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top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评优标准精神文明建设第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top w:val="single" w:color="auto" w:sz="4" w:space="0"/>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restart"/>
            <w:vAlign w:val="center"/>
          </w:tcPr>
          <w:p>
            <w:pPr>
              <w:spacing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8</w:t>
            </w:r>
          </w:p>
        </w:tc>
        <w:tc>
          <w:tcPr>
            <w:tcW w:w="1229" w:type="dxa"/>
            <w:vMerge w:val="restart"/>
            <w:vAlign w:val="center"/>
          </w:tcPr>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管理效益</w:t>
            </w:r>
          </w:p>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w:t>
            </w:r>
            <w:r>
              <w:rPr>
                <w:rFonts w:ascii="楷体_GB2312" w:hAnsi="楷体_GB2312" w:eastAsia="楷体_GB2312" w:cs="楷体_GB2312"/>
                <w:kern w:val="0"/>
                <w:szCs w:val="21"/>
              </w:rPr>
              <w:t>2</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l</w:t>
            </w:r>
            <w:r>
              <w:rPr>
                <w:rFonts w:hint="eastAsia" w:ascii="楷体_GB2312" w:hAnsi="楷体_GB2312" w:eastAsia="楷体_GB2312" w:cs="楷体_GB2312"/>
                <w:szCs w:val="21"/>
              </w:rPr>
              <w:t>、物业管理服务费用收缴率</w:t>
            </w:r>
            <w:r>
              <w:rPr>
                <w:rFonts w:ascii="楷体_GB2312" w:hAnsi="楷体_GB2312" w:eastAsia="楷体_GB2312" w:cs="楷体_GB2312"/>
                <w:szCs w:val="21"/>
              </w:rPr>
              <w:t>98</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评优标准管理效益第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tcBorders>
              <w:bottom w:val="single" w:color="auto" w:sz="12" w:space="0"/>
            </w:tcBorders>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tcBorders>
              <w:bottom w:val="single" w:color="auto" w:sz="12" w:space="0"/>
            </w:tcBorders>
            <w:vAlign w:val="center"/>
          </w:tcPr>
          <w:p>
            <w:pPr>
              <w:spacing w:after="78" w:line="320" w:lineRule="exact"/>
              <w:ind w:firstLine="420"/>
              <w:jc w:val="center"/>
              <w:rPr>
                <w:rFonts w:ascii="楷体_GB2312" w:hAnsi="楷体_GB2312" w:eastAsia="楷体_GB2312" w:cs="楷体_GB2312"/>
                <w:szCs w:val="21"/>
              </w:rPr>
            </w:pPr>
          </w:p>
        </w:tc>
        <w:tc>
          <w:tcPr>
            <w:tcW w:w="3814" w:type="dxa"/>
            <w:tcBorders>
              <w:bottom w:val="single" w:color="auto" w:sz="12" w:space="0"/>
            </w:tcBorders>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、提供便民有偿服务，开展多种经营。</w:t>
            </w:r>
          </w:p>
        </w:tc>
        <w:tc>
          <w:tcPr>
            <w:tcW w:w="3524" w:type="dxa"/>
            <w:tcBorders>
              <w:bottom w:val="single" w:color="auto" w:sz="12"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12"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评优标准管理效益第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bottom w:val="single" w:color="auto" w:sz="12" w:space="0"/>
            </w:tcBorders>
            <w:vAlign w:val="center"/>
          </w:tcPr>
          <w:p>
            <w:pPr>
              <w:spacing w:line="360" w:lineRule="exact"/>
              <w:ind w:firstLine="0" w:firstLineChars="0"/>
              <w:rPr>
                <w:rFonts w:ascii="楷体_GB2312" w:hAnsi="楷体_GB2312" w:eastAsia="楷体_GB2312" w:cs="楷体_GB2312"/>
                <w:szCs w:val="21"/>
              </w:rPr>
            </w:pPr>
          </w:p>
        </w:tc>
      </w:tr>
    </w:tbl>
    <w:p>
      <w:pPr>
        <w:widowControl/>
        <w:spacing w:line="240" w:lineRule="auto"/>
        <w:ind w:firstLine="0" w:firstLineChars="0"/>
        <w:rPr>
          <w:rFonts w:ascii="仿宋_GB2312" w:eastAsia="仿宋_GB2312"/>
          <w:sz w:val="32"/>
          <w:szCs w:val="32"/>
        </w:rPr>
        <w:sectPr>
          <w:pgSz w:w="16838" w:h="11906" w:orient="landscape"/>
          <w:pgMar w:top="1803" w:right="1440" w:bottom="1803" w:left="1440" w:header="851" w:footer="992" w:gutter="0"/>
          <w:cols w:space="720" w:num="1"/>
          <w:docGrid w:type="lines" w:linePitch="319" w:charSpace="0"/>
        </w:sectPr>
      </w:pPr>
    </w:p>
    <w:p>
      <w:pPr>
        <w:widowControl/>
        <w:ind w:firstLine="0" w:firstLineChars="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附件二：《深圳市公共租赁住房小区物业服务甲方评价表》</w:t>
      </w:r>
    </w:p>
    <w:p>
      <w:pPr>
        <w:spacing w:line="240" w:lineRule="auto"/>
        <w:ind w:firstLine="0" w:firstLineChars="0"/>
        <w:jc w:val="left"/>
        <w:rPr>
          <w:rFonts w:ascii="仿宋_GB2312" w:hAnsi="仿宋_GB2312" w:eastAsia="仿宋_GB2312" w:cs="仿宋_GB2312"/>
          <w:sz w:val="24"/>
          <w:szCs w:val="24"/>
        </w:rPr>
      </w:pP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甲方评价主要是指合同委托方对被委托方在物业服务监管、服务沟通、甲方需求配合以及合同履行等方面的认可程度。是甲方根据日常工作记录，甲方代表与甲方现场管理人员协商后的综合打分，满分</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w:t>
      </w:r>
    </w:p>
    <w:p>
      <w:pPr>
        <w:spacing w:line="240" w:lineRule="auto"/>
        <w:ind w:firstLine="0" w:firstLineChars="0"/>
        <w:jc w:val="left"/>
        <w:rPr>
          <w:rFonts w:ascii="仿宋_GB2312" w:hAnsi="仿宋_GB2312" w:eastAsia="仿宋_GB2312" w:cs="仿宋_GB2312"/>
          <w:sz w:val="24"/>
          <w:szCs w:val="24"/>
        </w:rPr>
      </w:pPr>
    </w:p>
    <w:p>
      <w:pPr>
        <w:spacing w:line="560" w:lineRule="exact"/>
        <w:ind w:firstLine="0" w:firstLineChars="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深圳市公共租赁住房小区物业服务甲方评价表</w:t>
      </w:r>
    </w:p>
    <w:tbl>
      <w:tblPr>
        <w:tblStyle w:val="6"/>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405"/>
        <w:gridCol w:w="3982"/>
        <w:gridCol w:w="11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exact"/>
          <w:jc w:val="center"/>
        </w:trPr>
        <w:tc>
          <w:tcPr>
            <w:tcW w:w="8739" w:type="dxa"/>
            <w:gridSpan w:val="5"/>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exact"/>
          <w:jc w:val="center"/>
        </w:trPr>
        <w:tc>
          <w:tcPr>
            <w:tcW w:w="2189" w:type="dxa"/>
            <w:gridSpan w:val="2"/>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被评价单位：</w:t>
            </w:r>
          </w:p>
        </w:tc>
        <w:tc>
          <w:tcPr>
            <w:tcW w:w="6550" w:type="dxa"/>
            <w:gridSpan w:val="3"/>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exact"/>
          <w:jc w:val="center"/>
        </w:trPr>
        <w:tc>
          <w:tcPr>
            <w:tcW w:w="2189" w:type="dxa"/>
            <w:gridSpan w:val="2"/>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评价单位：</w:t>
            </w:r>
          </w:p>
        </w:tc>
        <w:tc>
          <w:tcPr>
            <w:tcW w:w="6550" w:type="dxa"/>
            <w:gridSpan w:val="3"/>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exact"/>
          <w:jc w:val="center"/>
        </w:trPr>
        <w:tc>
          <w:tcPr>
            <w:tcW w:w="8739" w:type="dxa"/>
            <w:gridSpan w:val="5"/>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最终评价总分：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jc w:val="center"/>
        </w:trPr>
        <w:tc>
          <w:tcPr>
            <w:tcW w:w="8739" w:type="dxa"/>
            <w:gridSpan w:val="5"/>
            <w:tcMar>
              <w:top w:w="15" w:type="dxa"/>
              <w:left w:w="15" w:type="dxa"/>
              <w:bottom w:w="0" w:type="dxa"/>
              <w:right w:w="15" w:type="dxa"/>
            </w:tcMar>
            <w:vAlign w:val="center"/>
          </w:tcPr>
          <w:p>
            <w:pPr>
              <w:spacing w:line="360" w:lineRule="exact"/>
              <w:ind w:firstLine="420"/>
              <w:jc w:val="center"/>
              <w:rPr>
                <w:rFonts w:ascii="黑体" w:hAnsi="黑体" w:eastAsia="黑体" w:cs="楷体_GB2312"/>
                <w:bCs/>
                <w:szCs w:val="21"/>
              </w:rPr>
            </w:pPr>
            <w:r>
              <w:rPr>
                <w:rFonts w:hint="eastAsia" w:ascii="黑体" w:hAnsi="黑体" w:eastAsia="黑体" w:cs="楷体_GB2312"/>
                <w:bCs/>
                <w:szCs w:val="21"/>
              </w:rPr>
              <w:t>评价内容（仅供参考，可结合实际业务情况，以其它方面进行评价）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jc w:val="center"/>
        </w:trPr>
        <w:tc>
          <w:tcPr>
            <w:tcW w:w="784"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序号</w:t>
            </w:r>
          </w:p>
        </w:tc>
        <w:tc>
          <w:tcPr>
            <w:tcW w:w="1405"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项目</w:t>
            </w:r>
          </w:p>
        </w:tc>
        <w:tc>
          <w:tcPr>
            <w:tcW w:w="3982"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内容</w:t>
            </w:r>
          </w:p>
        </w:tc>
        <w:tc>
          <w:tcPr>
            <w:tcW w:w="1134" w:type="dxa"/>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分值</w:t>
            </w:r>
          </w:p>
        </w:tc>
        <w:tc>
          <w:tcPr>
            <w:tcW w:w="1434"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0" w:hRule="atLeas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1</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工作汇报</w:t>
            </w:r>
          </w:p>
        </w:tc>
        <w:tc>
          <w:tcPr>
            <w:tcW w:w="3982" w:type="dxa"/>
            <w:tcMar>
              <w:top w:w="15" w:type="dxa"/>
              <w:left w:w="15" w:type="dxa"/>
              <w:bottom w:w="0" w:type="dxa"/>
              <w:right w:w="15" w:type="dxa"/>
            </w:tcMar>
            <w:vAlign w:val="center"/>
          </w:tcPr>
          <w:p>
            <w:pPr>
              <w:widowControl/>
              <w:spacing w:line="240" w:lineRule="auto"/>
              <w:ind w:firstLine="0" w:firstLineChars="0"/>
              <w:rPr>
                <w:rFonts w:ascii="仿宋_GB2312" w:hAnsi="楷体_GB2312" w:eastAsia="仿宋_GB2312" w:cs="楷体_GB2312"/>
                <w:bCs/>
                <w:szCs w:val="21"/>
              </w:rPr>
            </w:pPr>
            <w:r>
              <w:rPr>
                <w:rFonts w:hint="eastAsia" w:ascii="仿宋_GB2312" w:hAnsi="楷体_GB2312" w:eastAsia="仿宋_GB2312" w:cs="楷体_GB2312"/>
                <w:bCs/>
                <w:szCs w:val="21"/>
              </w:rPr>
              <w:t>1.项目负责人须与业主单位保持必要的工作交流，定期汇报工作开展情况、信息反馈及下一步工作计划，重大情况须及时报告。2.其它汇报，如舆情、信访、违规举报等。</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9"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工作要求完成情况</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对于甲方提出的相关工作要求能及时、保质、保量完成。</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1"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3</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配合政府相关部门</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1.能在甲方的安排下，及时配合相关部门在社区开展各项工作。2.其它方面配合情况。</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4</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租户向甲方投诉情况</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有租户向甲方投诉安全、物业、维保、装修、商业、舆情、住房违规违约等情况，甲方反馈后能及时跟进处理或协调，处置得当。</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5</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甲方检查</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根据甲方开展的日常租务、租后服务、监察等现场检查工作，对服务配合进行评价。</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bl>
    <w:p>
      <w:pPr>
        <w:widowControl/>
        <w:ind w:firstLine="640"/>
        <w:rPr>
          <w:rFonts w:ascii="仿宋_GB2312" w:eastAsia="仿宋_GB2312"/>
          <w:sz w:val="32"/>
          <w:szCs w:val="32"/>
        </w:rPr>
      </w:pPr>
      <w:r>
        <w:rPr>
          <w:rFonts w:ascii="仿宋_GB2312" w:eastAsia="仿宋_GB2312"/>
          <w:sz w:val="32"/>
          <w:szCs w:val="32"/>
        </w:rPr>
        <w:br w:type="page"/>
      </w:r>
    </w:p>
    <w:p>
      <w:pPr>
        <w:widowControl/>
        <w:ind w:firstLine="0" w:firstLineChars="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附件三：《深圳市公共租赁住房小区物业服务租户访谈表》</w:t>
      </w:r>
    </w:p>
    <w:p>
      <w:pPr>
        <w:spacing w:line="240" w:lineRule="auto"/>
        <w:ind w:firstLine="0" w:firstLineChars="0"/>
        <w:jc w:val="left"/>
        <w:rPr>
          <w:rFonts w:ascii="仿宋_GB2312" w:hAnsi="仿宋_GB2312" w:eastAsia="仿宋_GB2312" w:cs="仿宋_GB2312"/>
          <w:sz w:val="24"/>
          <w:szCs w:val="24"/>
        </w:rPr>
      </w:pP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租户评价是指本项目的租户对物业服务体验的评价，通过租户评价，了解对物业服务的满意程度。主要方式是专家在考核过程中，通过对现场租户的随机走访，并发放租户评价表，根据租户打分及反映的问题和建议，了解物业服务企业的服务情况后，进行综合评定。本项内容由专家根据调查情况后综合打分，满分为</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分，其中非常满意（</w:t>
      </w:r>
      <w:r>
        <w:rPr>
          <w:rFonts w:ascii="仿宋_GB2312" w:hAnsi="仿宋_GB2312" w:eastAsia="仿宋_GB2312" w:cs="仿宋_GB2312"/>
          <w:sz w:val="24"/>
          <w:szCs w:val="24"/>
        </w:rPr>
        <w:t>8-10</w:t>
      </w:r>
      <w:r>
        <w:rPr>
          <w:rFonts w:hint="eastAsia" w:ascii="仿宋_GB2312" w:hAnsi="仿宋_GB2312" w:eastAsia="仿宋_GB2312" w:cs="仿宋_GB2312"/>
          <w:sz w:val="24"/>
          <w:szCs w:val="24"/>
        </w:rPr>
        <w:t>分）；满意（</w:t>
      </w:r>
      <w:r>
        <w:rPr>
          <w:rFonts w:ascii="仿宋_GB2312" w:hAnsi="仿宋_GB2312" w:eastAsia="仿宋_GB2312" w:cs="仿宋_GB2312"/>
          <w:sz w:val="24"/>
          <w:szCs w:val="24"/>
        </w:rPr>
        <w:t>6-7.9</w:t>
      </w:r>
      <w:r>
        <w:rPr>
          <w:rFonts w:hint="eastAsia" w:ascii="仿宋_GB2312" w:hAnsi="仿宋_GB2312" w:eastAsia="仿宋_GB2312" w:cs="仿宋_GB2312"/>
          <w:sz w:val="24"/>
          <w:szCs w:val="24"/>
        </w:rPr>
        <w:t>分）；一般（</w:t>
      </w:r>
      <w:r>
        <w:rPr>
          <w:rFonts w:ascii="仿宋_GB2312" w:hAnsi="仿宋_GB2312" w:eastAsia="仿宋_GB2312" w:cs="仿宋_GB2312"/>
          <w:sz w:val="24"/>
          <w:szCs w:val="24"/>
        </w:rPr>
        <w:t>4-5.9</w:t>
      </w:r>
      <w:r>
        <w:rPr>
          <w:rFonts w:hint="eastAsia" w:ascii="仿宋_GB2312" w:hAnsi="仿宋_GB2312" w:eastAsia="仿宋_GB2312" w:cs="仿宋_GB2312"/>
          <w:sz w:val="24"/>
          <w:szCs w:val="24"/>
        </w:rPr>
        <w:t>分）；不满意（</w:t>
      </w:r>
      <w:r>
        <w:rPr>
          <w:rFonts w:ascii="仿宋_GB2312" w:hAnsi="仿宋_GB2312" w:eastAsia="仿宋_GB2312" w:cs="仿宋_GB2312"/>
          <w:sz w:val="24"/>
          <w:szCs w:val="24"/>
        </w:rPr>
        <w:t>2-3.9</w:t>
      </w:r>
      <w:r>
        <w:rPr>
          <w:rFonts w:hint="eastAsia" w:ascii="仿宋_GB2312" w:hAnsi="仿宋_GB2312" w:eastAsia="仿宋_GB2312" w:cs="仿宋_GB2312"/>
          <w:sz w:val="24"/>
          <w:szCs w:val="24"/>
        </w:rPr>
        <w:t>）；非常不满意（</w:t>
      </w:r>
      <w:r>
        <w:rPr>
          <w:rFonts w:ascii="仿宋_GB2312" w:hAnsi="仿宋_GB2312" w:eastAsia="仿宋_GB2312" w:cs="仿宋_GB2312"/>
          <w:sz w:val="24"/>
          <w:szCs w:val="24"/>
        </w:rPr>
        <w:t>0-1.9</w:t>
      </w:r>
      <w:r>
        <w:rPr>
          <w:rFonts w:hint="eastAsia" w:ascii="仿宋_GB2312" w:hAnsi="仿宋_GB2312" w:eastAsia="仿宋_GB2312" w:cs="仿宋_GB2312"/>
          <w:sz w:val="24"/>
          <w:szCs w:val="24"/>
        </w:rPr>
        <w:t>）。</w:t>
      </w:r>
    </w:p>
    <w:p>
      <w:pPr>
        <w:ind w:firstLine="0" w:firstLineChars="0"/>
        <w:rPr>
          <w:rFonts w:ascii="黑体" w:hAnsi="黑体" w:eastAsia="黑体" w:cs="黑体"/>
          <w:sz w:val="36"/>
          <w:szCs w:val="36"/>
        </w:rPr>
      </w:pPr>
    </w:p>
    <w:p>
      <w:pPr>
        <w:ind w:firstLine="720"/>
        <w:rPr>
          <w:rFonts w:ascii="仿宋_GB2312" w:hAnsi="仿宋_GB2312" w:eastAsia="仿宋_GB2312" w:cs="仿宋_GB2312"/>
          <w:sz w:val="30"/>
          <w:szCs w:val="30"/>
        </w:rPr>
      </w:pPr>
      <w:r>
        <w:rPr>
          <w:rFonts w:hint="eastAsia" w:ascii="黑体" w:hAnsi="黑体" w:eastAsia="黑体" w:cs="黑体"/>
          <w:sz w:val="36"/>
          <w:szCs w:val="36"/>
        </w:rPr>
        <w:t>深圳市公共租赁住房小区物业服务租户评价表</w:t>
      </w:r>
    </w:p>
    <w:p>
      <w:pPr>
        <w:spacing w:line="360" w:lineRule="auto"/>
        <w:ind w:firstLine="0" w:firstLineChars="0"/>
        <w:rPr>
          <w:rFonts w:ascii="仿宋_GB2312" w:hAnsi="仿宋_GB2312" w:eastAsia="仿宋_GB2312" w:cs="仿宋_GB2312"/>
          <w:sz w:val="30"/>
          <w:szCs w:val="30"/>
        </w:rPr>
      </w:pPr>
    </w:p>
    <w:p>
      <w:pPr>
        <w:spacing w:line="360" w:lineRule="auto"/>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尊敬的物业使用人：</w:t>
      </w:r>
    </w:p>
    <w:p>
      <w:pPr>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您好！感谢您在百忙之中配合我们抽空填写本调查表。</w:t>
      </w:r>
    </w:p>
    <w:p>
      <w:pPr>
        <w:spacing w:line="360" w:lineRule="auto"/>
        <w:ind w:firstLine="6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为了更好地做好贵项目物业管理服务工作，希望通过调查形式来了解您的需求和您对物业服务企业各项工作的评价。您的意见和建议都将成为我们督促物业服务企业改进工作的重要信息。谢谢您的支持！</w:t>
      </w:r>
    </w:p>
    <w:p>
      <w:pPr>
        <w:spacing w:line="360" w:lineRule="auto"/>
        <w:ind w:firstLine="6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祝家庭幸福、工作顺利！</w:t>
      </w:r>
    </w:p>
    <w:p>
      <w:pPr>
        <w:spacing w:line="360" w:lineRule="auto"/>
        <w:ind w:firstLine="600"/>
        <w:rPr>
          <w:rFonts w:ascii="仿宋_GB2312" w:hAnsi="仿宋_GB2312" w:eastAsia="仿宋_GB2312" w:cs="仿宋_GB2312"/>
          <w:kern w:val="0"/>
          <w:sz w:val="30"/>
          <w:szCs w:val="30"/>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825"/>
        <w:gridCol w:w="135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住</w:t>
            </w:r>
            <w:r>
              <w:rPr>
                <w:rFonts w:ascii="楷体_GB2312" w:hAnsi="楷体_GB2312" w:eastAsia="楷体_GB2312" w:cs="楷体_GB2312"/>
                <w:szCs w:val="21"/>
              </w:rPr>
              <w:t xml:space="preserve">  </w:t>
            </w:r>
            <w:r>
              <w:rPr>
                <w:rFonts w:hint="eastAsia" w:ascii="楷体_GB2312" w:hAnsi="楷体_GB2312" w:eastAsia="楷体_GB2312" w:cs="楷体_GB2312"/>
                <w:szCs w:val="21"/>
              </w:rPr>
              <w:t>址</w:t>
            </w:r>
          </w:p>
        </w:tc>
        <w:tc>
          <w:tcPr>
            <w:tcW w:w="3825" w:type="dxa"/>
          </w:tcPr>
          <w:p>
            <w:pPr>
              <w:spacing w:line="400" w:lineRule="exact"/>
              <w:ind w:firstLine="420"/>
              <w:rPr>
                <w:rFonts w:ascii="楷体_GB2312" w:hAnsi="楷体_GB2312" w:eastAsia="楷体_GB2312" w:cs="楷体_GB2312"/>
                <w:szCs w:val="21"/>
              </w:rPr>
            </w:pPr>
            <w:r>
              <w:rPr>
                <w:rFonts w:ascii="楷体_GB2312" w:hAnsi="楷体_GB2312" w:eastAsia="楷体_GB2312" w:cs="楷体_GB2312"/>
                <w:szCs w:val="21"/>
              </w:rPr>
              <w:t xml:space="preserve">       </w:t>
            </w:r>
            <w:r>
              <w:rPr>
                <w:rFonts w:hint="eastAsia" w:ascii="楷体_GB2312" w:hAnsi="楷体_GB2312" w:eastAsia="楷体_GB2312" w:cs="楷体_GB2312"/>
                <w:szCs w:val="21"/>
              </w:rPr>
              <w:t>小区</w:t>
            </w:r>
            <w:r>
              <w:rPr>
                <w:rFonts w:ascii="楷体_GB2312" w:hAnsi="楷体_GB2312" w:eastAsia="楷体_GB2312" w:cs="楷体_GB2312"/>
                <w:szCs w:val="21"/>
              </w:rPr>
              <w:t xml:space="preserve">     </w:t>
            </w:r>
            <w:r>
              <w:rPr>
                <w:rFonts w:hint="eastAsia" w:ascii="楷体_GB2312" w:hAnsi="楷体_GB2312" w:eastAsia="楷体_GB2312" w:cs="楷体_GB2312"/>
                <w:szCs w:val="21"/>
              </w:rPr>
              <w:t>栋</w:t>
            </w:r>
            <w:r>
              <w:rPr>
                <w:rFonts w:ascii="楷体_GB2312" w:hAnsi="楷体_GB2312" w:eastAsia="楷体_GB2312" w:cs="楷体_GB2312"/>
                <w:szCs w:val="21"/>
              </w:rPr>
              <w:t xml:space="preserve">     </w:t>
            </w:r>
            <w:r>
              <w:rPr>
                <w:rFonts w:hint="eastAsia" w:ascii="楷体_GB2312" w:hAnsi="楷体_GB2312" w:eastAsia="楷体_GB2312" w:cs="楷体_GB2312"/>
                <w:szCs w:val="21"/>
              </w:rPr>
              <w:t>号</w:t>
            </w:r>
          </w:p>
        </w:tc>
        <w:tc>
          <w:tcPr>
            <w:tcW w:w="1350"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姓</w:t>
            </w:r>
            <w:r>
              <w:rPr>
                <w:rFonts w:ascii="楷体_GB2312" w:hAnsi="楷体_GB2312" w:eastAsia="楷体_GB2312" w:cs="楷体_GB2312"/>
                <w:szCs w:val="21"/>
              </w:rPr>
              <w:t xml:space="preserve">    </w:t>
            </w:r>
            <w:r>
              <w:rPr>
                <w:rFonts w:hint="eastAsia" w:ascii="楷体_GB2312" w:hAnsi="楷体_GB2312" w:eastAsia="楷体_GB2312" w:cs="楷体_GB2312"/>
                <w:szCs w:val="21"/>
              </w:rPr>
              <w:t>名</w:t>
            </w:r>
          </w:p>
        </w:tc>
        <w:tc>
          <w:tcPr>
            <w:tcW w:w="2224" w:type="dxa"/>
          </w:tcPr>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职</w:t>
            </w:r>
            <w:r>
              <w:rPr>
                <w:rFonts w:ascii="楷体_GB2312" w:hAnsi="楷体_GB2312" w:eastAsia="楷体_GB2312" w:cs="楷体_GB2312"/>
                <w:szCs w:val="21"/>
              </w:rPr>
              <w:t xml:space="preserve">  </w:t>
            </w:r>
            <w:r>
              <w:rPr>
                <w:rFonts w:hint="eastAsia" w:ascii="楷体_GB2312" w:hAnsi="楷体_GB2312" w:eastAsia="楷体_GB2312" w:cs="楷体_GB2312"/>
                <w:szCs w:val="21"/>
              </w:rPr>
              <w:t>业</w:t>
            </w:r>
          </w:p>
        </w:tc>
        <w:tc>
          <w:tcPr>
            <w:tcW w:w="3825" w:type="dxa"/>
          </w:tcPr>
          <w:p>
            <w:pPr>
              <w:spacing w:line="400" w:lineRule="exact"/>
              <w:ind w:firstLine="420"/>
              <w:rPr>
                <w:rFonts w:ascii="楷体_GB2312" w:hAnsi="楷体_GB2312" w:eastAsia="楷体_GB2312" w:cs="楷体_GB2312"/>
                <w:szCs w:val="21"/>
              </w:rPr>
            </w:pPr>
          </w:p>
        </w:tc>
        <w:tc>
          <w:tcPr>
            <w:tcW w:w="1350"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联系电话</w:t>
            </w:r>
          </w:p>
        </w:tc>
        <w:tc>
          <w:tcPr>
            <w:tcW w:w="2224" w:type="dxa"/>
          </w:tcPr>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请在相应栏打上“√”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、对物业公司的总体评价：□非常满意；□满意；□一般；□不满意；□非常不满意。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、客服服务：□非常满意；□满意；□一般；□不满意；□非常不满意。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420"/>
              <w:rPr>
                <w:rFonts w:ascii="楷体_GB2312" w:hAnsi="楷体_GB2312" w:eastAsia="楷体_GB2312" w:cs="楷体_GB2312"/>
                <w:szCs w:val="21"/>
              </w:rPr>
            </w:pPr>
          </w:p>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、维修服务：□非常满意；□满意；□一般；□不满意；□非常不满意。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、设施设备维护：□非常满意；□满意；□一般；□不满意；□非常不满意。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、秩序维护服务：□非常满意；□满意；□一般；□不满意；□非常不满意。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、清洁服务：□非常满意；□满意；□一般；□不满意；□非常不满意。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、绿化服务：□非常满意；□满意；□一般；□不满意；□非常不满意。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、车辆管理：□非常满意；□满意；□一般；□不满意；□非常不满意。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、消防管理：□非常满意；□满意；□一般；□不满意；□非常不满意。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10</w:t>
            </w:r>
            <w:r>
              <w:rPr>
                <w:rFonts w:hint="eastAsia" w:ascii="楷体_GB2312" w:hAnsi="楷体_GB2312" w:eastAsia="楷体_GB2312" w:cs="楷体_GB2312"/>
                <w:szCs w:val="21"/>
              </w:rPr>
              <w:t>、社区文化：□非常满意；□满意；□一般；□不满意；□非常不满意。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、您对物业公司的工作有何建议？</w:t>
            </w:r>
          </w:p>
          <w:p>
            <w:pPr>
              <w:spacing w:line="400" w:lineRule="exact"/>
              <w:ind w:firstLine="420"/>
              <w:rPr>
                <w:rFonts w:ascii="楷体_GB2312" w:hAnsi="楷体_GB2312" w:eastAsia="楷体_GB2312" w:cs="楷体_GB2312"/>
                <w:szCs w:val="21"/>
              </w:rPr>
            </w:pPr>
          </w:p>
          <w:p>
            <w:pPr>
              <w:spacing w:line="400" w:lineRule="exact"/>
              <w:ind w:firstLine="420"/>
              <w:rPr>
                <w:rFonts w:ascii="楷体_GB2312" w:hAnsi="楷体_GB2312" w:eastAsia="楷体_GB2312" w:cs="楷体_GB2312"/>
                <w:szCs w:val="21"/>
              </w:rPr>
            </w:pPr>
          </w:p>
          <w:p>
            <w:pPr>
              <w:spacing w:line="400" w:lineRule="exact"/>
              <w:ind w:firstLine="420"/>
              <w:rPr>
                <w:rFonts w:ascii="楷体_GB2312" w:hAnsi="楷体_GB2312" w:eastAsia="楷体_GB2312" w:cs="楷体_GB2312"/>
                <w:szCs w:val="21"/>
              </w:rPr>
            </w:pPr>
          </w:p>
        </w:tc>
      </w:tr>
    </w:tbl>
    <w:p>
      <w:pPr>
        <w:ind w:firstLine="0" w:firstLineChars="0"/>
        <w:rPr>
          <w:rFonts w:ascii="仿宋_GB2312" w:hAnsi="仿宋_GB2312" w:eastAsia="仿宋_GB2312" w:cs="仿宋_GB2312"/>
          <w:sz w:val="30"/>
          <w:szCs w:val="30"/>
        </w:rPr>
      </w:pPr>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被调查人（签字）</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调查人（签字）</w:t>
      </w:r>
    </w:p>
    <w:p>
      <w:pPr>
        <w:spacing w:line="560" w:lineRule="exact"/>
        <w:ind w:firstLine="0" w:firstLineChars="0"/>
        <w:rPr>
          <w:rFonts w:ascii="仿宋_GB2312" w:hAnsi="仿宋_GB2312" w:eastAsia="仿宋_GB2312" w:cs="仿宋_GB2312"/>
          <w:b/>
          <w:bCs/>
          <w:sz w:val="30"/>
          <w:szCs w:val="30"/>
        </w:rPr>
      </w:pPr>
      <w:r>
        <w:rPr>
          <w:rFonts w:ascii="仿宋_GB2312" w:eastAsia="仿宋_GB2312"/>
          <w:sz w:val="32"/>
          <w:szCs w:val="32"/>
        </w:rPr>
        <w:br w:type="page"/>
      </w:r>
      <w:r>
        <w:rPr>
          <w:rFonts w:hint="eastAsia" w:ascii="仿宋_GB2312" w:hAnsi="仿宋_GB2312" w:eastAsia="仿宋_GB2312" w:cs="仿宋_GB2312"/>
          <w:b/>
          <w:bCs/>
          <w:sz w:val="30"/>
          <w:szCs w:val="30"/>
        </w:rPr>
        <w:t>附件四：《深圳市公共租赁住房小区物业服务信用信息记录认定表》</w:t>
      </w: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信用信息记录主要是指企业及受评价项目获得的荣誉和受到的惩处。获得的荣誉包括近三年来政府及相关部门、行业协会等非商业性奖励、表彰和认定；受到的惩处包括近三年来受到主管部门行政处罚、行业协会的自律惩戒、其它政府部门给予的行政处罚及相关人员刑事处罚等。最高</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分，最低</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分，低于</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分按</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分计。</w:t>
      </w:r>
    </w:p>
    <w:p>
      <w:pPr>
        <w:spacing w:line="240" w:lineRule="auto"/>
        <w:ind w:firstLine="0" w:firstLineChars="0"/>
        <w:jc w:val="left"/>
        <w:rPr>
          <w:rFonts w:ascii="仿宋_GB2312" w:hAnsi="仿宋_GB2312" w:eastAsia="仿宋_GB2312" w:cs="仿宋_GB2312"/>
          <w:sz w:val="24"/>
          <w:szCs w:val="24"/>
        </w:rPr>
      </w:pPr>
    </w:p>
    <w:p>
      <w:pPr>
        <w:spacing w:line="240" w:lineRule="auto"/>
        <w:ind w:firstLine="0" w:firstLineChars="0"/>
        <w:jc w:val="left"/>
        <w:rPr>
          <w:rFonts w:ascii="仿宋_GB2312" w:hAnsi="仿宋_GB2312" w:eastAsia="仿宋_GB2312" w:cs="仿宋_GB2312"/>
          <w:sz w:val="24"/>
          <w:szCs w:val="24"/>
        </w:rPr>
      </w:pPr>
    </w:p>
    <w:p>
      <w:pPr>
        <w:spacing w:line="560" w:lineRule="exact"/>
        <w:ind w:firstLine="602"/>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深圳市公共租赁住房小区物业服务信用信息记录认定表</w:t>
      </w:r>
    </w:p>
    <w:p>
      <w:pPr>
        <w:spacing w:line="560" w:lineRule="exact"/>
        <w:ind w:firstLine="602"/>
        <w:rPr>
          <w:rFonts w:ascii="仿宋_GB2312" w:hAnsi="仿宋_GB2312" w:eastAsia="仿宋_GB2312" w:cs="仿宋_GB2312"/>
          <w:b/>
          <w:bCs/>
          <w:sz w:val="30"/>
          <w:szCs w:val="30"/>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6379"/>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序号</w:t>
            </w:r>
          </w:p>
        </w:tc>
        <w:tc>
          <w:tcPr>
            <w:tcW w:w="637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行为描述</w:t>
            </w:r>
          </w:p>
        </w:tc>
        <w:tc>
          <w:tcPr>
            <w:tcW w:w="1184"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exact"/>
        </w:trPr>
        <w:tc>
          <w:tcPr>
            <w:tcW w:w="95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p>
        </w:tc>
        <w:tc>
          <w:tcPr>
            <w:tcW w:w="637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加分项</w:t>
            </w:r>
          </w:p>
        </w:tc>
        <w:tc>
          <w:tcPr>
            <w:tcW w:w="1184"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物业服务企业获得市长质量奖加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分，市长质量奖鼓励奖加</w:t>
            </w:r>
            <w:r>
              <w:rPr>
                <w:rFonts w:ascii="楷体_GB2312" w:hAnsi="楷体_GB2312" w:eastAsia="楷体_GB2312" w:cs="楷体_GB2312"/>
                <w:kern w:val="0"/>
                <w:szCs w:val="21"/>
              </w:rPr>
              <w:t>8</w:t>
            </w:r>
            <w:r>
              <w:rPr>
                <w:rFonts w:hint="eastAsia" w:ascii="楷体_GB2312" w:hAnsi="楷体_GB2312" w:eastAsia="楷体_GB2312" w:cs="楷体_GB2312"/>
                <w:kern w:val="0"/>
                <w:szCs w:val="21"/>
              </w:rPr>
              <w:t>分，区长质量奖加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分。以最高荣誉为准。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2</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物业服务企业获得“深圳知名品牌”奖，加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3</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物业服务企业获得深圳市物业管理行业协会评选的“综合实力</w:t>
            </w:r>
            <w:r>
              <w:rPr>
                <w:rFonts w:ascii="楷体_GB2312" w:hAnsi="楷体_GB2312" w:eastAsia="楷体_GB2312" w:cs="楷体_GB2312"/>
                <w:kern w:val="0"/>
                <w:szCs w:val="21"/>
              </w:rPr>
              <w:t>50</w:t>
            </w:r>
            <w:r>
              <w:rPr>
                <w:rFonts w:hint="eastAsia" w:ascii="楷体_GB2312" w:hAnsi="楷体_GB2312" w:eastAsia="楷体_GB2312" w:cs="楷体_GB2312"/>
                <w:kern w:val="0"/>
                <w:szCs w:val="21"/>
              </w:rPr>
              <w:t>强”，以近</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年的记录为准，每得一次加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分，最多加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9"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4</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物业服务企业获得深圳市物业管理行业协会“优秀会员”，以近</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年的记录为准，每得一次加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5</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物业项目（是指本次受评项目，以下同）获得“国优”称号加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分；“省优”称号加</w:t>
            </w:r>
            <w:r>
              <w:rPr>
                <w:rFonts w:ascii="楷体_GB2312" w:hAnsi="楷体_GB2312" w:eastAsia="楷体_GB2312" w:cs="楷体_GB2312"/>
                <w:kern w:val="0"/>
                <w:szCs w:val="21"/>
              </w:rPr>
              <w:t>8</w:t>
            </w:r>
            <w:r>
              <w:rPr>
                <w:rFonts w:hint="eastAsia" w:ascii="楷体_GB2312" w:hAnsi="楷体_GB2312" w:eastAsia="楷体_GB2312" w:cs="楷体_GB2312"/>
                <w:kern w:val="0"/>
                <w:szCs w:val="21"/>
              </w:rPr>
              <w:t>分；“市优”称号加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分。以最高荣誉为准。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6</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物业服务企业获得国家一级资质证书，加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分，二级资质加</w:t>
            </w:r>
            <w:r>
              <w:rPr>
                <w:rFonts w:ascii="楷体_GB2312" w:hAnsi="楷体_GB2312" w:eastAsia="楷体_GB2312" w:cs="楷体_GB2312"/>
                <w:kern w:val="0"/>
                <w:szCs w:val="21"/>
              </w:rPr>
              <w:t>7</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7</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物业服务企业获得质量体系等认证，加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8</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社会公益捐赠，每捐赠</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万元加</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分，最高加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9</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物业项目参与智慧社区建设，进入试点名录并实施的加</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分，获得称号的加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5"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10</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物业项目参与绿色物业管理，进入试点名录并实施的加</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分，获得称号的加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11</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物业项目获得其它政府部门颁发的相关奖励，一次加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分，最高加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p>
        </w:tc>
        <w:tc>
          <w:tcPr>
            <w:tcW w:w="637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扣分项</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物业服务企业受到市区两级行政主管部门通报批评（区级扣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分，市级</w:t>
            </w:r>
            <w:r>
              <w:rPr>
                <w:rFonts w:ascii="楷体_GB2312" w:hAnsi="楷体_GB2312" w:eastAsia="楷体_GB2312" w:cs="楷体_GB2312"/>
                <w:kern w:val="0"/>
                <w:szCs w:val="21"/>
              </w:rPr>
              <w:t>15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2</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物业服务企业受到深圳市物业管理行业协会自律惩戒（警告扣</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分、业内通报批评</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分，公开谴责</w:t>
            </w:r>
            <w:r>
              <w:rPr>
                <w:rFonts w:ascii="楷体_GB2312" w:hAnsi="楷体_GB2312" w:eastAsia="楷体_GB2312" w:cs="楷体_GB2312"/>
                <w:kern w:val="0"/>
                <w:szCs w:val="21"/>
              </w:rPr>
              <w:t>15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3</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物业服务合同没有向区主管部门备案，扣</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4</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企业未按条例规定加入深圳市物业管理行业协会，扣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5</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擅自利用物业共用部位共用设施进行经营的，扣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6</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擅自改变物业管理区域内按规划建设的公共建筑和共用设施用途的，扣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7</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市区物业管理主部门或深圳物业管理行业协会对物业服务企业的违规行为进行调查，不配合调查的，每次扣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分，最多扣</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8</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因物业服务企业责任引发重大群体或越级上访事件，每次扣</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分，最多</w:t>
            </w:r>
            <w:r>
              <w:rPr>
                <w:rFonts w:ascii="楷体_GB2312" w:hAnsi="楷体_GB2312" w:eastAsia="楷体_GB2312" w:cs="楷体_GB2312"/>
                <w:kern w:val="0"/>
                <w:szCs w:val="21"/>
              </w:rPr>
              <w:t>30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9</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因物业服务企业责任引发火灾、刑事案件等重大安全事故，每次扣</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分，最多扣</w:t>
            </w:r>
            <w:r>
              <w:rPr>
                <w:rFonts w:ascii="楷体_GB2312" w:hAnsi="楷体_GB2312" w:eastAsia="楷体_GB2312" w:cs="楷体_GB2312"/>
                <w:kern w:val="0"/>
                <w:szCs w:val="21"/>
              </w:rPr>
              <w:t>30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bl>
    <w:p>
      <w:pPr>
        <w:spacing w:line="560" w:lineRule="exact"/>
        <w:ind w:firstLine="0" w:firstLineChars="0"/>
        <w:rPr>
          <w:rFonts w:ascii="仿宋_GB2312" w:eastAsia="仿宋_GB2312"/>
          <w:sz w:val="30"/>
          <w:szCs w:val="30"/>
        </w:rPr>
      </w:pPr>
    </w:p>
    <w:p>
      <w:pPr>
        <w:spacing w:line="560" w:lineRule="exact"/>
        <w:ind w:firstLine="0" w:firstLineChars="0"/>
      </w:pPr>
      <w:r>
        <w:rPr>
          <w:rFonts w:hint="eastAsia" w:ascii="仿宋_GB2312" w:eastAsia="仿宋_GB2312"/>
          <w:sz w:val="30"/>
          <w:szCs w:val="30"/>
        </w:rPr>
        <w:t>评价人（签名）</w:t>
      </w:r>
      <w:r>
        <w:rPr>
          <w:rFonts w:ascii="仿宋_GB2312" w:eastAsia="仿宋_GB2312"/>
          <w:sz w:val="30"/>
          <w:szCs w:val="30"/>
        </w:rPr>
        <w:t xml:space="preserve">                    </w:t>
      </w:r>
      <w:r>
        <w:rPr>
          <w:rFonts w:hint="eastAsia" w:ascii="仿宋_GB2312" w:eastAsia="仿宋_GB2312"/>
          <w:sz w:val="30"/>
          <w:szCs w:val="30"/>
        </w:rPr>
        <w:t>时间：</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firstLine="420"/>
                            <w:rPr>
                              <w:sz w:val="18"/>
                            </w:rPr>
                          </w:pPr>
                          <w:r>
                            <w:fldChar w:fldCharType="begin"/>
                          </w:r>
                          <w:r>
                            <w:instrText xml:space="preserve"> PAGE  \* MERGEFORMAT </w:instrText>
                          </w:r>
                          <w:r>
                            <w:fldChar w:fldCharType="separate"/>
                          </w:r>
                          <w:r>
                            <w:rPr>
                              <w:sz w:val="18"/>
                            </w:rPr>
                            <w:t>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ind w:firstLine="420"/>
                      <w:rPr>
                        <w:sz w:val="18"/>
                      </w:rPr>
                    </w:pPr>
                    <w:r>
                      <w:fldChar w:fldCharType="begin"/>
                    </w:r>
                    <w:r>
                      <w:instrText xml:space="preserve"> PAGE  \* MERGEFORMAT </w:instrText>
                    </w:r>
                    <w:r>
                      <w:fldChar w:fldCharType="separate"/>
                    </w:r>
                    <w:r>
                      <w:rPr>
                        <w:sz w:val="18"/>
                      </w:rPr>
                      <w:t>5</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DF24F"/>
    <w:multiLevelType w:val="singleLevel"/>
    <w:tmpl w:val="55FDF24F"/>
    <w:lvl w:ilvl="0" w:tentative="0">
      <w:start w:val="1"/>
      <w:numFmt w:val="decimal"/>
      <w:suff w:val="nothing"/>
      <w:lvlText w:val="%1、"/>
      <w:lvlJc w:val="left"/>
      <w:rPr>
        <w:rFonts w:cs="Times New Roman"/>
      </w:rPr>
    </w:lvl>
  </w:abstractNum>
  <w:abstractNum w:abstractNumId="1">
    <w:nsid w:val="55FDFCEF"/>
    <w:multiLevelType w:val="singleLevel"/>
    <w:tmpl w:val="55FDFCEF"/>
    <w:lvl w:ilvl="0" w:tentative="0">
      <w:start w:val="10"/>
      <w:numFmt w:val="decimal"/>
      <w:suff w:val="nothing"/>
      <w:lvlText w:val="%1、"/>
      <w:lvlJc w:val="left"/>
      <w:rPr>
        <w:rFonts w:cs="Times New Roman"/>
      </w:rPr>
    </w:lvl>
  </w:abstractNum>
  <w:abstractNum w:abstractNumId="2">
    <w:nsid w:val="55FDFD88"/>
    <w:multiLevelType w:val="singleLevel"/>
    <w:tmpl w:val="55FDFD88"/>
    <w:lvl w:ilvl="0" w:tentative="0">
      <w:start w:val="5"/>
      <w:numFmt w:val="decimal"/>
      <w:suff w:val="nothing"/>
      <w:lvlText w:val="%1、"/>
      <w:lvlJc w:val="left"/>
      <w:rPr>
        <w:rFonts w:cs="Times New Roman"/>
      </w:rPr>
    </w:lvl>
  </w:abstractNum>
  <w:abstractNum w:abstractNumId="3">
    <w:nsid w:val="573C2EF6"/>
    <w:multiLevelType w:val="singleLevel"/>
    <w:tmpl w:val="573C2EF6"/>
    <w:lvl w:ilvl="0" w:tentative="0">
      <w:start w:val="1"/>
      <w:numFmt w:val="chineseCounting"/>
      <w:suff w:val="nothing"/>
      <w:lvlText w:val="第%1条"/>
      <w:lvlJc w:val="left"/>
      <w:rPr>
        <w:rFonts w:cs="Times New Roman"/>
      </w:rPr>
    </w:lvl>
  </w:abstractNum>
  <w:abstractNum w:abstractNumId="4">
    <w:nsid w:val="573C34C7"/>
    <w:multiLevelType w:val="singleLevel"/>
    <w:tmpl w:val="573C34C7"/>
    <w:lvl w:ilvl="0" w:tentative="0">
      <w:start w:val="8"/>
      <w:numFmt w:val="chineseCounting"/>
      <w:suff w:val="space"/>
      <w:lvlText w:val="第%1条"/>
      <w:lvlJc w:val="left"/>
      <w:rPr>
        <w:rFonts w:cs="Times New Roman"/>
      </w:rPr>
    </w:lvl>
  </w:abstractNum>
  <w:abstractNum w:abstractNumId="5">
    <w:nsid w:val="573C356A"/>
    <w:multiLevelType w:val="singleLevel"/>
    <w:tmpl w:val="573C356A"/>
    <w:lvl w:ilvl="0" w:tentative="0">
      <w:start w:val="3"/>
      <w:numFmt w:val="chineseCounting"/>
      <w:suff w:val="nothing"/>
      <w:lvlText w:val="第%1章"/>
      <w:lvlJc w:val="left"/>
      <w:rPr>
        <w:rFonts w:cs="Times New Roman"/>
      </w:rPr>
    </w:lvl>
  </w:abstractNum>
  <w:abstractNum w:abstractNumId="6">
    <w:nsid w:val="5A405CE2"/>
    <w:multiLevelType w:val="singleLevel"/>
    <w:tmpl w:val="5A405CE2"/>
    <w:lvl w:ilvl="0" w:tentative="0">
      <w:start w:val="18"/>
      <w:numFmt w:val="chineseCounting"/>
      <w:suff w:val="space"/>
      <w:lvlText w:val="第%1条"/>
      <w:lvlJc w:val="left"/>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HorizontalSpacing w:val="105"/>
  <w:drawingGridVerticalSpacing w:val="31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B0"/>
    <w:rsid w:val="000E71A7"/>
    <w:rsid w:val="00107196"/>
    <w:rsid w:val="002830B0"/>
    <w:rsid w:val="003E4B3B"/>
    <w:rsid w:val="00413A62"/>
    <w:rsid w:val="004562DB"/>
    <w:rsid w:val="00695CF1"/>
    <w:rsid w:val="006B0C34"/>
    <w:rsid w:val="006B2FA8"/>
    <w:rsid w:val="006D4BD1"/>
    <w:rsid w:val="006F4BBB"/>
    <w:rsid w:val="007C7F77"/>
    <w:rsid w:val="007D786F"/>
    <w:rsid w:val="0086487B"/>
    <w:rsid w:val="00872268"/>
    <w:rsid w:val="008F1D65"/>
    <w:rsid w:val="008F38EF"/>
    <w:rsid w:val="008F755F"/>
    <w:rsid w:val="009A7D60"/>
    <w:rsid w:val="00A47ACB"/>
    <w:rsid w:val="00B85351"/>
    <w:rsid w:val="00B85D42"/>
    <w:rsid w:val="00BA17DA"/>
    <w:rsid w:val="00BD48A8"/>
    <w:rsid w:val="00C13358"/>
    <w:rsid w:val="00C755D7"/>
    <w:rsid w:val="00CC2B04"/>
    <w:rsid w:val="00CD71CB"/>
    <w:rsid w:val="00DE18BC"/>
    <w:rsid w:val="00DF39B3"/>
    <w:rsid w:val="00DF79BE"/>
    <w:rsid w:val="00E02E77"/>
    <w:rsid w:val="00E57AE1"/>
    <w:rsid w:val="00E8572F"/>
    <w:rsid w:val="00F321E0"/>
    <w:rsid w:val="00FA7A3F"/>
    <w:rsid w:val="00FB377E"/>
    <w:rsid w:val="01516CD8"/>
    <w:rsid w:val="017C2F0E"/>
    <w:rsid w:val="0473002B"/>
    <w:rsid w:val="06D32851"/>
    <w:rsid w:val="08B05EBE"/>
    <w:rsid w:val="1DDB1FE3"/>
    <w:rsid w:val="277E47EA"/>
    <w:rsid w:val="30213C48"/>
    <w:rsid w:val="35751134"/>
    <w:rsid w:val="3E120C33"/>
    <w:rsid w:val="47502DA9"/>
    <w:rsid w:val="4C034F53"/>
    <w:rsid w:val="4D72613A"/>
    <w:rsid w:val="53232D61"/>
    <w:rsid w:val="54C649DD"/>
    <w:rsid w:val="560F6896"/>
    <w:rsid w:val="58140B40"/>
    <w:rsid w:val="5AC50F0A"/>
    <w:rsid w:val="5C811AC5"/>
    <w:rsid w:val="5E4D1C61"/>
    <w:rsid w:val="62685F44"/>
    <w:rsid w:val="65117DE9"/>
    <w:rsid w:val="6C153FFF"/>
    <w:rsid w:val="70E02EF0"/>
    <w:rsid w:val="7331151F"/>
    <w:rsid w:val="7D460C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2"/>
    <w:basedOn w:val="1"/>
    <w:next w:val="1"/>
    <w:link w:val="14"/>
    <w:qFormat/>
    <w:uiPriority w:val="99"/>
    <w:pPr>
      <w:keepNext/>
      <w:keepLines/>
      <w:spacing w:before="260" w:afterLines="25" w:line="413" w:lineRule="auto"/>
      <w:ind w:firstLine="0" w:firstLineChars="0"/>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qFormat/>
    <w:uiPriority w:val="99"/>
    <w:pPr>
      <w:tabs>
        <w:tab w:val="left" w:pos="4760"/>
      </w:tabs>
      <w:spacing w:afterLines="25" w:line="300" w:lineRule="auto"/>
      <w:ind w:firstLine="0" w:firstLineChars="0"/>
      <w:jc w:val="left"/>
    </w:pPr>
    <w:rPr>
      <w:rFonts w:ascii="Arial" w:hAnsi="Arial"/>
      <w:szCs w:val="24"/>
    </w:rPr>
  </w:style>
  <w:style w:type="paragraph" w:styleId="4">
    <w:name w:val="footer"/>
    <w:basedOn w:val="1"/>
    <w:link w:val="12"/>
    <w:uiPriority w:val="99"/>
    <w:pPr>
      <w:tabs>
        <w:tab w:val="center" w:pos="4153"/>
        <w:tab w:val="right" w:pos="8306"/>
      </w:tabs>
      <w:snapToGrid w:val="0"/>
      <w:spacing w:line="240" w:lineRule="atLeast"/>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Heading 2 Char"/>
    <w:semiHidden/>
    <w:qFormat/>
    <w:locked/>
    <w:uiPriority w:val="99"/>
    <w:rPr>
      <w:rFonts w:ascii="Cambria" w:hAnsi="Cambria" w:eastAsia="宋体" w:cs="Times New Roman"/>
      <w:b/>
      <w:bCs/>
      <w:sz w:val="32"/>
      <w:szCs w:val="32"/>
    </w:rPr>
  </w:style>
  <w:style w:type="character" w:customStyle="1" w:styleId="11">
    <w:name w:val="正文文本 Char"/>
    <w:link w:val="3"/>
    <w:qFormat/>
    <w:locked/>
    <w:uiPriority w:val="99"/>
    <w:rPr>
      <w:rFonts w:ascii="Arial" w:hAnsi="Arial" w:eastAsia="宋体" w:cs="Times New Roman"/>
      <w:sz w:val="24"/>
      <w:szCs w:val="24"/>
    </w:rPr>
  </w:style>
  <w:style w:type="character" w:customStyle="1" w:styleId="12">
    <w:name w:val="页脚 Char"/>
    <w:link w:val="4"/>
    <w:qFormat/>
    <w:locked/>
    <w:uiPriority w:val="99"/>
    <w:rPr>
      <w:rFonts w:ascii="Calibri" w:hAnsi="Calibri" w:eastAsia="宋体" w:cs="Times New Roman"/>
      <w:sz w:val="18"/>
      <w:szCs w:val="18"/>
    </w:rPr>
  </w:style>
  <w:style w:type="character" w:customStyle="1" w:styleId="13">
    <w:name w:val="页眉 Char"/>
    <w:link w:val="5"/>
    <w:semiHidden/>
    <w:qFormat/>
    <w:locked/>
    <w:uiPriority w:val="99"/>
    <w:rPr>
      <w:rFonts w:ascii="Calibri" w:hAnsi="Calibri" w:eastAsia="宋体" w:cs="Times New Roman"/>
      <w:sz w:val="18"/>
      <w:szCs w:val="18"/>
    </w:rPr>
  </w:style>
  <w:style w:type="character" w:customStyle="1" w:styleId="14">
    <w:name w:val="标题 2 Char"/>
    <w:link w:val="2"/>
    <w:qFormat/>
    <w:locked/>
    <w:uiPriority w:val="99"/>
    <w:rPr>
      <w:rFonts w:ascii="Arial" w:hAnsi="Arial" w:eastAsia="黑体" w:cs="Times New Roman"/>
      <w:b/>
      <w:bCs/>
      <w:sz w:val="32"/>
      <w:szCs w:val="32"/>
    </w:rPr>
  </w:style>
  <w:style w:type="paragraph" w:customStyle="1" w:styleId="15">
    <w:name w:val="列出段落1"/>
    <w:basedOn w:val="1"/>
    <w:qFormat/>
    <w:uiPriority w:val="99"/>
    <w:pPr>
      <w:ind w:firstLine="420"/>
    </w:pPr>
  </w:style>
  <w:style w:type="character" w:customStyle="1" w:styleId="16">
    <w:name w:val="Heading 2 Char2"/>
    <w:semiHidden/>
    <w:qFormat/>
    <w:uiPriority w:val="99"/>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1635</Words>
  <Characters>9324</Characters>
  <Lines>77</Lines>
  <Paragraphs>21</Paragraphs>
  <TotalTime>5</TotalTime>
  <ScaleCrop>false</ScaleCrop>
  <LinksUpToDate>false</LinksUpToDate>
  <CharactersWithSpaces>10938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2018-05-21T07:28:00Z</dcterms:created>
  <dc:creator>微软用户</dc:creator>
  <cp:lastModifiedBy>Administrator</cp:lastModifiedBy>
  <dcterms:modified xsi:type="dcterms:W3CDTF">2025-08-06T02:27:36Z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