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left"/>
        <w:rPr>
          <w:rFonts w:ascii="仿宋_GB2312" w:hAnsi="仿宋_GB2312" w:eastAsia="仿宋_GB2312" w:cs="仿宋_GB2312"/>
          <w:b/>
          <w:sz w:val="30"/>
          <w:szCs w:val="30"/>
        </w:rPr>
      </w:pPr>
    </w:p>
    <w:p>
      <w:pPr>
        <w:spacing w:line="560" w:lineRule="exact"/>
        <w:ind w:firstLine="0" w:firstLineChars="0"/>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深圳市本级公租房小区物业服务</w:t>
      </w:r>
    </w:p>
    <w:p>
      <w:pPr>
        <w:spacing w:line="560" w:lineRule="exact"/>
        <w:ind w:firstLine="0" w:firstLineChars="0"/>
        <w:jc w:val="center"/>
        <w:rPr>
          <w:rFonts w:ascii="微软雅黑" w:hAnsi="微软雅黑" w:eastAsia="微软雅黑" w:cs="微软雅黑"/>
          <w:bCs/>
          <w:sz w:val="36"/>
          <w:szCs w:val="36"/>
        </w:rPr>
      </w:pPr>
      <w:r>
        <w:rPr>
          <w:rFonts w:hint="eastAsia" w:ascii="微软雅黑" w:hAnsi="微软雅黑" w:eastAsia="微软雅黑" w:cs="微软雅黑"/>
          <w:bCs/>
          <w:sz w:val="36"/>
          <w:szCs w:val="36"/>
        </w:rPr>
        <w:t>履约评价办法</w:t>
      </w:r>
    </w:p>
    <w:p>
      <w:pPr>
        <w:spacing w:line="560" w:lineRule="exact"/>
        <w:ind w:firstLine="600"/>
        <w:rPr>
          <w:rFonts w:ascii="仿宋_GB2312" w:hAnsi="仿宋_GB2312" w:eastAsia="仿宋_GB2312" w:cs="仿宋_GB2312"/>
          <w:sz w:val="30"/>
          <w:szCs w:val="30"/>
        </w:rPr>
      </w:pPr>
    </w:p>
    <w:p>
      <w:pPr>
        <w:spacing w:line="560" w:lineRule="exact"/>
        <w:ind w:firstLine="0" w:firstLineChars="0"/>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第一章</w:t>
      </w:r>
      <w:r>
        <w:rPr>
          <w:rFonts w:ascii="仿宋_GB2312" w:hAnsi="仿宋_GB2312" w:eastAsia="仿宋_GB2312" w:cs="仿宋_GB2312"/>
          <w:b/>
          <w:sz w:val="30"/>
          <w:szCs w:val="30"/>
        </w:rPr>
        <w:t>  </w:t>
      </w:r>
      <w:r>
        <w:rPr>
          <w:rFonts w:hint="eastAsia" w:ascii="仿宋_GB2312" w:hAnsi="仿宋_GB2312" w:eastAsia="仿宋_GB2312" w:cs="仿宋_GB2312"/>
          <w:b/>
          <w:sz w:val="30"/>
          <w:szCs w:val="30"/>
        </w:rPr>
        <w:t>总则</w:t>
      </w:r>
    </w:p>
    <w:p>
      <w:pPr>
        <w:spacing w:line="560" w:lineRule="exact"/>
        <w:ind w:firstLine="0" w:firstLineChars="0"/>
        <w:jc w:val="center"/>
        <w:rPr>
          <w:rFonts w:ascii="仿宋_GB2312" w:hAnsi="仿宋_GB2312" w:eastAsia="仿宋_GB2312" w:cs="仿宋_GB2312"/>
          <w:sz w:val="30"/>
          <w:szCs w:val="30"/>
        </w:rPr>
      </w:pPr>
    </w:p>
    <w:p>
      <w:pPr>
        <w:numPr>
          <w:ilvl w:val="0"/>
          <w:numId w:val="1"/>
        </w:numPr>
        <w:spacing w:line="560" w:lineRule="exact"/>
        <w:ind w:firstLine="600"/>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为了掌握公租房小区物业服务企业的真实服务水平，逐步提升公租房物业服务企业物业服务质量水平，创造平安和谐的公租房社区生活环境。根据有关法律法规和管理制度的规定，结合公租房物业管理实际，特制定本办法。</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第二条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履约评价工作应遵循公开、公平、公正的原则，以客观量化、第三方评价以及定性和定量相结合的形式，评价过客应当客观反映物业服务企业的履约程度和服务水平。</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第三条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本办法所称的公租房小区是指深圳市住房和建设局提供政策支持，各种社会主体通过新建或者其他方式筹集而建设的公租房。</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第四条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深圳市住房</w:t>
      </w:r>
      <w:r>
        <w:rPr>
          <w:rFonts w:hint="eastAsia" w:ascii="仿宋_GB2312" w:hAnsi="仿宋_GB2312" w:eastAsia="仿宋_GB2312" w:cs="仿宋_GB2312"/>
          <w:bCs/>
          <w:sz w:val="30"/>
          <w:szCs w:val="30"/>
        </w:rPr>
        <w:t>保障署（以下简称市保障署）</w:t>
      </w:r>
      <w:r>
        <w:rPr>
          <w:rFonts w:hint="eastAsia" w:ascii="仿宋_GB2312" w:hAnsi="仿宋_GB2312" w:eastAsia="仿宋_GB2312" w:cs="仿宋_GB2312"/>
          <w:sz w:val="30"/>
          <w:szCs w:val="30"/>
        </w:rPr>
        <w:t>负责公租房小区物业服务企业的履约评价工作。</w:t>
      </w:r>
    </w:p>
    <w:p>
      <w:pPr>
        <w:spacing w:line="560" w:lineRule="exact"/>
        <w:ind w:firstLine="0" w:firstLineChars="0"/>
        <w:rPr>
          <w:rFonts w:ascii="仿宋_GB2312" w:hAnsi="仿宋_GB2312" w:eastAsia="仿宋_GB2312" w:cs="仿宋_GB2312"/>
          <w:sz w:val="30"/>
          <w:szCs w:val="30"/>
        </w:rPr>
      </w:pPr>
    </w:p>
    <w:p>
      <w:pPr>
        <w:spacing w:line="560" w:lineRule="exact"/>
        <w:ind w:firstLine="0" w:firstLineChars="0"/>
        <w:jc w:val="center"/>
        <w:rPr>
          <w:rFonts w:ascii="仿宋_GB2312" w:hAnsi="仿宋_GB2312" w:eastAsia="仿宋_GB2312" w:cs="仿宋_GB2312"/>
          <w:bCs/>
          <w:sz w:val="30"/>
          <w:szCs w:val="30"/>
        </w:rPr>
      </w:pPr>
      <w:r>
        <w:rPr>
          <w:rFonts w:hint="eastAsia" w:ascii="仿宋_GB2312" w:hAnsi="仿宋_GB2312" w:eastAsia="仿宋_GB2312" w:cs="仿宋_GB2312"/>
          <w:b/>
          <w:bCs/>
          <w:sz w:val="30"/>
          <w:szCs w:val="30"/>
        </w:rPr>
        <w:t>第二章　评价方式</w:t>
      </w:r>
    </w:p>
    <w:p>
      <w:pPr>
        <w:spacing w:line="560" w:lineRule="exact"/>
        <w:ind w:firstLine="0" w:firstLineChars="0"/>
        <w:rPr>
          <w:rFonts w:ascii="仿宋_GB2312" w:hAnsi="仿宋_GB2312" w:eastAsia="仿宋_GB2312" w:cs="仿宋_GB2312"/>
          <w:bCs/>
          <w:sz w:val="30"/>
          <w:szCs w:val="30"/>
        </w:rPr>
      </w:pPr>
    </w:p>
    <w:p>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第五条</w:t>
      </w:r>
      <w:r>
        <w:rPr>
          <w:rFonts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rPr>
        <w:t>履约评价原则上每半年实施一次，由市保障署委托专业的第三方机构进行评价。</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第六条</w:t>
      </w:r>
      <w:r>
        <w:rPr>
          <w:rFonts w:ascii="仿宋_GB2312" w:hAnsi="仿宋_GB2312" w:eastAsia="仿宋_GB2312" w:cs="仿宋_GB2312"/>
          <w:sz w:val="30"/>
          <w:szCs w:val="30"/>
        </w:rPr>
        <w:t xml:space="preserve"> </w:t>
      </w:r>
      <w:r>
        <w:rPr>
          <w:rFonts w:hint="eastAsia" w:ascii="仿宋_GB2312" w:hAnsi="仿宋_GB2312" w:eastAsia="仿宋_GB2312" w:cs="仿宋_GB2312"/>
          <w:bCs/>
          <w:sz w:val="30"/>
          <w:szCs w:val="30"/>
        </w:rPr>
        <w:t>履约</w:t>
      </w:r>
      <w:r>
        <w:rPr>
          <w:rFonts w:hint="eastAsia" w:ascii="仿宋_GB2312" w:hAnsi="仿宋_GB2312" w:eastAsia="仿宋_GB2312" w:cs="仿宋_GB2312"/>
          <w:sz w:val="30"/>
          <w:szCs w:val="30"/>
        </w:rPr>
        <w:t>评价采用综合评定打分的方式，评价体系共包括四个模块，分别为现场考评、甲方评价、租户评价和信用信息记录认定。</w:t>
      </w:r>
    </w:p>
    <w:p>
      <w:pPr>
        <w:spacing w:line="560" w:lineRule="exact"/>
        <w:ind w:firstLine="0" w:firstLineChars="0"/>
        <w:rPr>
          <w:rFonts w:ascii="仿宋_GB2312" w:hAnsi="仿宋_GB2312" w:eastAsia="仿宋_GB2312" w:cs="仿宋_GB2312"/>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第七条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现场考评是指考评专家对项目物业服务的基础管理、房屋管理、设备设施维护、安全与环境管理等方面进行的现场检查与评价。</w:t>
      </w:r>
    </w:p>
    <w:p>
      <w:pPr>
        <w:numPr>
          <w:ilvl w:val="0"/>
          <w:numId w:val="2"/>
        </w:num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甲方评价主要是指合同委托方或大业主对被委托方在物业服务监管、服务沟通、甲方需求配合以及合同履行等方面的认可程度。</w:t>
      </w:r>
    </w:p>
    <w:p>
      <w:pPr>
        <w:spacing w:line="560" w:lineRule="exact"/>
        <w:ind w:firstLine="0" w:firstLineChars="0"/>
        <w:rPr>
          <w:rFonts w:ascii="仿宋_GB2312" w:hAnsi="仿宋_GB2312" w:eastAsia="仿宋_GB2312" w:cs="仿宋_GB2312"/>
          <w:b/>
          <w:sz w:val="30"/>
          <w:szCs w:val="30"/>
        </w:rPr>
      </w:pP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第九条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租户评价是指本项目的租户对物业服务体验的评价，通过租户评价，了解对物业服务的满意程度。</w:t>
      </w:r>
    </w:p>
    <w:p>
      <w:pPr>
        <w:spacing w:line="560" w:lineRule="exact"/>
        <w:ind w:firstLine="600"/>
        <w:rPr>
          <w:rFonts w:ascii="仿宋_GB2312" w:hAnsi="仿宋_GB2312" w:eastAsia="仿宋_GB2312" w:cs="仿宋_GB2312"/>
          <w:b/>
          <w:sz w:val="30"/>
          <w:szCs w:val="30"/>
        </w:rPr>
      </w:pPr>
      <w:r>
        <w:rPr>
          <w:rFonts w:hint="eastAsia" w:ascii="仿宋_GB2312" w:hAnsi="仿宋_GB2312" w:eastAsia="仿宋_GB2312" w:cs="仿宋_GB2312"/>
          <w:sz w:val="30"/>
          <w:szCs w:val="30"/>
        </w:rPr>
        <w:t>第十条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信用信息记录认定是指企业及受评价项目获得的荣誉和受到的惩处。</w:t>
      </w:r>
    </w:p>
    <w:p>
      <w:pPr>
        <w:spacing w:line="560" w:lineRule="exact"/>
        <w:ind w:firstLine="0" w:firstLineChars="0"/>
        <w:jc w:val="center"/>
        <w:rPr>
          <w:rFonts w:ascii="仿宋_GB2312" w:hAnsi="仿宋_GB2312" w:eastAsia="仿宋_GB2312" w:cs="仿宋_GB2312"/>
          <w:b/>
          <w:sz w:val="30"/>
          <w:szCs w:val="30"/>
        </w:rPr>
      </w:pPr>
    </w:p>
    <w:p>
      <w:pPr>
        <w:numPr>
          <w:ilvl w:val="0"/>
          <w:numId w:val="3"/>
        </w:numPr>
        <w:spacing w:line="560" w:lineRule="exact"/>
        <w:ind w:firstLine="0" w:firstLineChars="0"/>
        <w:jc w:val="center"/>
        <w:rPr>
          <w:rFonts w:ascii="仿宋_GB2312" w:hAnsi="仿宋_GB2312" w:eastAsia="仿宋_GB2312" w:cs="仿宋_GB2312"/>
          <w:b/>
          <w:sz w:val="30"/>
          <w:szCs w:val="30"/>
        </w:rPr>
      </w:pPr>
      <w:r>
        <w:rPr>
          <w:rFonts w:ascii="仿宋_GB2312" w:hAnsi="仿宋_GB2312" w:eastAsia="仿宋_GB2312" w:cs="仿宋_GB2312"/>
          <w:b/>
          <w:sz w:val="30"/>
          <w:szCs w:val="30"/>
        </w:rPr>
        <w:t>  </w:t>
      </w:r>
      <w:r>
        <w:rPr>
          <w:rFonts w:hint="eastAsia" w:ascii="仿宋_GB2312" w:hAnsi="仿宋_GB2312" w:eastAsia="仿宋_GB2312" w:cs="仿宋_GB2312"/>
          <w:b/>
          <w:sz w:val="30"/>
          <w:szCs w:val="30"/>
        </w:rPr>
        <w:t>评价控制</w:t>
      </w:r>
    </w:p>
    <w:p>
      <w:pPr>
        <w:spacing w:line="560" w:lineRule="exact"/>
        <w:ind w:firstLine="600" w:firstLineChars="0"/>
        <w:rPr>
          <w:rFonts w:ascii="仿宋_GB2312" w:hAnsi="仿宋_GB2312" w:eastAsia="仿宋_GB2312" w:cs="仿宋_GB2312"/>
          <w:sz w:val="30"/>
          <w:szCs w:val="30"/>
        </w:rPr>
      </w:pPr>
    </w:p>
    <w:p>
      <w:pPr>
        <w:spacing w:line="560" w:lineRule="exact"/>
        <w:ind w:firstLine="600" w:firstLineChars="0"/>
        <w:rPr>
          <w:rFonts w:ascii="仿宋_GB2312" w:hAnsi="仿宋_GB2312" w:eastAsia="仿宋_GB2312" w:cs="仿宋_GB2312"/>
          <w:bCs/>
          <w:sz w:val="30"/>
          <w:szCs w:val="30"/>
        </w:rPr>
      </w:pPr>
      <w:r>
        <w:rPr>
          <w:rFonts w:hint="eastAsia" w:ascii="仿宋_GB2312" w:hAnsi="仿宋_GB2312" w:eastAsia="仿宋_GB2312" w:cs="仿宋_GB2312"/>
          <w:sz w:val="30"/>
          <w:szCs w:val="30"/>
        </w:rPr>
        <w:t>第十一条</w:t>
      </w:r>
      <w:r>
        <w:rPr>
          <w:rFonts w:ascii="仿宋_GB2312" w:hAnsi="仿宋_GB2312" w:eastAsia="仿宋_GB2312" w:cs="仿宋_GB2312"/>
          <w:sz w:val="30"/>
          <w:szCs w:val="30"/>
        </w:rPr>
        <w:t xml:space="preserve"> </w:t>
      </w:r>
      <w:r>
        <w:rPr>
          <w:rFonts w:hint="eastAsia" w:ascii="仿宋_GB2312" w:hAnsi="仿宋_GB2312" w:eastAsia="仿宋_GB2312" w:cs="仿宋_GB2312"/>
          <w:bCs/>
          <w:sz w:val="30"/>
          <w:szCs w:val="30"/>
        </w:rPr>
        <w:t>现场评价期间，市保障署应派遣一到两名工作人员，作为甲方代表参与考评。负责考评过程的管理监督、协调。</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第十二条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现场考评发现的问题，物业服务企业应当在10个工作日内进行整改，并将整改的结果报送给</w:t>
      </w:r>
      <w:r>
        <w:rPr>
          <w:rFonts w:hint="eastAsia" w:ascii="仿宋_GB2312" w:hAnsi="仿宋_GB2312" w:eastAsia="仿宋_GB2312" w:cs="仿宋_GB2312"/>
          <w:bCs/>
          <w:sz w:val="30"/>
          <w:szCs w:val="30"/>
        </w:rPr>
        <w:t>评价工作组</w:t>
      </w:r>
      <w:r>
        <w:rPr>
          <w:rFonts w:hint="eastAsia" w:ascii="仿宋_GB2312" w:hAnsi="仿宋_GB2312" w:eastAsia="仿宋_GB2312" w:cs="仿宋_GB2312"/>
          <w:sz w:val="30"/>
          <w:szCs w:val="30"/>
        </w:rPr>
        <w:t>。</w:t>
      </w:r>
    </w:p>
    <w:p>
      <w:pPr>
        <w:spacing w:line="560" w:lineRule="exact"/>
        <w:ind w:firstLine="600"/>
        <w:rPr>
          <w:rFonts w:ascii="仿宋_GB2312" w:hAnsi="仿宋_GB2312" w:eastAsia="仿宋_GB2312" w:cs="仿宋_GB2312"/>
          <w:b/>
          <w:sz w:val="30"/>
          <w:szCs w:val="30"/>
        </w:rPr>
      </w:pPr>
      <w:r>
        <w:rPr>
          <w:rFonts w:hint="eastAsia" w:ascii="仿宋_GB2312" w:hAnsi="仿宋_GB2312" w:eastAsia="仿宋_GB2312" w:cs="仿宋_GB2312"/>
          <w:sz w:val="30"/>
          <w:szCs w:val="30"/>
        </w:rPr>
        <w:t>第十三条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租户评价包括有效投诉数量统计和租户访谈评价。</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有效投诉数量统计是根据市保障署统计的因公租房物业管理单位对租户反映问题处理不当或不及时，进而投诉至市保障署的有效投诉数量。</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租户评价中，应随机向本项目的租户总数的0.5</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租户进行书面调查，租户需签字后回收。</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第十四条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信用信息的认定由被考评的公共租赁住房项目提供相关证明信息，完成后被考评项目代表签字确认。</w:t>
      </w:r>
    </w:p>
    <w:p>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sz w:val="30"/>
          <w:szCs w:val="30"/>
        </w:rPr>
        <w:t>第十二条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对本履约评价为不合格的物业服务企业，市保障署应发送整改通知，要求物业服务企业按通知单对照整改，整改完成后同时上报。</w:t>
      </w:r>
    </w:p>
    <w:p>
      <w:pPr>
        <w:spacing w:line="560" w:lineRule="exact"/>
        <w:ind w:firstLine="0" w:firstLineChars="0"/>
        <w:rPr>
          <w:rFonts w:ascii="仿宋_GB2312" w:hAnsi="仿宋_GB2312" w:eastAsia="仿宋_GB2312" w:cs="仿宋_GB2312"/>
          <w:bCs/>
          <w:sz w:val="30"/>
          <w:szCs w:val="30"/>
        </w:rPr>
      </w:pPr>
    </w:p>
    <w:p>
      <w:pPr>
        <w:spacing w:line="560" w:lineRule="exact"/>
        <w:ind w:firstLine="0" w:firstLineChars="0"/>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第四章　考评记分与处理</w:t>
      </w:r>
    </w:p>
    <w:p>
      <w:pPr>
        <w:spacing w:line="560" w:lineRule="exact"/>
        <w:ind w:firstLine="600"/>
        <w:rPr>
          <w:rFonts w:ascii="仿宋_GB2312" w:hAnsi="仿宋_GB2312" w:eastAsia="仿宋_GB2312" w:cs="仿宋_GB2312"/>
          <w:bCs/>
          <w:sz w:val="30"/>
          <w:szCs w:val="30"/>
        </w:rPr>
      </w:pPr>
    </w:p>
    <w:p>
      <w:pPr>
        <w:numPr>
          <w:ilvl w:val="0"/>
          <w:numId w:val="4"/>
        </w:num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评价体系四个模块的每个模块分别为满分</w:t>
      </w:r>
      <w:r>
        <w:rPr>
          <w:rFonts w:ascii="仿宋_GB2312" w:hAnsi="仿宋_GB2312" w:eastAsia="仿宋_GB2312" w:cs="仿宋_GB2312"/>
          <w:sz w:val="30"/>
          <w:szCs w:val="30"/>
        </w:rPr>
        <w:t>100</w:t>
      </w:r>
      <w:r>
        <w:rPr>
          <w:rFonts w:hint="eastAsia" w:ascii="仿宋_GB2312" w:hAnsi="仿宋_GB2312" w:eastAsia="仿宋_GB2312" w:cs="仿宋_GB2312"/>
          <w:sz w:val="30"/>
          <w:szCs w:val="30"/>
        </w:rPr>
        <w:t>分并赋予相应权重。其中现场考评占总分的30</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，甲方评价占30%，租户评价占35%（其中有效投诉占15%，租户访谈占20%），信用信息记录认定占5%。</w:t>
      </w:r>
    </w:p>
    <w:p>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第十九条</w:t>
      </w:r>
      <w:r>
        <w:rPr>
          <w:rFonts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rPr>
        <w:t>市保障署应在评价结束后及时将评价结果报告市住房和建设局、市采购中心等单位；非单一产权公租房小区考评结果同时函告该小区业主委员会。</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第二十条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根据评价结果，对优秀物业服务企业在年底给予表彰，在以后公司的物业招标过程中，享受优惠待遇；视情况可将履约评价结果在网站进行公布。</w:t>
      </w:r>
    </w:p>
    <w:p>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sz w:val="30"/>
          <w:szCs w:val="30"/>
        </w:rPr>
        <w:t>第二十一条</w:t>
      </w:r>
      <w:r>
        <w:rPr>
          <w:rFonts w:ascii="仿宋_GB2312" w:hAnsi="仿宋_GB2312" w:eastAsia="仿宋_GB2312" w:cs="仿宋_GB2312"/>
          <w:sz w:val="30"/>
          <w:szCs w:val="30"/>
        </w:rPr>
        <w:t xml:space="preserve"> </w:t>
      </w:r>
      <w:r>
        <w:rPr>
          <w:rFonts w:hint="eastAsia" w:ascii="仿宋_GB2312" w:hAnsi="仿宋_GB2312" w:eastAsia="仿宋_GB2312" w:cs="仿宋_GB2312"/>
          <w:bCs/>
          <w:sz w:val="30"/>
          <w:szCs w:val="30"/>
        </w:rPr>
        <w:t>评价结果分为四级，分别为：</w:t>
      </w:r>
    </w:p>
    <w:p>
      <w:pPr>
        <w:spacing w:line="560" w:lineRule="exact"/>
        <w:ind w:firstLine="600"/>
        <w:rPr>
          <w:rFonts w:ascii="仿宋_GB2312" w:hAnsi="仿宋_GB2312" w:eastAsia="仿宋_GB2312" w:cs="仿宋_GB2312"/>
          <w:bCs/>
          <w:sz w:val="30"/>
          <w:szCs w:val="30"/>
        </w:rPr>
      </w:pPr>
      <w:r>
        <w:rPr>
          <w:rFonts w:ascii="仿宋_GB2312" w:hAnsi="仿宋_GB2312" w:eastAsia="仿宋_GB2312" w:cs="仿宋_GB2312"/>
          <w:bCs/>
          <w:sz w:val="30"/>
          <w:szCs w:val="30"/>
        </w:rPr>
        <w:t>1</w:t>
      </w:r>
      <w:r>
        <w:rPr>
          <w:rFonts w:hint="eastAsia" w:ascii="仿宋_GB2312" w:hAnsi="仿宋_GB2312" w:eastAsia="仿宋_GB2312" w:cs="仿宋_GB2312"/>
          <w:bCs/>
          <w:sz w:val="30"/>
          <w:szCs w:val="30"/>
        </w:rPr>
        <w:t>.优秀：评价分数为</w:t>
      </w:r>
      <w:r>
        <w:rPr>
          <w:rFonts w:ascii="仿宋_GB2312" w:hAnsi="仿宋_GB2312" w:eastAsia="仿宋_GB2312" w:cs="仿宋_GB2312"/>
          <w:bCs/>
          <w:sz w:val="30"/>
          <w:szCs w:val="30"/>
        </w:rPr>
        <w:t>90</w:t>
      </w:r>
      <w:r>
        <w:rPr>
          <w:rFonts w:hint="eastAsia" w:ascii="仿宋_GB2312" w:hAnsi="仿宋_GB2312" w:eastAsia="仿宋_GB2312" w:cs="仿宋_GB2312"/>
          <w:bCs/>
          <w:sz w:val="30"/>
          <w:szCs w:val="30"/>
        </w:rPr>
        <w:t>（含）分以上。</w:t>
      </w:r>
    </w:p>
    <w:p>
      <w:pPr>
        <w:spacing w:line="560" w:lineRule="exact"/>
        <w:ind w:firstLine="600"/>
        <w:rPr>
          <w:rFonts w:ascii="仿宋_GB2312" w:hAnsi="仿宋_GB2312" w:eastAsia="仿宋_GB2312" w:cs="仿宋_GB2312"/>
          <w:bCs/>
          <w:sz w:val="30"/>
          <w:szCs w:val="30"/>
        </w:rPr>
      </w:pPr>
      <w:r>
        <w:rPr>
          <w:rFonts w:ascii="仿宋_GB2312" w:hAnsi="仿宋_GB2312" w:eastAsia="仿宋_GB2312" w:cs="仿宋_GB2312"/>
          <w:bCs/>
          <w:sz w:val="30"/>
          <w:szCs w:val="30"/>
        </w:rPr>
        <w:t>2</w:t>
      </w:r>
      <w:r>
        <w:rPr>
          <w:rFonts w:hint="eastAsia" w:ascii="仿宋_GB2312" w:hAnsi="仿宋_GB2312" w:eastAsia="仿宋_GB2312" w:cs="仿宋_GB2312"/>
          <w:bCs/>
          <w:sz w:val="30"/>
          <w:szCs w:val="30"/>
        </w:rPr>
        <w:t>.良好：评价分数为</w:t>
      </w:r>
      <w:r>
        <w:rPr>
          <w:rFonts w:ascii="仿宋_GB2312" w:hAnsi="仿宋_GB2312" w:eastAsia="仿宋_GB2312" w:cs="仿宋_GB2312"/>
          <w:bCs/>
          <w:sz w:val="30"/>
          <w:szCs w:val="30"/>
        </w:rPr>
        <w:t>80</w:t>
      </w:r>
      <w:r>
        <w:rPr>
          <w:rFonts w:hint="eastAsia" w:ascii="仿宋_GB2312" w:hAnsi="仿宋_GB2312" w:eastAsia="仿宋_GB2312" w:cs="仿宋_GB2312"/>
          <w:bCs/>
          <w:sz w:val="30"/>
          <w:szCs w:val="30"/>
        </w:rPr>
        <w:t>分（含）</w:t>
      </w:r>
      <w:r>
        <w:rPr>
          <w:rFonts w:ascii="仿宋_GB2312" w:hAnsi="仿宋_GB2312" w:eastAsia="仿宋_GB2312" w:cs="仿宋_GB2312"/>
          <w:bCs/>
          <w:sz w:val="30"/>
          <w:szCs w:val="30"/>
        </w:rPr>
        <w:t>— 90</w:t>
      </w:r>
      <w:r>
        <w:rPr>
          <w:rFonts w:hint="eastAsia" w:ascii="仿宋_GB2312" w:hAnsi="仿宋_GB2312" w:eastAsia="仿宋_GB2312" w:cs="仿宋_GB2312"/>
          <w:bCs/>
          <w:sz w:val="30"/>
          <w:szCs w:val="30"/>
        </w:rPr>
        <w:t>分。</w:t>
      </w:r>
    </w:p>
    <w:p>
      <w:pPr>
        <w:spacing w:line="560" w:lineRule="exact"/>
        <w:ind w:firstLine="600"/>
        <w:rPr>
          <w:rFonts w:ascii="仿宋_GB2312" w:hAnsi="仿宋_GB2312" w:eastAsia="仿宋_GB2312" w:cs="仿宋_GB2312"/>
          <w:bCs/>
          <w:sz w:val="30"/>
          <w:szCs w:val="30"/>
        </w:rPr>
      </w:pPr>
      <w:r>
        <w:rPr>
          <w:rFonts w:ascii="仿宋_GB2312" w:hAnsi="仿宋_GB2312" w:eastAsia="仿宋_GB2312" w:cs="仿宋_GB2312"/>
          <w:bCs/>
          <w:sz w:val="30"/>
          <w:szCs w:val="30"/>
        </w:rPr>
        <w:t>3</w:t>
      </w:r>
      <w:r>
        <w:rPr>
          <w:rFonts w:hint="eastAsia" w:ascii="仿宋_GB2312" w:hAnsi="仿宋_GB2312" w:eastAsia="仿宋_GB2312" w:cs="仿宋_GB2312"/>
          <w:bCs/>
          <w:sz w:val="30"/>
          <w:szCs w:val="30"/>
        </w:rPr>
        <w:t>.合格：评价分数为</w:t>
      </w:r>
      <w:r>
        <w:rPr>
          <w:rFonts w:ascii="仿宋_GB2312" w:hAnsi="仿宋_GB2312" w:eastAsia="仿宋_GB2312" w:cs="仿宋_GB2312"/>
          <w:bCs/>
          <w:sz w:val="30"/>
          <w:szCs w:val="30"/>
        </w:rPr>
        <w:t>70</w:t>
      </w:r>
      <w:r>
        <w:rPr>
          <w:rFonts w:hint="eastAsia" w:ascii="仿宋_GB2312" w:hAnsi="仿宋_GB2312" w:eastAsia="仿宋_GB2312" w:cs="仿宋_GB2312"/>
          <w:bCs/>
          <w:sz w:val="30"/>
          <w:szCs w:val="30"/>
        </w:rPr>
        <w:t>分（含）</w:t>
      </w:r>
      <w:r>
        <w:rPr>
          <w:rFonts w:ascii="仿宋_GB2312" w:hAnsi="仿宋_GB2312" w:eastAsia="仿宋_GB2312" w:cs="仿宋_GB2312"/>
          <w:bCs/>
          <w:sz w:val="30"/>
          <w:szCs w:val="30"/>
        </w:rPr>
        <w:t>— 80</w:t>
      </w:r>
      <w:r>
        <w:rPr>
          <w:rFonts w:hint="eastAsia" w:ascii="仿宋_GB2312" w:hAnsi="仿宋_GB2312" w:eastAsia="仿宋_GB2312" w:cs="仿宋_GB2312"/>
          <w:bCs/>
          <w:sz w:val="30"/>
          <w:szCs w:val="30"/>
        </w:rPr>
        <w:t>分。</w:t>
      </w:r>
    </w:p>
    <w:p>
      <w:pPr>
        <w:spacing w:line="560" w:lineRule="exact"/>
        <w:ind w:firstLine="600"/>
        <w:rPr>
          <w:rFonts w:ascii="仿宋_GB2312" w:hAnsi="仿宋_GB2312" w:eastAsia="仿宋_GB2312" w:cs="仿宋_GB2312"/>
          <w:bCs/>
          <w:sz w:val="30"/>
          <w:szCs w:val="30"/>
        </w:rPr>
      </w:pPr>
      <w:r>
        <w:rPr>
          <w:rFonts w:ascii="仿宋_GB2312" w:hAnsi="仿宋_GB2312" w:eastAsia="仿宋_GB2312" w:cs="仿宋_GB2312"/>
          <w:bCs/>
          <w:sz w:val="30"/>
          <w:szCs w:val="30"/>
        </w:rPr>
        <w:t>4</w:t>
      </w:r>
      <w:r>
        <w:rPr>
          <w:rFonts w:hint="eastAsia" w:ascii="仿宋_GB2312" w:hAnsi="仿宋_GB2312" w:eastAsia="仿宋_GB2312" w:cs="仿宋_GB2312"/>
          <w:bCs/>
          <w:sz w:val="30"/>
          <w:szCs w:val="30"/>
        </w:rPr>
        <w:t>.不合格：评价分为</w:t>
      </w:r>
      <w:r>
        <w:rPr>
          <w:rFonts w:ascii="仿宋_GB2312" w:hAnsi="仿宋_GB2312" w:eastAsia="仿宋_GB2312" w:cs="仿宋_GB2312"/>
          <w:bCs/>
          <w:sz w:val="30"/>
          <w:szCs w:val="30"/>
        </w:rPr>
        <w:t>70</w:t>
      </w:r>
      <w:r>
        <w:rPr>
          <w:rFonts w:hint="eastAsia" w:ascii="仿宋_GB2312" w:hAnsi="仿宋_GB2312" w:eastAsia="仿宋_GB2312" w:cs="仿宋_GB2312"/>
          <w:bCs/>
          <w:sz w:val="30"/>
          <w:szCs w:val="30"/>
        </w:rPr>
        <w:t>分（不含）以下。</w:t>
      </w:r>
    </w:p>
    <w:p>
      <w:pPr>
        <w:spacing w:line="560" w:lineRule="exact"/>
        <w:ind w:firstLine="6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获得优秀的可以直接续约并适当予以奖励；获得良好的可以直接续约但不奖励；获得合格的不予以续约但有参加项目重新投标的资格；获得不合格的不予续约且取消其参加项目重新投标的资格。</w:t>
      </w:r>
    </w:p>
    <w:p>
      <w:pPr>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第二十二条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履约评价遵循公开、公正、公平的原则，自觉接受各级职能部门监督。在履约评价过程中如果物业服务企业有异议的，可进行投诉。</w:t>
      </w:r>
    </w:p>
    <w:p>
      <w:pPr>
        <w:spacing w:line="560" w:lineRule="exact"/>
        <w:ind w:firstLine="600"/>
        <w:rPr>
          <w:sz w:val="30"/>
          <w:szCs w:val="30"/>
        </w:rPr>
      </w:pPr>
      <w:r>
        <w:rPr>
          <w:rFonts w:hint="eastAsia" w:ascii="仿宋_GB2312" w:hAnsi="仿宋_GB2312" w:eastAsia="仿宋_GB2312" w:cs="仿宋_GB2312"/>
          <w:sz w:val="30"/>
          <w:szCs w:val="30"/>
        </w:rPr>
        <w:t>第二十三条</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本办法由市保障署负责解释。</w:t>
      </w:r>
    </w:p>
    <w:p>
      <w:pPr>
        <w:ind w:firstLine="420"/>
      </w:pPr>
    </w:p>
    <w:p>
      <w:pPr>
        <w:ind w:firstLine="0" w:firstLineChars="0"/>
      </w:pPr>
    </w:p>
    <w:p>
      <w:pPr>
        <w:spacing w:line="560" w:lineRule="exact"/>
        <w:ind w:firstLine="0" w:firstLineChars="0"/>
        <w:rPr>
          <w:rFonts w:ascii="仿宋_GB2312" w:hAnsi="仿宋_GB2312" w:eastAsia="仿宋_GB2312" w:cs="仿宋_GB2312"/>
          <w:b/>
          <w:bCs/>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9" w:charSpace="0"/>
        </w:sectPr>
      </w:pPr>
    </w:p>
    <w:p>
      <w:pPr>
        <w:spacing w:line="560" w:lineRule="exact"/>
        <w:ind w:firstLine="0" w:firstLineChars="0"/>
        <w:rPr>
          <w:rFonts w:ascii="仿宋_GB2312" w:hAnsi="仿宋_GB2312" w:eastAsia="仿宋_GB2312" w:cs="仿宋_GB2312"/>
          <w:b/>
          <w:bCs/>
          <w:sz w:val="24"/>
          <w:szCs w:val="24"/>
        </w:rPr>
      </w:pPr>
      <w:r>
        <w:rPr>
          <w:rFonts w:hint="eastAsia" w:ascii="仿宋_GB2312" w:hAnsi="仿宋_GB2312" w:eastAsia="仿宋_GB2312" w:cs="仿宋_GB2312"/>
          <w:b/>
          <w:bCs/>
          <w:sz w:val="30"/>
          <w:szCs w:val="30"/>
        </w:rPr>
        <w:t>附件一：</w:t>
      </w:r>
      <w:r>
        <w:rPr>
          <w:rFonts w:hint="eastAsia" w:ascii="仿宋_GB2312" w:hAnsi="仿宋_GB2312" w:eastAsia="仿宋_GB2312" w:cs="仿宋_GB2312"/>
          <w:b/>
          <w:bCs/>
          <w:sz w:val="32"/>
          <w:szCs w:val="32"/>
        </w:rPr>
        <w:t>深圳市公共租赁住房小区物业服务</w:t>
      </w:r>
      <w:r>
        <w:rPr>
          <w:rFonts w:hint="eastAsia" w:ascii="仿宋_GB2312" w:hAnsi="仿宋_GB2312" w:eastAsia="仿宋_GB2312" w:cs="仿宋_GB2312"/>
          <w:b/>
          <w:sz w:val="32"/>
          <w:szCs w:val="32"/>
        </w:rPr>
        <w:t>现场考核评价</w:t>
      </w:r>
      <w:r>
        <w:rPr>
          <w:rFonts w:hint="eastAsia" w:ascii="仿宋_GB2312" w:hAnsi="仿宋_GB2312" w:eastAsia="仿宋_GB2312" w:cs="仿宋_GB2312"/>
          <w:b/>
          <w:bCs/>
          <w:sz w:val="32"/>
          <w:szCs w:val="32"/>
        </w:rPr>
        <w:t>表</w:t>
      </w:r>
    </w:p>
    <w:p>
      <w:pPr>
        <w:spacing w:line="240" w:lineRule="auto"/>
        <w:ind w:firstLine="482"/>
        <w:rPr>
          <w:rFonts w:ascii="仿宋_GB2312" w:hAnsi="仿宋_GB2312" w:eastAsia="仿宋_GB2312" w:cs="仿宋_GB2312"/>
          <w:sz w:val="24"/>
          <w:szCs w:val="24"/>
        </w:rPr>
      </w:pPr>
      <w:r>
        <w:rPr>
          <w:rFonts w:hint="eastAsia" w:ascii="仿宋_GB2312" w:hAnsi="仿宋_GB2312" w:eastAsia="仿宋_GB2312" w:cs="仿宋_GB2312"/>
          <w:b/>
          <w:bCs/>
          <w:sz w:val="24"/>
          <w:szCs w:val="24"/>
        </w:rPr>
        <w:t>说明：</w:t>
      </w:r>
      <w:r>
        <w:rPr>
          <w:rFonts w:hint="eastAsia" w:ascii="仿宋_GB2312" w:hAnsi="仿宋_GB2312" w:eastAsia="仿宋_GB2312" w:cs="仿宋_GB2312"/>
          <w:sz w:val="24"/>
          <w:szCs w:val="24"/>
        </w:rPr>
        <w:t>本考核评价表内容主要是根据物业服务合同要求，以《全国物业管理示范住宅小区标准》为主体，以《深圳市住宅物业管理服务收费指导标准》为参考，以深圳市《物业服务通用规范》为最低控制标准，在结合我市公共租赁住房小区的实际情况的基础上，综合制订产生。</w:t>
      </w:r>
    </w:p>
    <w:p>
      <w:pPr>
        <w:spacing w:line="24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根据合同，8个公共租赁住房服务标准主要是以《深圳市住宅物业管理服务收费指导标准》中二级标准为参考，所以现场考评标准的服务要求是以二级标准为主要参考，由于时效性的原因，也有部分考评标准根据行业专家意见进行了修订。</w:t>
      </w:r>
    </w:p>
    <w:p>
      <w:pPr>
        <w:spacing w:line="240" w:lineRule="auto"/>
        <w:ind w:firstLine="480"/>
        <w:rPr>
          <w:rFonts w:ascii="仿宋_GB2312" w:hAnsi="仿宋_GB2312" w:eastAsia="仿宋_GB2312" w:cs="仿宋_GB2312"/>
          <w:b/>
          <w:bCs/>
          <w:sz w:val="32"/>
          <w:szCs w:val="32"/>
        </w:rPr>
      </w:pPr>
      <w:r>
        <w:rPr>
          <w:rFonts w:hint="eastAsia" w:ascii="仿宋_GB2312" w:hAnsi="仿宋_GB2312" w:eastAsia="仿宋_GB2312" w:cs="仿宋_GB2312"/>
          <w:sz w:val="24"/>
          <w:szCs w:val="24"/>
        </w:rPr>
        <w:t>现场考评内容共</w:t>
      </w:r>
      <w:r>
        <w:rPr>
          <w:rFonts w:ascii="仿宋_GB2312" w:hAnsi="仿宋_GB2312" w:eastAsia="仿宋_GB2312" w:cs="仿宋_GB2312"/>
          <w:sz w:val="24"/>
          <w:szCs w:val="24"/>
        </w:rPr>
        <w:t>8</w:t>
      </w:r>
      <w:r>
        <w:rPr>
          <w:rFonts w:hint="eastAsia" w:ascii="仿宋_GB2312" w:hAnsi="仿宋_GB2312" w:eastAsia="仿宋_GB2312" w:cs="仿宋_GB2312"/>
          <w:sz w:val="24"/>
          <w:szCs w:val="24"/>
        </w:rPr>
        <w:t>项，分别是：</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、基础管理（</w:t>
      </w:r>
      <w:r>
        <w:rPr>
          <w:rFonts w:ascii="仿宋_GB2312" w:hAnsi="仿宋_GB2312" w:eastAsia="仿宋_GB2312" w:cs="仿宋_GB2312"/>
          <w:sz w:val="24"/>
          <w:szCs w:val="24"/>
        </w:rPr>
        <w:t>22</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、房屋管理与维修养护（</w:t>
      </w:r>
      <w:r>
        <w:rPr>
          <w:rFonts w:ascii="仿宋_GB2312" w:hAnsi="仿宋_GB2312" w:eastAsia="仿宋_GB2312" w:cs="仿宋_GB2312"/>
          <w:sz w:val="24"/>
          <w:szCs w:val="24"/>
        </w:rPr>
        <w:t>16</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、共用设施设备管理（</w:t>
      </w:r>
      <w:r>
        <w:rPr>
          <w:rFonts w:ascii="仿宋_GB2312" w:hAnsi="仿宋_GB2312" w:eastAsia="仿宋_GB2312" w:cs="仿宋_GB2312"/>
          <w:sz w:val="24"/>
          <w:szCs w:val="24"/>
        </w:rPr>
        <w:t>16</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4</w:t>
      </w:r>
      <w:r>
        <w:rPr>
          <w:rFonts w:hint="eastAsia" w:ascii="仿宋_GB2312" w:hAnsi="仿宋_GB2312" w:eastAsia="仿宋_GB2312" w:cs="仿宋_GB2312"/>
          <w:sz w:val="24"/>
          <w:szCs w:val="24"/>
        </w:rPr>
        <w:t>、安全管理（</w:t>
      </w:r>
      <w:r>
        <w:rPr>
          <w:rFonts w:ascii="仿宋_GB2312" w:hAnsi="仿宋_GB2312" w:eastAsia="仿宋_GB2312" w:cs="仿宋_GB2312"/>
          <w:sz w:val="24"/>
          <w:szCs w:val="24"/>
        </w:rPr>
        <w:t>18</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、环境卫生管理（</w:t>
      </w:r>
      <w:r>
        <w:rPr>
          <w:rFonts w:ascii="仿宋_GB2312" w:hAnsi="仿宋_GB2312" w:eastAsia="仿宋_GB2312" w:cs="仿宋_GB2312"/>
          <w:sz w:val="24"/>
          <w:szCs w:val="24"/>
        </w:rPr>
        <w:t>16</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6</w:t>
      </w:r>
      <w:r>
        <w:rPr>
          <w:rFonts w:hint="eastAsia" w:ascii="仿宋_GB2312" w:hAnsi="仿宋_GB2312" w:eastAsia="仿宋_GB2312" w:cs="仿宋_GB2312"/>
          <w:sz w:val="24"/>
          <w:szCs w:val="24"/>
        </w:rPr>
        <w:t>、绿化管理（</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7</w:t>
      </w:r>
      <w:r>
        <w:rPr>
          <w:rFonts w:hint="eastAsia" w:ascii="仿宋_GB2312" w:hAnsi="仿宋_GB2312" w:eastAsia="仿宋_GB2312" w:cs="仿宋_GB2312"/>
          <w:sz w:val="24"/>
          <w:szCs w:val="24"/>
        </w:rPr>
        <w:t>、精神文明建设（</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分）；</w:t>
      </w:r>
      <w:r>
        <w:rPr>
          <w:rFonts w:ascii="仿宋_GB2312" w:hAnsi="仿宋_GB2312" w:eastAsia="仿宋_GB2312" w:cs="仿宋_GB2312"/>
          <w:sz w:val="24"/>
          <w:szCs w:val="24"/>
        </w:rPr>
        <w:t>8</w:t>
      </w:r>
      <w:r>
        <w:rPr>
          <w:rFonts w:hint="eastAsia" w:ascii="仿宋_GB2312" w:hAnsi="仿宋_GB2312" w:eastAsia="仿宋_GB2312" w:cs="仿宋_GB2312"/>
          <w:sz w:val="24"/>
          <w:szCs w:val="24"/>
        </w:rPr>
        <w:t>、管理效益（</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分）。</w:t>
      </w:r>
    </w:p>
    <w:p>
      <w:pPr>
        <w:spacing w:line="560" w:lineRule="exact"/>
        <w:ind w:firstLine="0"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深圳市公共租赁住房小区物业服务</w:t>
      </w:r>
      <w:r>
        <w:rPr>
          <w:rFonts w:hint="eastAsia" w:ascii="仿宋_GB2312" w:hAnsi="仿宋_GB2312" w:eastAsia="仿宋_GB2312" w:cs="仿宋_GB2312"/>
          <w:b/>
          <w:sz w:val="32"/>
          <w:szCs w:val="32"/>
        </w:rPr>
        <w:t>现场考核评价</w:t>
      </w:r>
      <w:r>
        <w:rPr>
          <w:rFonts w:hint="eastAsia" w:ascii="仿宋_GB2312" w:hAnsi="仿宋_GB2312" w:eastAsia="仿宋_GB2312" w:cs="仿宋_GB2312"/>
          <w:b/>
          <w:bCs/>
          <w:sz w:val="32"/>
          <w:szCs w:val="32"/>
        </w:rPr>
        <w:t>表</w:t>
      </w:r>
    </w:p>
    <w:tbl>
      <w:tblPr>
        <w:tblStyle w:val="6"/>
        <w:tblpPr w:leftFromText="180" w:rightFromText="180" w:vertAnchor="text" w:horzAnchor="page" w:tblpX="1616" w:tblpY="487"/>
        <w:tblOverlap w:val="never"/>
        <w:tblW w:w="13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0"/>
        <w:gridCol w:w="1229"/>
        <w:gridCol w:w="3814"/>
        <w:gridCol w:w="3524"/>
        <w:gridCol w:w="3338"/>
        <w:gridCol w:w="14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0" w:hRule="atLeast"/>
        </w:trPr>
        <w:tc>
          <w:tcPr>
            <w:tcW w:w="580" w:type="dxa"/>
            <w:tcBorders>
              <w:top w:val="single" w:color="auto" w:sz="12" w:space="0"/>
            </w:tcBorders>
            <w:vAlign w:val="center"/>
          </w:tcPr>
          <w:p>
            <w:pPr>
              <w:spacing w:after="78"/>
              <w:ind w:firstLine="0" w:firstLineChars="0"/>
              <w:rPr>
                <w:rFonts w:ascii="楷体_GB2312" w:hAnsi="楷体_GB2312" w:eastAsia="楷体_GB2312" w:cs="楷体_GB2312"/>
                <w:b/>
                <w:sz w:val="24"/>
                <w:szCs w:val="24"/>
              </w:rPr>
            </w:pPr>
            <w:r>
              <w:rPr>
                <w:rFonts w:hint="eastAsia" w:ascii="楷体_GB2312" w:hAnsi="楷体_GB2312" w:eastAsia="楷体_GB2312" w:cs="楷体_GB2312"/>
                <w:b/>
                <w:sz w:val="24"/>
                <w:szCs w:val="24"/>
              </w:rPr>
              <w:t>序号</w:t>
            </w:r>
          </w:p>
        </w:tc>
        <w:tc>
          <w:tcPr>
            <w:tcW w:w="1229" w:type="dxa"/>
            <w:tcBorders>
              <w:top w:val="single" w:color="auto" w:sz="12" w:space="0"/>
            </w:tcBorders>
            <w:vAlign w:val="center"/>
          </w:tcPr>
          <w:p>
            <w:pPr>
              <w:spacing w:after="78" w:line="320" w:lineRule="exact"/>
              <w:ind w:firstLine="0" w:firstLineChars="0"/>
              <w:rPr>
                <w:rFonts w:ascii="楷体_GB2312" w:hAnsi="楷体_GB2312" w:eastAsia="楷体_GB2312" w:cs="楷体_GB2312"/>
                <w:b/>
                <w:sz w:val="24"/>
                <w:szCs w:val="24"/>
              </w:rPr>
            </w:pPr>
            <w:r>
              <w:rPr>
                <w:rFonts w:hint="eastAsia" w:ascii="楷体_GB2312" w:hAnsi="楷体_GB2312" w:eastAsia="楷体_GB2312" w:cs="楷体_GB2312"/>
                <w:b/>
                <w:sz w:val="24"/>
                <w:szCs w:val="24"/>
              </w:rPr>
              <w:t>量化指标</w:t>
            </w:r>
          </w:p>
          <w:p>
            <w:pPr>
              <w:spacing w:after="78" w:line="320" w:lineRule="exact"/>
              <w:ind w:firstLine="0" w:firstLineChars="0"/>
              <w:rPr>
                <w:rFonts w:ascii="楷体_GB2312" w:hAnsi="楷体_GB2312" w:eastAsia="楷体_GB2312" w:cs="楷体_GB2312"/>
                <w:b/>
                <w:sz w:val="24"/>
                <w:szCs w:val="24"/>
              </w:rPr>
            </w:pPr>
            <w:r>
              <w:rPr>
                <w:rFonts w:hint="eastAsia" w:ascii="楷体_GB2312" w:hAnsi="楷体_GB2312" w:eastAsia="楷体_GB2312" w:cs="楷体_GB2312"/>
                <w:b/>
                <w:sz w:val="24"/>
                <w:szCs w:val="24"/>
              </w:rPr>
              <w:t>（分值）</w:t>
            </w:r>
          </w:p>
        </w:tc>
        <w:tc>
          <w:tcPr>
            <w:tcW w:w="3814" w:type="dxa"/>
            <w:tcBorders>
              <w:top w:val="single" w:color="auto" w:sz="12" w:space="0"/>
            </w:tcBorders>
            <w:vAlign w:val="center"/>
          </w:tcPr>
          <w:p>
            <w:pPr>
              <w:spacing w:after="78"/>
              <w:ind w:firstLine="0" w:firstLineChars="0"/>
              <w:jc w:val="center"/>
              <w:rPr>
                <w:rFonts w:ascii="楷体_GB2312" w:hAnsi="楷体_GB2312" w:eastAsia="楷体_GB2312" w:cs="楷体_GB2312"/>
                <w:b/>
                <w:sz w:val="24"/>
                <w:szCs w:val="24"/>
              </w:rPr>
            </w:pPr>
            <w:r>
              <w:rPr>
                <w:rFonts w:hint="eastAsia" w:ascii="楷体_GB2312" w:hAnsi="楷体_GB2312" w:eastAsia="楷体_GB2312" w:cs="楷体_GB2312"/>
                <w:b/>
                <w:sz w:val="24"/>
                <w:szCs w:val="24"/>
              </w:rPr>
              <w:t>考评项目</w:t>
            </w:r>
          </w:p>
        </w:tc>
        <w:tc>
          <w:tcPr>
            <w:tcW w:w="3524" w:type="dxa"/>
            <w:tcBorders>
              <w:top w:val="single" w:color="auto" w:sz="12" w:space="0"/>
            </w:tcBorders>
            <w:vAlign w:val="center"/>
          </w:tcPr>
          <w:p>
            <w:pPr>
              <w:spacing w:after="78"/>
              <w:ind w:firstLine="0" w:firstLineChars="0"/>
              <w:jc w:val="center"/>
              <w:rPr>
                <w:rFonts w:ascii="楷体_GB2312" w:hAnsi="楷体_GB2312" w:eastAsia="楷体_GB2312" w:cs="楷体_GB2312"/>
                <w:b/>
                <w:sz w:val="24"/>
                <w:szCs w:val="24"/>
              </w:rPr>
            </w:pPr>
            <w:r>
              <w:rPr>
                <w:rFonts w:hint="eastAsia" w:ascii="楷体_GB2312" w:hAnsi="楷体_GB2312" w:eastAsia="楷体_GB2312" w:cs="楷体_GB2312"/>
                <w:b/>
                <w:sz w:val="24"/>
                <w:szCs w:val="24"/>
              </w:rPr>
              <w:t>考评标准</w:t>
            </w:r>
          </w:p>
        </w:tc>
        <w:tc>
          <w:tcPr>
            <w:tcW w:w="3338" w:type="dxa"/>
            <w:tcBorders>
              <w:top w:val="single" w:color="auto" w:sz="12" w:space="0"/>
              <w:right w:val="single" w:color="auto" w:sz="4" w:space="0"/>
            </w:tcBorders>
            <w:vAlign w:val="center"/>
          </w:tcPr>
          <w:p>
            <w:pPr>
              <w:spacing w:after="78" w:line="320" w:lineRule="exact"/>
              <w:ind w:firstLine="0" w:firstLineChars="0"/>
              <w:jc w:val="center"/>
              <w:rPr>
                <w:rFonts w:ascii="楷体_GB2312" w:hAnsi="楷体_GB2312" w:eastAsia="楷体_GB2312" w:cs="楷体_GB2312"/>
                <w:b/>
                <w:spacing w:val="-12"/>
                <w:sz w:val="24"/>
                <w:szCs w:val="24"/>
              </w:rPr>
            </w:pPr>
            <w:r>
              <w:rPr>
                <w:rFonts w:hint="eastAsia" w:ascii="楷体_GB2312" w:hAnsi="楷体_GB2312" w:eastAsia="楷体_GB2312" w:cs="楷体_GB2312"/>
                <w:b/>
                <w:spacing w:val="-12"/>
                <w:sz w:val="24"/>
                <w:szCs w:val="24"/>
              </w:rPr>
              <w:t>制定依据</w:t>
            </w:r>
          </w:p>
        </w:tc>
        <w:tc>
          <w:tcPr>
            <w:tcW w:w="1404" w:type="dxa"/>
            <w:tcBorders>
              <w:top w:val="single" w:color="auto" w:sz="12" w:space="0"/>
              <w:left w:val="single" w:color="auto" w:sz="4" w:space="0"/>
            </w:tcBorders>
            <w:vAlign w:val="center"/>
          </w:tcPr>
          <w:p>
            <w:pPr>
              <w:spacing w:after="78" w:line="320" w:lineRule="exact"/>
              <w:ind w:firstLine="0" w:firstLineChars="0"/>
              <w:jc w:val="center"/>
              <w:rPr>
                <w:rFonts w:ascii="楷体_GB2312" w:hAnsi="楷体_GB2312" w:eastAsia="楷体_GB2312" w:cs="楷体_GB2312"/>
                <w:b/>
                <w:spacing w:val="-12"/>
                <w:sz w:val="24"/>
                <w:szCs w:val="24"/>
              </w:rPr>
            </w:pPr>
            <w:r>
              <w:rPr>
                <w:rFonts w:hint="eastAsia" w:ascii="楷体_GB2312" w:hAnsi="楷体_GB2312" w:eastAsia="楷体_GB2312" w:cs="楷体_GB2312"/>
                <w:b/>
                <w:spacing w:val="-12"/>
                <w:sz w:val="24"/>
                <w:szCs w:val="24"/>
              </w:rPr>
              <w:t>考评得分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trPr>
        <w:tc>
          <w:tcPr>
            <w:tcW w:w="580" w:type="dxa"/>
            <w:vMerge w:val="restart"/>
            <w:vAlign w:val="center"/>
          </w:tcPr>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p>
          <w:p>
            <w:pPr>
              <w:spacing w:after="78" w:line="320" w:lineRule="exact"/>
              <w:ind w:firstLine="174" w:firstLineChars="83"/>
              <w:jc w:val="center"/>
              <w:rPr>
                <w:rFonts w:ascii="楷体_GB2312" w:hAnsi="楷体_GB2312" w:eastAsia="楷体_GB2312" w:cs="楷体_GB2312"/>
                <w:szCs w:val="21"/>
              </w:rPr>
            </w:pPr>
            <w:r>
              <w:rPr>
                <w:rFonts w:ascii="楷体_GB2312" w:hAnsi="楷体_GB2312" w:eastAsia="楷体_GB2312" w:cs="楷体_GB2312"/>
                <w:szCs w:val="21"/>
              </w:rPr>
              <w:t>1</w:t>
            </w:r>
          </w:p>
        </w:tc>
        <w:tc>
          <w:tcPr>
            <w:tcW w:w="1229" w:type="dxa"/>
            <w:vMerge w:val="restart"/>
            <w:vAlign w:val="center"/>
          </w:tcPr>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p>
          <w:p>
            <w:pPr>
              <w:spacing w:after="78" w:line="320" w:lineRule="exact"/>
              <w:ind w:firstLine="16" w:firstLineChars="8"/>
              <w:jc w:val="center"/>
              <w:rPr>
                <w:rFonts w:ascii="楷体_GB2312" w:hAnsi="楷体_GB2312" w:eastAsia="楷体_GB2312" w:cs="楷体_GB2312"/>
                <w:szCs w:val="21"/>
              </w:rPr>
            </w:pPr>
            <w:r>
              <w:rPr>
                <w:rFonts w:hint="eastAsia" w:ascii="楷体_GB2312" w:hAnsi="楷体_GB2312" w:eastAsia="楷体_GB2312" w:cs="楷体_GB2312"/>
                <w:szCs w:val="21"/>
              </w:rPr>
              <w:t>基础管理</w:t>
            </w:r>
          </w:p>
          <w:p>
            <w:pPr>
              <w:spacing w:after="78" w:line="320" w:lineRule="exact"/>
              <w:ind w:firstLine="16" w:firstLineChars="8"/>
              <w:jc w:val="center"/>
              <w:rPr>
                <w:rFonts w:ascii="楷体_GB2312" w:hAnsi="楷体_GB2312" w:eastAsia="楷体_GB2312" w:cs="楷体_GB2312"/>
                <w:szCs w:val="21"/>
              </w:rPr>
            </w:pPr>
            <w:r>
              <w:rPr>
                <w:rFonts w:hint="eastAsia" w:ascii="楷体_GB2312" w:hAnsi="楷体_GB2312" w:eastAsia="楷体_GB2312" w:cs="楷体_GB2312"/>
                <w:szCs w:val="21"/>
              </w:rPr>
              <w:t>（</w:t>
            </w:r>
            <w:r>
              <w:rPr>
                <w:rFonts w:ascii="楷体_GB2312" w:hAnsi="楷体_GB2312" w:eastAsia="楷体_GB2312" w:cs="楷体_GB2312"/>
                <w:szCs w:val="21"/>
              </w:rPr>
              <w:t>22</w:t>
            </w:r>
            <w:r>
              <w:rPr>
                <w:rFonts w:hint="eastAsia" w:ascii="楷体_GB2312" w:hAnsi="楷体_GB2312" w:eastAsia="楷体_GB2312" w:cs="楷体_GB2312"/>
                <w:szCs w:val="21"/>
              </w:rPr>
              <w:t>）</w:t>
            </w:r>
          </w:p>
        </w:tc>
        <w:tc>
          <w:tcPr>
            <w:tcW w:w="3814" w:type="dxa"/>
            <w:vAlign w:val="center"/>
          </w:tcPr>
          <w:p>
            <w:pPr>
              <w:numPr>
                <w:ilvl w:val="0"/>
                <w:numId w:val="5"/>
              </w:num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管理人员人均管理建筑面积在</w:t>
            </w:r>
            <w:r>
              <w:rPr>
                <w:rFonts w:ascii="楷体_GB2312" w:hAnsi="楷体_GB2312" w:eastAsia="楷体_GB2312" w:cs="楷体_GB2312"/>
                <w:szCs w:val="21"/>
              </w:rPr>
              <w:t>8000</w:t>
            </w:r>
            <w:r>
              <w:rPr>
                <w:rFonts w:hint="eastAsia" w:ascii="楷体_GB2312" w:hAnsi="楷体_GB2312" w:eastAsia="楷体_GB2312" w:cs="楷体_GB2312"/>
                <w:szCs w:val="21"/>
              </w:rPr>
              <w:t>或</w:t>
            </w:r>
            <w:r>
              <w:rPr>
                <w:rFonts w:ascii="楷体_GB2312" w:hAnsi="楷体_GB2312" w:eastAsia="楷体_GB2312" w:cs="楷体_GB2312"/>
                <w:szCs w:val="21"/>
              </w:rPr>
              <w:t>10000</w:t>
            </w:r>
            <w:r>
              <w:rPr>
                <w:rFonts w:hint="eastAsia" w:ascii="楷体_GB2312" w:hAnsi="楷体_GB2312" w:eastAsia="楷体_GB2312" w:cs="楷体_GB2312"/>
                <w:szCs w:val="21"/>
              </w:rPr>
              <w:t>㎡以下。（高层</w:t>
            </w:r>
            <w:r>
              <w:rPr>
                <w:rFonts w:ascii="楷体_GB2312" w:hAnsi="楷体_GB2312" w:eastAsia="楷体_GB2312" w:cs="楷体_GB2312"/>
                <w:szCs w:val="21"/>
              </w:rPr>
              <w:t>8000</w:t>
            </w:r>
            <w:r>
              <w:rPr>
                <w:rFonts w:hint="eastAsia" w:ascii="楷体_GB2312" w:hAnsi="楷体_GB2312" w:eastAsia="楷体_GB2312" w:cs="楷体_GB2312"/>
                <w:szCs w:val="21"/>
              </w:rPr>
              <w:t>㎡、多层</w:t>
            </w:r>
            <w:r>
              <w:rPr>
                <w:rFonts w:ascii="楷体_GB2312" w:hAnsi="楷体_GB2312" w:eastAsia="楷体_GB2312" w:cs="楷体_GB2312"/>
                <w:szCs w:val="21"/>
              </w:rPr>
              <w:t>10000</w:t>
            </w:r>
            <w:r>
              <w:rPr>
                <w:rFonts w:hint="eastAsia" w:ascii="楷体_GB2312" w:hAnsi="楷体_GB2312" w:eastAsia="楷体_GB2312" w:cs="楷体_GB2312"/>
                <w:szCs w:val="21"/>
              </w:rPr>
              <w:t>㎡）</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《深圳市住宅物业管理服务收费指导标准》中二级指导标准（以下简称二级标准）中综合管理二级为参考。</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16" w:firstLineChars="8"/>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、管理人员具有大专以上学历的占总人数的</w:t>
            </w:r>
            <w:r>
              <w:rPr>
                <w:rFonts w:ascii="楷体_GB2312" w:hAnsi="楷体_GB2312" w:eastAsia="楷体_GB2312" w:cs="楷体_GB2312"/>
                <w:szCs w:val="21"/>
              </w:rPr>
              <w:t>50%</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二级标准（综合管理二级）。</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1"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16" w:firstLineChars="8"/>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、建立维修资金管理制度，其管理、使用、续筹符合有关规定。</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，已建立但管理、使用、续筹不符合规定扣</w:t>
            </w:r>
            <w:r>
              <w:rPr>
                <w:rFonts w:ascii="楷体_GB2312" w:hAnsi="楷体_GB2312" w:eastAsia="楷体_GB2312" w:cs="楷体_GB2312"/>
                <w:szCs w:val="21"/>
              </w:rPr>
              <w:t>0.5</w:t>
            </w:r>
            <w:r>
              <w:rPr>
                <w:rFonts w:hint="eastAsia" w:ascii="楷体_GB2312" w:hAnsi="楷体_GB2312" w:eastAsia="楷体_GB2312" w:cs="楷体_GB2312"/>
                <w:szCs w:val="21"/>
              </w:rPr>
              <w:t>，未建立</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《全国物业管理示范住宅小区标准》（以下简称评优标准）基础管理第</w:t>
            </w:r>
            <w:r>
              <w:rPr>
                <w:rFonts w:ascii="楷体_GB2312" w:hAnsi="楷体_GB2312" w:eastAsia="楷体_GB2312" w:cs="楷体_GB2312"/>
                <w:szCs w:val="21"/>
              </w:rPr>
              <w:t>6</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7"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、对租户的求助、咨询即时答复或处理，对租户的投诉在</w:t>
            </w:r>
            <w:r>
              <w:rPr>
                <w:rFonts w:ascii="楷体_GB2312" w:hAnsi="楷体_GB2312" w:eastAsia="楷体_GB2312" w:cs="楷体_GB2312"/>
                <w:szCs w:val="21"/>
              </w:rPr>
              <w:t>24</w:t>
            </w:r>
            <w:r>
              <w:rPr>
                <w:rFonts w:hint="eastAsia" w:ascii="楷体_GB2312" w:hAnsi="楷体_GB2312" w:eastAsia="楷体_GB2312" w:cs="楷体_GB2312"/>
                <w:szCs w:val="21"/>
              </w:rPr>
              <w:t>小时内答复。</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二级标准（综合管理二级）。</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numPr>
                <w:ilvl w:val="0"/>
                <w:numId w:val="6"/>
              </w:num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房屋使用手册、装饰装修管理规定及管理规约等各项公众制度完善。</w:t>
            </w:r>
          </w:p>
          <w:p>
            <w:pPr>
              <w:spacing w:line="360" w:lineRule="exact"/>
              <w:ind w:firstLine="0" w:firstLineChars="0"/>
              <w:rPr>
                <w:rFonts w:ascii="楷体_GB2312" w:hAnsi="楷体_GB2312" w:eastAsia="楷体_GB2312" w:cs="楷体_GB2312"/>
                <w:szCs w:val="21"/>
              </w:rPr>
            </w:pPr>
          </w:p>
          <w:p>
            <w:pPr>
              <w:spacing w:line="360" w:lineRule="exact"/>
              <w:ind w:firstLine="0" w:firstLineChars="0"/>
              <w:rPr>
                <w:rFonts w:ascii="楷体_GB2312" w:hAnsi="楷体_GB2312" w:eastAsia="楷体_GB2312" w:cs="楷体_GB2312"/>
                <w:szCs w:val="21"/>
              </w:rPr>
            </w:pP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完善</w:t>
            </w:r>
            <w:r>
              <w:rPr>
                <w:rFonts w:ascii="楷体_GB2312" w:hAnsi="楷体_GB2312" w:eastAsia="楷体_GB2312" w:cs="楷体_GB2312"/>
                <w:szCs w:val="21"/>
              </w:rPr>
              <w:t>1.0</w:t>
            </w:r>
            <w:r>
              <w:rPr>
                <w:rFonts w:hint="eastAsia" w:ascii="楷体_GB2312" w:hAnsi="楷体_GB2312" w:eastAsia="楷体_GB2312" w:cs="楷体_GB2312"/>
                <w:szCs w:val="21"/>
              </w:rPr>
              <w:t>，基本完善</w:t>
            </w:r>
            <w:r>
              <w:rPr>
                <w:rFonts w:ascii="楷体_GB2312" w:hAnsi="楷体_GB2312" w:eastAsia="楷体_GB2312" w:cs="楷体_GB2312"/>
                <w:szCs w:val="21"/>
              </w:rPr>
              <w:t>1.0</w:t>
            </w:r>
            <w:r>
              <w:rPr>
                <w:rFonts w:hint="eastAsia" w:ascii="楷体_GB2312" w:hAnsi="楷体_GB2312" w:eastAsia="楷体_GB2312" w:cs="楷体_GB2312"/>
                <w:szCs w:val="21"/>
              </w:rPr>
              <w:t>，不完善</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7</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、每年至少两次以书面、电话方式征询租户对物业管理服务的意见，满意率达到</w:t>
            </w:r>
            <w:r>
              <w:rPr>
                <w:rFonts w:ascii="楷体_GB2312" w:hAnsi="楷体_GB2312" w:eastAsia="楷体_GB2312" w:cs="楷体_GB2312"/>
                <w:szCs w:val="21"/>
              </w:rPr>
              <w:t>95%</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二级标准（综合管理二级）。</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21"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7</w:t>
            </w:r>
            <w:r>
              <w:rPr>
                <w:rFonts w:hint="eastAsia" w:ascii="楷体_GB2312" w:hAnsi="楷体_GB2312" w:eastAsia="楷体_GB2312" w:cs="楷体_GB2312"/>
                <w:szCs w:val="21"/>
              </w:rPr>
              <w:t>、客户服务投诉渠道畅通，投诉电话在显著位置公示。建立完善的投诉处理机制，所有投诉有完整的记录，有跟进结果。对有效投诉予以回访，定期统计分析投诉处理情况。有效投诉处理率</w:t>
            </w:r>
            <w:r>
              <w:rPr>
                <w:rFonts w:ascii="楷体_GB2312" w:hAnsi="楷体_GB2312" w:eastAsia="楷体_GB2312" w:cs="楷体_GB2312"/>
                <w:szCs w:val="21"/>
              </w:rPr>
              <w:t>100%</w:t>
            </w:r>
            <w:r>
              <w:rPr>
                <w:rFonts w:hint="eastAsia" w:ascii="楷体_GB2312" w:hAnsi="楷体_GB2312" w:eastAsia="楷体_GB2312" w:cs="楷体_GB2312"/>
                <w:szCs w:val="21"/>
              </w:rPr>
              <w:t>、满意率</w:t>
            </w:r>
            <w:r>
              <w:rPr>
                <w:rFonts w:ascii="楷体_GB2312" w:hAnsi="楷体_GB2312" w:eastAsia="楷体_GB2312" w:cs="楷体_GB2312"/>
                <w:szCs w:val="21"/>
              </w:rPr>
              <w:t>95%</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8</w:t>
            </w:r>
            <w:r>
              <w:rPr>
                <w:rFonts w:hint="eastAsia" w:ascii="楷体_GB2312" w:hAnsi="楷体_GB2312" w:eastAsia="楷体_GB2312" w:cs="楷体_GB2312"/>
                <w:szCs w:val="21"/>
              </w:rPr>
              <w:t>、小区物业管理建立健全各项管理制度、各岗位工作标准，并制定具体的落实措施和考核办法。</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11</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9</w:t>
            </w:r>
            <w:r>
              <w:rPr>
                <w:rFonts w:hint="eastAsia" w:ascii="楷体_GB2312" w:hAnsi="楷体_GB2312" w:eastAsia="楷体_GB2312" w:cs="楷体_GB2312"/>
                <w:szCs w:val="21"/>
              </w:rPr>
              <w:t>、物业服务企业的管理人员和专业技术人员持证上岗；员工统一着装，佩戴明显标志，工作规范，作风严谨。</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，每发现</w:t>
            </w:r>
            <w:r>
              <w:rPr>
                <w:rFonts w:ascii="楷体_GB2312" w:hAnsi="楷体_GB2312" w:eastAsia="楷体_GB2312" w:cs="楷体_GB2312"/>
                <w:szCs w:val="21"/>
              </w:rPr>
              <w:t>1</w:t>
            </w:r>
            <w:r>
              <w:rPr>
                <w:rFonts w:hint="eastAsia" w:ascii="楷体_GB2312" w:hAnsi="楷体_GB2312" w:eastAsia="楷体_GB2312" w:cs="楷体_GB2312"/>
                <w:szCs w:val="21"/>
              </w:rPr>
              <w:t>人无上岗证书扣</w:t>
            </w:r>
            <w:r>
              <w:rPr>
                <w:rFonts w:ascii="楷体_GB2312" w:hAnsi="楷体_GB2312" w:eastAsia="楷体_GB2312" w:cs="楷体_GB2312"/>
                <w:szCs w:val="21"/>
              </w:rPr>
              <w:t>0.1</w:t>
            </w:r>
            <w:r>
              <w:rPr>
                <w:rFonts w:hint="eastAsia" w:ascii="楷体_GB2312" w:hAnsi="楷体_GB2312" w:eastAsia="楷体_GB2312" w:cs="楷体_GB2312"/>
                <w:szCs w:val="21"/>
              </w:rPr>
              <w:t>；着装及标志符合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12</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52"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10</w:t>
            </w:r>
            <w:r>
              <w:rPr>
                <w:rFonts w:hint="eastAsia" w:ascii="楷体_GB2312" w:hAnsi="楷体_GB2312" w:eastAsia="楷体_GB2312" w:cs="楷体_GB2312"/>
                <w:szCs w:val="21"/>
              </w:rPr>
              <w:t>、物业服务企业应用计算机、智能化设备等现代化管理手段，提高管理效率。</w:t>
            </w:r>
            <w:r>
              <w:rPr>
                <w:rFonts w:ascii="楷体_GB2312" w:hAnsi="楷体_GB2312" w:eastAsia="楷体_GB2312" w:cs="楷体_GB2312"/>
                <w:szCs w:val="21"/>
              </w:rPr>
              <w:t xml:space="preserve"> </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11</w:t>
            </w:r>
            <w:r>
              <w:rPr>
                <w:rFonts w:hint="eastAsia" w:ascii="楷体_GB2312" w:hAnsi="楷体_GB2312" w:eastAsia="楷体_GB2312" w:cs="楷体_GB2312"/>
                <w:szCs w:val="21"/>
              </w:rPr>
              <w:t>、物业服务企业在收费、财务管理、会计核算、税收等方面按相关规定执行。</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执行有关规定</w:t>
            </w:r>
            <w:r>
              <w:rPr>
                <w:rFonts w:ascii="楷体_GB2312" w:hAnsi="楷体_GB2312" w:eastAsia="楷体_GB2312" w:cs="楷体_GB2312"/>
                <w:szCs w:val="21"/>
              </w:rPr>
              <w:t>2.0</w:t>
            </w:r>
            <w:r>
              <w:rPr>
                <w:rFonts w:hint="eastAsia" w:ascii="楷体_GB2312" w:hAnsi="楷体_GB2312" w:eastAsia="楷体_GB2312" w:cs="楷体_GB2312"/>
                <w:szCs w:val="21"/>
              </w:rPr>
              <w:t>，未执行</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14</w:t>
            </w:r>
            <w:r>
              <w:rPr>
                <w:rFonts w:hint="eastAsia" w:ascii="楷体_GB2312" w:hAnsi="楷体_GB2312" w:eastAsia="楷体_GB2312" w:cs="楷体_GB2312"/>
                <w:szCs w:val="21"/>
              </w:rPr>
              <w:t>条</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和专家意见。</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0"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12</w:t>
            </w:r>
            <w:r>
              <w:rPr>
                <w:rFonts w:hint="eastAsia" w:ascii="楷体_GB2312" w:hAnsi="楷体_GB2312" w:eastAsia="楷体_GB2312" w:cs="楷体_GB2312"/>
                <w:szCs w:val="21"/>
              </w:rPr>
              <w:t>、建立租户档案、房屋及其配套设施权属清册，查阅方便。</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。每发现一处不符合扣</w:t>
            </w:r>
            <w:r>
              <w:rPr>
                <w:rFonts w:ascii="楷体_GB2312" w:hAnsi="楷体_GB2312" w:eastAsia="楷体_GB2312" w:cs="楷体_GB2312"/>
                <w:szCs w:val="21"/>
              </w:rPr>
              <w:t>0.2</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15</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81"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13</w:t>
            </w:r>
            <w:r>
              <w:rPr>
                <w:rFonts w:hint="eastAsia" w:ascii="楷体_GB2312" w:hAnsi="楷体_GB2312" w:eastAsia="楷体_GB2312" w:cs="楷体_GB2312"/>
                <w:szCs w:val="21"/>
              </w:rPr>
              <w:t>、建立</w:t>
            </w:r>
            <w:r>
              <w:rPr>
                <w:rFonts w:ascii="楷体_GB2312" w:hAnsi="楷体_GB2312" w:eastAsia="楷体_GB2312" w:cs="楷体_GB2312"/>
                <w:szCs w:val="21"/>
              </w:rPr>
              <w:t>24</w:t>
            </w:r>
            <w:r>
              <w:rPr>
                <w:rFonts w:hint="eastAsia" w:ascii="楷体_GB2312" w:hAnsi="楷体_GB2312" w:eastAsia="楷体_GB2312" w:cs="楷体_GB2312"/>
                <w:szCs w:val="21"/>
              </w:rPr>
              <w:t>小时值班制度和</w:t>
            </w:r>
            <w:r>
              <w:rPr>
                <w:rFonts w:ascii="楷体_GB2312" w:hAnsi="楷体_GB2312" w:eastAsia="楷体_GB2312" w:cs="楷体_GB2312"/>
                <w:szCs w:val="21"/>
              </w:rPr>
              <w:t>24</w:t>
            </w:r>
            <w:r>
              <w:rPr>
                <w:rFonts w:hint="eastAsia" w:ascii="楷体_GB2312" w:hAnsi="楷体_GB2312" w:eastAsia="楷体_GB2312" w:cs="楷体_GB2312"/>
                <w:szCs w:val="21"/>
              </w:rPr>
              <w:t>小时服务电话，接受租户对物业管理服务报修、求助、建议、问询、质疑、投诉等各类信息的收集和反馈，并及时处理，有回访制度和记录。</w:t>
            </w:r>
            <w:r>
              <w:rPr>
                <w:rFonts w:ascii="楷体_GB2312" w:hAnsi="楷体_GB2312" w:eastAsia="楷体_GB2312" w:cs="楷体_GB2312"/>
                <w:szCs w:val="21"/>
              </w:rPr>
              <w:t xml:space="preserve"> </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，值班制度不符合扣</w:t>
            </w:r>
            <w:r>
              <w:rPr>
                <w:rFonts w:ascii="楷体_GB2312" w:hAnsi="楷体_GB2312" w:eastAsia="楷体_GB2312" w:cs="楷体_GB2312"/>
                <w:szCs w:val="21"/>
              </w:rPr>
              <w:t>0.5</w:t>
            </w:r>
            <w:r>
              <w:rPr>
                <w:rFonts w:hint="eastAsia" w:ascii="楷体_GB2312" w:hAnsi="楷体_GB2312" w:eastAsia="楷体_GB2312" w:cs="楷体_GB2312"/>
                <w:szCs w:val="21"/>
              </w:rPr>
              <w:t>，未设服务电话扣</w:t>
            </w:r>
            <w:r>
              <w:rPr>
                <w:rFonts w:ascii="楷体_GB2312" w:hAnsi="楷体_GB2312" w:eastAsia="楷体_GB2312" w:cs="楷体_GB2312"/>
                <w:szCs w:val="21"/>
              </w:rPr>
              <w:t>0.5</w:t>
            </w:r>
            <w:r>
              <w:rPr>
                <w:rFonts w:hint="eastAsia" w:ascii="楷体_GB2312" w:hAnsi="楷体_GB2312" w:eastAsia="楷体_GB2312" w:cs="楷体_GB2312"/>
                <w:szCs w:val="21"/>
              </w:rPr>
              <w:t>，发现一处处理不及时扣</w:t>
            </w:r>
            <w:r>
              <w:rPr>
                <w:rFonts w:ascii="楷体_GB2312" w:hAnsi="楷体_GB2312" w:eastAsia="楷体_GB2312" w:cs="楷体_GB2312"/>
                <w:szCs w:val="21"/>
              </w:rPr>
              <w:t>0.2</w:t>
            </w:r>
            <w:r>
              <w:rPr>
                <w:rFonts w:hint="eastAsia" w:ascii="楷体_GB2312" w:hAnsi="楷体_GB2312" w:eastAsia="楷体_GB2312" w:cs="楷体_GB2312"/>
                <w:szCs w:val="21"/>
              </w:rPr>
              <w:t>，没有回访录每次扣</w:t>
            </w:r>
            <w:r>
              <w:rPr>
                <w:rFonts w:ascii="楷体_GB2312" w:hAnsi="楷体_GB2312" w:eastAsia="楷体_GB2312" w:cs="楷体_GB2312"/>
                <w:szCs w:val="21"/>
              </w:rPr>
              <w:t>0.1</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评优标准基础管理第</w:t>
            </w:r>
            <w:r>
              <w:rPr>
                <w:rFonts w:ascii="楷体_GB2312" w:hAnsi="楷体_GB2312" w:eastAsia="楷体_GB2312" w:cs="楷体_GB2312"/>
                <w:szCs w:val="21"/>
              </w:rPr>
              <w:t>17</w:t>
            </w:r>
            <w:r>
              <w:rPr>
                <w:rFonts w:hint="eastAsia" w:ascii="楷体_GB2312" w:hAnsi="楷体_GB2312" w:eastAsia="楷体_GB2312" w:cs="楷体_GB2312"/>
                <w:szCs w:val="21"/>
              </w:rPr>
              <w:t>条。</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和专家意见。</w:t>
            </w:r>
          </w:p>
        </w:tc>
        <w:tc>
          <w:tcPr>
            <w:tcW w:w="1404" w:type="dxa"/>
            <w:tcBorders>
              <w:left w:val="single" w:color="auto" w:sz="4" w:space="0"/>
            </w:tcBorders>
            <w:vAlign w:val="center"/>
          </w:tcPr>
          <w:p>
            <w:pPr>
              <w:spacing w:after="78" w:line="320" w:lineRule="exact"/>
              <w:ind w:firstLine="42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7"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14</w:t>
            </w:r>
            <w:r>
              <w:rPr>
                <w:rFonts w:hint="eastAsia" w:ascii="楷体_GB2312" w:hAnsi="楷体_GB2312" w:eastAsia="楷体_GB2312" w:cs="楷体_GB2312"/>
                <w:szCs w:val="21"/>
              </w:rPr>
              <w:t>、物业管理处无占用共用部位情况或者占用后并私自出租的现象。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3.0</w:t>
            </w:r>
            <w:r>
              <w:rPr>
                <w:rFonts w:hint="eastAsia" w:ascii="楷体_GB2312" w:hAnsi="楷体_GB2312" w:eastAsia="楷体_GB2312" w:cs="楷体_GB2312"/>
                <w:szCs w:val="21"/>
              </w:rPr>
              <w:t>，基本符合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15</w:t>
            </w:r>
            <w:r>
              <w:rPr>
                <w:rFonts w:hint="eastAsia" w:ascii="楷体_GB2312" w:hAnsi="楷体_GB2312" w:eastAsia="楷体_GB2312" w:cs="楷体_GB2312"/>
                <w:szCs w:val="21"/>
              </w:rPr>
              <w:t>、物业管理处有偿服务明码标价</w:t>
            </w:r>
            <w:r>
              <w:rPr>
                <w:rFonts w:ascii="楷体_GB2312" w:hAnsi="楷体_GB2312" w:eastAsia="楷体_GB2312" w:cs="楷体_GB2312"/>
                <w:szCs w:val="21"/>
              </w:rPr>
              <w:t>,</w:t>
            </w:r>
            <w:r>
              <w:rPr>
                <w:rFonts w:hint="eastAsia" w:ascii="楷体_GB2312" w:hAnsi="楷体_GB2312" w:eastAsia="楷体_GB2312" w:cs="楷体_GB2312"/>
                <w:szCs w:val="21"/>
              </w:rPr>
              <w:t>并上墙公示</w:t>
            </w:r>
            <w:r>
              <w:rPr>
                <w:rFonts w:ascii="楷体_GB2312" w:hAnsi="楷体_GB2312" w:eastAsia="楷体_GB2312" w:cs="楷体_GB2312"/>
                <w:szCs w:val="21"/>
              </w:rPr>
              <w:t>,</w:t>
            </w:r>
            <w:r>
              <w:rPr>
                <w:rFonts w:hint="eastAsia" w:ascii="楷体_GB2312" w:hAnsi="楷体_GB2312" w:eastAsia="楷体_GB2312" w:cs="楷体_GB2312"/>
                <w:szCs w:val="21"/>
              </w:rPr>
              <w:t>无其他乱收费现象。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3.0</w:t>
            </w:r>
            <w:r>
              <w:rPr>
                <w:rFonts w:hint="eastAsia" w:ascii="楷体_GB2312" w:hAnsi="楷体_GB2312" w:eastAsia="楷体_GB2312" w:cs="楷体_GB2312"/>
                <w:szCs w:val="21"/>
              </w:rPr>
              <w:t>，基本符合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restart"/>
            <w:vAlign w:val="center"/>
          </w:tcPr>
          <w:p>
            <w:pPr>
              <w:spacing w:after="78" w:line="320" w:lineRule="exact"/>
              <w:ind w:firstLine="0" w:firstLineChars="0"/>
              <w:rPr>
                <w:rFonts w:ascii="楷体_GB2312" w:hAnsi="楷体_GB2312" w:eastAsia="楷体_GB2312" w:cs="楷体_GB2312"/>
                <w:szCs w:val="21"/>
              </w:rPr>
            </w:pPr>
          </w:p>
          <w:p>
            <w:pPr>
              <w:spacing w:after="78" w:line="320" w:lineRule="exact"/>
              <w:ind w:firstLine="174" w:firstLineChars="83"/>
              <w:rPr>
                <w:rFonts w:ascii="楷体_GB2312" w:hAnsi="楷体_GB2312" w:eastAsia="楷体_GB2312" w:cs="楷体_GB2312"/>
                <w:szCs w:val="21"/>
              </w:rPr>
            </w:pPr>
          </w:p>
          <w:p>
            <w:pPr>
              <w:spacing w:after="78" w:line="320" w:lineRule="exact"/>
              <w:ind w:firstLine="174" w:firstLineChars="83"/>
              <w:rPr>
                <w:rFonts w:ascii="楷体_GB2312" w:hAnsi="楷体_GB2312" w:eastAsia="楷体_GB2312" w:cs="楷体_GB2312"/>
                <w:szCs w:val="21"/>
              </w:rPr>
            </w:pPr>
          </w:p>
          <w:p>
            <w:pPr>
              <w:spacing w:after="78" w:line="320" w:lineRule="exact"/>
              <w:ind w:firstLine="174" w:firstLineChars="83"/>
              <w:rPr>
                <w:rFonts w:ascii="楷体_GB2312" w:hAnsi="楷体_GB2312" w:eastAsia="楷体_GB2312" w:cs="楷体_GB2312"/>
                <w:szCs w:val="21"/>
              </w:rPr>
            </w:pPr>
            <w:r>
              <w:rPr>
                <w:rFonts w:ascii="楷体_GB2312" w:hAnsi="楷体_GB2312" w:eastAsia="楷体_GB2312" w:cs="楷体_GB2312"/>
                <w:szCs w:val="21"/>
              </w:rPr>
              <w:t>2</w:t>
            </w:r>
          </w:p>
        </w:tc>
        <w:tc>
          <w:tcPr>
            <w:tcW w:w="1229" w:type="dxa"/>
            <w:vMerge w:val="restart"/>
            <w:vAlign w:val="center"/>
          </w:tcPr>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kern w:val="0"/>
                <w:szCs w:val="21"/>
              </w:rPr>
              <w:t>房屋管理与维修养护（</w:t>
            </w:r>
            <w:r>
              <w:rPr>
                <w:rFonts w:ascii="楷体_GB2312" w:hAnsi="楷体_GB2312" w:eastAsia="楷体_GB2312" w:cs="楷体_GB2312"/>
                <w:kern w:val="0"/>
                <w:szCs w:val="21"/>
              </w:rPr>
              <w:t>16</w:t>
            </w:r>
            <w:r>
              <w:rPr>
                <w:rFonts w:hint="eastAsia" w:ascii="楷体_GB2312" w:hAnsi="楷体_GB2312" w:eastAsia="楷体_GB2312" w:cs="楷体_GB2312"/>
                <w:kern w:val="0"/>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、主出入口设有小区平面示意图，主要路口设有路标，组团及幢、单元（门）、户门标号标志明显。</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，无示意图扣</w:t>
            </w:r>
            <w:r>
              <w:rPr>
                <w:rFonts w:ascii="楷体_GB2312" w:hAnsi="楷体_GB2312" w:eastAsia="楷体_GB2312" w:cs="楷体_GB2312"/>
                <w:szCs w:val="21"/>
              </w:rPr>
              <w:t>0.5</w:t>
            </w:r>
            <w:r>
              <w:rPr>
                <w:rFonts w:hint="eastAsia" w:ascii="楷体_GB2312" w:hAnsi="楷体_GB2312" w:eastAsia="楷体_GB2312" w:cs="楷体_GB2312"/>
                <w:szCs w:val="21"/>
              </w:rPr>
              <w:t>，无路标扣</w:t>
            </w:r>
            <w:r>
              <w:rPr>
                <w:rFonts w:ascii="楷体_GB2312" w:hAnsi="楷体_GB2312" w:eastAsia="楷体_GB2312" w:cs="楷体_GB2312"/>
                <w:szCs w:val="21"/>
              </w:rPr>
              <w:t>0.3</w:t>
            </w:r>
            <w:r>
              <w:rPr>
                <w:rFonts w:hint="eastAsia" w:ascii="楷体_GB2312" w:hAnsi="楷体_GB2312" w:eastAsia="楷体_GB2312" w:cs="楷体_GB2312"/>
                <w:szCs w:val="21"/>
              </w:rPr>
              <w:t>，幢、单元、户号每缺一个扣</w:t>
            </w:r>
            <w:r>
              <w:rPr>
                <w:rFonts w:ascii="楷体_GB2312" w:hAnsi="楷体_GB2312" w:eastAsia="楷体_GB2312" w:cs="楷体_GB2312"/>
                <w:szCs w:val="21"/>
              </w:rPr>
              <w:t>0.1</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1</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、无违反规划私搭乱建，无擅自改变房屋用途现象。如违规搭建，安装防盗门等。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，每发现一处私搭乱建或擅自改变房屋使用用途扣</w:t>
            </w:r>
            <w:r>
              <w:rPr>
                <w:rFonts w:ascii="楷体_GB2312" w:hAnsi="楷体_GB2312" w:eastAsia="楷体_GB2312" w:cs="楷体_GB2312"/>
                <w:szCs w:val="21"/>
              </w:rPr>
              <w:t>1.0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2</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、建立设备设施管理制度，日常检查有记录，包括日检、周检、月检等。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，基本符合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bottom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bottom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、室外招牌、广告牌、霓虹灯按规定设置，保持整洁统一美观，无安全隐患或破损。</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未按规定设置</w:t>
            </w:r>
            <w:r>
              <w:rPr>
                <w:rFonts w:ascii="楷体_GB2312" w:hAnsi="楷体_GB2312" w:eastAsia="楷体_GB2312" w:cs="楷体_GB2312"/>
                <w:szCs w:val="21"/>
              </w:rPr>
              <w:t>0</w:t>
            </w:r>
            <w:r>
              <w:rPr>
                <w:rFonts w:hint="eastAsia" w:ascii="楷体_GB2312" w:hAnsi="楷体_GB2312" w:eastAsia="楷体_GB2312" w:cs="楷体_GB2312"/>
                <w:szCs w:val="21"/>
              </w:rPr>
              <w:t>；按规定设置，但不整齐或有破损每处扣</w:t>
            </w:r>
            <w:r>
              <w:rPr>
                <w:rFonts w:ascii="楷体_GB2312" w:hAnsi="楷体_GB2312" w:eastAsia="楷体_GB2312" w:cs="楷体_GB2312"/>
                <w:szCs w:val="21"/>
              </w:rPr>
              <w:t>0.1</w:t>
            </w:r>
            <w:r>
              <w:rPr>
                <w:rFonts w:hint="eastAsia" w:ascii="楷体_GB2312" w:hAnsi="楷体_GB2312" w:eastAsia="楷体_GB2312" w:cs="楷体_GB2312"/>
                <w:szCs w:val="21"/>
              </w:rPr>
              <w:t>，</w:t>
            </w:r>
            <w:r>
              <w:rPr>
                <w:rFonts w:ascii="楷体_GB2312" w:hAnsi="楷体_GB2312" w:eastAsia="楷体_GB2312" w:cs="楷体_GB2312"/>
                <w:szCs w:val="21"/>
              </w:rPr>
              <w:t xml:space="preserve"> </w:t>
            </w:r>
            <w:r>
              <w:rPr>
                <w:rFonts w:hint="eastAsia" w:ascii="楷体_GB2312" w:hAnsi="楷体_GB2312" w:eastAsia="楷体_GB2312" w:cs="楷体_GB2312"/>
                <w:szCs w:val="21"/>
              </w:rPr>
              <w:t>有安主隐患每处扣</w:t>
            </w:r>
            <w:r>
              <w:rPr>
                <w:rFonts w:ascii="楷体_GB2312" w:hAnsi="楷体_GB2312" w:eastAsia="楷体_GB2312" w:cs="楷体_GB2312"/>
                <w:szCs w:val="21"/>
              </w:rPr>
              <w:t>0.5</w:t>
            </w:r>
            <w:r>
              <w:rPr>
                <w:rFonts w:hint="eastAsia" w:ascii="楷体_GB2312" w:hAnsi="楷体_GB2312" w:eastAsia="楷体_GB2312" w:cs="楷体_GB2312"/>
                <w:szCs w:val="21"/>
              </w:rPr>
              <w:t>。</w:t>
            </w:r>
          </w:p>
        </w:tc>
        <w:tc>
          <w:tcPr>
            <w:tcW w:w="3338" w:type="dxa"/>
            <w:tcBorders>
              <w:top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4</w:t>
            </w:r>
            <w:r>
              <w:rPr>
                <w:rFonts w:hint="eastAsia" w:ascii="楷体_GB2312" w:hAnsi="楷体_GB2312" w:eastAsia="楷体_GB2312" w:cs="楷体_GB2312"/>
                <w:szCs w:val="21"/>
              </w:rPr>
              <w:t>条。</w:t>
            </w:r>
          </w:p>
        </w:tc>
        <w:tc>
          <w:tcPr>
            <w:tcW w:w="1404" w:type="dxa"/>
            <w:tcBorders>
              <w:top w:val="single" w:color="auto" w:sz="4" w:space="0"/>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5</w:t>
            </w:r>
            <w:r>
              <w:rPr>
                <w:rFonts w:hint="eastAsia" w:ascii="楷体_GB2312" w:hAnsi="楷体_GB2312" w:eastAsia="楷体_GB2312" w:cs="楷体_GB2312"/>
                <w:szCs w:val="21"/>
              </w:rPr>
              <w:t>、阳台统一有序，色调一致，不超出外墙面；除建筑设计或甲方有要求，不得安装外廊及户外防盗网、晾晒架、遮阳棚等。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，每发现一处不符合扣</w:t>
            </w:r>
            <w:r>
              <w:rPr>
                <w:rFonts w:ascii="楷体_GB2312" w:hAnsi="楷体_GB2312" w:eastAsia="楷体_GB2312" w:cs="楷体_GB2312"/>
                <w:szCs w:val="21"/>
              </w:rPr>
              <w:t>0.2</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5</w:t>
            </w:r>
            <w:r>
              <w:rPr>
                <w:rFonts w:hint="eastAsia" w:ascii="楷体_GB2312" w:hAnsi="楷体_GB2312" w:eastAsia="楷体_GB2312" w:cs="楷体_GB2312"/>
                <w:szCs w:val="21"/>
              </w:rPr>
              <w:t>条和专家意见。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、空调安装位置统一，冷凝水集中收集，支架无锈蚀。</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，每发现一处不符合扣</w:t>
            </w:r>
            <w:r>
              <w:rPr>
                <w:rFonts w:ascii="楷体_GB2312" w:hAnsi="楷体_GB2312" w:eastAsia="楷体_GB2312" w:cs="楷体_GB2312"/>
                <w:szCs w:val="21"/>
              </w:rPr>
              <w:t>0.5</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6</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7</w:t>
            </w:r>
            <w:r>
              <w:rPr>
                <w:rFonts w:hint="eastAsia" w:ascii="楷体_GB2312" w:hAnsi="楷体_GB2312" w:eastAsia="楷体_GB2312" w:cs="楷体_GB2312"/>
                <w:szCs w:val="21"/>
              </w:rPr>
              <w:t>、室外、阳台、室外空调等存在危及公共安全的因素</w:t>
            </w:r>
            <w:r>
              <w:rPr>
                <w:rFonts w:ascii="楷体_GB2312" w:hAnsi="楷体_GB2312" w:eastAsia="楷体_GB2312" w:cs="楷体_GB2312"/>
                <w:szCs w:val="21"/>
              </w:rPr>
              <w:t>,</w:t>
            </w:r>
            <w:r>
              <w:rPr>
                <w:rFonts w:hint="eastAsia" w:ascii="楷体_GB2312" w:hAnsi="楷体_GB2312" w:eastAsia="楷体_GB2312" w:cs="楷体_GB2312"/>
                <w:szCs w:val="21"/>
              </w:rPr>
              <w:t>物业公司应有提醒并告知。</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，每发现一处不符合扣</w:t>
            </w:r>
            <w:r>
              <w:rPr>
                <w:rFonts w:ascii="楷体_GB2312" w:hAnsi="楷体_GB2312" w:eastAsia="楷体_GB2312" w:cs="楷体_GB2312"/>
                <w:szCs w:val="21"/>
              </w:rPr>
              <w:t>0.5</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8</w:t>
            </w:r>
            <w:r>
              <w:rPr>
                <w:rFonts w:hint="eastAsia" w:ascii="楷体_GB2312" w:hAnsi="楷体_GB2312" w:eastAsia="楷体_GB2312" w:cs="楷体_GB2312"/>
                <w:szCs w:val="21"/>
              </w:rPr>
              <w:t>、房屋装饰装修符合规定，未发生危及房屋结构安全及拆改管线和损害他人利益的现象。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，每发现一处不符合扣</w:t>
            </w:r>
            <w:r>
              <w:rPr>
                <w:rFonts w:ascii="楷体_GB2312" w:hAnsi="楷体_GB2312" w:eastAsia="楷体_GB2312" w:cs="楷体_GB2312"/>
                <w:szCs w:val="21"/>
              </w:rPr>
              <w:t>0.5</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评优标准房屋管理和维修养护</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7</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5" w:hRule="atLeast"/>
        </w:trPr>
        <w:tc>
          <w:tcPr>
            <w:tcW w:w="580" w:type="dxa"/>
            <w:vMerge w:val="restart"/>
            <w:vAlign w:val="center"/>
          </w:tcPr>
          <w:p>
            <w:pPr>
              <w:spacing w:after="78" w:line="320" w:lineRule="exact"/>
              <w:ind w:firstLine="0" w:firstLineChars="0"/>
              <w:rPr>
                <w:rFonts w:ascii="楷体_GB2312" w:hAnsi="楷体_GB2312" w:eastAsia="楷体_GB2312" w:cs="楷体_GB2312"/>
                <w:szCs w:val="21"/>
              </w:rPr>
            </w:pPr>
          </w:p>
          <w:p>
            <w:pPr>
              <w:spacing w:after="78" w:line="320" w:lineRule="exact"/>
              <w:ind w:firstLine="0" w:firstLineChars="0"/>
              <w:rPr>
                <w:rFonts w:ascii="楷体_GB2312" w:hAnsi="楷体_GB2312" w:eastAsia="楷体_GB2312" w:cs="楷体_GB2312"/>
                <w:szCs w:val="21"/>
              </w:rPr>
            </w:pPr>
          </w:p>
          <w:p>
            <w:pPr>
              <w:spacing w:after="78" w:line="32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 xml:space="preserve"> 3</w:t>
            </w:r>
          </w:p>
        </w:tc>
        <w:tc>
          <w:tcPr>
            <w:tcW w:w="1229" w:type="dxa"/>
            <w:vMerge w:val="restart"/>
            <w:vAlign w:val="center"/>
          </w:tcPr>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kern w:val="0"/>
                <w:szCs w:val="21"/>
              </w:rPr>
            </w:pPr>
            <w:r>
              <w:rPr>
                <w:rFonts w:hint="eastAsia" w:ascii="楷体_GB2312" w:hAnsi="楷体_GB2312" w:eastAsia="楷体_GB2312" w:cs="楷体_GB2312"/>
                <w:kern w:val="0"/>
                <w:szCs w:val="21"/>
              </w:rPr>
              <w:t>共用设施设备管理</w:t>
            </w:r>
          </w:p>
          <w:p>
            <w:pPr>
              <w:spacing w:after="78" w:line="320" w:lineRule="exact"/>
              <w:ind w:firstLine="0" w:firstLineChars="0"/>
              <w:rPr>
                <w:rFonts w:ascii="楷体_GB2312" w:hAnsi="楷体_GB2312" w:eastAsia="楷体_GB2312" w:cs="楷体_GB2312"/>
                <w:kern w:val="0"/>
                <w:szCs w:val="21"/>
              </w:rPr>
            </w:pPr>
            <w:r>
              <w:rPr>
                <w:rFonts w:hint="eastAsia" w:ascii="楷体_GB2312" w:hAnsi="楷体_GB2312" w:eastAsia="楷体_GB2312" w:cs="楷体_GB2312"/>
                <w:kern w:val="0"/>
                <w:szCs w:val="21"/>
              </w:rPr>
              <w:t>（</w:t>
            </w:r>
            <w:r>
              <w:rPr>
                <w:rFonts w:ascii="楷体_GB2312" w:hAnsi="楷体_GB2312" w:eastAsia="楷体_GB2312" w:cs="楷体_GB2312"/>
                <w:kern w:val="0"/>
                <w:szCs w:val="21"/>
              </w:rPr>
              <w:t>17</w:t>
            </w:r>
            <w:r>
              <w:rPr>
                <w:rFonts w:hint="eastAsia" w:ascii="楷体_GB2312" w:hAnsi="楷体_GB2312" w:eastAsia="楷体_GB2312" w:cs="楷体_GB2312"/>
                <w:kern w:val="0"/>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、工程人员人均管理建筑面积为</w:t>
            </w:r>
            <w:r>
              <w:rPr>
                <w:rFonts w:ascii="楷体_GB2312" w:hAnsi="楷体_GB2312" w:eastAsia="楷体_GB2312" w:cs="楷体_GB2312"/>
                <w:szCs w:val="21"/>
              </w:rPr>
              <w:t>9000</w:t>
            </w:r>
            <w:r>
              <w:rPr>
                <w:rFonts w:hint="eastAsia" w:ascii="楷体_GB2312" w:hAnsi="楷体_GB2312" w:eastAsia="楷体_GB2312" w:cs="楷体_GB2312"/>
                <w:szCs w:val="21"/>
              </w:rPr>
              <w:t>㎡或</w:t>
            </w:r>
            <w:r>
              <w:rPr>
                <w:rFonts w:ascii="楷体_GB2312" w:hAnsi="楷体_GB2312" w:eastAsia="楷体_GB2312" w:cs="楷体_GB2312"/>
                <w:szCs w:val="21"/>
              </w:rPr>
              <w:t>12000</w:t>
            </w:r>
            <w:r>
              <w:rPr>
                <w:rFonts w:hint="eastAsia" w:ascii="楷体_GB2312" w:hAnsi="楷体_GB2312" w:eastAsia="楷体_GB2312" w:cs="楷体_GB2312"/>
                <w:szCs w:val="21"/>
              </w:rPr>
              <w:t>㎡以下。（高层</w:t>
            </w:r>
            <w:r>
              <w:rPr>
                <w:rFonts w:ascii="楷体_GB2312" w:hAnsi="楷体_GB2312" w:eastAsia="楷体_GB2312" w:cs="楷体_GB2312"/>
                <w:szCs w:val="21"/>
              </w:rPr>
              <w:t>9000</w:t>
            </w:r>
            <w:r>
              <w:rPr>
                <w:rFonts w:hint="eastAsia" w:ascii="楷体_GB2312" w:hAnsi="楷体_GB2312" w:eastAsia="楷体_GB2312" w:cs="楷体_GB2312"/>
                <w:szCs w:val="21"/>
              </w:rPr>
              <w:t>㎡、多层</w:t>
            </w:r>
            <w:r>
              <w:rPr>
                <w:rFonts w:ascii="楷体_GB2312" w:hAnsi="楷体_GB2312" w:eastAsia="楷体_GB2312" w:cs="楷体_GB2312"/>
                <w:szCs w:val="21"/>
              </w:rPr>
              <w:t>12000</w:t>
            </w:r>
            <w:r>
              <w:rPr>
                <w:rFonts w:hint="eastAsia" w:ascii="楷体_GB2312" w:hAnsi="楷体_GB2312" w:eastAsia="楷体_GB2312" w:cs="楷体_GB2312"/>
                <w:szCs w:val="21"/>
              </w:rPr>
              <w:t>㎡）</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二级标准（公用部位公用设施设备日常运行维护二级）。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89"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、各类设备设施的完好率达到</w:t>
            </w:r>
            <w:r>
              <w:rPr>
                <w:rFonts w:ascii="楷体_GB2312" w:hAnsi="楷体_GB2312" w:eastAsia="楷体_GB2312" w:cs="楷体_GB2312"/>
                <w:szCs w:val="21"/>
              </w:rPr>
              <w:t>96%</w:t>
            </w:r>
            <w:r>
              <w:rPr>
                <w:rFonts w:hint="eastAsia" w:ascii="楷体_GB2312" w:hAnsi="楷体_GB2312" w:eastAsia="楷体_GB2312" w:cs="楷体_GB2312"/>
                <w:szCs w:val="21"/>
              </w:rPr>
              <w:t>以上；共用部位、停车场等照明系统的完好率达到</w:t>
            </w:r>
            <w:r>
              <w:rPr>
                <w:rFonts w:ascii="楷体_GB2312" w:hAnsi="楷体_GB2312" w:eastAsia="楷体_GB2312" w:cs="楷体_GB2312"/>
                <w:szCs w:val="21"/>
              </w:rPr>
              <w:t>98%</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符合1</w:t>
            </w:r>
            <w:r>
              <w:rPr>
                <w:rFonts w:ascii="楷体_GB2312" w:hAnsi="楷体_GB2312" w:eastAsia="楷体_GB2312" w:cs="楷体_GB2312"/>
                <w:szCs w:val="21"/>
              </w:rPr>
              <w:t>.0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二级标准（公用部位、公用设施设备日常运行维护二级）。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3、设施设备维保单位具有相关资质。</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符合1</w:t>
            </w:r>
            <w:r>
              <w:rPr>
                <w:rFonts w:ascii="楷体_GB2312" w:hAnsi="楷体_GB2312" w:eastAsia="楷体_GB2312" w:cs="楷体_GB2312"/>
                <w:szCs w:val="21"/>
              </w:rPr>
              <w:t>.0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4、建立设备设施管理制度，日常检查有记录，包括日检、周检、月检等。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89"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5、加强对消防系统的检查保养，消防栓、灭火器、报警功能巡查每周不少于三次；消防泵启动每年不少于三次。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二级标准（公用部位、公用设施设备日常运行维护二级）。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6、</w:t>
            </w:r>
            <w:r>
              <w:rPr>
                <w:rFonts w:ascii="楷体_GB2312" w:hAnsi="楷体_GB2312" w:eastAsia="楷体_GB2312" w:cs="楷体_GB2312"/>
                <w:szCs w:val="21"/>
              </w:rPr>
              <w:t>24</w:t>
            </w:r>
            <w:r>
              <w:rPr>
                <w:rFonts w:hint="eastAsia" w:ascii="楷体_GB2312" w:hAnsi="楷体_GB2312" w:eastAsia="楷体_GB2312" w:cs="楷体_GB2312"/>
                <w:szCs w:val="21"/>
              </w:rPr>
              <w:t>小时受理租户报修，急修半小时内到现场处理，一般修理</w:t>
            </w:r>
            <w:r>
              <w:rPr>
                <w:rFonts w:ascii="楷体_GB2312" w:hAnsi="楷体_GB2312" w:eastAsia="楷体_GB2312" w:cs="楷体_GB2312"/>
                <w:szCs w:val="21"/>
              </w:rPr>
              <w:t>1</w:t>
            </w:r>
            <w:r>
              <w:rPr>
                <w:rFonts w:hint="eastAsia" w:ascii="楷体_GB2312" w:hAnsi="楷体_GB2312" w:eastAsia="楷体_GB2312" w:cs="楷体_GB2312"/>
                <w:szCs w:val="21"/>
              </w:rPr>
              <w:t>天内处理。</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二级标准（公用部位、公用设施设备日常运行维护二级）。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3"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7、室外共用管线统一入地或入公共管道，无架空管线，无碍观瞻。</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8、排水、排污管道通畅，无堵塞外溢现象。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4</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9、道路通畅，路面平整；井盖无缺损、无丢失，路面井盖不影响车辆和行人通行。</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5</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49"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10、供水设备运行正常，设施完好、无渗漏、无污染；二次生活用水有严格的保障措施，水质符合卫生标准；制定停水及事故处理方案。</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6</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1、制订供电系统管理措施并严格执行，记录完整：供电设备运行正常，配电室管理符合规定；路灯、楼道灯等公共照明设备完好。</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7</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32"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12、加强对电梯的保养，单台电梯的年故障频率不超过一次。大厦电梯由专业人员维护，维修合同签订，安全检查市检证件齐全，安全运行和维修保养落实，有材料可查，通风照明及附属设施完好。</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5"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3、电梯按规定或约定时间运行，安全设施齐全，无安全事故，机房、轿厢、井道保持清洁；电梯机房通风、照明良好；有完善的应急处理方案。</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评优标准公用设施设备管理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8</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75"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4、配电设备和中央空调运行安全、正常、良好，设备及环境整洁，应急用发电机可随时启动，并有完善的管理制度。</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5、康体设施、游泳池管理制度健全，管理规范，无安全隐患。</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，基本符合</w:t>
            </w:r>
            <w:r>
              <w:rPr>
                <w:rFonts w:ascii="楷体_GB2312" w:hAnsi="楷体_GB2312" w:eastAsia="楷体_GB2312" w:cs="楷体_GB2312"/>
                <w:szCs w:val="21"/>
              </w:rPr>
              <w:t>1</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restart"/>
            <w:vAlign w:val="center"/>
          </w:tcPr>
          <w:p>
            <w:pPr>
              <w:spacing w:after="78" w:line="320" w:lineRule="exact"/>
              <w:ind w:firstLine="0" w:firstLineChars="0"/>
              <w:rPr>
                <w:rFonts w:ascii="楷体_GB2312" w:hAnsi="楷体_GB2312" w:eastAsia="楷体_GB2312" w:cs="楷体_GB2312"/>
                <w:szCs w:val="21"/>
              </w:rPr>
            </w:pPr>
          </w:p>
          <w:p>
            <w:pPr>
              <w:spacing w:after="78" w:line="320" w:lineRule="exact"/>
              <w:ind w:firstLine="174" w:firstLineChars="83"/>
              <w:rPr>
                <w:rFonts w:ascii="楷体_GB2312" w:hAnsi="楷体_GB2312" w:eastAsia="楷体_GB2312" w:cs="楷体_GB2312"/>
                <w:szCs w:val="21"/>
              </w:rPr>
            </w:pPr>
          </w:p>
          <w:p>
            <w:pPr>
              <w:spacing w:after="78" w:line="320" w:lineRule="exact"/>
              <w:ind w:firstLine="174" w:firstLineChars="83"/>
              <w:rPr>
                <w:rFonts w:ascii="楷体_GB2312" w:hAnsi="楷体_GB2312" w:eastAsia="楷体_GB2312" w:cs="楷体_GB2312"/>
                <w:szCs w:val="21"/>
              </w:rPr>
            </w:pPr>
            <w:r>
              <w:rPr>
                <w:rFonts w:ascii="楷体_GB2312" w:hAnsi="楷体_GB2312" w:eastAsia="楷体_GB2312" w:cs="楷体_GB2312"/>
                <w:szCs w:val="21"/>
              </w:rPr>
              <w:t>4</w:t>
            </w:r>
          </w:p>
        </w:tc>
        <w:tc>
          <w:tcPr>
            <w:tcW w:w="1229" w:type="dxa"/>
            <w:vMerge w:val="restart"/>
            <w:tcBorders>
              <w:top w:val="single" w:color="auto" w:sz="4" w:space="0"/>
            </w:tcBorders>
            <w:vAlign w:val="center"/>
          </w:tcPr>
          <w:p>
            <w:pPr>
              <w:spacing w:after="78" w:line="320" w:lineRule="exact"/>
              <w:ind w:firstLine="0" w:firstLineChars="0"/>
              <w:rPr>
                <w:rFonts w:ascii="楷体_GB2312" w:hAnsi="楷体_GB2312" w:eastAsia="楷体_GB2312" w:cs="楷体_GB2312"/>
                <w:szCs w:val="21"/>
              </w:rPr>
            </w:pPr>
          </w:p>
          <w:p>
            <w:pPr>
              <w:spacing w:after="78" w:line="320" w:lineRule="exact"/>
              <w:ind w:firstLine="0" w:firstLineChars="0"/>
              <w:rPr>
                <w:rFonts w:ascii="楷体_GB2312" w:hAnsi="楷体_GB2312" w:eastAsia="楷体_GB2312" w:cs="楷体_GB2312"/>
                <w:szCs w:val="21"/>
              </w:rPr>
            </w:pPr>
          </w:p>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安全管理</w:t>
            </w:r>
          </w:p>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w:t>
            </w:r>
            <w:r>
              <w:rPr>
                <w:rFonts w:ascii="楷体_GB2312" w:hAnsi="楷体_GB2312" w:eastAsia="楷体_GB2312" w:cs="楷体_GB2312"/>
                <w:szCs w:val="21"/>
              </w:rPr>
              <w:t>18</w:t>
            </w:r>
            <w:r>
              <w:rPr>
                <w:rFonts w:hint="eastAsia" w:ascii="楷体_GB2312" w:hAnsi="楷体_GB2312" w:eastAsia="楷体_GB2312" w:cs="楷体_GB2312"/>
                <w:szCs w:val="21"/>
              </w:rPr>
              <w:t>）</w:t>
            </w:r>
          </w:p>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、秩序维护人员人均管理建筑面积为</w:t>
            </w:r>
            <w:r>
              <w:rPr>
                <w:rFonts w:ascii="楷体_GB2312" w:hAnsi="楷体_GB2312" w:eastAsia="楷体_GB2312" w:cs="楷体_GB2312"/>
                <w:szCs w:val="21"/>
              </w:rPr>
              <w:t>3000</w:t>
            </w:r>
            <w:r>
              <w:rPr>
                <w:rFonts w:hint="eastAsia" w:ascii="楷体_GB2312" w:hAnsi="楷体_GB2312" w:eastAsia="楷体_GB2312" w:cs="楷体_GB2312"/>
                <w:szCs w:val="21"/>
              </w:rPr>
              <w:t>㎡或</w:t>
            </w:r>
            <w:r>
              <w:rPr>
                <w:rFonts w:ascii="楷体_GB2312" w:hAnsi="楷体_GB2312" w:eastAsia="楷体_GB2312" w:cs="楷体_GB2312"/>
                <w:szCs w:val="21"/>
              </w:rPr>
              <w:t>4000</w:t>
            </w:r>
            <w:r>
              <w:rPr>
                <w:rFonts w:hint="eastAsia" w:ascii="楷体_GB2312" w:hAnsi="楷体_GB2312" w:eastAsia="楷体_GB2312" w:cs="楷体_GB2312"/>
                <w:szCs w:val="21"/>
              </w:rPr>
              <w:t>㎡以下。（高层</w:t>
            </w:r>
            <w:r>
              <w:rPr>
                <w:rFonts w:ascii="楷体_GB2312" w:hAnsi="楷体_GB2312" w:eastAsia="楷体_GB2312" w:cs="楷体_GB2312"/>
                <w:szCs w:val="21"/>
              </w:rPr>
              <w:t>3000</w:t>
            </w:r>
            <w:r>
              <w:rPr>
                <w:rFonts w:hint="eastAsia" w:ascii="楷体_GB2312" w:hAnsi="楷体_GB2312" w:eastAsia="楷体_GB2312" w:cs="楷体_GB2312"/>
                <w:szCs w:val="21"/>
              </w:rPr>
              <w:t>、多层</w:t>
            </w:r>
            <w:r>
              <w:rPr>
                <w:rFonts w:ascii="楷体_GB2312" w:hAnsi="楷体_GB2312" w:eastAsia="楷体_GB2312" w:cs="楷体_GB2312"/>
                <w:szCs w:val="21"/>
              </w:rPr>
              <w:t>4000</w:t>
            </w:r>
            <w:r>
              <w:rPr>
                <w:rFonts w:hint="eastAsia" w:ascii="楷体_GB2312" w:hAnsi="楷体_GB2312" w:eastAsia="楷体_GB2312" w:cs="楷体_GB2312"/>
                <w:szCs w:val="21"/>
              </w:rPr>
              <w:t>）</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二级标准（公共秩序维护二级）。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、每年组织有租户参与的消防演习不少于两次。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二级标准（公共秩序维护二级）。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、秩序维护人员熟悉各自岗位职责</w:t>
            </w:r>
            <w:r>
              <w:rPr>
                <w:rFonts w:ascii="楷体_GB2312" w:hAnsi="楷体_GB2312" w:eastAsia="楷体_GB2312" w:cs="楷体_GB2312"/>
                <w:szCs w:val="21"/>
              </w:rPr>
              <w:t>,</w:t>
            </w:r>
            <w:r>
              <w:rPr>
                <w:rFonts w:hint="eastAsia" w:ascii="楷体_GB2312" w:hAnsi="楷体_GB2312" w:eastAsia="楷体_GB2312" w:cs="楷体_GB2312"/>
                <w:szCs w:val="21"/>
              </w:rPr>
              <w:t>定期组织秩序维护人员岗位培训</w:t>
            </w:r>
            <w:r>
              <w:rPr>
                <w:rFonts w:ascii="楷体_GB2312" w:hAnsi="楷体_GB2312" w:eastAsia="楷体_GB2312" w:cs="楷体_GB2312"/>
                <w:szCs w:val="21"/>
              </w:rPr>
              <w:t>,</w:t>
            </w:r>
            <w:r>
              <w:rPr>
                <w:rFonts w:hint="eastAsia" w:ascii="楷体_GB2312" w:hAnsi="楷体_GB2312" w:eastAsia="楷体_GB2312" w:cs="楷体_GB2312"/>
                <w:szCs w:val="21"/>
              </w:rPr>
              <w:t>并掌握相关培训内容。</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88"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、设定合理的巡逻路线，确保小区关键线路和关键时间节点的巡逻</w:t>
            </w:r>
            <w:r>
              <w:rPr>
                <w:rFonts w:ascii="楷体_GB2312" w:hAnsi="楷体_GB2312" w:eastAsia="楷体_GB2312" w:cs="楷体_GB2312"/>
                <w:szCs w:val="21"/>
              </w:rPr>
              <w:t>;</w:t>
            </w:r>
            <w:r>
              <w:rPr>
                <w:rFonts w:hint="eastAsia" w:ascii="楷体_GB2312" w:hAnsi="楷体_GB2312" w:eastAsia="楷体_GB2312" w:cs="楷体_GB2312"/>
                <w:szCs w:val="21"/>
              </w:rPr>
              <w:t>秩序维护人员每隔一个半小时到指定区域巡逻一次。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5</w:t>
            </w:r>
            <w:r>
              <w:rPr>
                <w:rFonts w:hint="eastAsia" w:ascii="楷体_GB2312" w:hAnsi="楷体_GB2312" w:eastAsia="楷体_GB2312" w:cs="楷体_GB2312"/>
                <w:szCs w:val="21"/>
              </w:rPr>
              <w:t>、实行封闭式管理的，对外来人员进入物业小区进行询问和登记（按小区要求进行管理）。</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符合1</w:t>
            </w:r>
            <w:r>
              <w:rPr>
                <w:rFonts w:ascii="楷体_GB2312" w:hAnsi="楷体_GB2312" w:eastAsia="楷体_GB2312" w:cs="楷体_GB2312"/>
                <w:szCs w:val="21"/>
              </w:rPr>
              <w:t>.0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。一次没按要求处理扣</w:t>
            </w:r>
            <w:r>
              <w:rPr>
                <w:rFonts w:ascii="楷体_GB2312" w:hAnsi="楷体_GB2312" w:eastAsia="楷体_GB2312" w:cs="楷体_GB2312"/>
                <w:szCs w:val="21"/>
              </w:rPr>
              <w:t>0.5</w:t>
            </w:r>
            <w:r>
              <w:rPr>
                <w:rFonts w:hint="eastAsia" w:ascii="楷体_GB2312" w:hAnsi="楷体_GB2312" w:eastAsia="楷体_GB2312" w:cs="楷体_GB2312"/>
                <w:szCs w:val="21"/>
              </w:rPr>
              <w:t>分。</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二级标准（公共秩序维护二级）和专家意见。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、对居住满一年的租户，熟悉率达到</w:t>
            </w:r>
            <w:r>
              <w:rPr>
                <w:rFonts w:ascii="楷体_GB2312" w:hAnsi="楷体_GB2312" w:eastAsia="楷体_GB2312" w:cs="楷体_GB2312"/>
                <w:szCs w:val="21"/>
              </w:rPr>
              <w:t>60%</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二级标准（公共秩序维护二级）和专家意见。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7</w:t>
            </w:r>
            <w:r>
              <w:rPr>
                <w:rFonts w:hint="eastAsia" w:ascii="楷体_GB2312" w:hAnsi="楷体_GB2312" w:eastAsia="楷体_GB2312" w:cs="楷体_GB2312"/>
                <w:szCs w:val="21"/>
              </w:rPr>
              <w:t>、车辆行驶有规定路线，停车场内配置道闸和录像监视系统，停车标识清晰明确，有人员巡视和协助停车事宜。</w:t>
            </w:r>
            <w:r>
              <w:rPr>
                <w:rFonts w:ascii="楷体_GB2312" w:hAnsi="楷体_GB2312" w:eastAsia="楷体_GB2312" w:cs="楷体_GB2312"/>
                <w:szCs w:val="21"/>
              </w:rPr>
              <w:t xml:space="preserve"> </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二级标准（公共秩序维护二级）和专家意见。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8</w:t>
            </w:r>
            <w:r>
              <w:rPr>
                <w:rFonts w:hint="eastAsia" w:ascii="楷体_GB2312" w:hAnsi="楷体_GB2312" w:eastAsia="楷体_GB2312" w:cs="楷体_GB2312"/>
                <w:szCs w:val="21"/>
              </w:rPr>
              <w:t>、建立物品出入管理制度</w:t>
            </w:r>
            <w:r>
              <w:rPr>
                <w:rFonts w:ascii="楷体_GB2312" w:hAnsi="楷体_GB2312" w:eastAsia="楷体_GB2312" w:cs="楷体_GB2312"/>
                <w:szCs w:val="21"/>
              </w:rPr>
              <w:t>,</w:t>
            </w:r>
            <w:r>
              <w:rPr>
                <w:rFonts w:hint="eastAsia" w:ascii="楷体_GB2312" w:hAnsi="楷体_GB2312" w:eastAsia="楷体_GB2312" w:cs="楷体_GB2312"/>
                <w:szCs w:val="21"/>
              </w:rPr>
              <w:t>按要求和规范执行。</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符合1</w:t>
            </w:r>
            <w:r>
              <w:rPr>
                <w:rFonts w:ascii="楷体_GB2312" w:hAnsi="楷体_GB2312" w:eastAsia="楷体_GB2312" w:cs="楷体_GB2312"/>
                <w:szCs w:val="21"/>
              </w:rPr>
              <w:t>.0.</w:t>
            </w:r>
            <w:r>
              <w:rPr>
                <w:rFonts w:hint="eastAsia" w:ascii="楷体_GB2312" w:hAnsi="楷体_GB2312" w:eastAsia="楷体_GB2312" w:cs="楷体_GB2312"/>
                <w:szCs w:val="21"/>
              </w:rPr>
              <w:t>一次不记录扣</w:t>
            </w:r>
            <w:r>
              <w:rPr>
                <w:rFonts w:ascii="楷体_GB2312" w:hAnsi="楷体_GB2312" w:eastAsia="楷体_GB2312" w:cs="楷体_GB2312"/>
                <w:szCs w:val="21"/>
              </w:rPr>
              <w:t>0.5</w:t>
            </w:r>
            <w:r>
              <w:rPr>
                <w:rFonts w:hint="eastAsia" w:ascii="楷体_GB2312" w:hAnsi="楷体_GB2312" w:eastAsia="楷体_GB2312" w:cs="楷体_GB2312"/>
                <w:szCs w:val="21"/>
              </w:rPr>
              <w:t>分。</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8"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9</w:t>
            </w:r>
            <w:r>
              <w:rPr>
                <w:rFonts w:hint="eastAsia" w:ascii="楷体_GB2312" w:hAnsi="楷体_GB2312" w:eastAsia="楷体_GB2312" w:cs="楷体_GB2312"/>
                <w:szCs w:val="21"/>
              </w:rPr>
              <w:t>、危及人身安全处有明显标识和具体的防范措施。</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评优标准保安、消防、车辆管理</w:t>
            </w: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第</w:t>
            </w:r>
            <w:r>
              <w:rPr>
                <w:rFonts w:ascii="楷体_GB2312" w:hAnsi="楷体_GB2312" w:eastAsia="楷体_GB2312" w:cs="楷体_GB2312"/>
                <w:szCs w:val="21"/>
              </w:rPr>
              <w:t>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10</w:t>
            </w:r>
            <w:r>
              <w:rPr>
                <w:rFonts w:hint="eastAsia" w:ascii="楷体_GB2312" w:hAnsi="楷体_GB2312" w:eastAsia="楷体_GB2312" w:cs="楷体_GB2312"/>
                <w:szCs w:val="21"/>
              </w:rPr>
              <w:t>、保证消防通道畅通。</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1"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11</w:t>
            </w:r>
            <w:r>
              <w:rPr>
                <w:rFonts w:hint="eastAsia" w:ascii="楷体_GB2312" w:hAnsi="楷体_GB2312" w:eastAsia="楷体_GB2312" w:cs="楷体_GB2312"/>
                <w:szCs w:val="21"/>
              </w:rPr>
              <w:t>、建立各类应急方案</w:t>
            </w:r>
            <w:r>
              <w:rPr>
                <w:rFonts w:ascii="楷体_GB2312" w:hAnsi="楷体_GB2312" w:eastAsia="楷体_GB2312" w:cs="楷体_GB2312"/>
                <w:szCs w:val="21"/>
              </w:rPr>
              <w:t>;</w:t>
            </w:r>
            <w:r>
              <w:rPr>
                <w:rFonts w:hint="eastAsia" w:ascii="楷体_GB2312" w:hAnsi="楷体_GB2312" w:eastAsia="楷体_GB2312" w:cs="楷体_GB2312"/>
                <w:szCs w:val="21"/>
              </w:rPr>
              <w:t>消防物资和消防工具配备齐全</w:t>
            </w:r>
            <w:r>
              <w:rPr>
                <w:rFonts w:ascii="楷体_GB2312" w:hAnsi="楷体_GB2312" w:eastAsia="楷体_GB2312" w:cs="楷体_GB2312"/>
                <w:szCs w:val="21"/>
              </w:rPr>
              <w:t>,</w:t>
            </w:r>
            <w:r>
              <w:rPr>
                <w:rFonts w:hint="eastAsia" w:ascii="楷体_GB2312" w:hAnsi="楷体_GB2312" w:eastAsia="楷体_GB2312" w:cs="楷体_GB2312"/>
                <w:szCs w:val="21"/>
              </w:rPr>
              <w:t>管理规范。</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评优标准和专家意见。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28"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0" w:firstLineChars="0"/>
              <w:rPr>
                <w:rFonts w:ascii="楷体_GB2312" w:hAnsi="楷体_GB2312" w:eastAsia="楷体_GB2312" w:cs="楷体_GB2312"/>
                <w:spacing w:val="-16"/>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12</w:t>
            </w:r>
            <w:r>
              <w:rPr>
                <w:rFonts w:hint="eastAsia" w:ascii="楷体_GB2312" w:hAnsi="楷体_GB2312" w:eastAsia="楷体_GB2312" w:cs="楷体_GB2312"/>
                <w:szCs w:val="21"/>
              </w:rPr>
              <w:t>、机动车停车场管理制度完善，管理责任明确，车辆进出有登记。</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评优标准保安、消防、车辆管理第</w:t>
            </w:r>
            <w:r>
              <w:rPr>
                <w:rFonts w:ascii="楷体_GB2312" w:hAnsi="楷体_GB2312" w:eastAsia="楷体_GB2312" w:cs="楷体_GB2312"/>
                <w:szCs w:val="21"/>
              </w:rPr>
              <w:t>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13</w:t>
            </w:r>
            <w:r>
              <w:rPr>
                <w:rFonts w:hint="eastAsia" w:ascii="楷体_GB2312" w:hAnsi="楷体_GB2312" w:eastAsia="楷体_GB2312" w:cs="楷体_GB2312"/>
                <w:szCs w:val="21"/>
              </w:rPr>
              <w:t>、非机动车车辆（含共享单车）管理制度完善，按规定位置停放，管理有序。</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评优标准保安、消防、车辆管理第</w:t>
            </w:r>
            <w:r>
              <w:rPr>
                <w:rFonts w:ascii="楷体_GB2312" w:hAnsi="楷体_GB2312" w:eastAsia="楷体_GB2312" w:cs="楷体_GB2312"/>
                <w:szCs w:val="21"/>
              </w:rPr>
              <w:t>6</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14、对电动自行车火灾防范纳入日常管理中，有安全管理防范措施。</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15、严格执行用电安全规程，依法依规定期开展电气防火检测，是否有相关记录。</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75"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6、将突发事件报告给其它有关部门及业主单位值班领导，并作好报警准备；情况处理完毕后，做好登记，根据需要配合公安部门的调查取证。</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80"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7、做好交接班工作，认真填写值班记录。值班记录中应详细注明当班的值班情况、突发事件的处置经过及结果、系统的运行情况及监控设施的日检情况。</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8" w:hRule="atLeast"/>
        </w:trPr>
        <w:tc>
          <w:tcPr>
            <w:tcW w:w="580" w:type="dxa"/>
            <w:vMerge w:val="restart"/>
            <w:tcBorders>
              <w:top w:val="single" w:color="auto" w:sz="4" w:space="0"/>
            </w:tcBorders>
            <w:vAlign w:val="center"/>
          </w:tcPr>
          <w:p>
            <w:pPr>
              <w:spacing w:after="78" w:line="320" w:lineRule="exact"/>
              <w:ind w:firstLine="0" w:firstLineChars="0"/>
              <w:rPr>
                <w:rFonts w:ascii="楷体_GB2312" w:hAnsi="楷体_GB2312" w:eastAsia="楷体_GB2312" w:cs="楷体_GB2312"/>
                <w:szCs w:val="21"/>
              </w:rPr>
            </w:pPr>
          </w:p>
          <w:p>
            <w:pPr>
              <w:spacing w:after="78" w:line="32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 xml:space="preserve"> </w:t>
            </w:r>
          </w:p>
          <w:p>
            <w:pPr>
              <w:spacing w:after="78" w:line="32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 xml:space="preserve"> 5</w:t>
            </w:r>
          </w:p>
        </w:tc>
        <w:tc>
          <w:tcPr>
            <w:tcW w:w="1229" w:type="dxa"/>
            <w:vMerge w:val="restart"/>
            <w:tcBorders>
              <w:top w:val="single" w:color="auto" w:sz="4" w:space="0"/>
            </w:tcBorders>
            <w:vAlign w:val="center"/>
          </w:tcPr>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kern w:val="0"/>
                <w:szCs w:val="21"/>
              </w:rPr>
            </w:pPr>
          </w:p>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kern w:val="0"/>
                <w:szCs w:val="21"/>
              </w:rPr>
              <w:t>环境卫生管理（</w:t>
            </w:r>
            <w:r>
              <w:rPr>
                <w:rFonts w:ascii="楷体_GB2312" w:hAnsi="楷体_GB2312" w:eastAsia="楷体_GB2312" w:cs="楷体_GB2312"/>
                <w:kern w:val="0"/>
                <w:szCs w:val="21"/>
              </w:rPr>
              <w:t>16</w:t>
            </w:r>
            <w:r>
              <w:rPr>
                <w:rFonts w:hint="eastAsia" w:ascii="楷体_GB2312" w:hAnsi="楷体_GB2312" w:eastAsia="楷体_GB2312" w:cs="楷体_GB2312"/>
                <w:kern w:val="0"/>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、清洁卫生人员人均管理建筑面积为</w:t>
            </w:r>
            <w:r>
              <w:rPr>
                <w:rFonts w:ascii="楷体_GB2312" w:hAnsi="楷体_GB2312" w:eastAsia="楷体_GB2312" w:cs="楷体_GB2312"/>
                <w:szCs w:val="21"/>
              </w:rPr>
              <w:t>6000</w:t>
            </w:r>
            <w:r>
              <w:rPr>
                <w:rFonts w:hint="eastAsia" w:ascii="楷体_GB2312" w:hAnsi="楷体_GB2312" w:eastAsia="楷体_GB2312" w:cs="楷体_GB2312"/>
                <w:szCs w:val="21"/>
              </w:rPr>
              <w:t>㎡以下。</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p>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二级标准（清洁卫生二级）。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79"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numPr>
                <w:ilvl w:val="0"/>
                <w:numId w:val="5"/>
              </w:num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制定规范、完善的清洁卫生制度和计划；建立各类清洁卫生工作台帐，认真记录每一次清洁和消毒情况，清洁卫生台账完整、准确率</w:t>
            </w:r>
            <w:r>
              <w:rPr>
                <w:rFonts w:ascii="楷体_GB2312" w:hAnsi="楷体_GB2312" w:eastAsia="楷体_GB2312" w:cs="楷体_GB2312"/>
                <w:szCs w:val="21"/>
              </w:rPr>
              <w:t>100%</w:t>
            </w:r>
            <w:r>
              <w:rPr>
                <w:rFonts w:hint="eastAsia" w:ascii="楷体_GB2312" w:hAnsi="楷体_GB2312" w:eastAsia="楷体_GB2312" w:cs="楷体_GB2312"/>
                <w:szCs w:val="21"/>
              </w:rPr>
              <w:t>。日常检查有记录，包括日检、周检、月检等。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33"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、电梯轿厢、操作板、地面等清洁保养每天不少于一次，电梯门壁打蜡上光每月不少于一次，表面光亮、无污迹；大堂地面抛光打蜡或晶面研磨每月不少于一次。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二级标准（清洁卫生二级）。</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1"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w:t>
            </w:r>
            <w:r>
              <w:rPr>
                <w:rFonts w:ascii="楷体_GB2312" w:hAnsi="楷体_GB2312" w:eastAsia="楷体_GB2312" w:cs="楷体_GB2312"/>
                <w:szCs w:val="21"/>
              </w:rPr>
              <w:t>5-10</w:t>
            </w:r>
            <w:r>
              <w:rPr>
                <w:rFonts w:hint="eastAsia" w:ascii="楷体_GB2312" w:hAnsi="楷体_GB2312" w:eastAsia="楷体_GB2312" w:cs="楷体_GB2312"/>
                <w:szCs w:val="21"/>
              </w:rPr>
              <w:t>月的灭蚊、灭蟑螂等消杀工作每月不少于三次，其余月份每月不少于两次。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二级标准（清洁卫生二级）。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5</w:t>
            </w:r>
            <w:r>
              <w:rPr>
                <w:rFonts w:hint="eastAsia" w:ascii="楷体_GB2312" w:hAnsi="楷体_GB2312" w:eastAsia="楷体_GB2312" w:cs="楷体_GB2312"/>
                <w:szCs w:val="21"/>
              </w:rPr>
              <w:t>、外墙清洁每两年不少于一次。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二级标准（清洁卫生二级）。</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7"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、环卫设备完备，设有垃圾箱、果皮箱、垃圾中转站。</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1</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70"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7</w:t>
            </w:r>
            <w:r>
              <w:rPr>
                <w:rFonts w:hint="eastAsia" w:ascii="楷体_GB2312" w:hAnsi="楷体_GB2312" w:eastAsia="楷体_GB2312" w:cs="楷体_GB2312"/>
                <w:szCs w:val="21"/>
              </w:rPr>
              <w:t>、清洁卫生实行责任制，有专职的清洁人员和明确的责任范围，实行标准化保洁。</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2</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8</w:t>
            </w:r>
            <w:r>
              <w:rPr>
                <w:rFonts w:hint="eastAsia" w:ascii="楷体_GB2312" w:hAnsi="楷体_GB2312" w:eastAsia="楷体_GB2312" w:cs="楷体_GB2312"/>
                <w:szCs w:val="21"/>
              </w:rPr>
              <w:t>、垃圾日产日清，定期进行卫生消毒灭杀。</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9</w:t>
            </w:r>
            <w:r>
              <w:rPr>
                <w:rFonts w:hint="eastAsia" w:ascii="楷体_GB2312" w:hAnsi="楷体_GB2312" w:eastAsia="楷体_GB2312" w:cs="楷体_GB2312"/>
                <w:szCs w:val="21"/>
              </w:rPr>
              <w:t>、房屋共用部位共用设施设备无蚁害。</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4</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numPr>
                <w:ilvl w:val="0"/>
                <w:numId w:val="7"/>
              </w:num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小区内道路等共用场地保持整洁卫生。</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6"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11</w:t>
            </w:r>
            <w:r>
              <w:rPr>
                <w:rFonts w:hint="eastAsia" w:ascii="楷体_GB2312" w:hAnsi="楷体_GB2312" w:eastAsia="楷体_GB2312" w:cs="楷体_GB2312"/>
                <w:szCs w:val="21"/>
              </w:rPr>
              <w:t>、建立药剂管理相应制度，按照制度对药剂进行的保存及使用。</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11"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12</w:t>
            </w:r>
            <w:r>
              <w:rPr>
                <w:rFonts w:hint="eastAsia" w:ascii="楷体_GB2312" w:hAnsi="楷体_GB2312" w:eastAsia="楷体_GB2312" w:cs="楷体_GB2312"/>
                <w:szCs w:val="21"/>
              </w:rPr>
              <w:t>、房屋共用部位保持清洁，无乱贴、乱画，无擅自占用和堆放杂物现象；楼梯扶拦、天台公共玻璃窗等保持洁净。</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bottom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6</w:t>
            </w:r>
            <w:r>
              <w:rPr>
                <w:rFonts w:hint="eastAsia" w:ascii="楷体_GB2312" w:hAnsi="楷体_GB2312" w:eastAsia="楷体_GB2312" w:cs="楷体_GB2312"/>
                <w:szCs w:val="21"/>
              </w:rPr>
              <w:t>条。</w:t>
            </w:r>
          </w:p>
        </w:tc>
        <w:tc>
          <w:tcPr>
            <w:tcW w:w="1404" w:type="dxa"/>
            <w:tcBorders>
              <w:left w:val="single" w:color="auto" w:sz="4" w:space="0"/>
              <w:bottom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13</w:t>
            </w:r>
            <w:r>
              <w:rPr>
                <w:rFonts w:hint="eastAsia" w:ascii="楷体_GB2312" w:hAnsi="楷体_GB2312" w:eastAsia="楷体_GB2312" w:cs="楷体_GB2312"/>
                <w:szCs w:val="21"/>
              </w:rPr>
              <w:t>、商业网点管理有序，符合卫生标准；无乱设摊点、广告牌和乱贴、乱画现象。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top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7</w:t>
            </w:r>
            <w:r>
              <w:rPr>
                <w:rFonts w:hint="eastAsia" w:ascii="楷体_GB2312" w:hAnsi="楷体_GB2312" w:eastAsia="楷体_GB2312" w:cs="楷体_GB2312"/>
                <w:szCs w:val="21"/>
              </w:rPr>
              <w:t>条。</w:t>
            </w:r>
          </w:p>
        </w:tc>
        <w:tc>
          <w:tcPr>
            <w:tcW w:w="1404" w:type="dxa"/>
            <w:tcBorders>
              <w:top w:val="single" w:color="auto" w:sz="4" w:space="0"/>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14</w:t>
            </w:r>
            <w:r>
              <w:rPr>
                <w:rFonts w:hint="eastAsia" w:ascii="楷体_GB2312" w:hAnsi="楷体_GB2312" w:eastAsia="楷体_GB2312" w:cs="楷体_GB2312"/>
                <w:szCs w:val="21"/>
              </w:rPr>
              <w:t>、无违反规定饲养宠物、家禽、家畜。</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8</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trPr>
        <w:tc>
          <w:tcPr>
            <w:tcW w:w="580"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15</w:t>
            </w:r>
            <w:r>
              <w:rPr>
                <w:rFonts w:hint="eastAsia" w:ascii="楷体_GB2312" w:hAnsi="楷体_GB2312" w:eastAsia="楷体_GB2312" w:cs="楷体_GB2312"/>
                <w:szCs w:val="21"/>
              </w:rPr>
              <w:t>、排放油烟、噪音等符合国家环保标准，外墙无污染。</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评优标准环境卫生管理第</w:t>
            </w:r>
            <w:r>
              <w:rPr>
                <w:rFonts w:ascii="楷体_GB2312" w:hAnsi="楷体_GB2312" w:eastAsia="楷体_GB2312" w:cs="楷体_GB2312"/>
                <w:szCs w:val="21"/>
              </w:rPr>
              <w:t>9</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4" w:hRule="atLeast"/>
        </w:trPr>
        <w:tc>
          <w:tcPr>
            <w:tcW w:w="580" w:type="dxa"/>
            <w:vMerge w:val="restart"/>
            <w:vAlign w:val="center"/>
          </w:tcPr>
          <w:p>
            <w:pPr>
              <w:spacing w:after="78" w:line="32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 xml:space="preserve"> 6</w:t>
            </w:r>
          </w:p>
        </w:tc>
        <w:tc>
          <w:tcPr>
            <w:tcW w:w="1229" w:type="dxa"/>
            <w:vMerge w:val="restart"/>
            <w:tcBorders>
              <w:top w:val="single" w:color="auto" w:sz="4" w:space="0"/>
            </w:tcBorders>
            <w:vAlign w:val="center"/>
          </w:tcPr>
          <w:p>
            <w:pPr>
              <w:spacing w:after="78" w:line="320" w:lineRule="exact"/>
              <w:ind w:firstLine="18" w:firstLineChars="9"/>
              <w:jc w:val="center"/>
              <w:rPr>
                <w:rFonts w:ascii="楷体_GB2312" w:hAnsi="楷体_GB2312" w:eastAsia="楷体_GB2312" w:cs="楷体_GB2312"/>
                <w:szCs w:val="21"/>
              </w:rPr>
            </w:pPr>
            <w:r>
              <w:rPr>
                <w:rFonts w:hint="eastAsia" w:ascii="楷体_GB2312" w:hAnsi="楷体_GB2312" w:eastAsia="楷体_GB2312" w:cs="楷体_GB2312"/>
                <w:szCs w:val="21"/>
              </w:rPr>
              <w:t>绿化管理</w:t>
            </w:r>
          </w:p>
          <w:p>
            <w:pPr>
              <w:spacing w:after="78" w:line="320" w:lineRule="exact"/>
              <w:ind w:firstLine="18" w:firstLineChars="9"/>
              <w:jc w:val="center"/>
              <w:rPr>
                <w:rFonts w:ascii="楷体_GB2312" w:hAnsi="楷体_GB2312" w:eastAsia="楷体_GB2312" w:cs="楷体_GB2312"/>
                <w:szCs w:val="21"/>
              </w:rPr>
            </w:pPr>
            <w:r>
              <w:rPr>
                <w:rFonts w:hint="eastAsia" w:ascii="楷体_GB2312" w:hAnsi="楷体_GB2312" w:eastAsia="楷体_GB2312" w:cs="楷体_GB2312"/>
                <w:szCs w:val="21"/>
              </w:rPr>
              <w:t>（</w:t>
            </w:r>
            <w:r>
              <w:rPr>
                <w:rFonts w:ascii="楷体_GB2312" w:hAnsi="楷体_GB2312" w:eastAsia="楷体_GB2312" w:cs="楷体_GB2312"/>
                <w:szCs w:val="21"/>
              </w:rPr>
              <w:t>6</w:t>
            </w:r>
            <w:r>
              <w:rPr>
                <w:rFonts w:hint="eastAsia" w:ascii="楷体_GB2312" w:hAnsi="楷体_GB2312" w:eastAsia="楷体_GB2312" w:cs="楷体_GB2312"/>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、草坪常年保持平整，基本无杂草</w:t>
            </w:r>
            <w:r>
              <w:rPr>
                <w:rFonts w:ascii="楷体_GB2312" w:hAnsi="楷体_GB2312" w:eastAsia="楷体_GB2312" w:cs="楷体_GB2312"/>
                <w:szCs w:val="21"/>
              </w:rPr>
              <w:t>,</w:t>
            </w:r>
            <w:r>
              <w:rPr>
                <w:rFonts w:hint="eastAsia" w:ascii="楷体_GB2312" w:hAnsi="楷体_GB2312" w:eastAsia="楷体_GB2312" w:cs="楷体_GB2312"/>
                <w:szCs w:val="21"/>
              </w:rPr>
              <w:t>无大面积黄土裸露。</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174" w:firstLineChars="83"/>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、乔、灌木树冠完整</w:t>
            </w:r>
            <w:r>
              <w:rPr>
                <w:rFonts w:ascii="楷体_GB2312" w:hAnsi="楷体_GB2312" w:eastAsia="楷体_GB2312" w:cs="楷体_GB2312"/>
                <w:szCs w:val="21"/>
              </w:rPr>
              <w:t>,</w:t>
            </w:r>
            <w:r>
              <w:rPr>
                <w:rFonts w:hint="eastAsia" w:ascii="楷体_GB2312" w:hAnsi="楷体_GB2312" w:eastAsia="楷体_GB2312" w:cs="楷体_GB2312"/>
                <w:szCs w:val="21"/>
              </w:rPr>
              <w:t>无枯枝烂叶和死苗，各种植被生长良好。</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、小区内绿地布局合理，花草树木与建筑小区配置得当。</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评优标准绿化管理第</w:t>
            </w:r>
            <w:r>
              <w:rPr>
                <w:rFonts w:ascii="楷体_GB2312" w:hAnsi="楷体_GB2312" w:eastAsia="楷体_GB2312" w:cs="楷体_GB2312"/>
                <w:szCs w:val="21"/>
              </w:rPr>
              <w:t>1</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、绿地无擅自改变使用用途和破环、践踏、占用现象。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评优标准绿化管理第</w:t>
            </w:r>
            <w:r>
              <w:rPr>
                <w:rFonts w:ascii="楷体_GB2312" w:hAnsi="楷体_GB2312" w:eastAsia="楷体_GB2312" w:cs="楷体_GB2312"/>
                <w:szCs w:val="21"/>
              </w:rPr>
              <w:t>2</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5</w:t>
            </w:r>
            <w:r>
              <w:rPr>
                <w:rFonts w:hint="eastAsia" w:ascii="楷体_GB2312" w:hAnsi="楷体_GB2312" w:eastAsia="楷体_GB2312" w:cs="楷体_GB2312"/>
                <w:szCs w:val="21"/>
              </w:rPr>
              <w:t>、花草树木长势良好，修剪整齐美观，无病虫害，无折损现象，无斑秃。</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评优标准绿化管理第</w:t>
            </w:r>
            <w:r>
              <w:rPr>
                <w:rFonts w:ascii="楷体_GB2312" w:hAnsi="楷体_GB2312" w:eastAsia="楷体_GB2312" w:cs="楷体_GB2312"/>
                <w:szCs w:val="21"/>
              </w:rPr>
              <w:t>3</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、建立绿化管理制度，日常检查有记录包括日检、周检、月检等。</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专家意见。</w:t>
            </w:r>
          </w:p>
        </w:tc>
        <w:tc>
          <w:tcPr>
            <w:tcW w:w="1404" w:type="dxa"/>
            <w:tcBorders>
              <w:left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restart"/>
            <w:vAlign w:val="center"/>
          </w:tcPr>
          <w:p>
            <w:pPr>
              <w:spacing w:line="320" w:lineRule="exact"/>
              <w:ind w:firstLine="174" w:firstLineChars="83"/>
              <w:rPr>
                <w:rFonts w:ascii="楷体_GB2312" w:hAnsi="楷体_GB2312" w:eastAsia="楷体_GB2312" w:cs="楷体_GB2312"/>
                <w:szCs w:val="21"/>
              </w:rPr>
            </w:pPr>
            <w:r>
              <w:rPr>
                <w:rFonts w:ascii="楷体_GB2312" w:hAnsi="楷体_GB2312" w:eastAsia="楷体_GB2312" w:cs="楷体_GB2312"/>
                <w:szCs w:val="21"/>
              </w:rPr>
              <w:t>7</w:t>
            </w:r>
          </w:p>
        </w:tc>
        <w:tc>
          <w:tcPr>
            <w:tcW w:w="1229" w:type="dxa"/>
            <w:vMerge w:val="restart"/>
            <w:vAlign w:val="center"/>
          </w:tcPr>
          <w:p>
            <w:pPr>
              <w:spacing w:after="78" w:line="320" w:lineRule="exact"/>
              <w:ind w:firstLine="0" w:firstLineChars="0"/>
              <w:rPr>
                <w:rFonts w:ascii="楷体_GB2312" w:hAnsi="楷体_GB2312" w:eastAsia="楷体_GB2312" w:cs="楷体_GB2312"/>
                <w:szCs w:val="21"/>
              </w:rPr>
            </w:pPr>
            <w:r>
              <w:rPr>
                <w:rFonts w:hint="eastAsia" w:ascii="楷体_GB2312" w:hAnsi="楷体_GB2312" w:eastAsia="楷体_GB2312" w:cs="楷体_GB2312"/>
                <w:kern w:val="0"/>
                <w:szCs w:val="21"/>
              </w:rPr>
              <w:t>精神文明建设（</w:t>
            </w:r>
            <w:r>
              <w:rPr>
                <w:rFonts w:ascii="楷体_GB2312" w:hAnsi="楷体_GB2312" w:eastAsia="楷体_GB2312" w:cs="楷体_GB2312"/>
                <w:kern w:val="0"/>
                <w:szCs w:val="21"/>
              </w:rPr>
              <w:t>3</w:t>
            </w:r>
            <w:r>
              <w:rPr>
                <w:rFonts w:hint="eastAsia" w:ascii="楷体_GB2312" w:hAnsi="楷体_GB2312" w:eastAsia="楷体_GB2312" w:cs="楷体_GB2312"/>
                <w:kern w:val="0"/>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l</w:t>
            </w:r>
            <w:r>
              <w:rPr>
                <w:rFonts w:hint="eastAsia" w:ascii="楷体_GB2312" w:hAnsi="楷体_GB2312" w:eastAsia="楷体_GB2312" w:cs="楷体_GB2312"/>
                <w:szCs w:val="21"/>
              </w:rPr>
              <w:t>、积极开展各类社区文化活动，每年组织有租户参与的社区文化活动不少于三次；重要节日有专题布置不少于</w:t>
            </w:r>
            <w:r>
              <w:rPr>
                <w:rFonts w:ascii="楷体_GB2312" w:hAnsi="楷体_GB2312" w:eastAsia="楷体_GB2312" w:cs="楷体_GB2312"/>
                <w:szCs w:val="21"/>
              </w:rPr>
              <w:t>1</w:t>
            </w:r>
            <w:r>
              <w:rPr>
                <w:rFonts w:hint="eastAsia" w:ascii="楷体_GB2312" w:hAnsi="楷体_GB2312" w:eastAsia="楷体_GB2312" w:cs="楷体_GB2312"/>
                <w:szCs w:val="21"/>
              </w:rPr>
              <w:t>次</w:t>
            </w:r>
            <w:r>
              <w:rPr>
                <w:rFonts w:ascii="楷体_GB2312" w:hAnsi="楷体_GB2312" w:eastAsia="楷体_GB2312" w:cs="楷体_GB2312"/>
                <w:szCs w:val="21"/>
              </w:rPr>
              <w:t>;</w:t>
            </w:r>
            <w:r>
              <w:rPr>
                <w:rFonts w:hint="eastAsia" w:ascii="楷体_GB2312" w:hAnsi="楷体_GB2312" w:eastAsia="楷体_GB2312" w:cs="楷体_GB2312"/>
                <w:szCs w:val="21"/>
              </w:rPr>
              <w:t>公共宣传不少于</w:t>
            </w:r>
            <w:r>
              <w:rPr>
                <w:rFonts w:ascii="楷体_GB2312" w:hAnsi="楷体_GB2312" w:eastAsia="楷体_GB2312" w:cs="楷体_GB2312"/>
                <w:szCs w:val="21"/>
              </w:rPr>
              <w:t>4</w:t>
            </w:r>
            <w:r>
              <w:rPr>
                <w:rFonts w:hint="eastAsia" w:ascii="楷体_GB2312" w:hAnsi="楷体_GB2312" w:eastAsia="楷体_GB2312" w:cs="楷体_GB2312"/>
                <w:szCs w:val="21"/>
              </w:rPr>
              <w:t>次。</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2.0</w:t>
            </w:r>
            <w:r>
              <w:rPr>
                <w:rFonts w:hint="eastAsia" w:ascii="楷体_GB2312" w:hAnsi="楷体_GB2312" w:eastAsia="楷体_GB2312" w:cs="楷体_GB2312"/>
                <w:szCs w:val="21"/>
              </w:rPr>
              <w:t>，基本符合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bottom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二级标准（综合管理二级）和专家意见。</w:t>
            </w:r>
          </w:p>
        </w:tc>
        <w:tc>
          <w:tcPr>
            <w:tcW w:w="1404" w:type="dxa"/>
            <w:tcBorders>
              <w:left w:val="single" w:color="auto" w:sz="4" w:space="0"/>
              <w:bottom w:val="single" w:color="auto" w:sz="4" w:space="0"/>
            </w:tcBorders>
            <w:vAlign w:val="center"/>
          </w:tcPr>
          <w:p>
            <w:pPr>
              <w:spacing w:after="78" w:line="320" w:lineRule="exact"/>
              <w:ind w:firstLine="42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vAlign w:val="center"/>
          </w:tcPr>
          <w:p>
            <w:pPr>
              <w:spacing w:after="78" w:line="320" w:lineRule="exact"/>
              <w:ind w:firstLine="420"/>
              <w:jc w:val="center"/>
              <w:rPr>
                <w:rFonts w:ascii="楷体_GB2312" w:hAnsi="楷体_GB2312" w:eastAsia="楷体_GB2312" w:cs="楷体_GB2312"/>
                <w:szCs w:val="21"/>
              </w:rPr>
            </w:pP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、创造条件，积极配合、支持并参与社区文化建设，并有相关记录。</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0.5</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top w:val="single" w:color="auto" w:sz="4"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评优标准精神文明建设第</w:t>
            </w:r>
            <w:r>
              <w:rPr>
                <w:rFonts w:ascii="楷体_GB2312" w:hAnsi="楷体_GB2312" w:eastAsia="楷体_GB2312" w:cs="楷体_GB2312"/>
                <w:szCs w:val="21"/>
              </w:rPr>
              <w:t>2</w:t>
            </w:r>
            <w:r>
              <w:rPr>
                <w:rFonts w:hint="eastAsia" w:ascii="楷体_GB2312" w:hAnsi="楷体_GB2312" w:eastAsia="楷体_GB2312" w:cs="楷体_GB2312"/>
                <w:szCs w:val="21"/>
              </w:rPr>
              <w:t>条。</w:t>
            </w:r>
          </w:p>
        </w:tc>
        <w:tc>
          <w:tcPr>
            <w:tcW w:w="1404" w:type="dxa"/>
            <w:tcBorders>
              <w:top w:val="single" w:color="auto" w:sz="4" w:space="0"/>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restart"/>
            <w:vAlign w:val="center"/>
          </w:tcPr>
          <w:p>
            <w:pPr>
              <w:spacing w:line="320" w:lineRule="exact"/>
              <w:ind w:firstLine="174" w:firstLineChars="83"/>
              <w:rPr>
                <w:rFonts w:ascii="楷体_GB2312" w:hAnsi="楷体_GB2312" w:eastAsia="楷体_GB2312" w:cs="楷体_GB2312"/>
                <w:szCs w:val="21"/>
              </w:rPr>
            </w:pPr>
            <w:r>
              <w:rPr>
                <w:rFonts w:ascii="楷体_GB2312" w:hAnsi="楷体_GB2312" w:eastAsia="楷体_GB2312" w:cs="楷体_GB2312"/>
                <w:szCs w:val="21"/>
              </w:rPr>
              <w:t>8</w:t>
            </w:r>
          </w:p>
        </w:tc>
        <w:tc>
          <w:tcPr>
            <w:tcW w:w="1229" w:type="dxa"/>
            <w:vMerge w:val="restart"/>
            <w:vAlign w:val="center"/>
          </w:tcPr>
          <w:p>
            <w:pPr>
              <w:spacing w:after="78" w:line="320" w:lineRule="exact"/>
              <w:ind w:firstLine="0" w:firstLineChars="0"/>
              <w:rPr>
                <w:rFonts w:ascii="楷体_GB2312" w:hAnsi="楷体_GB2312" w:eastAsia="楷体_GB2312" w:cs="楷体_GB2312"/>
                <w:kern w:val="0"/>
                <w:szCs w:val="21"/>
              </w:rPr>
            </w:pPr>
            <w:r>
              <w:rPr>
                <w:rFonts w:hint="eastAsia" w:ascii="楷体_GB2312" w:hAnsi="楷体_GB2312" w:eastAsia="楷体_GB2312" w:cs="楷体_GB2312"/>
                <w:kern w:val="0"/>
                <w:szCs w:val="21"/>
              </w:rPr>
              <w:t>管理效益</w:t>
            </w:r>
          </w:p>
          <w:p>
            <w:pPr>
              <w:spacing w:after="78" w:line="320" w:lineRule="exact"/>
              <w:ind w:firstLine="0" w:firstLineChars="0"/>
              <w:rPr>
                <w:rFonts w:ascii="楷体_GB2312" w:hAnsi="楷体_GB2312" w:eastAsia="楷体_GB2312" w:cs="楷体_GB2312"/>
                <w:kern w:val="0"/>
                <w:szCs w:val="21"/>
              </w:rPr>
            </w:pPr>
            <w:r>
              <w:rPr>
                <w:rFonts w:hint="eastAsia" w:ascii="楷体_GB2312" w:hAnsi="楷体_GB2312" w:eastAsia="楷体_GB2312" w:cs="楷体_GB2312"/>
                <w:kern w:val="0"/>
                <w:szCs w:val="21"/>
              </w:rPr>
              <w:t>（</w:t>
            </w:r>
            <w:r>
              <w:rPr>
                <w:rFonts w:ascii="楷体_GB2312" w:hAnsi="楷体_GB2312" w:eastAsia="楷体_GB2312" w:cs="楷体_GB2312"/>
                <w:kern w:val="0"/>
                <w:szCs w:val="21"/>
              </w:rPr>
              <w:t>2</w:t>
            </w:r>
            <w:r>
              <w:rPr>
                <w:rFonts w:hint="eastAsia" w:ascii="楷体_GB2312" w:hAnsi="楷体_GB2312" w:eastAsia="楷体_GB2312" w:cs="楷体_GB2312"/>
                <w:kern w:val="0"/>
                <w:szCs w:val="21"/>
              </w:rPr>
              <w:t>）</w:t>
            </w:r>
          </w:p>
        </w:tc>
        <w:tc>
          <w:tcPr>
            <w:tcW w:w="3814" w:type="dxa"/>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l</w:t>
            </w:r>
            <w:r>
              <w:rPr>
                <w:rFonts w:hint="eastAsia" w:ascii="楷体_GB2312" w:hAnsi="楷体_GB2312" w:eastAsia="楷体_GB2312" w:cs="楷体_GB2312"/>
                <w:szCs w:val="21"/>
              </w:rPr>
              <w:t>、物业管理服务费用收缴率</w:t>
            </w:r>
            <w:r>
              <w:rPr>
                <w:rFonts w:ascii="楷体_GB2312" w:hAnsi="楷体_GB2312" w:eastAsia="楷体_GB2312" w:cs="楷体_GB2312"/>
                <w:szCs w:val="21"/>
              </w:rPr>
              <w:t>98</w:t>
            </w:r>
            <w:r>
              <w:rPr>
                <w:rFonts w:hint="eastAsia" w:ascii="楷体_GB2312" w:hAnsi="楷体_GB2312" w:eastAsia="楷体_GB2312" w:cs="楷体_GB2312"/>
                <w:szCs w:val="21"/>
              </w:rPr>
              <w:t>％以上。</w:t>
            </w:r>
          </w:p>
        </w:tc>
        <w:tc>
          <w:tcPr>
            <w:tcW w:w="3524" w:type="dxa"/>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评优标准管理效益第</w:t>
            </w:r>
            <w:r>
              <w:rPr>
                <w:rFonts w:ascii="楷体_GB2312" w:hAnsi="楷体_GB2312" w:eastAsia="楷体_GB2312" w:cs="楷体_GB2312"/>
                <w:szCs w:val="21"/>
              </w:rPr>
              <w:t>1</w:t>
            </w:r>
            <w:r>
              <w:rPr>
                <w:rFonts w:hint="eastAsia" w:ascii="楷体_GB2312" w:hAnsi="楷体_GB2312" w:eastAsia="楷体_GB2312" w:cs="楷体_GB2312"/>
                <w:szCs w:val="21"/>
              </w:rPr>
              <w:t>条。</w:t>
            </w:r>
          </w:p>
        </w:tc>
        <w:tc>
          <w:tcPr>
            <w:tcW w:w="1404" w:type="dxa"/>
            <w:tcBorders>
              <w:left w:val="single" w:color="auto" w:sz="4" w:space="0"/>
            </w:tcBorders>
            <w:vAlign w:val="center"/>
          </w:tcPr>
          <w:p>
            <w:pPr>
              <w:spacing w:line="360" w:lineRule="exact"/>
              <w:ind w:firstLine="0" w:firstLineChars="0"/>
              <w:rPr>
                <w:rFonts w:ascii="楷体_GB2312" w:hAnsi="楷体_GB2312" w:eastAsia="楷体_GB2312" w:cs="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580" w:type="dxa"/>
            <w:vMerge w:val="continue"/>
            <w:tcBorders>
              <w:bottom w:val="single" w:color="auto" w:sz="12" w:space="0"/>
            </w:tcBorders>
            <w:vAlign w:val="center"/>
          </w:tcPr>
          <w:p>
            <w:pPr>
              <w:spacing w:line="320" w:lineRule="exact"/>
              <w:ind w:firstLine="174" w:firstLineChars="83"/>
              <w:rPr>
                <w:rFonts w:ascii="楷体_GB2312" w:hAnsi="楷体_GB2312" w:eastAsia="楷体_GB2312" w:cs="楷体_GB2312"/>
                <w:szCs w:val="21"/>
              </w:rPr>
            </w:pPr>
          </w:p>
        </w:tc>
        <w:tc>
          <w:tcPr>
            <w:tcW w:w="1229" w:type="dxa"/>
            <w:vMerge w:val="continue"/>
            <w:tcBorders>
              <w:bottom w:val="single" w:color="auto" w:sz="12" w:space="0"/>
            </w:tcBorders>
            <w:vAlign w:val="center"/>
          </w:tcPr>
          <w:p>
            <w:pPr>
              <w:spacing w:after="78" w:line="320" w:lineRule="exact"/>
              <w:ind w:firstLine="420"/>
              <w:jc w:val="center"/>
              <w:rPr>
                <w:rFonts w:ascii="楷体_GB2312" w:hAnsi="楷体_GB2312" w:eastAsia="楷体_GB2312" w:cs="楷体_GB2312"/>
                <w:szCs w:val="21"/>
              </w:rPr>
            </w:pPr>
          </w:p>
        </w:tc>
        <w:tc>
          <w:tcPr>
            <w:tcW w:w="3814" w:type="dxa"/>
            <w:tcBorders>
              <w:bottom w:val="single" w:color="auto" w:sz="12" w:space="0"/>
            </w:tcBorders>
            <w:vAlign w:val="center"/>
          </w:tcPr>
          <w:p>
            <w:pPr>
              <w:spacing w:line="36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、提供便民有偿服务，开展多种经营。</w:t>
            </w:r>
          </w:p>
        </w:tc>
        <w:tc>
          <w:tcPr>
            <w:tcW w:w="3524" w:type="dxa"/>
            <w:tcBorders>
              <w:bottom w:val="single" w:color="auto" w:sz="12"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符合</w:t>
            </w:r>
            <w:r>
              <w:rPr>
                <w:rFonts w:ascii="楷体_GB2312" w:hAnsi="楷体_GB2312" w:eastAsia="楷体_GB2312" w:cs="楷体_GB2312"/>
                <w:szCs w:val="21"/>
              </w:rPr>
              <w:t>1.0</w:t>
            </w:r>
            <w:r>
              <w:rPr>
                <w:rFonts w:hint="eastAsia" w:ascii="楷体_GB2312" w:hAnsi="楷体_GB2312" w:eastAsia="楷体_GB2312" w:cs="楷体_GB2312"/>
                <w:szCs w:val="21"/>
              </w:rPr>
              <w:t>，基本符合</w:t>
            </w:r>
            <w:r>
              <w:rPr>
                <w:rFonts w:ascii="楷体_GB2312" w:hAnsi="楷体_GB2312" w:eastAsia="楷体_GB2312" w:cs="楷体_GB2312"/>
                <w:szCs w:val="21"/>
              </w:rPr>
              <w:t>1.0</w:t>
            </w:r>
            <w:r>
              <w:rPr>
                <w:rFonts w:hint="eastAsia" w:ascii="楷体_GB2312" w:hAnsi="楷体_GB2312" w:eastAsia="楷体_GB2312" w:cs="楷体_GB2312"/>
                <w:szCs w:val="21"/>
              </w:rPr>
              <w:t>，不符合</w:t>
            </w:r>
            <w:r>
              <w:rPr>
                <w:rFonts w:ascii="楷体_GB2312" w:hAnsi="楷体_GB2312" w:eastAsia="楷体_GB2312" w:cs="楷体_GB2312"/>
                <w:szCs w:val="21"/>
              </w:rPr>
              <w:t>0</w:t>
            </w:r>
            <w:r>
              <w:rPr>
                <w:rFonts w:hint="eastAsia" w:ascii="楷体_GB2312" w:hAnsi="楷体_GB2312" w:eastAsia="楷体_GB2312" w:cs="楷体_GB2312"/>
                <w:szCs w:val="21"/>
              </w:rPr>
              <w:t>。</w:t>
            </w:r>
          </w:p>
        </w:tc>
        <w:tc>
          <w:tcPr>
            <w:tcW w:w="3338" w:type="dxa"/>
            <w:tcBorders>
              <w:bottom w:val="single" w:color="auto" w:sz="12" w:space="0"/>
              <w:right w:val="single" w:color="auto" w:sz="4" w:space="0"/>
            </w:tcBorders>
            <w:vAlign w:val="center"/>
          </w:tcPr>
          <w:p>
            <w:pPr>
              <w:spacing w:line="36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评优标准管理效益第</w:t>
            </w:r>
            <w:r>
              <w:rPr>
                <w:rFonts w:ascii="楷体_GB2312" w:hAnsi="楷体_GB2312" w:eastAsia="楷体_GB2312" w:cs="楷体_GB2312"/>
                <w:szCs w:val="21"/>
              </w:rPr>
              <w:t>2</w:t>
            </w:r>
            <w:r>
              <w:rPr>
                <w:rFonts w:hint="eastAsia" w:ascii="楷体_GB2312" w:hAnsi="楷体_GB2312" w:eastAsia="楷体_GB2312" w:cs="楷体_GB2312"/>
                <w:szCs w:val="21"/>
              </w:rPr>
              <w:t>条。</w:t>
            </w:r>
          </w:p>
        </w:tc>
        <w:tc>
          <w:tcPr>
            <w:tcW w:w="1404" w:type="dxa"/>
            <w:tcBorders>
              <w:left w:val="single" w:color="auto" w:sz="4" w:space="0"/>
              <w:bottom w:val="single" w:color="auto" w:sz="12" w:space="0"/>
            </w:tcBorders>
            <w:vAlign w:val="center"/>
          </w:tcPr>
          <w:p>
            <w:pPr>
              <w:spacing w:line="360" w:lineRule="exact"/>
              <w:ind w:firstLine="0" w:firstLineChars="0"/>
              <w:rPr>
                <w:rFonts w:ascii="楷体_GB2312" w:hAnsi="楷体_GB2312" w:eastAsia="楷体_GB2312" w:cs="楷体_GB2312"/>
                <w:szCs w:val="21"/>
              </w:rPr>
            </w:pPr>
          </w:p>
        </w:tc>
      </w:tr>
    </w:tbl>
    <w:p>
      <w:pPr>
        <w:widowControl/>
        <w:spacing w:line="240" w:lineRule="auto"/>
        <w:ind w:firstLine="0" w:firstLineChars="0"/>
        <w:rPr>
          <w:rFonts w:ascii="仿宋_GB2312" w:eastAsia="仿宋_GB2312"/>
          <w:sz w:val="32"/>
          <w:szCs w:val="32"/>
        </w:rPr>
        <w:sectPr>
          <w:pgSz w:w="16838" w:h="11906" w:orient="landscape"/>
          <w:pgMar w:top="1803" w:right="1440" w:bottom="1803" w:left="1440" w:header="851" w:footer="992" w:gutter="0"/>
          <w:cols w:space="720" w:num="1"/>
          <w:docGrid w:type="lines" w:linePitch="319" w:charSpace="0"/>
        </w:sectPr>
      </w:pPr>
    </w:p>
    <w:p>
      <w:pPr>
        <w:widowControl/>
        <w:ind w:firstLine="0" w:firstLineChars="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附件二：《深圳市公共租赁住房小区物业服务甲方评价表》</w:t>
      </w:r>
    </w:p>
    <w:p>
      <w:pPr>
        <w:spacing w:line="240" w:lineRule="auto"/>
        <w:ind w:firstLine="0" w:firstLineChars="0"/>
        <w:jc w:val="left"/>
        <w:rPr>
          <w:rFonts w:ascii="仿宋_GB2312" w:hAnsi="仿宋_GB2312" w:eastAsia="仿宋_GB2312" w:cs="仿宋_GB2312"/>
          <w:sz w:val="24"/>
          <w:szCs w:val="24"/>
        </w:rPr>
      </w:pPr>
    </w:p>
    <w:p>
      <w:pPr>
        <w:spacing w:line="240" w:lineRule="auto"/>
        <w:ind w:firstLine="0" w:firstLineChars="0"/>
        <w:jc w:val="left"/>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说明：</w:t>
      </w:r>
      <w:r>
        <w:rPr>
          <w:rFonts w:hint="eastAsia" w:ascii="仿宋_GB2312" w:hAnsi="仿宋_GB2312" w:eastAsia="仿宋_GB2312" w:cs="仿宋_GB2312"/>
          <w:sz w:val="24"/>
          <w:szCs w:val="24"/>
        </w:rPr>
        <w:t>甲方评价主要是指合同委托方对被委托方在物业服务监管、服务沟通、甲方需求配合以及合同履行等方面的认可程度。是甲方根据日常工作记录，甲方代表与甲方现场管理人员协商后的综合打分，满分</w:t>
      </w:r>
      <w:r>
        <w:rPr>
          <w:rFonts w:ascii="仿宋_GB2312" w:hAnsi="仿宋_GB2312" w:eastAsia="仿宋_GB2312" w:cs="仿宋_GB2312"/>
          <w:sz w:val="24"/>
          <w:szCs w:val="24"/>
        </w:rPr>
        <w:t>100</w:t>
      </w:r>
      <w:r>
        <w:rPr>
          <w:rFonts w:hint="eastAsia" w:ascii="仿宋_GB2312" w:hAnsi="仿宋_GB2312" w:eastAsia="仿宋_GB2312" w:cs="仿宋_GB2312"/>
          <w:sz w:val="24"/>
          <w:szCs w:val="24"/>
        </w:rPr>
        <w:t>分。</w:t>
      </w:r>
    </w:p>
    <w:p>
      <w:pPr>
        <w:spacing w:line="240" w:lineRule="auto"/>
        <w:ind w:firstLine="0" w:firstLineChars="0"/>
        <w:jc w:val="left"/>
        <w:rPr>
          <w:rFonts w:ascii="仿宋_GB2312" w:hAnsi="仿宋_GB2312" w:eastAsia="仿宋_GB2312" w:cs="仿宋_GB2312"/>
          <w:sz w:val="24"/>
          <w:szCs w:val="24"/>
        </w:rPr>
      </w:pPr>
    </w:p>
    <w:p>
      <w:pPr>
        <w:spacing w:line="560" w:lineRule="exact"/>
        <w:ind w:firstLine="0" w:firstLineChars="0"/>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深圳市公共租赁住房小区物业服务甲方评价表</w:t>
      </w:r>
    </w:p>
    <w:tbl>
      <w:tblPr>
        <w:tblStyle w:val="6"/>
        <w:tblW w:w="87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1405"/>
        <w:gridCol w:w="3982"/>
        <w:gridCol w:w="11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exact"/>
          <w:jc w:val="center"/>
        </w:trPr>
        <w:tc>
          <w:tcPr>
            <w:tcW w:w="8739" w:type="dxa"/>
            <w:gridSpan w:val="5"/>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r>
              <w:rPr>
                <w:rFonts w:hint="eastAsia" w:ascii="黑体" w:hAnsi="黑体" w:eastAsia="黑体" w:cs="楷体_GB2312"/>
                <w:bCs/>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9" w:hRule="exact"/>
          <w:jc w:val="center"/>
        </w:trPr>
        <w:tc>
          <w:tcPr>
            <w:tcW w:w="2189" w:type="dxa"/>
            <w:gridSpan w:val="2"/>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r>
              <w:rPr>
                <w:rFonts w:hint="eastAsia" w:ascii="黑体" w:hAnsi="黑体" w:eastAsia="黑体" w:cs="楷体_GB2312"/>
                <w:bCs/>
                <w:szCs w:val="21"/>
              </w:rPr>
              <w:t>被评价单位：</w:t>
            </w:r>
          </w:p>
        </w:tc>
        <w:tc>
          <w:tcPr>
            <w:tcW w:w="6550" w:type="dxa"/>
            <w:gridSpan w:val="3"/>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6" w:hRule="exact"/>
          <w:jc w:val="center"/>
        </w:trPr>
        <w:tc>
          <w:tcPr>
            <w:tcW w:w="2189" w:type="dxa"/>
            <w:gridSpan w:val="2"/>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r>
              <w:rPr>
                <w:rFonts w:hint="eastAsia" w:ascii="黑体" w:hAnsi="黑体" w:eastAsia="黑体" w:cs="楷体_GB2312"/>
                <w:bCs/>
                <w:szCs w:val="21"/>
              </w:rPr>
              <w:t>评价单位：</w:t>
            </w:r>
          </w:p>
        </w:tc>
        <w:tc>
          <w:tcPr>
            <w:tcW w:w="6550" w:type="dxa"/>
            <w:gridSpan w:val="3"/>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4" w:hRule="exact"/>
          <w:jc w:val="center"/>
        </w:trPr>
        <w:tc>
          <w:tcPr>
            <w:tcW w:w="8739" w:type="dxa"/>
            <w:gridSpan w:val="5"/>
            <w:tcMar>
              <w:top w:w="15" w:type="dxa"/>
              <w:left w:w="15" w:type="dxa"/>
              <w:bottom w:w="0" w:type="dxa"/>
              <w:right w:w="15" w:type="dxa"/>
            </w:tcMar>
            <w:vAlign w:val="center"/>
          </w:tcPr>
          <w:p>
            <w:pPr>
              <w:spacing w:line="360" w:lineRule="exact"/>
              <w:ind w:firstLine="420"/>
              <w:rPr>
                <w:rFonts w:ascii="黑体" w:hAnsi="黑体" w:eastAsia="黑体" w:cs="楷体_GB2312"/>
                <w:bCs/>
                <w:szCs w:val="21"/>
              </w:rPr>
            </w:pPr>
            <w:r>
              <w:rPr>
                <w:rFonts w:hint="eastAsia" w:ascii="黑体" w:hAnsi="黑体" w:eastAsia="黑体" w:cs="楷体_GB2312"/>
                <w:bCs/>
                <w:szCs w:val="21"/>
              </w:rPr>
              <w:t>最终评价总分：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jc w:val="center"/>
        </w:trPr>
        <w:tc>
          <w:tcPr>
            <w:tcW w:w="8739" w:type="dxa"/>
            <w:gridSpan w:val="5"/>
            <w:tcMar>
              <w:top w:w="15" w:type="dxa"/>
              <w:left w:w="15" w:type="dxa"/>
              <w:bottom w:w="0" w:type="dxa"/>
              <w:right w:w="15" w:type="dxa"/>
            </w:tcMar>
            <w:vAlign w:val="center"/>
          </w:tcPr>
          <w:p>
            <w:pPr>
              <w:spacing w:line="360" w:lineRule="exact"/>
              <w:ind w:firstLine="420"/>
              <w:jc w:val="center"/>
              <w:rPr>
                <w:rFonts w:ascii="黑体" w:hAnsi="黑体" w:eastAsia="黑体" w:cs="楷体_GB2312"/>
                <w:bCs/>
                <w:szCs w:val="21"/>
              </w:rPr>
            </w:pPr>
            <w:r>
              <w:rPr>
                <w:rFonts w:hint="eastAsia" w:ascii="黑体" w:hAnsi="黑体" w:eastAsia="黑体" w:cs="楷体_GB2312"/>
                <w:bCs/>
                <w:szCs w:val="21"/>
              </w:rPr>
              <w:t>评价内容（仅供参考，可结合实际业务情况，以其它方面进行评价）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jc w:val="center"/>
        </w:trPr>
        <w:tc>
          <w:tcPr>
            <w:tcW w:w="784" w:type="dxa"/>
            <w:tcMar>
              <w:top w:w="15" w:type="dxa"/>
              <w:left w:w="15" w:type="dxa"/>
              <w:bottom w:w="0" w:type="dxa"/>
              <w:right w:w="15" w:type="dxa"/>
            </w:tcMar>
            <w:vAlign w:val="center"/>
          </w:tcPr>
          <w:p>
            <w:pPr>
              <w:widowControl/>
              <w:ind w:firstLine="58" w:firstLineChars="28"/>
              <w:jc w:val="center"/>
              <w:rPr>
                <w:rFonts w:ascii="黑体" w:hAnsi="黑体" w:eastAsia="黑体" w:cs="楷体_GB2312"/>
                <w:bCs/>
                <w:szCs w:val="21"/>
              </w:rPr>
            </w:pPr>
            <w:r>
              <w:rPr>
                <w:rFonts w:hint="eastAsia" w:ascii="黑体" w:hAnsi="黑体" w:eastAsia="黑体" w:cs="楷体_GB2312"/>
                <w:bCs/>
                <w:szCs w:val="21"/>
              </w:rPr>
              <w:t>序号</w:t>
            </w:r>
          </w:p>
        </w:tc>
        <w:tc>
          <w:tcPr>
            <w:tcW w:w="1405" w:type="dxa"/>
            <w:tcMar>
              <w:top w:w="15" w:type="dxa"/>
              <w:left w:w="15" w:type="dxa"/>
              <w:bottom w:w="0" w:type="dxa"/>
              <w:right w:w="15" w:type="dxa"/>
            </w:tcMar>
            <w:vAlign w:val="center"/>
          </w:tcPr>
          <w:p>
            <w:pPr>
              <w:widowControl/>
              <w:ind w:firstLine="58" w:firstLineChars="28"/>
              <w:jc w:val="center"/>
              <w:rPr>
                <w:rFonts w:ascii="黑体" w:hAnsi="黑体" w:eastAsia="黑体" w:cs="楷体_GB2312"/>
                <w:bCs/>
                <w:szCs w:val="21"/>
              </w:rPr>
            </w:pPr>
            <w:r>
              <w:rPr>
                <w:rFonts w:hint="eastAsia" w:ascii="黑体" w:hAnsi="黑体" w:eastAsia="黑体" w:cs="楷体_GB2312"/>
                <w:bCs/>
                <w:szCs w:val="21"/>
              </w:rPr>
              <w:t>项目</w:t>
            </w:r>
          </w:p>
        </w:tc>
        <w:tc>
          <w:tcPr>
            <w:tcW w:w="3982" w:type="dxa"/>
            <w:tcMar>
              <w:top w:w="15" w:type="dxa"/>
              <w:left w:w="15" w:type="dxa"/>
              <w:bottom w:w="0" w:type="dxa"/>
              <w:right w:w="15" w:type="dxa"/>
            </w:tcMar>
            <w:vAlign w:val="center"/>
          </w:tcPr>
          <w:p>
            <w:pPr>
              <w:widowControl/>
              <w:ind w:firstLine="58" w:firstLineChars="28"/>
              <w:jc w:val="center"/>
              <w:rPr>
                <w:rFonts w:ascii="黑体" w:hAnsi="黑体" w:eastAsia="黑体" w:cs="楷体_GB2312"/>
                <w:bCs/>
                <w:szCs w:val="21"/>
              </w:rPr>
            </w:pPr>
            <w:r>
              <w:rPr>
                <w:rFonts w:hint="eastAsia" w:ascii="黑体" w:hAnsi="黑体" w:eastAsia="黑体" w:cs="楷体_GB2312"/>
                <w:bCs/>
                <w:szCs w:val="21"/>
              </w:rPr>
              <w:t>内容</w:t>
            </w:r>
          </w:p>
        </w:tc>
        <w:tc>
          <w:tcPr>
            <w:tcW w:w="1134" w:type="dxa"/>
            <w:vAlign w:val="center"/>
          </w:tcPr>
          <w:p>
            <w:pPr>
              <w:widowControl/>
              <w:ind w:firstLine="58" w:firstLineChars="28"/>
              <w:jc w:val="center"/>
              <w:rPr>
                <w:rFonts w:ascii="黑体" w:hAnsi="黑体" w:eastAsia="黑体" w:cs="楷体_GB2312"/>
                <w:bCs/>
                <w:szCs w:val="21"/>
              </w:rPr>
            </w:pPr>
            <w:r>
              <w:rPr>
                <w:rFonts w:hint="eastAsia" w:ascii="黑体" w:hAnsi="黑体" w:eastAsia="黑体" w:cs="楷体_GB2312"/>
                <w:bCs/>
                <w:szCs w:val="21"/>
              </w:rPr>
              <w:t>分值</w:t>
            </w:r>
          </w:p>
        </w:tc>
        <w:tc>
          <w:tcPr>
            <w:tcW w:w="1434" w:type="dxa"/>
            <w:tcMar>
              <w:top w:w="15" w:type="dxa"/>
              <w:left w:w="15" w:type="dxa"/>
              <w:bottom w:w="0" w:type="dxa"/>
              <w:right w:w="15" w:type="dxa"/>
            </w:tcMar>
            <w:vAlign w:val="center"/>
          </w:tcPr>
          <w:p>
            <w:pPr>
              <w:widowControl/>
              <w:ind w:firstLine="58" w:firstLineChars="28"/>
              <w:jc w:val="center"/>
              <w:rPr>
                <w:rFonts w:ascii="黑体" w:hAnsi="黑体" w:eastAsia="黑体" w:cs="楷体_GB2312"/>
                <w:bCs/>
                <w:szCs w:val="21"/>
              </w:rPr>
            </w:pPr>
            <w:r>
              <w:rPr>
                <w:rFonts w:hint="eastAsia" w:ascii="黑体" w:hAnsi="黑体" w:eastAsia="黑体" w:cs="楷体_GB2312"/>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0" w:hRule="atLeast"/>
          <w:jc w:val="center"/>
        </w:trPr>
        <w:tc>
          <w:tcPr>
            <w:tcW w:w="78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1</w:t>
            </w:r>
          </w:p>
        </w:tc>
        <w:tc>
          <w:tcPr>
            <w:tcW w:w="1405"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工作汇报</w:t>
            </w:r>
          </w:p>
        </w:tc>
        <w:tc>
          <w:tcPr>
            <w:tcW w:w="3982" w:type="dxa"/>
            <w:tcMar>
              <w:top w:w="15" w:type="dxa"/>
              <w:left w:w="15" w:type="dxa"/>
              <w:bottom w:w="0" w:type="dxa"/>
              <w:right w:w="15" w:type="dxa"/>
            </w:tcMar>
            <w:vAlign w:val="center"/>
          </w:tcPr>
          <w:p>
            <w:pPr>
              <w:widowControl/>
              <w:spacing w:line="240" w:lineRule="auto"/>
              <w:ind w:firstLine="0" w:firstLineChars="0"/>
              <w:rPr>
                <w:rFonts w:ascii="仿宋_GB2312" w:hAnsi="楷体_GB2312" w:eastAsia="仿宋_GB2312" w:cs="楷体_GB2312"/>
                <w:bCs/>
                <w:szCs w:val="21"/>
              </w:rPr>
            </w:pPr>
            <w:r>
              <w:rPr>
                <w:rFonts w:hint="eastAsia" w:ascii="仿宋_GB2312" w:hAnsi="楷体_GB2312" w:eastAsia="仿宋_GB2312" w:cs="楷体_GB2312"/>
                <w:bCs/>
                <w:szCs w:val="21"/>
              </w:rPr>
              <w:t>1.项目负责人须与业主单位保持必要的工作交流，定期汇报工作开展情况、信息反馈及下一步工作计划，重大情况须及时报告。2.其它汇报，如舆情、信访、违规举报等。</w:t>
            </w:r>
          </w:p>
        </w:tc>
        <w:tc>
          <w:tcPr>
            <w:tcW w:w="1134" w:type="dxa"/>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20</w:t>
            </w:r>
          </w:p>
        </w:tc>
        <w:tc>
          <w:tcPr>
            <w:tcW w:w="143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9" w:hRule="exact"/>
          <w:jc w:val="center"/>
        </w:trPr>
        <w:tc>
          <w:tcPr>
            <w:tcW w:w="78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w:t>
            </w:r>
          </w:p>
        </w:tc>
        <w:tc>
          <w:tcPr>
            <w:tcW w:w="1405"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工作要求完成情况</w:t>
            </w:r>
          </w:p>
        </w:tc>
        <w:tc>
          <w:tcPr>
            <w:tcW w:w="3982" w:type="dxa"/>
            <w:tcMar>
              <w:top w:w="15" w:type="dxa"/>
              <w:left w:w="15" w:type="dxa"/>
              <w:bottom w:w="0" w:type="dxa"/>
              <w:right w:w="15" w:type="dxa"/>
            </w:tcMar>
            <w:vAlign w:val="center"/>
          </w:tcPr>
          <w:p>
            <w:pPr>
              <w:widowControl/>
              <w:spacing w:line="240" w:lineRule="auto"/>
              <w:ind w:firstLine="58" w:firstLineChars="28"/>
              <w:rPr>
                <w:rFonts w:ascii="仿宋_GB2312" w:hAnsi="楷体_GB2312" w:eastAsia="仿宋_GB2312" w:cs="楷体_GB2312"/>
                <w:bCs/>
                <w:szCs w:val="21"/>
              </w:rPr>
            </w:pPr>
            <w:r>
              <w:rPr>
                <w:rFonts w:hint="eastAsia" w:ascii="仿宋_GB2312" w:hAnsi="楷体_GB2312" w:eastAsia="仿宋_GB2312" w:cs="楷体_GB2312"/>
                <w:bCs/>
                <w:szCs w:val="21"/>
              </w:rPr>
              <w:t>对于甲方提出的相关工作要求能及时、保质、保量完成。</w:t>
            </w:r>
          </w:p>
        </w:tc>
        <w:tc>
          <w:tcPr>
            <w:tcW w:w="1134" w:type="dxa"/>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20</w:t>
            </w:r>
          </w:p>
        </w:tc>
        <w:tc>
          <w:tcPr>
            <w:tcW w:w="143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1" w:hRule="exact"/>
          <w:jc w:val="center"/>
        </w:trPr>
        <w:tc>
          <w:tcPr>
            <w:tcW w:w="78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3</w:t>
            </w:r>
          </w:p>
        </w:tc>
        <w:tc>
          <w:tcPr>
            <w:tcW w:w="1405"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配合政府相关部门</w:t>
            </w:r>
          </w:p>
        </w:tc>
        <w:tc>
          <w:tcPr>
            <w:tcW w:w="3982" w:type="dxa"/>
            <w:tcMar>
              <w:top w:w="15" w:type="dxa"/>
              <w:left w:w="15" w:type="dxa"/>
              <w:bottom w:w="0" w:type="dxa"/>
              <w:right w:w="15" w:type="dxa"/>
            </w:tcMar>
            <w:vAlign w:val="center"/>
          </w:tcPr>
          <w:p>
            <w:pPr>
              <w:widowControl/>
              <w:spacing w:line="240" w:lineRule="auto"/>
              <w:ind w:firstLine="58" w:firstLineChars="28"/>
              <w:rPr>
                <w:rFonts w:ascii="仿宋_GB2312" w:hAnsi="楷体_GB2312" w:eastAsia="仿宋_GB2312" w:cs="楷体_GB2312"/>
                <w:bCs/>
                <w:szCs w:val="21"/>
              </w:rPr>
            </w:pPr>
            <w:r>
              <w:rPr>
                <w:rFonts w:hint="eastAsia" w:ascii="仿宋_GB2312" w:hAnsi="楷体_GB2312" w:eastAsia="仿宋_GB2312" w:cs="楷体_GB2312"/>
                <w:bCs/>
                <w:szCs w:val="21"/>
              </w:rPr>
              <w:t>1.能在甲方的安排下，及时配合相关部门在社区开展各项工作。2.其它方面配合情况。</w:t>
            </w:r>
          </w:p>
        </w:tc>
        <w:tc>
          <w:tcPr>
            <w:tcW w:w="1134" w:type="dxa"/>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20</w:t>
            </w:r>
          </w:p>
        </w:tc>
        <w:tc>
          <w:tcPr>
            <w:tcW w:w="143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55" w:hRule="exact"/>
          <w:jc w:val="center"/>
        </w:trPr>
        <w:tc>
          <w:tcPr>
            <w:tcW w:w="78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4</w:t>
            </w:r>
          </w:p>
        </w:tc>
        <w:tc>
          <w:tcPr>
            <w:tcW w:w="1405"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租户向甲方投诉情况</w:t>
            </w:r>
          </w:p>
        </w:tc>
        <w:tc>
          <w:tcPr>
            <w:tcW w:w="3982" w:type="dxa"/>
            <w:tcMar>
              <w:top w:w="15" w:type="dxa"/>
              <w:left w:w="15" w:type="dxa"/>
              <w:bottom w:w="0" w:type="dxa"/>
              <w:right w:w="15" w:type="dxa"/>
            </w:tcMar>
            <w:vAlign w:val="center"/>
          </w:tcPr>
          <w:p>
            <w:pPr>
              <w:widowControl/>
              <w:spacing w:line="240" w:lineRule="auto"/>
              <w:ind w:firstLine="58" w:firstLineChars="28"/>
              <w:rPr>
                <w:rFonts w:ascii="仿宋_GB2312" w:hAnsi="楷体_GB2312" w:eastAsia="仿宋_GB2312" w:cs="楷体_GB2312"/>
                <w:bCs/>
                <w:szCs w:val="21"/>
              </w:rPr>
            </w:pPr>
            <w:r>
              <w:rPr>
                <w:rFonts w:hint="eastAsia" w:ascii="仿宋_GB2312" w:hAnsi="楷体_GB2312" w:eastAsia="仿宋_GB2312" w:cs="楷体_GB2312"/>
                <w:bCs/>
                <w:szCs w:val="21"/>
              </w:rPr>
              <w:t>有租户向甲方投诉安全、物业、维保、装修、商业、舆情、住房违规违约等情况，甲方反馈后能及时跟进处理或协调，处置得当。</w:t>
            </w:r>
          </w:p>
        </w:tc>
        <w:tc>
          <w:tcPr>
            <w:tcW w:w="1134" w:type="dxa"/>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20</w:t>
            </w:r>
          </w:p>
        </w:tc>
        <w:tc>
          <w:tcPr>
            <w:tcW w:w="143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7" w:hRule="exact"/>
          <w:jc w:val="center"/>
        </w:trPr>
        <w:tc>
          <w:tcPr>
            <w:tcW w:w="78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5</w:t>
            </w:r>
          </w:p>
        </w:tc>
        <w:tc>
          <w:tcPr>
            <w:tcW w:w="1405"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甲方检查</w:t>
            </w:r>
          </w:p>
        </w:tc>
        <w:tc>
          <w:tcPr>
            <w:tcW w:w="3982" w:type="dxa"/>
            <w:tcMar>
              <w:top w:w="15" w:type="dxa"/>
              <w:left w:w="15" w:type="dxa"/>
              <w:bottom w:w="0" w:type="dxa"/>
              <w:right w:w="15" w:type="dxa"/>
            </w:tcMar>
            <w:vAlign w:val="center"/>
          </w:tcPr>
          <w:p>
            <w:pPr>
              <w:widowControl/>
              <w:spacing w:line="240" w:lineRule="auto"/>
              <w:ind w:firstLine="58" w:firstLineChars="28"/>
              <w:rPr>
                <w:rFonts w:ascii="仿宋_GB2312" w:hAnsi="楷体_GB2312" w:eastAsia="仿宋_GB2312" w:cs="楷体_GB2312"/>
                <w:bCs/>
                <w:szCs w:val="21"/>
              </w:rPr>
            </w:pPr>
            <w:r>
              <w:rPr>
                <w:rFonts w:hint="eastAsia" w:ascii="仿宋_GB2312" w:hAnsi="楷体_GB2312" w:eastAsia="仿宋_GB2312" w:cs="楷体_GB2312"/>
                <w:bCs/>
                <w:szCs w:val="21"/>
              </w:rPr>
              <w:t>根据甲方开展的日常租务、租后服务、监察等现场检查工作，对服务配合进行评价。</w:t>
            </w:r>
          </w:p>
        </w:tc>
        <w:tc>
          <w:tcPr>
            <w:tcW w:w="1134" w:type="dxa"/>
            <w:vAlign w:val="center"/>
          </w:tcPr>
          <w:p>
            <w:pPr>
              <w:widowControl/>
              <w:spacing w:line="240" w:lineRule="auto"/>
              <w:ind w:firstLine="58" w:firstLineChars="28"/>
              <w:jc w:val="center"/>
              <w:rPr>
                <w:rFonts w:ascii="仿宋_GB2312" w:hAnsi="楷体_GB2312" w:eastAsia="仿宋_GB2312" w:cs="楷体_GB2312"/>
                <w:bCs/>
                <w:szCs w:val="21"/>
              </w:rPr>
            </w:pPr>
            <w:r>
              <w:rPr>
                <w:rFonts w:hint="eastAsia" w:ascii="仿宋_GB2312" w:hAnsi="楷体_GB2312" w:eastAsia="仿宋_GB2312" w:cs="楷体_GB2312"/>
                <w:bCs/>
                <w:szCs w:val="21"/>
              </w:rPr>
              <w:t>20</w:t>
            </w:r>
          </w:p>
        </w:tc>
        <w:tc>
          <w:tcPr>
            <w:tcW w:w="1434" w:type="dxa"/>
            <w:tcMar>
              <w:top w:w="15" w:type="dxa"/>
              <w:left w:w="15" w:type="dxa"/>
              <w:bottom w:w="0" w:type="dxa"/>
              <w:right w:w="15" w:type="dxa"/>
            </w:tcMar>
            <w:vAlign w:val="center"/>
          </w:tcPr>
          <w:p>
            <w:pPr>
              <w:widowControl/>
              <w:spacing w:line="240" w:lineRule="auto"/>
              <w:ind w:firstLine="58" w:firstLineChars="28"/>
              <w:jc w:val="center"/>
              <w:rPr>
                <w:rFonts w:ascii="仿宋_GB2312" w:hAnsi="楷体_GB2312" w:eastAsia="仿宋_GB2312" w:cs="楷体_GB2312"/>
                <w:bCs/>
                <w:szCs w:val="21"/>
              </w:rPr>
            </w:pPr>
          </w:p>
        </w:tc>
      </w:tr>
    </w:tbl>
    <w:p>
      <w:pPr>
        <w:widowControl/>
        <w:ind w:firstLine="640"/>
        <w:rPr>
          <w:rFonts w:ascii="仿宋_GB2312" w:eastAsia="仿宋_GB2312"/>
          <w:sz w:val="32"/>
          <w:szCs w:val="32"/>
        </w:rPr>
      </w:pPr>
      <w:r>
        <w:rPr>
          <w:rFonts w:ascii="仿宋_GB2312" w:eastAsia="仿宋_GB2312"/>
          <w:sz w:val="32"/>
          <w:szCs w:val="32"/>
        </w:rPr>
        <w:br w:type="page"/>
      </w:r>
    </w:p>
    <w:p>
      <w:pPr>
        <w:widowControl/>
        <w:ind w:firstLine="0" w:firstLineChars="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附件三：《深圳市公共租赁住房小区物业服务租户访谈表》</w:t>
      </w:r>
    </w:p>
    <w:p>
      <w:pPr>
        <w:spacing w:line="240" w:lineRule="auto"/>
        <w:ind w:firstLine="0" w:firstLineChars="0"/>
        <w:jc w:val="left"/>
        <w:rPr>
          <w:rFonts w:ascii="仿宋_GB2312" w:hAnsi="仿宋_GB2312" w:eastAsia="仿宋_GB2312" w:cs="仿宋_GB2312"/>
          <w:sz w:val="24"/>
          <w:szCs w:val="24"/>
        </w:rPr>
      </w:pPr>
    </w:p>
    <w:p>
      <w:pPr>
        <w:spacing w:line="240" w:lineRule="auto"/>
        <w:ind w:firstLine="0" w:firstLineChars="0"/>
        <w:jc w:val="left"/>
        <w:rPr>
          <w:rFonts w:ascii="仿宋_GB2312" w:hAnsi="仿宋_GB2312" w:eastAsia="仿宋_GB2312" w:cs="仿宋_GB2312"/>
          <w:sz w:val="24"/>
          <w:szCs w:val="24"/>
        </w:rPr>
      </w:pPr>
      <w:r>
        <w:rPr>
          <w:rFonts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rPr>
        <w:t>说明：</w:t>
      </w:r>
      <w:r>
        <w:rPr>
          <w:rFonts w:hint="eastAsia" w:ascii="仿宋_GB2312" w:hAnsi="仿宋_GB2312" w:eastAsia="仿宋_GB2312" w:cs="仿宋_GB2312"/>
          <w:sz w:val="24"/>
          <w:szCs w:val="24"/>
        </w:rPr>
        <w:t>租户评价是指本项目的租户对物业服务</w:t>
      </w:r>
      <w:bookmarkStart w:id="0" w:name="_GoBack"/>
      <w:bookmarkEnd w:id="0"/>
      <w:r>
        <w:rPr>
          <w:rFonts w:hint="eastAsia" w:ascii="仿宋_GB2312" w:hAnsi="仿宋_GB2312" w:eastAsia="仿宋_GB2312" w:cs="仿宋_GB2312"/>
          <w:sz w:val="24"/>
          <w:szCs w:val="24"/>
        </w:rPr>
        <w:t>体验的评价，通过租户评价，了解对物业服务的满意程度。主要方式是专家在考核过程中，通过对现场租户的随机走访，并发放租户评价表，根据租户打分及反映的问题和建议，了解物业服务企业的服务情况后，进行综合评定。本项内容由专家根据调查情况后综合打分，满分为</w:t>
      </w:r>
      <w:r>
        <w:rPr>
          <w:rFonts w:ascii="仿宋_GB2312" w:hAnsi="仿宋_GB2312" w:eastAsia="仿宋_GB2312" w:cs="仿宋_GB2312"/>
          <w:sz w:val="24"/>
          <w:szCs w:val="24"/>
        </w:rPr>
        <w:t>100</w:t>
      </w:r>
      <w:r>
        <w:rPr>
          <w:rFonts w:hint="eastAsia" w:ascii="仿宋_GB2312" w:hAnsi="仿宋_GB2312" w:eastAsia="仿宋_GB2312" w:cs="仿宋_GB2312"/>
          <w:sz w:val="24"/>
          <w:szCs w:val="24"/>
        </w:rPr>
        <w:t>分，其中非常满意（</w:t>
      </w:r>
      <w:r>
        <w:rPr>
          <w:rFonts w:ascii="仿宋_GB2312" w:hAnsi="仿宋_GB2312" w:eastAsia="仿宋_GB2312" w:cs="仿宋_GB2312"/>
          <w:sz w:val="24"/>
          <w:szCs w:val="24"/>
        </w:rPr>
        <w:t>8-10</w:t>
      </w:r>
      <w:r>
        <w:rPr>
          <w:rFonts w:hint="eastAsia" w:ascii="仿宋_GB2312" w:hAnsi="仿宋_GB2312" w:eastAsia="仿宋_GB2312" w:cs="仿宋_GB2312"/>
          <w:sz w:val="24"/>
          <w:szCs w:val="24"/>
        </w:rPr>
        <w:t>分）；满意（</w:t>
      </w:r>
      <w:r>
        <w:rPr>
          <w:rFonts w:ascii="仿宋_GB2312" w:hAnsi="仿宋_GB2312" w:eastAsia="仿宋_GB2312" w:cs="仿宋_GB2312"/>
          <w:sz w:val="24"/>
          <w:szCs w:val="24"/>
        </w:rPr>
        <w:t>6-7.9</w:t>
      </w:r>
      <w:r>
        <w:rPr>
          <w:rFonts w:hint="eastAsia" w:ascii="仿宋_GB2312" w:hAnsi="仿宋_GB2312" w:eastAsia="仿宋_GB2312" w:cs="仿宋_GB2312"/>
          <w:sz w:val="24"/>
          <w:szCs w:val="24"/>
        </w:rPr>
        <w:t>分）；一般（</w:t>
      </w:r>
      <w:r>
        <w:rPr>
          <w:rFonts w:ascii="仿宋_GB2312" w:hAnsi="仿宋_GB2312" w:eastAsia="仿宋_GB2312" w:cs="仿宋_GB2312"/>
          <w:sz w:val="24"/>
          <w:szCs w:val="24"/>
        </w:rPr>
        <w:t>4-5.9</w:t>
      </w:r>
      <w:r>
        <w:rPr>
          <w:rFonts w:hint="eastAsia" w:ascii="仿宋_GB2312" w:hAnsi="仿宋_GB2312" w:eastAsia="仿宋_GB2312" w:cs="仿宋_GB2312"/>
          <w:sz w:val="24"/>
          <w:szCs w:val="24"/>
        </w:rPr>
        <w:t>分）；不满意（</w:t>
      </w:r>
      <w:r>
        <w:rPr>
          <w:rFonts w:ascii="仿宋_GB2312" w:hAnsi="仿宋_GB2312" w:eastAsia="仿宋_GB2312" w:cs="仿宋_GB2312"/>
          <w:sz w:val="24"/>
          <w:szCs w:val="24"/>
        </w:rPr>
        <w:t>2-3.9</w:t>
      </w:r>
      <w:r>
        <w:rPr>
          <w:rFonts w:hint="eastAsia" w:ascii="仿宋_GB2312" w:hAnsi="仿宋_GB2312" w:eastAsia="仿宋_GB2312" w:cs="仿宋_GB2312"/>
          <w:sz w:val="24"/>
          <w:szCs w:val="24"/>
        </w:rPr>
        <w:t>）；非常不满意（</w:t>
      </w:r>
      <w:r>
        <w:rPr>
          <w:rFonts w:ascii="仿宋_GB2312" w:hAnsi="仿宋_GB2312" w:eastAsia="仿宋_GB2312" w:cs="仿宋_GB2312"/>
          <w:sz w:val="24"/>
          <w:szCs w:val="24"/>
        </w:rPr>
        <w:t>0-1.9</w:t>
      </w:r>
      <w:r>
        <w:rPr>
          <w:rFonts w:hint="eastAsia" w:ascii="仿宋_GB2312" w:hAnsi="仿宋_GB2312" w:eastAsia="仿宋_GB2312" w:cs="仿宋_GB2312"/>
          <w:sz w:val="24"/>
          <w:szCs w:val="24"/>
        </w:rPr>
        <w:t>）。</w:t>
      </w:r>
    </w:p>
    <w:p>
      <w:pPr>
        <w:ind w:firstLine="0" w:firstLineChars="0"/>
        <w:rPr>
          <w:rFonts w:ascii="黑体" w:hAnsi="黑体" w:eastAsia="黑体" w:cs="黑体"/>
          <w:sz w:val="36"/>
          <w:szCs w:val="36"/>
        </w:rPr>
      </w:pPr>
    </w:p>
    <w:p>
      <w:pPr>
        <w:ind w:firstLine="720"/>
        <w:rPr>
          <w:rFonts w:ascii="仿宋_GB2312" w:hAnsi="仿宋_GB2312" w:eastAsia="仿宋_GB2312" w:cs="仿宋_GB2312"/>
          <w:sz w:val="30"/>
          <w:szCs w:val="30"/>
        </w:rPr>
      </w:pPr>
      <w:r>
        <w:rPr>
          <w:rFonts w:hint="eastAsia" w:ascii="黑体" w:hAnsi="黑体" w:eastAsia="黑体" w:cs="黑体"/>
          <w:sz w:val="36"/>
          <w:szCs w:val="36"/>
        </w:rPr>
        <w:t>深圳市公共租赁住房小区物业服务租户评价表</w:t>
      </w:r>
    </w:p>
    <w:p>
      <w:pPr>
        <w:spacing w:line="360" w:lineRule="auto"/>
        <w:ind w:firstLine="0" w:firstLineChars="0"/>
        <w:rPr>
          <w:rFonts w:ascii="仿宋_GB2312" w:hAnsi="仿宋_GB2312" w:eastAsia="仿宋_GB2312" w:cs="仿宋_GB2312"/>
          <w:sz w:val="30"/>
          <w:szCs w:val="30"/>
        </w:rPr>
      </w:pPr>
    </w:p>
    <w:p>
      <w:pPr>
        <w:spacing w:line="360" w:lineRule="auto"/>
        <w:ind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尊敬的物业使用人：</w:t>
      </w:r>
    </w:p>
    <w:p>
      <w:pPr>
        <w:spacing w:line="360" w:lineRule="auto"/>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您好！感谢您在百忙之中配合我们抽空填写本调查表。</w:t>
      </w:r>
    </w:p>
    <w:p>
      <w:pPr>
        <w:spacing w:line="360" w:lineRule="auto"/>
        <w:ind w:firstLine="6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为了更好地做好贵项目物业管理服务工作，希望通过调查形式来了解您的需求和您对物业服务企业各项工作的评价。您的意见和建议都将成为我们督促物业服务企业改进工作的重要信息。谢谢您的支持！</w:t>
      </w:r>
    </w:p>
    <w:p>
      <w:pPr>
        <w:spacing w:line="360" w:lineRule="auto"/>
        <w:ind w:firstLine="6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祝家庭幸福、工作顺利！</w:t>
      </w:r>
    </w:p>
    <w:p>
      <w:pPr>
        <w:spacing w:line="360" w:lineRule="auto"/>
        <w:ind w:firstLine="600"/>
        <w:rPr>
          <w:rFonts w:ascii="仿宋_GB2312" w:hAnsi="仿宋_GB2312" w:eastAsia="仿宋_GB2312" w:cs="仿宋_GB2312"/>
          <w:kern w:val="0"/>
          <w:sz w:val="30"/>
          <w:szCs w:val="30"/>
        </w:rPr>
      </w:pP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3825"/>
        <w:gridCol w:w="1350"/>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tcPr>
          <w:p>
            <w:pPr>
              <w:spacing w:line="40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住</w:t>
            </w:r>
            <w:r>
              <w:rPr>
                <w:rFonts w:ascii="楷体_GB2312" w:hAnsi="楷体_GB2312" w:eastAsia="楷体_GB2312" w:cs="楷体_GB2312"/>
                <w:szCs w:val="21"/>
              </w:rPr>
              <w:t xml:space="preserve">  </w:t>
            </w:r>
            <w:r>
              <w:rPr>
                <w:rFonts w:hint="eastAsia" w:ascii="楷体_GB2312" w:hAnsi="楷体_GB2312" w:eastAsia="楷体_GB2312" w:cs="楷体_GB2312"/>
                <w:szCs w:val="21"/>
              </w:rPr>
              <w:t>址</w:t>
            </w:r>
          </w:p>
        </w:tc>
        <w:tc>
          <w:tcPr>
            <w:tcW w:w="3825" w:type="dxa"/>
          </w:tcPr>
          <w:p>
            <w:pPr>
              <w:spacing w:line="400" w:lineRule="exact"/>
              <w:ind w:firstLine="420"/>
              <w:rPr>
                <w:rFonts w:ascii="楷体_GB2312" w:hAnsi="楷体_GB2312" w:eastAsia="楷体_GB2312" w:cs="楷体_GB2312"/>
                <w:szCs w:val="21"/>
              </w:rPr>
            </w:pPr>
            <w:r>
              <w:rPr>
                <w:rFonts w:ascii="楷体_GB2312" w:hAnsi="楷体_GB2312" w:eastAsia="楷体_GB2312" w:cs="楷体_GB2312"/>
                <w:szCs w:val="21"/>
              </w:rPr>
              <w:t xml:space="preserve">       </w:t>
            </w:r>
            <w:r>
              <w:rPr>
                <w:rFonts w:hint="eastAsia" w:ascii="楷体_GB2312" w:hAnsi="楷体_GB2312" w:eastAsia="楷体_GB2312" w:cs="楷体_GB2312"/>
                <w:szCs w:val="21"/>
              </w:rPr>
              <w:t>小区</w:t>
            </w:r>
            <w:r>
              <w:rPr>
                <w:rFonts w:ascii="楷体_GB2312" w:hAnsi="楷体_GB2312" w:eastAsia="楷体_GB2312" w:cs="楷体_GB2312"/>
                <w:szCs w:val="21"/>
              </w:rPr>
              <w:t xml:space="preserve">     </w:t>
            </w:r>
            <w:r>
              <w:rPr>
                <w:rFonts w:hint="eastAsia" w:ascii="楷体_GB2312" w:hAnsi="楷体_GB2312" w:eastAsia="楷体_GB2312" w:cs="楷体_GB2312"/>
                <w:szCs w:val="21"/>
              </w:rPr>
              <w:t>栋</w:t>
            </w:r>
            <w:r>
              <w:rPr>
                <w:rFonts w:ascii="楷体_GB2312" w:hAnsi="楷体_GB2312" w:eastAsia="楷体_GB2312" w:cs="楷体_GB2312"/>
                <w:szCs w:val="21"/>
              </w:rPr>
              <w:t xml:space="preserve">     </w:t>
            </w:r>
            <w:r>
              <w:rPr>
                <w:rFonts w:hint="eastAsia" w:ascii="楷体_GB2312" w:hAnsi="楷体_GB2312" w:eastAsia="楷体_GB2312" w:cs="楷体_GB2312"/>
                <w:szCs w:val="21"/>
              </w:rPr>
              <w:t>号</w:t>
            </w:r>
          </w:p>
        </w:tc>
        <w:tc>
          <w:tcPr>
            <w:tcW w:w="1350" w:type="dxa"/>
          </w:tcPr>
          <w:p>
            <w:pPr>
              <w:spacing w:line="40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姓</w:t>
            </w:r>
            <w:r>
              <w:rPr>
                <w:rFonts w:ascii="楷体_GB2312" w:hAnsi="楷体_GB2312" w:eastAsia="楷体_GB2312" w:cs="楷体_GB2312"/>
                <w:szCs w:val="21"/>
              </w:rPr>
              <w:t xml:space="preserve">    </w:t>
            </w:r>
            <w:r>
              <w:rPr>
                <w:rFonts w:hint="eastAsia" w:ascii="楷体_GB2312" w:hAnsi="楷体_GB2312" w:eastAsia="楷体_GB2312" w:cs="楷体_GB2312"/>
                <w:szCs w:val="21"/>
              </w:rPr>
              <w:t>名</w:t>
            </w:r>
          </w:p>
        </w:tc>
        <w:tc>
          <w:tcPr>
            <w:tcW w:w="2224" w:type="dxa"/>
          </w:tcPr>
          <w:p>
            <w:pPr>
              <w:spacing w:line="400" w:lineRule="exact"/>
              <w:ind w:firstLine="42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tcPr>
          <w:p>
            <w:pPr>
              <w:spacing w:line="40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职</w:t>
            </w:r>
            <w:r>
              <w:rPr>
                <w:rFonts w:ascii="楷体_GB2312" w:hAnsi="楷体_GB2312" w:eastAsia="楷体_GB2312" w:cs="楷体_GB2312"/>
                <w:szCs w:val="21"/>
              </w:rPr>
              <w:t xml:space="preserve">  </w:t>
            </w:r>
            <w:r>
              <w:rPr>
                <w:rFonts w:hint="eastAsia" w:ascii="楷体_GB2312" w:hAnsi="楷体_GB2312" w:eastAsia="楷体_GB2312" w:cs="楷体_GB2312"/>
                <w:szCs w:val="21"/>
              </w:rPr>
              <w:t>业</w:t>
            </w:r>
          </w:p>
        </w:tc>
        <w:tc>
          <w:tcPr>
            <w:tcW w:w="3825" w:type="dxa"/>
          </w:tcPr>
          <w:p>
            <w:pPr>
              <w:spacing w:line="400" w:lineRule="exact"/>
              <w:ind w:firstLine="420"/>
              <w:rPr>
                <w:rFonts w:ascii="楷体_GB2312" w:hAnsi="楷体_GB2312" w:eastAsia="楷体_GB2312" w:cs="楷体_GB2312"/>
                <w:szCs w:val="21"/>
              </w:rPr>
            </w:pPr>
          </w:p>
        </w:tc>
        <w:tc>
          <w:tcPr>
            <w:tcW w:w="1350" w:type="dxa"/>
          </w:tcPr>
          <w:p>
            <w:pPr>
              <w:spacing w:line="400" w:lineRule="exact"/>
              <w:ind w:firstLine="0" w:firstLineChars="0"/>
              <w:rPr>
                <w:rFonts w:ascii="楷体_GB2312" w:hAnsi="楷体_GB2312" w:eastAsia="楷体_GB2312" w:cs="楷体_GB2312"/>
                <w:szCs w:val="21"/>
              </w:rPr>
            </w:pPr>
            <w:r>
              <w:rPr>
                <w:rFonts w:hint="eastAsia" w:ascii="楷体_GB2312" w:hAnsi="楷体_GB2312" w:eastAsia="楷体_GB2312" w:cs="楷体_GB2312"/>
                <w:szCs w:val="21"/>
              </w:rPr>
              <w:t>联系电话</w:t>
            </w:r>
          </w:p>
        </w:tc>
        <w:tc>
          <w:tcPr>
            <w:tcW w:w="2224" w:type="dxa"/>
          </w:tcPr>
          <w:p>
            <w:pPr>
              <w:spacing w:line="400" w:lineRule="exact"/>
              <w:ind w:firstLine="42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请在相应栏打上“√”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w:t>
            </w:r>
            <w:r>
              <w:rPr>
                <w:rFonts w:hint="eastAsia" w:ascii="楷体_GB2312" w:hAnsi="楷体_GB2312" w:eastAsia="楷体_GB2312" w:cs="楷体_GB2312"/>
                <w:szCs w:val="21"/>
              </w:rPr>
              <w:t>、对物业公司的总体评价：□非常满意；□满意；□一般；□不满意；□非常不满意。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、客服服务：□非常满意；□满意；□一般；□不满意；□非常不满意。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420"/>
              <w:rPr>
                <w:rFonts w:ascii="楷体_GB2312" w:hAnsi="楷体_GB2312" w:eastAsia="楷体_GB2312" w:cs="楷体_GB2312"/>
                <w:szCs w:val="21"/>
              </w:rPr>
            </w:pPr>
          </w:p>
          <w:p>
            <w:pPr>
              <w:spacing w:line="400" w:lineRule="exact"/>
              <w:ind w:firstLine="42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trPr>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、维修服务：□非常满意；□满意；□一般；□不满意；□非常不满意。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trPr>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4</w:t>
            </w:r>
            <w:r>
              <w:rPr>
                <w:rFonts w:hint="eastAsia" w:ascii="楷体_GB2312" w:hAnsi="楷体_GB2312" w:eastAsia="楷体_GB2312" w:cs="楷体_GB2312"/>
                <w:szCs w:val="21"/>
              </w:rPr>
              <w:t>、设施设备维护：□非常满意；□满意；□一般；□不满意；□非常不满意。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5</w:t>
            </w:r>
            <w:r>
              <w:rPr>
                <w:rFonts w:hint="eastAsia" w:ascii="楷体_GB2312" w:hAnsi="楷体_GB2312" w:eastAsia="楷体_GB2312" w:cs="楷体_GB2312"/>
                <w:szCs w:val="21"/>
              </w:rPr>
              <w:t>、秩序维护服务：□非常满意；□满意；□一般；□不满意；□非常不满意。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42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6</w:t>
            </w:r>
            <w:r>
              <w:rPr>
                <w:rFonts w:hint="eastAsia" w:ascii="楷体_GB2312" w:hAnsi="楷体_GB2312" w:eastAsia="楷体_GB2312" w:cs="楷体_GB2312"/>
                <w:szCs w:val="21"/>
              </w:rPr>
              <w:t>、清洁服务：□非常满意；□满意；□一般；□不满意；□非常不满意。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7</w:t>
            </w:r>
            <w:r>
              <w:rPr>
                <w:rFonts w:hint="eastAsia" w:ascii="楷体_GB2312" w:hAnsi="楷体_GB2312" w:eastAsia="楷体_GB2312" w:cs="楷体_GB2312"/>
                <w:szCs w:val="21"/>
              </w:rPr>
              <w:t>、绿化服务：□非常满意；□满意；□一般；□不满意；□非常不满意。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8</w:t>
            </w:r>
            <w:r>
              <w:rPr>
                <w:rFonts w:hint="eastAsia" w:ascii="楷体_GB2312" w:hAnsi="楷体_GB2312" w:eastAsia="楷体_GB2312" w:cs="楷体_GB2312"/>
                <w:szCs w:val="21"/>
              </w:rPr>
              <w:t>、车辆管理：□非常满意；□满意；□一般；□不满意；□非常不满意。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9</w:t>
            </w:r>
            <w:r>
              <w:rPr>
                <w:rFonts w:hint="eastAsia" w:ascii="楷体_GB2312" w:hAnsi="楷体_GB2312" w:eastAsia="楷体_GB2312" w:cs="楷体_GB2312"/>
                <w:szCs w:val="21"/>
              </w:rPr>
              <w:t>、消防管理：□非常满意；□满意；□一般；□不满意；□非常不满意。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10</w:t>
            </w:r>
            <w:r>
              <w:rPr>
                <w:rFonts w:hint="eastAsia" w:ascii="楷体_GB2312" w:hAnsi="楷体_GB2312" w:eastAsia="楷体_GB2312" w:cs="楷体_GB2312"/>
                <w:szCs w:val="21"/>
              </w:rPr>
              <w:t>、社区文化：□非常满意；□满意；□一般；□不满意；□非常不满意。</w:t>
            </w:r>
          </w:p>
          <w:p>
            <w:pPr>
              <w:spacing w:line="400" w:lineRule="exact"/>
              <w:ind w:firstLine="420"/>
              <w:rPr>
                <w:rFonts w:ascii="楷体_GB2312" w:hAnsi="楷体_GB2312" w:eastAsia="楷体_GB2312" w:cs="楷体_GB2312"/>
                <w:szCs w:val="21"/>
              </w:rPr>
            </w:pPr>
            <w:r>
              <w:rPr>
                <w:rFonts w:hint="eastAsia" w:ascii="楷体_GB2312" w:hAnsi="楷体_GB2312" w:eastAsia="楷体_GB2312" w:cs="楷体_GB2312"/>
                <w:szCs w:val="21"/>
              </w:rPr>
              <w:t>（简要说明理由）：</w:t>
            </w:r>
          </w:p>
          <w:p>
            <w:pPr>
              <w:spacing w:line="400" w:lineRule="exact"/>
              <w:ind w:firstLine="0" w:firstLineChars="0"/>
              <w:rPr>
                <w:rFonts w:ascii="楷体_GB2312" w:hAnsi="楷体_GB2312" w:eastAsia="楷体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3" w:type="dxa"/>
            <w:gridSpan w:val="4"/>
          </w:tcPr>
          <w:p>
            <w:pPr>
              <w:spacing w:line="400" w:lineRule="exact"/>
              <w:ind w:firstLine="0" w:firstLineChars="0"/>
              <w:rPr>
                <w:rFonts w:ascii="楷体_GB2312" w:hAnsi="楷体_GB2312" w:eastAsia="楷体_GB2312" w:cs="楷体_GB2312"/>
                <w:szCs w:val="21"/>
              </w:rPr>
            </w:pPr>
            <w:r>
              <w:rPr>
                <w:rFonts w:ascii="楷体_GB2312" w:hAnsi="楷体_GB2312" w:eastAsia="楷体_GB2312" w:cs="楷体_GB2312"/>
                <w:szCs w:val="21"/>
              </w:rPr>
              <w:t>11</w:t>
            </w:r>
            <w:r>
              <w:rPr>
                <w:rFonts w:hint="eastAsia" w:ascii="楷体_GB2312" w:hAnsi="楷体_GB2312" w:eastAsia="楷体_GB2312" w:cs="楷体_GB2312"/>
                <w:szCs w:val="21"/>
              </w:rPr>
              <w:t>、您对物业公司的工作有何建议？</w:t>
            </w:r>
          </w:p>
          <w:p>
            <w:pPr>
              <w:spacing w:line="400" w:lineRule="exact"/>
              <w:ind w:firstLine="420"/>
              <w:rPr>
                <w:rFonts w:ascii="楷体_GB2312" w:hAnsi="楷体_GB2312" w:eastAsia="楷体_GB2312" w:cs="楷体_GB2312"/>
                <w:szCs w:val="21"/>
              </w:rPr>
            </w:pPr>
          </w:p>
          <w:p>
            <w:pPr>
              <w:spacing w:line="400" w:lineRule="exact"/>
              <w:ind w:firstLine="420"/>
              <w:rPr>
                <w:rFonts w:ascii="楷体_GB2312" w:hAnsi="楷体_GB2312" w:eastAsia="楷体_GB2312" w:cs="楷体_GB2312"/>
                <w:szCs w:val="21"/>
              </w:rPr>
            </w:pPr>
          </w:p>
          <w:p>
            <w:pPr>
              <w:spacing w:line="400" w:lineRule="exact"/>
              <w:ind w:firstLine="420"/>
              <w:rPr>
                <w:rFonts w:ascii="楷体_GB2312" w:hAnsi="楷体_GB2312" w:eastAsia="楷体_GB2312" w:cs="楷体_GB2312"/>
                <w:szCs w:val="21"/>
              </w:rPr>
            </w:pPr>
          </w:p>
        </w:tc>
      </w:tr>
    </w:tbl>
    <w:p>
      <w:pPr>
        <w:ind w:firstLine="0" w:firstLineChars="0"/>
        <w:rPr>
          <w:rFonts w:ascii="仿宋_GB2312" w:hAnsi="仿宋_GB2312" w:eastAsia="仿宋_GB2312" w:cs="仿宋_GB2312"/>
          <w:sz w:val="30"/>
          <w:szCs w:val="30"/>
        </w:rPr>
      </w:pPr>
    </w:p>
    <w:p>
      <w:pPr>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被调查人（签字）</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调查人（签字）</w:t>
      </w:r>
    </w:p>
    <w:p>
      <w:pPr>
        <w:spacing w:line="560" w:lineRule="exact"/>
        <w:ind w:firstLine="0" w:firstLineChars="0"/>
        <w:rPr>
          <w:rFonts w:ascii="仿宋_GB2312" w:hAnsi="仿宋_GB2312" w:eastAsia="仿宋_GB2312" w:cs="仿宋_GB2312"/>
          <w:b/>
          <w:bCs/>
          <w:sz w:val="30"/>
          <w:szCs w:val="30"/>
        </w:rPr>
      </w:pPr>
      <w:r>
        <w:rPr>
          <w:rFonts w:ascii="仿宋_GB2312" w:eastAsia="仿宋_GB2312"/>
          <w:sz w:val="32"/>
          <w:szCs w:val="32"/>
        </w:rPr>
        <w:br w:type="page"/>
      </w:r>
      <w:r>
        <w:rPr>
          <w:rFonts w:hint="eastAsia" w:ascii="仿宋_GB2312" w:hAnsi="仿宋_GB2312" w:eastAsia="仿宋_GB2312" w:cs="仿宋_GB2312"/>
          <w:b/>
          <w:bCs/>
          <w:sz w:val="30"/>
          <w:szCs w:val="30"/>
        </w:rPr>
        <w:t>附件四：《深圳市公共租赁住房小区物业服务信用信息记录认定表》</w:t>
      </w:r>
    </w:p>
    <w:p>
      <w:pPr>
        <w:spacing w:line="240" w:lineRule="auto"/>
        <w:ind w:firstLine="0" w:firstLineChars="0"/>
        <w:jc w:val="left"/>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p>
    <w:p>
      <w:pPr>
        <w:spacing w:line="240" w:lineRule="auto"/>
        <w:ind w:firstLine="0" w:firstLineChars="0"/>
        <w:jc w:val="left"/>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说明：</w:t>
      </w:r>
      <w:r>
        <w:rPr>
          <w:rFonts w:hint="eastAsia" w:ascii="仿宋_GB2312" w:hAnsi="仿宋_GB2312" w:eastAsia="仿宋_GB2312" w:cs="仿宋_GB2312"/>
          <w:sz w:val="24"/>
          <w:szCs w:val="24"/>
        </w:rPr>
        <w:t>信用信息记录主要是指企业及受评价项目获得的荣誉和受到的惩处。获得的荣誉包括近三年来政府及相关部门、行业协会等非商业性奖励、表彰和认定；受到的惩处包括近三年来受到主管部门行政处罚、行业协会的自律惩戒、其它政府部门给予的行政处罚及相关人员刑事处罚等。最高</w:t>
      </w:r>
      <w:r>
        <w:rPr>
          <w:rFonts w:ascii="仿宋_GB2312" w:hAnsi="仿宋_GB2312" w:eastAsia="仿宋_GB2312" w:cs="仿宋_GB2312"/>
          <w:sz w:val="24"/>
          <w:szCs w:val="24"/>
        </w:rPr>
        <w:t>100</w:t>
      </w:r>
      <w:r>
        <w:rPr>
          <w:rFonts w:hint="eastAsia" w:ascii="仿宋_GB2312" w:hAnsi="仿宋_GB2312" w:eastAsia="仿宋_GB2312" w:cs="仿宋_GB2312"/>
          <w:sz w:val="24"/>
          <w:szCs w:val="24"/>
        </w:rPr>
        <w:t>分，最低</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分，低于</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分按</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分计。</w:t>
      </w:r>
    </w:p>
    <w:p>
      <w:pPr>
        <w:spacing w:line="240" w:lineRule="auto"/>
        <w:ind w:firstLine="0" w:firstLineChars="0"/>
        <w:jc w:val="left"/>
        <w:rPr>
          <w:rFonts w:ascii="仿宋_GB2312" w:hAnsi="仿宋_GB2312" w:eastAsia="仿宋_GB2312" w:cs="仿宋_GB2312"/>
          <w:sz w:val="24"/>
          <w:szCs w:val="24"/>
        </w:rPr>
      </w:pPr>
    </w:p>
    <w:p>
      <w:pPr>
        <w:spacing w:line="240" w:lineRule="auto"/>
        <w:ind w:firstLine="0" w:firstLineChars="0"/>
        <w:jc w:val="left"/>
        <w:rPr>
          <w:rFonts w:ascii="仿宋_GB2312" w:hAnsi="仿宋_GB2312" w:eastAsia="仿宋_GB2312" w:cs="仿宋_GB2312"/>
          <w:sz w:val="24"/>
          <w:szCs w:val="24"/>
        </w:rPr>
      </w:pPr>
    </w:p>
    <w:p>
      <w:pPr>
        <w:spacing w:line="560" w:lineRule="exact"/>
        <w:ind w:firstLine="602"/>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深圳市公共租赁住房小区物业服务信用信息记录认定表</w:t>
      </w:r>
    </w:p>
    <w:p>
      <w:pPr>
        <w:spacing w:line="560" w:lineRule="exact"/>
        <w:ind w:firstLine="602"/>
        <w:rPr>
          <w:rFonts w:ascii="仿宋_GB2312" w:hAnsi="仿宋_GB2312" w:eastAsia="仿宋_GB2312" w:cs="仿宋_GB2312"/>
          <w:b/>
          <w:bCs/>
          <w:sz w:val="30"/>
          <w:szCs w:val="30"/>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6379"/>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59"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序号</w:t>
            </w:r>
          </w:p>
        </w:tc>
        <w:tc>
          <w:tcPr>
            <w:tcW w:w="6379"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行为描述</w:t>
            </w:r>
          </w:p>
        </w:tc>
        <w:tc>
          <w:tcPr>
            <w:tcW w:w="1184"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8" w:hRule="exact"/>
        </w:trPr>
        <w:tc>
          <w:tcPr>
            <w:tcW w:w="959"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p>
        </w:tc>
        <w:tc>
          <w:tcPr>
            <w:tcW w:w="6379"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加分项</w:t>
            </w:r>
          </w:p>
        </w:tc>
        <w:tc>
          <w:tcPr>
            <w:tcW w:w="1184"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2"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1</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物业服务企业获得市长质量奖加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分，市长质量奖鼓励奖加</w:t>
            </w:r>
            <w:r>
              <w:rPr>
                <w:rFonts w:ascii="楷体_GB2312" w:hAnsi="楷体_GB2312" w:eastAsia="楷体_GB2312" w:cs="楷体_GB2312"/>
                <w:kern w:val="0"/>
                <w:szCs w:val="21"/>
              </w:rPr>
              <w:t>8</w:t>
            </w:r>
            <w:r>
              <w:rPr>
                <w:rFonts w:hint="eastAsia" w:ascii="楷体_GB2312" w:hAnsi="楷体_GB2312" w:eastAsia="楷体_GB2312" w:cs="楷体_GB2312"/>
                <w:kern w:val="0"/>
                <w:szCs w:val="21"/>
              </w:rPr>
              <w:t>分，区长质量奖加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分。以最高荣誉为准。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2"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2</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物业服务企业获得“深圳知名品牌”奖，加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6"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3</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物业服务企业获得深圳市物业管理行业协会评选的“综合实力</w:t>
            </w:r>
            <w:r>
              <w:rPr>
                <w:rFonts w:ascii="楷体_GB2312" w:hAnsi="楷体_GB2312" w:eastAsia="楷体_GB2312" w:cs="楷体_GB2312"/>
                <w:kern w:val="0"/>
                <w:szCs w:val="21"/>
              </w:rPr>
              <w:t>50</w:t>
            </w:r>
            <w:r>
              <w:rPr>
                <w:rFonts w:hint="eastAsia" w:ascii="楷体_GB2312" w:hAnsi="楷体_GB2312" w:eastAsia="楷体_GB2312" w:cs="楷体_GB2312"/>
                <w:kern w:val="0"/>
                <w:szCs w:val="21"/>
              </w:rPr>
              <w:t>强”，以近</w:t>
            </w:r>
            <w:r>
              <w:rPr>
                <w:rFonts w:ascii="楷体_GB2312" w:hAnsi="楷体_GB2312" w:eastAsia="楷体_GB2312" w:cs="楷体_GB2312"/>
                <w:kern w:val="0"/>
                <w:szCs w:val="21"/>
              </w:rPr>
              <w:t>3</w:t>
            </w:r>
            <w:r>
              <w:rPr>
                <w:rFonts w:hint="eastAsia" w:ascii="楷体_GB2312" w:hAnsi="楷体_GB2312" w:eastAsia="楷体_GB2312" w:cs="楷体_GB2312"/>
                <w:kern w:val="0"/>
                <w:szCs w:val="21"/>
              </w:rPr>
              <w:t>年的记录为准，每得一次加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分，最多加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9"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4</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物业服务企业获得深圳市物业管理行业协会“优秀会员”，以近</w:t>
            </w:r>
            <w:r>
              <w:rPr>
                <w:rFonts w:ascii="楷体_GB2312" w:hAnsi="楷体_GB2312" w:eastAsia="楷体_GB2312" w:cs="楷体_GB2312"/>
                <w:kern w:val="0"/>
                <w:szCs w:val="21"/>
              </w:rPr>
              <w:t>3</w:t>
            </w:r>
            <w:r>
              <w:rPr>
                <w:rFonts w:hint="eastAsia" w:ascii="楷体_GB2312" w:hAnsi="楷体_GB2312" w:eastAsia="楷体_GB2312" w:cs="楷体_GB2312"/>
                <w:kern w:val="0"/>
                <w:szCs w:val="21"/>
              </w:rPr>
              <w:t>年的记录为准，每得一次加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5</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物业项目（是指本次受评项目，以下同）获得“国优”称号加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分；“省优”称号加</w:t>
            </w:r>
            <w:r>
              <w:rPr>
                <w:rFonts w:ascii="楷体_GB2312" w:hAnsi="楷体_GB2312" w:eastAsia="楷体_GB2312" w:cs="楷体_GB2312"/>
                <w:kern w:val="0"/>
                <w:szCs w:val="21"/>
              </w:rPr>
              <w:t>8</w:t>
            </w:r>
            <w:r>
              <w:rPr>
                <w:rFonts w:hint="eastAsia" w:ascii="楷体_GB2312" w:hAnsi="楷体_GB2312" w:eastAsia="楷体_GB2312" w:cs="楷体_GB2312"/>
                <w:kern w:val="0"/>
                <w:szCs w:val="21"/>
              </w:rPr>
              <w:t>分；“市优”称号加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分。以最高荣誉为准。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0"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6</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物业服务企业获得国家一级资质证书，加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分，二级资质加</w:t>
            </w:r>
            <w:r>
              <w:rPr>
                <w:rFonts w:ascii="楷体_GB2312" w:hAnsi="楷体_GB2312" w:eastAsia="楷体_GB2312" w:cs="楷体_GB2312"/>
                <w:kern w:val="0"/>
                <w:szCs w:val="21"/>
              </w:rPr>
              <w:t>7</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0"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7</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物业服务企业获得质量体系等认证，加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0"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8</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社会公益捐赠，每捐赠</w:t>
            </w:r>
            <w:r>
              <w:rPr>
                <w:rFonts w:ascii="楷体_GB2312" w:hAnsi="楷体_GB2312" w:eastAsia="楷体_GB2312" w:cs="楷体_GB2312"/>
                <w:kern w:val="0"/>
                <w:szCs w:val="21"/>
              </w:rPr>
              <w:t>1</w:t>
            </w:r>
            <w:r>
              <w:rPr>
                <w:rFonts w:hint="eastAsia" w:ascii="楷体_GB2312" w:hAnsi="楷体_GB2312" w:eastAsia="楷体_GB2312" w:cs="楷体_GB2312"/>
                <w:kern w:val="0"/>
                <w:szCs w:val="21"/>
              </w:rPr>
              <w:t>万元加</w:t>
            </w:r>
            <w:r>
              <w:rPr>
                <w:rFonts w:ascii="楷体_GB2312" w:hAnsi="楷体_GB2312" w:eastAsia="楷体_GB2312" w:cs="楷体_GB2312"/>
                <w:kern w:val="0"/>
                <w:szCs w:val="21"/>
              </w:rPr>
              <w:t>1</w:t>
            </w:r>
            <w:r>
              <w:rPr>
                <w:rFonts w:hint="eastAsia" w:ascii="楷体_GB2312" w:hAnsi="楷体_GB2312" w:eastAsia="楷体_GB2312" w:cs="楷体_GB2312"/>
                <w:kern w:val="0"/>
                <w:szCs w:val="21"/>
              </w:rPr>
              <w:t>分，最高加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9</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物业项目参与智慧社区建设，进入试点名录并实施的加</w:t>
            </w:r>
            <w:r>
              <w:rPr>
                <w:rFonts w:ascii="楷体_GB2312" w:hAnsi="楷体_GB2312" w:eastAsia="楷体_GB2312" w:cs="楷体_GB2312"/>
                <w:kern w:val="0"/>
                <w:szCs w:val="21"/>
              </w:rPr>
              <w:t>3</w:t>
            </w:r>
            <w:r>
              <w:rPr>
                <w:rFonts w:hint="eastAsia" w:ascii="楷体_GB2312" w:hAnsi="楷体_GB2312" w:eastAsia="楷体_GB2312" w:cs="楷体_GB2312"/>
                <w:kern w:val="0"/>
                <w:szCs w:val="21"/>
              </w:rPr>
              <w:t>分，获得称号的加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5"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10</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物业项目参与绿色物业管理，进入试点名录并实施的加</w:t>
            </w:r>
            <w:r>
              <w:rPr>
                <w:rFonts w:ascii="楷体_GB2312" w:hAnsi="楷体_GB2312" w:eastAsia="楷体_GB2312" w:cs="楷体_GB2312"/>
                <w:kern w:val="0"/>
                <w:szCs w:val="21"/>
              </w:rPr>
              <w:t>3</w:t>
            </w:r>
            <w:r>
              <w:rPr>
                <w:rFonts w:hint="eastAsia" w:ascii="楷体_GB2312" w:hAnsi="楷体_GB2312" w:eastAsia="楷体_GB2312" w:cs="楷体_GB2312"/>
                <w:kern w:val="0"/>
                <w:szCs w:val="21"/>
              </w:rPr>
              <w:t>分，获得称号的加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11</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物业项目获得其它政府部门颁发的相关奖励，一次加</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分，最高加</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p>
        </w:tc>
        <w:tc>
          <w:tcPr>
            <w:tcW w:w="6379" w:type="dxa"/>
            <w:vAlign w:val="center"/>
          </w:tcPr>
          <w:p>
            <w:pPr>
              <w:spacing w:after="78" w:line="320" w:lineRule="exact"/>
              <w:ind w:firstLine="0" w:firstLineChars="0"/>
              <w:jc w:val="center"/>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扣分项</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1</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物业服务企业受到市区两级行政主管部门通报批评（区级扣</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分，市级</w:t>
            </w:r>
            <w:r>
              <w:rPr>
                <w:rFonts w:ascii="楷体_GB2312" w:hAnsi="楷体_GB2312" w:eastAsia="楷体_GB2312" w:cs="楷体_GB2312"/>
                <w:kern w:val="0"/>
                <w:szCs w:val="21"/>
              </w:rPr>
              <w:t>15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2</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物业服务企业受到深圳市物业管理行业协会自律惩戒（警告扣</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分、业内通报批评</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分，公开谴责</w:t>
            </w:r>
            <w:r>
              <w:rPr>
                <w:rFonts w:ascii="楷体_GB2312" w:hAnsi="楷体_GB2312" w:eastAsia="楷体_GB2312" w:cs="楷体_GB2312"/>
                <w:kern w:val="0"/>
                <w:szCs w:val="21"/>
              </w:rPr>
              <w:t>15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3</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物业服务合同没有向区主管部门备案，扣</w:t>
            </w:r>
            <w:r>
              <w:rPr>
                <w:rFonts w:ascii="楷体_GB2312" w:hAnsi="楷体_GB2312" w:eastAsia="楷体_GB2312" w:cs="楷体_GB2312"/>
                <w:kern w:val="0"/>
                <w:szCs w:val="21"/>
              </w:rPr>
              <w:t>5</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4</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企业未按条例规定加入深圳市物业管理行业协会，扣</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5</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擅自利用物业共用部位共用设施进行经营的，扣</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6</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擅自改变物业管理区域内按规划建设的公共建筑和共用设施用途的，扣</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7</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市区物业管理主部门或深圳物业管理行业协会对物业服务企业的违规行为进行调查，不配合调查的，每次扣</w:t>
            </w:r>
            <w:r>
              <w:rPr>
                <w:rFonts w:ascii="楷体_GB2312" w:hAnsi="楷体_GB2312" w:eastAsia="楷体_GB2312" w:cs="楷体_GB2312"/>
                <w:kern w:val="0"/>
                <w:szCs w:val="21"/>
              </w:rPr>
              <w:t>10</w:t>
            </w:r>
            <w:r>
              <w:rPr>
                <w:rFonts w:hint="eastAsia" w:ascii="楷体_GB2312" w:hAnsi="楷体_GB2312" w:eastAsia="楷体_GB2312" w:cs="楷体_GB2312"/>
                <w:kern w:val="0"/>
                <w:szCs w:val="21"/>
              </w:rPr>
              <w:t>分，最多扣</w:t>
            </w:r>
            <w:r>
              <w:rPr>
                <w:rFonts w:ascii="楷体_GB2312" w:hAnsi="楷体_GB2312" w:eastAsia="楷体_GB2312" w:cs="楷体_GB2312"/>
                <w:kern w:val="0"/>
                <w:szCs w:val="21"/>
              </w:rPr>
              <w:t>20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8</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因物业服务企业责任引发重大群体或越级上访事件，每次扣</w:t>
            </w:r>
            <w:r>
              <w:rPr>
                <w:rFonts w:ascii="楷体_GB2312" w:hAnsi="楷体_GB2312" w:eastAsia="楷体_GB2312" w:cs="楷体_GB2312"/>
                <w:kern w:val="0"/>
                <w:szCs w:val="21"/>
              </w:rPr>
              <w:t>20</w:t>
            </w:r>
            <w:r>
              <w:rPr>
                <w:rFonts w:hint="eastAsia" w:ascii="楷体_GB2312" w:hAnsi="楷体_GB2312" w:eastAsia="楷体_GB2312" w:cs="楷体_GB2312"/>
                <w:kern w:val="0"/>
                <w:szCs w:val="21"/>
              </w:rPr>
              <w:t>分，最多</w:t>
            </w:r>
            <w:r>
              <w:rPr>
                <w:rFonts w:ascii="楷体_GB2312" w:hAnsi="楷体_GB2312" w:eastAsia="楷体_GB2312" w:cs="楷体_GB2312"/>
                <w:kern w:val="0"/>
                <w:szCs w:val="21"/>
              </w:rPr>
              <w:t>30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4" w:hRule="exact"/>
        </w:trPr>
        <w:tc>
          <w:tcPr>
            <w:tcW w:w="959" w:type="dxa"/>
            <w:vAlign w:val="center"/>
          </w:tcPr>
          <w:p>
            <w:pPr>
              <w:spacing w:after="78" w:line="320" w:lineRule="exact"/>
              <w:ind w:firstLine="0" w:firstLineChars="0"/>
              <w:jc w:val="center"/>
              <w:rPr>
                <w:rFonts w:ascii="楷体_GB2312" w:hAnsi="楷体_GB2312" w:eastAsia="楷体_GB2312" w:cs="楷体_GB2312"/>
                <w:kern w:val="0"/>
                <w:szCs w:val="21"/>
              </w:rPr>
            </w:pPr>
            <w:r>
              <w:rPr>
                <w:rFonts w:ascii="楷体_GB2312" w:hAnsi="楷体_GB2312" w:eastAsia="楷体_GB2312" w:cs="楷体_GB2312"/>
                <w:kern w:val="0"/>
                <w:szCs w:val="21"/>
              </w:rPr>
              <w:t>9</w:t>
            </w:r>
          </w:p>
        </w:tc>
        <w:tc>
          <w:tcPr>
            <w:tcW w:w="6379" w:type="dxa"/>
            <w:vAlign w:val="center"/>
          </w:tcPr>
          <w:p>
            <w:pPr>
              <w:spacing w:after="78" w:line="320" w:lineRule="exact"/>
              <w:ind w:firstLine="0" w:firstLineChars="0"/>
              <w:jc w:val="left"/>
              <w:rPr>
                <w:rFonts w:ascii="楷体_GB2312" w:hAnsi="楷体_GB2312" w:eastAsia="楷体_GB2312" w:cs="楷体_GB2312"/>
                <w:kern w:val="0"/>
                <w:szCs w:val="21"/>
              </w:rPr>
            </w:pPr>
            <w:r>
              <w:rPr>
                <w:rFonts w:hint="eastAsia" w:ascii="楷体_GB2312" w:hAnsi="楷体_GB2312" w:eastAsia="楷体_GB2312" w:cs="楷体_GB2312"/>
                <w:kern w:val="0"/>
                <w:szCs w:val="21"/>
              </w:rPr>
              <w:t>因物业服务企业责任引发火灾、刑事案件等重大安全事故，每次扣</w:t>
            </w:r>
            <w:r>
              <w:rPr>
                <w:rFonts w:ascii="楷体_GB2312" w:hAnsi="楷体_GB2312" w:eastAsia="楷体_GB2312" w:cs="楷体_GB2312"/>
                <w:kern w:val="0"/>
                <w:szCs w:val="21"/>
              </w:rPr>
              <w:t>20</w:t>
            </w:r>
            <w:r>
              <w:rPr>
                <w:rFonts w:hint="eastAsia" w:ascii="楷体_GB2312" w:hAnsi="楷体_GB2312" w:eastAsia="楷体_GB2312" w:cs="楷体_GB2312"/>
                <w:kern w:val="0"/>
                <w:szCs w:val="21"/>
              </w:rPr>
              <w:t>分，最多扣</w:t>
            </w:r>
            <w:r>
              <w:rPr>
                <w:rFonts w:ascii="楷体_GB2312" w:hAnsi="楷体_GB2312" w:eastAsia="楷体_GB2312" w:cs="楷体_GB2312"/>
                <w:kern w:val="0"/>
                <w:szCs w:val="21"/>
              </w:rPr>
              <w:t>30</w:t>
            </w:r>
            <w:r>
              <w:rPr>
                <w:rFonts w:hint="eastAsia" w:ascii="楷体_GB2312" w:hAnsi="楷体_GB2312" w:eastAsia="楷体_GB2312" w:cs="楷体_GB2312"/>
                <w:kern w:val="0"/>
                <w:szCs w:val="21"/>
              </w:rPr>
              <w:t>分。</w:t>
            </w:r>
          </w:p>
        </w:tc>
        <w:tc>
          <w:tcPr>
            <w:tcW w:w="1184" w:type="dxa"/>
          </w:tcPr>
          <w:p>
            <w:pPr>
              <w:spacing w:after="78" w:line="320" w:lineRule="exact"/>
              <w:ind w:firstLine="0" w:firstLineChars="0"/>
              <w:jc w:val="center"/>
              <w:rPr>
                <w:rFonts w:ascii="楷体_GB2312" w:hAnsi="楷体_GB2312" w:eastAsia="楷体_GB2312" w:cs="楷体_GB2312"/>
                <w:kern w:val="0"/>
                <w:sz w:val="18"/>
                <w:szCs w:val="18"/>
              </w:rPr>
            </w:pPr>
          </w:p>
        </w:tc>
      </w:tr>
    </w:tbl>
    <w:p>
      <w:pPr>
        <w:spacing w:line="560" w:lineRule="exact"/>
        <w:ind w:firstLine="0" w:firstLineChars="0"/>
        <w:rPr>
          <w:rFonts w:ascii="仿宋_GB2312" w:eastAsia="仿宋_GB2312"/>
          <w:sz w:val="30"/>
          <w:szCs w:val="30"/>
        </w:rPr>
      </w:pPr>
    </w:p>
    <w:p>
      <w:pPr>
        <w:spacing w:line="560" w:lineRule="exact"/>
        <w:ind w:firstLine="0" w:firstLineChars="0"/>
      </w:pPr>
      <w:r>
        <w:rPr>
          <w:rFonts w:hint="eastAsia" w:ascii="仿宋_GB2312" w:eastAsia="仿宋_GB2312"/>
          <w:sz w:val="30"/>
          <w:szCs w:val="30"/>
        </w:rPr>
        <w:t>评价人（签名）</w:t>
      </w:r>
      <w:r>
        <w:rPr>
          <w:rFonts w:ascii="仿宋_GB2312" w:eastAsia="仿宋_GB2312"/>
          <w:sz w:val="30"/>
          <w:szCs w:val="30"/>
        </w:rPr>
        <w:t xml:space="preserve">                    </w:t>
      </w:r>
      <w:r>
        <w:rPr>
          <w:rFonts w:hint="eastAsia" w:ascii="仿宋_GB2312" w:eastAsia="仿宋_GB2312"/>
          <w:sz w:val="30"/>
          <w:szCs w:val="30"/>
        </w:rPr>
        <w:t>时间：</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firstLine="420"/>
                            <w:rPr>
                              <w:sz w:val="18"/>
                            </w:rPr>
                          </w:pPr>
                          <w:r>
                            <w:fldChar w:fldCharType="begin"/>
                          </w:r>
                          <w:r>
                            <w:instrText xml:space="preserve"> PAGE  \* MERGEFORMAT </w:instrText>
                          </w:r>
                          <w:r>
                            <w:fldChar w:fldCharType="separate"/>
                          </w:r>
                          <w:r>
                            <w:rPr>
                              <w:sz w:val="18"/>
                            </w:rPr>
                            <w:t>5</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snapToGrid w:val="0"/>
                      <w:ind w:firstLine="420"/>
                      <w:rPr>
                        <w:sz w:val="18"/>
                      </w:rPr>
                    </w:pPr>
                    <w:r>
                      <w:fldChar w:fldCharType="begin"/>
                    </w:r>
                    <w:r>
                      <w:instrText xml:space="preserve"> PAGE  \* MERGEFORMAT </w:instrText>
                    </w:r>
                    <w:r>
                      <w:fldChar w:fldCharType="separate"/>
                    </w:r>
                    <w:r>
                      <w:rPr>
                        <w:sz w:val="18"/>
                      </w:rPr>
                      <w:t>5</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DF24F"/>
    <w:multiLevelType w:val="singleLevel"/>
    <w:tmpl w:val="55FDF24F"/>
    <w:lvl w:ilvl="0" w:tentative="0">
      <w:start w:val="1"/>
      <w:numFmt w:val="decimal"/>
      <w:suff w:val="nothing"/>
      <w:lvlText w:val="%1、"/>
      <w:lvlJc w:val="left"/>
      <w:rPr>
        <w:rFonts w:cs="Times New Roman"/>
      </w:rPr>
    </w:lvl>
  </w:abstractNum>
  <w:abstractNum w:abstractNumId="1">
    <w:nsid w:val="55FDFCEF"/>
    <w:multiLevelType w:val="singleLevel"/>
    <w:tmpl w:val="55FDFCEF"/>
    <w:lvl w:ilvl="0" w:tentative="0">
      <w:start w:val="10"/>
      <w:numFmt w:val="decimal"/>
      <w:suff w:val="nothing"/>
      <w:lvlText w:val="%1、"/>
      <w:lvlJc w:val="left"/>
      <w:rPr>
        <w:rFonts w:cs="Times New Roman"/>
      </w:rPr>
    </w:lvl>
  </w:abstractNum>
  <w:abstractNum w:abstractNumId="2">
    <w:nsid w:val="55FDFD88"/>
    <w:multiLevelType w:val="singleLevel"/>
    <w:tmpl w:val="55FDFD88"/>
    <w:lvl w:ilvl="0" w:tentative="0">
      <w:start w:val="5"/>
      <w:numFmt w:val="decimal"/>
      <w:suff w:val="nothing"/>
      <w:lvlText w:val="%1、"/>
      <w:lvlJc w:val="left"/>
      <w:rPr>
        <w:rFonts w:cs="Times New Roman"/>
      </w:rPr>
    </w:lvl>
  </w:abstractNum>
  <w:abstractNum w:abstractNumId="3">
    <w:nsid w:val="573C2EF6"/>
    <w:multiLevelType w:val="singleLevel"/>
    <w:tmpl w:val="573C2EF6"/>
    <w:lvl w:ilvl="0" w:tentative="0">
      <w:start w:val="1"/>
      <w:numFmt w:val="chineseCounting"/>
      <w:suff w:val="nothing"/>
      <w:lvlText w:val="第%1条"/>
      <w:lvlJc w:val="left"/>
      <w:rPr>
        <w:rFonts w:cs="Times New Roman"/>
      </w:rPr>
    </w:lvl>
  </w:abstractNum>
  <w:abstractNum w:abstractNumId="4">
    <w:nsid w:val="573C34C7"/>
    <w:multiLevelType w:val="singleLevel"/>
    <w:tmpl w:val="573C34C7"/>
    <w:lvl w:ilvl="0" w:tentative="0">
      <w:start w:val="8"/>
      <w:numFmt w:val="chineseCounting"/>
      <w:suff w:val="space"/>
      <w:lvlText w:val="第%1条"/>
      <w:lvlJc w:val="left"/>
      <w:rPr>
        <w:rFonts w:cs="Times New Roman"/>
      </w:rPr>
    </w:lvl>
  </w:abstractNum>
  <w:abstractNum w:abstractNumId="5">
    <w:nsid w:val="573C356A"/>
    <w:multiLevelType w:val="singleLevel"/>
    <w:tmpl w:val="573C356A"/>
    <w:lvl w:ilvl="0" w:tentative="0">
      <w:start w:val="3"/>
      <w:numFmt w:val="chineseCounting"/>
      <w:suff w:val="nothing"/>
      <w:lvlText w:val="第%1章"/>
      <w:lvlJc w:val="left"/>
      <w:rPr>
        <w:rFonts w:cs="Times New Roman"/>
      </w:rPr>
    </w:lvl>
  </w:abstractNum>
  <w:abstractNum w:abstractNumId="6">
    <w:nsid w:val="5A405CE2"/>
    <w:multiLevelType w:val="singleLevel"/>
    <w:tmpl w:val="5A405CE2"/>
    <w:lvl w:ilvl="0" w:tentative="0">
      <w:start w:val="18"/>
      <w:numFmt w:val="chineseCounting"/>
      <w:suff w:val="space"/>
      <w:lvlText w:val="第%1条"/>
      <w:lvlJc w:val="left"/>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NotTrackMoves/>
  <w:documentProtection w:enforcement="0"/>
  <w:defaultTabStop w:val="420"/>
  <w:drawingGridHorizontalSpacing w:val="105"/>
  <w:drawingGridVerticalSpacing w:val="31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B0"/>
    <w:rsid w:val="000E71A7"/>
    <w:rsid w:val="00107196"/>
    <w:rsid w:val="002830B0"/>
    <w:rsid w:val="003E4B3B"/>
    <w:rsid w:val="00413A62"/>
    <w:rsid w:val="004562DB"/>
    <w:rsid w:val="00695CF1"/>
    <w:rsid w:val="006B0C34"/>
    <w:rsid w:val="006B2FA8"/>
    <w:rsid w:val="006D4BD1"/>
    <w:rsid w:val="006F4BBB"/>
    <w:rsid w:val="007C7F77"/>
    <w:rsid w:val="007D786F"/>
    <w:rsid w:val="0086487B"/>
    <w:rsid w:val="00872268"/>
    <w:rsid w:val="008F1D65"/>
    <w:rsid w:val="008F38EF"/>
    <w:rsid w:val="008F755F"/>
    <w:rsid w:val="009A7D60"/>
    <w:rsid w:val="00A47ACB"/>
    <w:rsid w:val="00B85351"/>
    <w:rsid w:val="00B85D42"/>
    <w:rsid w:val="00BA17DA"/>
    <w:rsid w:val="00BD48A8"/>
    <w:rsid w:val="00C13358"/>
    <w:rsid w:val="00C755D7"/>
    <w:rsid w:val="00CC2B04"/>
    <w:rsid w:val="00CD71CB"/>
    <w:rsid w:val="00DE18BC"/>
    <w:rsid w:val="00DF39B3"/>
    <w:rsid w:val="00DF79BE"/>
    <w:rsid w:val="00E02E77"/>
    <w:rsid w:val="00E57AE1"/>
    <w:rsid w:val="00E8572F"/>
    <w:rsid w:val="00F321E0"/>
    <w:rsid w:val="00FA7A3F"/>
    <w:rsid w:val="00FB377E"/>
    <w:rsid w:val="01516CD8"/>
    <w:rsid w:val="017C2F0E"/>
    <w:rsid w:val="0473002B"/>
    <w:rsid w:val="06D32851"/>
    <w:rsid w:val="08B05EBE"/>
    <w:rsid w:val="1DDB1FE3"/>
    <w:rsid w:val="277E47EA"/>
    <w:rsid w:val="30213C48"/>
    <w:rsid w:val="35751134"/>
    <w:rsid w:val="47502DA9"/>
    <w:rsid w:val="4C034F53"/>
    <w:rsid w:val="4D72613A"/>
    <w:rsid w:val="53232D61"/>
    <w:rsid w:val="54C649DD"/>
    <w:rsid w:val="560F6896"/>
    <w:rsid w:val="5AC50F0A"/>
    <w:rsid w:val="62685F44"/>
    <w:rsid w:val="65117DE9"/>
    <w:rsid w:val="67970154"/>
    <w:rsid w:val="6C153FFF"/>
    <w:rsid w:val="70E02EF0"/>
    <w:rsid w:val="7331151F"/>
    <w:rsid w:val="7D460C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2"/>
    <w:basedOn w:val="1"/>
    <w:next w:val="1"/>
    <w:link w:val="14"/>
    <w:qFormat/>
    <w:uiPriority w:val="99"/>
    <w:pPr>
      <w:keepNext/>
      <w:keepLines/>
      <w:spacing w:before="260" w:afterLines="25" w:line="413" w:lineRule="auto"/>
      <w:ind w:firstLine="0" w:firstLineChars="0"/>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11"/>
    <w:qFormat/>
    <w:uiPriority w:val="99"/>
    <w:pPr>
      <w:tabs>
        <w:tab w:val="left" w:pos="4760"/>
      </w:tabs>
      <w:spacing w:afterLines="25" w:line="300" w:lineRule="auto"/>
      <w:ind w:firstLine="0" w:firstLineChars="0"/>
      <w:jc w:val="left"/>
    </w:pPr>
    <w:rPr>
      <w:rFonts w:ascii="Arial" w:hAnsi="Arial"/>
      <w:szCs w:val="24"/>
    </w:rPr>
  </w:style>
  <w:style w:type="paragraph" w:styleId="4">
    <w:name w:val="footer"/>
    <w:basedOn w:val="1"/>
    <w:link w:val="12"/>
    <w:uiPriority w:val="99"/>
    <w:pPr>
      <w:tabs>
        <w:tab w:val="center" w:pos="4153"/>
        <w:tab w:val="right" w:pos="8306"/>
      </w:tabs>
      <w:snapToGrid w:val="0"/>
      <w:spacing w:line="240" w:lineRule="atLeast"/>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Heading 2 Char"/>
    <w:semiHidden/>
    <w:qFormat/>
    <w:locked/>
    <w:uiPriority w:val="99"/>
    <w:rPr>
      <w:rFonts w:ascii="Cambria" w:hAnsi="Cambria" w:eastAsia="宋体" w:cs="Times New Roman"/>
      <w:b/>
      <w:bCs/>
      <w:sz w:val="32"/>
      <w:szCs w:val="32"/>
    </w:rPr>
  </w:style>
  <w:style w:type="character" w:customStyle="1" w:styleId="11">
    <w:name w:val="正文文本 Char"/>
    <w:link w:val="3"/>
    <w:qFormat/>
    <w:locked/>
    <w:uiPriority w:val="99"/>
    <w:rPr>
      <w:rFonts w:ascii="Arial" w:hAnsi="Arial" w:eastAsia="宋体" w:cs="Times New Roman"/>
      <w:sz w:val="24"/>
      <w:szCs w:val="24"/>
    </w:rPr>
  </w:style>
  <w:style w:type="character" w:customStyle="1" w:styleId="12">
    <w:name w:val="页脚 Char"/>
    <w:link w:val="4"/>
    <w:qFormat/>
    <w:locked/>
    <w:uiPriority w:val="99"/>
    <w:rPr>
      <w:rFonts w:ascii="Calibri" w:hAnsi="Calibri" w:eastAsia="宋体" w:cs="Times New Roman"/>
      <w:sz w:val="18"/>
      <w:szCs w:val="18"/>
    </w:rPr>
  </w:style>
  <w:style w:type="character" w:customStyle="1" w:styleId="13">
    <w:name w:val="页眉 Char"/>
    <w:link w:val="5"/>
    <w:semiHidden/>
    <w:qFormat/>
    <w:locked/>
    <w:uiPriority w:val="99"/>
    <w:rPr>
      <w:rFonts w:ascii="Calibri" w:hAnsi="Calibri" w:eastAsia="宋体" w:cs="Times New Roman"/>
      <w:sz w:val="18"/>
      <w:szCs w:val="18"/>
    </w:rPr>
  </w:style>
  <w:style w:type="character" w:customStyle="1" w:styleId="14">
    <w:name w:val="标题 2 Char"/>
    <w:link w:val="2"/>
    <w:qFormat/>
    <w:locked/>
    <w:uiPriority w:val="99"/>
    <w:rPr>
      <w:rFonts w:ascii="Arial" w:hAnsi="Arial" w:eastAsia="黑体" w:cs="Times New Roman"/>
      <w:b/>
      <w:bCs/>
      <w:sz w:val="32"/>
      <w:szCs w:val="32"/>
    </w:rPr>
  </w:style>
  <w:style w:type="paragraph" w:customStyle="1" w:styleId="15">
    <w:name w:val="列出段落1"/>
    <w:basedOn w:val="1"/>
    <w:qFormat/>
    <w:uiPriority w:val="99"/>
    <w:pPr>
      <w:ind w:firstLine="420"/>
    </w:pPr>
  </w:style>
  <w:style w:type="character" w:customStyle="1" w:styleId="16">
    <w:name w:val="Heading 2 Char2"/>
    <w:semiHidden/>
    <w:qFormat/>
    <w:uiPriority w:val="99"/>
    <w:rPr>
      <w:rFonts w:ascii="Cambria" w:hAnsi="Cambria" w:eastAsia="宋体" w:cs="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1635</Words>
  <Characters>9324</Characters>
  <Lines>77</Lines>
  <Paragraphs>21</Paragraphs>
  <TotalTime>1</TotalTime>
  <ScaleCrop>false</ScaleCrop>
  <LinksUpToDate>false</LinksUpToDate>
  <CharactersWithSpaces>10938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2018-05-21T07:28:00Z</dcterms:created>
  <dc:creator>微软用户</dc:creator>
  <cp:lastModifiedBy>Administrator</cp:lastModifiedBy>
  <dcterms:modified xsi:type="dcterms:W3CDTF">2025-08-26T10:19:42Z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