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rPr>
          <w:rFonts w:hint="eastAsia" w:ascii="宋体" w:hAnsi="宋体" w:eastAsia="宋体" w:cs="宋体"/>
        </w:rPr>
      </w:pPr>
    </w:p>
    <w:p>
      <w:pPr>
        <w:pStyle w:val="26"/>
        <w:rPr>
          <w:rFonts w:hint="eastAsia" w:ascii="宋体" w:hAnsi="宋体" w:eastAsia="宋体" w:cs="宋体"/>
        </w:rPr>
      </w:pPr>
    </w:p>
    <w:p>
      <w:pPr>
        <w:pStyle w:val="26"/>
        <w:rPr>
          <w:rFonts w:hint="eastAsia" w:ascii="宋体" w:hAnsi="宋体" w:eastAsia="宋体" w:cs="宋体"/>
        </w:rPr>
      </w:pPr>
    </w:p>
    <w:p>
      <w:pPr>
        <w:pStyle w:val="26"/>
        <w:rPr>
          <w:rFonts w:hint="eastAsia"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26"/>
      </w:pPr>
    </w:p>
    <w:p>
      <w:pPr>
        <w:rPr>
          <w:rFonts w:ascii="宋体" w:hAnsi="宋体" w:eastAsia="宋体" w:cs="宋体"/>
        </w:rPr>
      </w:pPr>
    </w:p>
    <w:p>
      <w:pPr>
        <w:pStyle w:val="35"/>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深圳市住房和建设局</w:t>
      </w:r>
    </w:p>
    <w:p>
      <w:pPr>
        <w:pStyle w:val="35"/>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1</w:t>
      </w:r>
      <w:r>
        <w:rPr>
          <w:rFonts w:hint="eastAsia" w:ascii="方正小标宋简体" w:hAnsi="方正小标宋简体" w:eastAsia="方正小标宋简体" w:cs="方正小标宋简体"/>
          <w:sz w:val="44"/>
          <w:szCs w:val="44"/>
        </w:rPr>
        <w:t>年度消防审查与验收管理</w:t>
      </w:r>
      <w:r>
        <w:rPr>
          <w:rFonts w:hint="eastAsia" w:ascii="方正小标宋简体" w:hAnsi="方正小标宋简体" w:eastAsia="方正小标宋简体" w:cs="方正小标宋简体"/>
          <w:sz w:val="44"/>
          <w:szCs w:val="44"/>
          <w:lang w:val="en-US" w:eastAsia="zh-CN"/>
        </w:rPr>
        <w:t>项目</w:t>
      </w:r>
    </w:p>
    <w:p>
      <w:pPr>
        <w:pStyle w:val="35"/>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绩效评价报告</w:t>
      </w: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4"/>
        <w:ind w:firstLine="0" w:firstLineChars="0"/>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36"/>
        <w:spacing w:before="0"/>
        <w:ind w:left="0" w:leftChars="0"/>
        <w:jc w:val="both"/>
        <w:rPr>
          <w:lang w:val="en-US"/>
        </w:rPr>
      </w:pPr>
      <w:r>
        <w:rPr>
          <w:rFonts w:hint="eastAsia"/>
        </w:rPr>
        <w:t>主管部门：</w:t>
      </w:r>
      <w:r>
        <w:rPr>
          <w:rFonts w:hint="eastAsia"/>
          <w:lang w:val="en-US"/>
        </w:rPr>
        <w:t>深圳市住房和建设局</w:t>
      </w:r>
    </w:p>
    <w:p>
      <w:pPr>
        <w:pStyle w:val="36"/>
        <w:spacing w:before="0"/>
        <w:ind w:left="0" w:leftChars="0"/>
        <w:jc w:val="both"/>
      </w:pPr>
      <w:r>
        <w:rPr>
          <w:rFonts w:hint="eastAsia"/>
        </w:rPr>
        <w:t>评价项目</w:t>
      </w:r>
      <w:r>
        <w:rPr>
          <w:rFonts w:hint="eastAsia" w:ascii="仿宋_GB2312" w:hAnsi="仿宋_GB2312" w:eastAsia="仿宋_GB2312" w:cs="仿宋_GB2312"/>
        </w:rPr>
        <w:t>：</w:t>
      </w:r>
      <w:r>
        <w:rPr>
          <w:rFonts w:hint="eastAsia" w:ascii="仿宋_GB2312" w:hAnsi="仿宋_GB2312" w:eastAsia="仿宋_GB2312" w:cs="仿宋_GB2312"/>
          <w:lang w:val="en-US" w:eastAsia="zh-CN"/>
        </w:rPr>
        <w:t>2021年度消防审查与验收管理</w:t>
      </w:r>
    </w:p>
    <w:p>
      <w:pPr>
        <w:pStyle w:val="4"/>
        <w:spacing w:line="579" w:lineRule="exact"/>
        <w:ind w:left="0" w:leftChars="0" w:firstLine="0" w:firstLineChars="0"/>
        <w:rPr>
          <w:rFonts w:hint="eastAsia" w:ascii="仿宋_GB2312" w:hAnsi="仿宋_GB2312" w:eastAsia="仿宋_GB2312" w:cs="仿宋_GB2312"/>
          <w:lang w:val="en-US" w:eastAsia="zh-CN"/>
        </w:rPr>
        <w:sectPr>
          <w:pgSz w:w="11906" w:h="16838"/>
          <w:pgMar w:top="1440" w:right="1800" w:bottom="1440" w:left="1800" w:header="964" w:footer="850" w:gutter="0"/>
          <w:pgNumType w:fmt="numberInDash" w:start="1"/>
          <w:cols w:space="425" w:num="1"/>
          <w:docGrid w:type="lines" w:linePitch="312" w:charSpace="0"/>
        </w:sectPr>
      </w:pPr>
      <w:r>
        <w:rPr>
          <w:rFonts w:hint="eastAsia"/>
          <w:lang w:val="en-US" w:eastAsia="zh-CN"/>
        </w:rPr>
        <w:t>报告时间</w:t>
      </w:r>
      <w:r>
        <w:rPr>
          <w:rFonts w:hint="eastAsia"/>
        </w:rPr>
        <w:t>：</w:t>
      </w:r>
      <w:r>
        <w:rPr>
          <w:rFonts w:hint="eastAsia" w:ascii="仿宋_GB2312" w:hAnsi="仿宋_GB2312" w:eastAsia="仿宋_GB2312" w:cs="仿宋_GB2312"/>
          <w:lang w:val="en-US" w:eastAsia="zh-CN"/>
        </w:rPr>
        <w:t>202</w:t>
      </w:r>
      <w:r>
        <w:rPr>
          <w:rFonts w:hint="eastAsia" w:ascii="仿宋_GB2312" w:hAnsi="仿宋_GB2312" w:cs="仿宋_GB2312"/>
          <w:lang w:val="en-US" w:eastAsia="zh-CN"/>
        </w:rPr>
        <w:t>2</w:t>
      </w:r>
      <w:r>
        <w:rPr>
          <w:rFonts w:hint="eastAsia" w:ascii="仿宋_GB2312" w:hAnsi="仿宋_GB2312" w:eastAsia="仿宋_GB2312" w:cs="仿宋_GB2312"/>
          <w:lang w:val="en-US" w:eastAsia="zh-CN"/>
        </w:rPr>
        <w:t>年</w:t>
      </w:r>
      <w:r>
        <w:rPr>
          <w:rFonts w:hint="eastAsia" w:ascii="仿宋_GB2312" w:hAnsi="仿宋_GB2312" w:cs="仿宋_GB2312"/>
          <w:lang w:val="en-US" w:eastAsia="zh-CN"/>
        </w:rPr>
        <w:t>0</w:t>
      </w:r>
      <w:r>
        <w:rPr>
          <w:rFonts w:hint="eastAsia" w:ascii="仿宋_GB2312" w:hAnsi="仿宋_GB2312" w:eastAsia="仿宋_GB2312" w:cs="仿宋_GB2312"/>
          <w:lang w:val="en-US" w:eastAsia="zh-CN"/>
        </w:rPr>
        <w:t>6月</w:t>
      </w:r>
      <w:bookmarkStart w:id="0" w:name="_Toc64647742"/>
    </w:p>
    <w:p>
      <w:pPr>
        <w:pStyle w:val="3"/>
        <w:spacing w:before="0" w:after="0" w:line="579" w:lineRule="exact"/>
        <w:ind w:firstLine="640"/>
        <w:rPr>
          <w:szCs w:val="32"/>
          <w:lang w:val="en-US"/>
        </w:rPr>
      </w:pPr>
      <w:bookmarkStart w:id="1" w:name="_Toc22228"/>
      <w:r>
        <w:rPr>
          <w:rFonts w:hint="eastAsia"/>
          <w:szCs w:val="32"/>
          <w:lang w:val="en-US"/>
        </w:rPr>
        <w:t>基本情况</w:t>
      </w:r>
      <w:bookmarkEnd w:id="0"/>
      <w:bookmarkEnd w:id="1"/>
    </w:p>
    <w:p>
      <w:pPr>
        <w:pStyle w:val="5"/>
        <w:numPr>
          <w:ilvl w:val="1"/>
          <w:numId w:val="0"/>
        </w:numPr>
        <w:spacing w:before="0" w:after="0" w:line="579" w:lineRule="exact"/>
        <w:ind w:leftChars="200"/>
        <w:rPr>
          <w:rFonts w:ascii="楷体_GB2312" w:hAnsi="楷体_GB2312" w:eastAsia="楷体_GB2312" w:cs="楷体_GB2312"/>
          <w:b w:val="0"/>
          <w:bCs w:val="0"/>
        </w:rPr>
      </w:pPr>
      <w:bookmarkStart w:id="2" w:name="_Toc64647743"/>
      <w:bookmarkStart w:id="3" w:name="_Toc24585"/>
      <w:r>
        <w:rPr>
          <w:rFonts w:hint="eastAsia" w:ascii="楷体_GB2312" w:hAnsi="楷体_GB2312" w:eastAsia="楷体_GB2312" w:cs="楷体_GB2312"/>
          <w:b w:val="0"/>
          <w:bCs w:val="0"/>
          <w:lang w:val="en-US" w:eastAsia="zh-CN"/>
        </w:rPr>
        <w:t>（一）</w:t>
      </w:r>
      <w:r>
        <w:rPr>
          <w:rFonts w:hint="eastAsia" w:ascii="楷体_GB2312" w:hAnsi="楷体_GB2312" w:eastAsia="楷体_GB2312" w:cs="楷体_GB2312"/>
          <w:b w:val="0"/>
          <w:bCs w:val="0"/>
          <w:lang w:val="en-US"/>
        </w:rPr>
        <w:t>项目概况</w:t>
      </w:r>
      <w:bookmarkEnd w:id="2"/>
      <w:bookmarkEnd w:id="3"/>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1.项目背景</w:t>
      </w:r>
    </w:p>
    <w:p>
      <w:pPr>
        <w:pStyle w:val="70"/>
        <w:tabs>
          <w:tab w:val="left" w:pos="1425"/>
        </w:tabs>
        <w:spacing w:line="579" w:lineRule="exact"/>
        <w:ind w:firstLine="640" w:firstLineChars="200"/>
        <w:rPr>
          <w:rFonts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依据《建设工程消防设计审查验收管理暂行规定》（住建部令第51号）、《关于明确建设工程消防设计审查验收工作有关事项的通知》（粤建质函〔2020〕30号）、《关于贯彻实施建设工程消防设计审查验收管理暂行规定的通知》（粤建质函〔2020〕228号）、《深圳市政府投资建设项目施工许可管理规定》（深圳市人民政府令第328号）、《深圳市社会投资建设项目报建登记实施办法》（深圳市人民政府令第329号）、《建设工程消防设计审查验收工作细则》</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等文件的相关工作要求，以及</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深圳市住房和建设局（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以下简称“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市住建局”）主要职能“承担建设工程消防设计审查验收职责，负责对建设工程施工使用的消防产品和装修装饰材料依法进行监督管理”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的履职需要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，市住建局设立2021年度消防审查与验收管理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项目（以下简称“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本项目”），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本项目为一级项目，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包括“消防设计审查购买服务”“消防设计审查业务管理”“消防验收购买服务”“消防验收管理监督”共</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个二级项目。</w:t>
      </w:r>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2.主要内容及实施情况</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w:t>
      </w:r>
      <w:r>
        <w:rPr>
          <w:rFonts w:ascii="仿宋_GB2312" w:hAnsi="仿宋_GB2312" w:eastAsia="仿宋_GB2312" w:cs="仿宋_GB2312"/>
          <w:color w:val="000000" w:themeColor="text1"/>
          <w:sz w:val="32"/>
          <w:szCs w:val="32"/>
          <w:highlight w:val="none"/>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由市住建局局本级建设工程消防设计审查处（以下简称“消审处”）和建设工程消防验收处（以下简称“消验处”）组织实施。根据机构职能，</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消审处负责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国家有关消防法律、法规、规章和消防技术规范、标准，按照管理权限对建设工程消防项目的设计进行监督审核；建立健全消防设计审核档案；依法查处建设工程消防设计中违反消防法律、法规及技术规范的行为。</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消验处负责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消防工程施工单位的资格审查；按照管理权限实施建设工程竣工消防验收；依法查处施工中违反消防技术规范、标准的行为；对建设工程施工使用的消防产品和装修装饰材料依法进行监督管理，建立消防产品消防质量监督管理档案。</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消审处负责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2个二级项目，主要内容及实施情况如下：</w:t>
      </w:r>
    </w:p>
    <w:p>
      <w:pPr>
        <w:pStyle w:val="70"/>
        <w:tabs>
          <w:tab w:val="left" w:pos="1425"/>
        </w:tabs>
        <w:spacing w:line="579" w:lineRule="exact"/>
        <w:ind w:firstLine="640" w:firstLineChars="20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消防设计审查购买服务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通过项目的实施，完成建筑工程消防设计审图约250万平方米，以保证实现提高消防设计审查人员业务办事效率、保障消防设计审查工作的正常开展、降低消防安全隐患的目标。</w:t>
      </w:r>
    </w:p>
    <w:p>
      <w:pPr>
        <w:pStyle w:val="70"/>
        <w:tabs>
          <w:tab w:val="left" w:pos="1425"/>
        </w:tabs>
        <w:spacing w:line="579" w:lineRule="exact"/>
        <w:ind w:firstLine="640" w:firstLineChars="20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消防设计审查业务管理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完成建筑工程消防设计审图量工作1000项，1套建筑工程消防设计审查指引，建筑工程消防设计审查专家评审项目20项等，以保证实现提高消防设计审查人员业务办事效率、保障消防设计审查工作的正常开展、降低消防安全隐患的目标。</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消验处负责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2个二级项目，主要内容及实施情况如下：</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消防验收购买服务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保障2021年消防验收处的业务正常开展，确保高效完成消防验收业务，保障建设工程的消防技术安全，推进我市建设进度，从而降低安全事故隐患，保障人民生命财产的安全。</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yellow"/>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消防验收管理监督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完成以下产出和效益目标：建设工程消防设计审查及验收资料受理、整理数量至少1100宗，消防设施检测面积至少2500000平方米；消防设施检测抽检率达10%，建设工程消防设计审查及验收资料受理、整理质量达标率达100%，建设工程消防设计审查及验收资料受理、整理及时率达100%，消防设施检测工作完成及时率达100%；有效降低消防安全隐患，申报项目建设单位满意度100%。</w:t>
      </w:r>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3.资金投入和使用情况</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eastAsia="zh-CN"/>
        </w:rPr>
        <w:t>根据</w:t>
      </w:r>
      <w:r>
        <w:rPr>
          <w:rFonts w:hint="eastAsia" w:ascii="仿宋_GB2312" w:hAnsi="仿宋_GB2312" w:cs="仿宋_GB2312"/>
          <w:szCs w:val="32"/>
          <w:highlight w:val="none"/>
          <w:lang w:val="en-US"/>
        </w:rPr>
        <w:t>预算执行情况表</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本项目年初预算</w:t>
      </w:r>
      <w:r>
        <w:rPr>
          <w:rFonts w:hint="eastAsia" w:ascii="仿宋_GB2312" w:hAnsi="仿宋_GB2312" w:cs="仿宋_GB2312"/>
          <w:szCs w:val="32"/>
          <w:highlight w:val="none"/>
          <w:lang w:val="en-US" w:eastAsia="zh-CN"/>
        </w:rPr>
        <w:t>1,390</w:t>
      </w:r>
      <w:r>
        <w:rPr>
          <w:rFonts w:hint="eastAsia" w:ascii="仿宋_GB2312" w:hAnsi="仿宋_GB2312" w:cs="仿宋_GB2312"/>
          <w:szCs w:val="32"/>
          <w:highlight w:val="none"/>
          <w:lang w:val="en-US"/>
        </w:rPr>
        <w:t>万元，年中</w:t>
      </w:r>
      <w:r>
        <w:rPr>
          <w:rFonts w:hint="eastAsia" w:ascii="仿宋_GB2312" w:hAnsi="仿宋_GB2312" w:cs="仿宋_GB2312"/>
          <w:szCs w:val="32"/>
          <w:highlight w:val="none"/>
          <w:lang w:val="en-US" w:eastAsia="zh-CN"/>
        </w:rPr>
        <w:t>未进行</w:t>
      </w:r>
      <w:r>
        <w:rPr>
          <w:rFonts w:hint="eastAsia" w:ascii="仿宋_GB2312" w:hAnsi="仿宋_GB2312" w:cs="仿宋_GB2312"/>
          <w:szCs w:val="32"/>
          <w:highlight w:val="none"/>
          <w:lang w:val="en-US"/>
        </w:rPr>
        <w:t>调</w:t>
      </w:r>
      <w:r>
        <w:rPr>
          <w:rFonts w:hint="eastAsia" w:ascii="仿宋_GB2312" w:hAnsi="仿宋_GB2312" w:cs="仿宋_GB2312"/>
          <w:szCs w:val="32"/>
          <w:highlight w:val="none"/>
          <w:lang w:val="en-US" w:eastAsia="zh-CN"/>
        </w:rPr>
        <w:t>增或调</w:t>
      </w:r>
      <w:r>
        <w:rPr>
          <w:rFonts w:hint="eastAsia" w:ascii="仿宋_GB2312" w:hAnsi="仿宋_GB2312" w:cs="仿宋_GB2312"/>
          <w:szCs w:val="32"/>
          <w:highlight w:val="none"/>
          <w:lang w:val="en-US"/>
        </w:rPr>
        <w:t>减，全年预算</w:t>
      </w:r>
      <w:r>
        <w:rPr>
          <w:rFonts w:hint="eastAsia" w:ascii="仿宋_GB2312" w:hAnsi="仿宋_GB2312" w:cs="仿宋_GB2312"/>
          <w:szCs w:val="32"/>
          <w:highlight w:val="none"/>
          <w:lang w:val="en-US" w:eastAsia="zh-CN"/>
        </w:rPr>
        <w:t>1,390</w:t>
      </w:r>
      <w:r>
        <w:rPr>
          <w:rFonts w:hint="eastAsia" w:ascii="仿宋_GB2312" w:hAnsi="仿宋_GB2312" w:cs="仿宋_GB2312"/>
          <w:szCs w:val="32"/>
          <w:highlight w:val="none"/>
          <w:lang w:val="en-US"/>
        </w:rPr>
        <w:t>万元，预算下达</w:t>
      </w:r>
      <w:r>
        <w:rPr>
          <w:rFonts w:hint="eastAsia" w:ascii="仿宋_GB2312" w:hAnsi="仿宋_GB2312" w:cs="仿宋_GB2312"/>
          <w:szCs w:val="32"/>
          <w:highlight w:val="none"/>
          <w:lang w:val="en-US" w:eastAsia="zh-CN"/>
        </w:rPr>
        <w:t>1,390</w:t>
      </w:r>
      <w:r>
        <w:rPr>
          <w:rFonts w:hint="eastAsia" w:ascii="仿宋_GB2312" w:hAnsi="仿宋_GB2312" w:cs="仿宋_GB2312"/>
          <w:szCs w:val="32"/>
          <w:highlight w:val="none"/>
          <w:lang w:val="en-US"/>
        </w:rPr>
        <w:t>万元，资金到位率100%。全年</w:t>
      </w:r>
      <w:r>
        <w:rPr>
          <w:rFonts w:hint="eastAsia" w:ascii="仿宋_GB2312" w:hAnsi="仿宋_GB2312" w:cs="仿宋_GB2312"/>
          <w:szCs w:val="32"/>
          <w:highlight w:val="none"/>
          <w:lang w:val="en-US" w:eastAsia="zh-CN"/>
        </w:rPr>
        <w:t>实际</w:t>
      </w:r>
      <w:r>
        <w:rPr>
          <w:rFonts w:hint="eastAsia" w:ascii="仿宋_GB2312" w:hAnsi="仿宋_GB2312" w:cs="仿宋_GB2312"/>
          <w:szCs w:val="32"/>
          <w:highlight w:val="none"/>
          <w:lang w:val="en-US"/>
        </w:rPr>
        <w:t>支出1</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364.3</w:t>
      </w:r>
      <w:r>
        <w:rPr>
          <w:rFonts w:hint="eastAsia" w:ascii="仿宋_GB2312" w:hAnsi="仿宋_GB2312" w:cs="仿宋_GB2312"/>
          <w:szCs w:val="32"/>
          <w:highlight w:val="none"/>
          <w:lang w:val="en-US" w:eastAsia="zh-CN"/>
        </w:rPr>
        <w:t>1</w:t>
      </w:r>
      <w:r>
        <w:rPr>
          <w:rFonts w:hint="eastAsia" w:ascii="仿宋_GB2312" w:hAnsi="仿宋_GB2312" w:cs="仿宋_GB2312"/>
          <w:szCs w:val="32"/>
          <w:highlight w:val="none"/>
          <w:lang w:val="en-US"/>
        </w:rPr>
        <w:t>万元</w:t>
      </w:r>
      <w:r>
        <w:rPr>
          <w:rFonts w:hint="eastAsia" w:ascii="仿宋_GB2312" w:hAnsi="仿宋_GB2312" w:cs="仿宋_GB2312"/>
          <w:szCs w:val="32"/>
          <w:highlight w:val="none"/>
        </w:rPr>
        <w:t>，</w:t>
      </w:r>
      <w:r>
        <w:rPr>
          <w:rFonts w:hint="eastAsia" w:ascii="仿宋_GB2312" w:hAnsi="仿宋_GB2312" w:cs="仿宋_GB2312"/>
          <w:szCs w:val="32"/>
          <w:highlight w:val="none"/>
          <w:lang w:val="en-US"/>
        </w:rPr>
        <w:t>预算执行率为98</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15%，各二级项目资金投入和使用情况详见表</w:t>
      </w:r>
      <w:r>
        <w:rPr>
          <w:rFonts w:hint="eastAsia" w:ascii="仿宋_GB2312" w:hAnsi="仿宋_GB2312" w:cs="仿宋_GB2312"/>
          <w:szCs w:val="32"/>
          <w:highlight w:val="none"/>
          <w:lang w:val="en-US" w:eastAsia="zh-CN"/>
        </w:rPr>
        <w:t>1</w:t>
      </w:r>
      <w:r>
        <w:rPr>
          <w:rFonts w:hint="eastAsia" w:ascii="仿宋_GB2312" w:hAnsi="仿宋_GB2312" w:cs="仿宋_GB2312"/>
          <w:szCs w:val="32"/>
          <w:highlight w:val="none"/>
          <w:lang w:val="en-US"/>
        </w:rPr>
        <w:t>。</w:t>
      </w:r>
    </w:p>
    <w:p>
      <w:pPr>
        <w:pStyle w:val="65"/>
        <w:spacing w:before="0" w:after="0" w:line="579" w:lineRule="exact"/>
        <w:rPr>
          <w:rFonts w:ascii="仿宋_GB2312" w:hAnsi="仿宋_GB2312" w:eastAsia="仿宋_GB2312" w:cs="仿宋_GB2312"/>
          <w:b w:val="0"/>
          <w:bCs/>
          <w:highlight w:val="yellow"/>
          <w:lang w:val="de-CH"/>
        </w:rPr>
      </w:pPr>
      <w:r>
        <w:rPr>
          <w:rFonts w:hint="eastAsia" w:ascii="仿宋_GB2312" w:hAnsi="仿宋_GB2312" w:eastAsia="仿宋_GB2312" w:cs="仿宋_GB2312"/>
          <w:b w:val="0"/>
          <w:bCs/>
          <w:highlight w:val="none"/>
          <w:lang w:val="de-CH"/>
        </w:rPr>
        <w:t>表</w:t>
      </w:r>
      <w:r>
        <w:rPr>
          <w:rFonts w:hint="eastAsia" w:ascii="仿宋_GB2312" w:hAnsi="仿宋_GB2312" w:eastAsia="仿宋_GB2312" w:cs="仿宋_GB2312"/>
          <w:b w:val="0"/>
          <w:bCs/>
          <w:highlight w:val="none"/>
        </w:rPr>
        <w:t>1</w:t>
      </w:r>
      <w:r>
        <w:rPr>
          <w:rFonts w:hint="eastAsia" w:ascii="仿宋_GB2312" w:hAnsi="仿宋_GB2312" w:eastAsia="仿宋_GB2312" w:cs="仿宋_GB2312"/>
          <w:b w:val="0"/>
          <w:bCs/>
          <w:highlight w:val="none"/>
          <w:lang w:val="de-CH"/>
        </w:rPr>
        <w:t xml:space="preserve">  </w:t>
      </w:r>
      <w:r>
        <w:rPr>
          <w:rFonts w:hint="eastAsia" w:ascii="仿宋_GB2312" w:hAnsi="仿宋_GB2312" w:eastAsia="仿宋_GB2312" w:cs="仿宋_GB2312"/>
          <w:b w:val="0"/>
          <w:bCs/>
          <w:highlight w:val="none"/>
          <w:lang w:val="en-US" w:eastAsia="zh-CN"/>
        </w:rPr>
        <w:t>本项目资金投入和使用情况</w:t>
      </w:r>
      <w:r>
        <w:rPr>
          <w:rFonts w:hint="eastAsia" w:ascii="仿宋_GB2312" w:hAnsi="仿宋_GB2312" w:eastAsia="仿宋_GB2312" w:cs="仿宋_GB2312"/>
          <w:b w:val="0"/>
          <w:bCs/>
          <w:highlight w:val="none"/>
          <w:lang w:val="de-CH"/>
        </w:rPr>
        <w:t>表</w:t>
      </w:r>
    </w:p>
    <w:p>
      <w:pPr>
        <w:pStyle w:val="65"/>
        <w:keepNext w:val="0"/>
        <w:keepLines w:val="0"/>
        <w:pageBreakBefore w:val="0"/>
        <w:widowControl w:val="0"/>
        <w:kinsoku/>
        <w:wordWrap/>
        <w:overflowPunct/>
        <w:topLinePunct w:val="0"/>
        <w:autoSpaceDE/>
        <w:autoSpaceDN/>
        <w:bidi w:val="0"/>
        <w:adjustRightInd/>
        <w:snapToGrid/>
        <w:spacing w:before="0" w:after="0" w:line="579" w:lineRule="exact"/>
        <w:jc w:val="right"/>
        <w:textAlignment w:val="auto"/>
        <w:outlineLvl w:val="9"/>
        <w:rPr>
          <w:rFonts w:ascii="仿宋_GB2312" w:hAnsi="仿宋_GB2312" w:eastAsia="仿宋_GB2312" w:cs="仿宋_GB2312"/>
          <w:b w:val="0"/>
          <w:bCs/>
          <w:highlight w:val="none"/>
          <w:lang w:val="de-CH"/>
        </w:rPr>
      </w:pPr>
      <w:r>
        <w:rPr>
          <w:rFonts w:hint="eastAsia" w:ascii="仿宋_GB2312" w:hAnsi="仿宋_GB2312" w:eastAsia="仿宋_GB2312" w:cs="仿宋_GB2312"/>
          <w:b w:val="0"/>
          <w:bCs/>
          <w:highlight w:val="none"/>
          <w:lang w:val="en-US" w:eastAsia="zh-CN"/>
        </w:rPr>
        <w:t>单位</w:t>
      </w:r>
      <w:r>
        <w:rPr>
          <w:rFonts w:hint="eastAsia" w:ascii="仿宋_GB2312" w:hAnsi="仿宋_GB2312" w:eastAsia="仿宋_GB2312" w:cs="仿宋_GB2312"/>
          <w:b w:val="0"/>
          <w:bCs/>
          <w:highlight w:val="none"/>
          <w:lang w:val="de-CH"/>
        </w:rPr>
        <w:t>:万元</w:t>
      </w:r>
    </w:p>
    <w:tbl>
      <w:tblPr>
        <w:tblStyle w:val="20"/>
        <w:tblW w:w="9494" w:type="dxa"/>
        <w:jc w:val="center"/>
        <w:tblLayout w:type="fixed"/>
        <w:tblCellMar>
          <w:top w:w="0" w:type="dxa"/>
          <w:left w:w="108" w:type="dxa"/>
          <w:bottom w:w="0" w:type="dxa"/>
          <w:right w:w="108" w:type="dxa"/>
        </w:tblCellMar>
      </w:tblPr>
      <w:tblGrid>
        <w:gridCol w:w="1261"/>
        <w:gridCol w:w="2418"/>
        <w:gridCol w:w="1482"/>
        <w:gridCol w:w="1092"/>
        <w:gridCol w:w="1716"/>
        <w:gridCol w:w="1525"/>
      </w:tblGrid>
      <w:tr>
        <w:tblPrEx>
          <w:tblCellMar>
            <w:top w:w="0" w:type="dxa"/>
            <w:left w:w="108" w:type="dxa"/>
            <w:bottom w:w="0" w:type="dxa"/>
            <w:right w:w="108" w:type="dxa"/>
          </w:tblCellMar>
        </w:tblPrEx>
        <w:trPr>
          <w:trHeight w:val="280" w:hRule="atLeast"/>
          <w:tblHeader/>
          <w:jc w:val="center"/>
        </w:trPr>
        <w:tc>
          <w:tcPr>
            <w:tcW w:w="1261" w:type="dxa"/>
            <w:tcBorders>
              <w:top w:val="single" w:color="000000" w:sz="4" w:space="0"/>
              <w:left w:val="single" w:color="000000" w:sz="4" w:space="0"/>
              <w:bottom w:val="single" w:color="000000" w:sz="4" w:space="0"/>
              <w:right w:val="single" w:color="000000" w:sz="4" w:space="0"/>
            </w:tcBorders>
            <w:shd w:val="clear" w:color="DDEBF7" w:fill="auto"/>
            <w:noWrap/>
            <w:vAlign w:val="center"/>
          </w:tcPr>
          <w:p>
            <w:pPr>
              <w:widowControl/>
              <w:spacing w:line="360" w:lineRule="auto"/>
              <w:jc w:val="center"/>
              <w:textAlignment w:val="center"/>
              <w:rPr>
                <w:rFonts w:hint="default" w:ascii="仿宋_GB2312" w:hAnsi="仿宋_GB2312" w:eastAsia="仿宋_GB2312" w:cs="仿宋_GB2312"/>
                <w:b/>
                <w:bCs/>
                <w:color w:val="000000"/>
                <w:highlight w:val="none"/>
                <w:lang w:val="en-US" w:eastAsia="zh-CN"/>
              </w:rPr>
            </w:pPr>
            <w:r>
              <w:rPr>
                <w:rFonts w:hint="eastAsia" w:ascii="仿宋_GB2312" w:hAnsi="仿宋_GB2312" w:eastAsia="仿宋_GB2312" w:cs="仿宋_GB2312"/>
                <w:b/>
                <w:bCs/>
                <w:color w:val="000000"/>
                <w:highlight w:val="none"/>
                <w:lang w:val="en-US" w:eastAsia="zh-CN"/>
              </w:rPr>
              <w:t>处室名称</w:t>
            </w:r>
          </w:p>
        </w:tc>
        <w:tc>
          <w:tcPr>
            <w:tcW w:w="2418" w:type="dxa"/>
            <w:tcBorders>
              <w:top w:val="single" w:color="000000" w:sz="4" w:space="0"/>
              <w:left w:val="single" w:color="000000" w:sz="4" w:space="0"/>
              <w:bottom w:val="single" w:color="000000" w:sz="4" w:space="0"/>
              <w:right w:val="single" w:color="000000" w:sz="4" w:space="0"/>
            </w:tcBorders>
            <w:shd w:val="clear" w:color="DDEBF7" w:fill="auto"/>
            <w:noWrap/>
            <w:vAlign w:val="center"/>
          </w:tcPr>
          <w:p>
            <w:pPr>
              <w:widowControl/>
              <w:spacing w:line="360" w:lineRule="auto"/>
              <w:jc w:val="center"/>
              <w:textAlignment w:val="center"/>
              <w:rPr>
                <w:rFonts w:ascii="仿宋_GB2312" w:hAnsi="仿宋_GB2312" w:eastAsia="仿宋_GB2312" w:cs="仿宋_GB2312"/>
                <w:b/>
                <w:bCs/>
                <w:color w:val="000000"/>
                <w:highlight w:val="none"/>
              </w:rPr>
            </w:pPr>
            <w:r>
              <w:rPr>
                <w:rFonts w:hint="eastAsia" w:ascii="仿宋_GB2312" w:hAnsi="仿宋_GB2312" w:eastAsia="仿宋_GB2312" w:cs="仿宋_GB2312"/>
                <w:b/>
                <w:bCs/>
                <w:color w:val="000000"/>
                <w:highlight w:val="none"/>
              </w:rPr>
              <w:t>二级项目名称</w:t>
            </w:r>
          </w:p>
        </w:tc>
        <w:tc>
          <w:tcPr>
            <w:tcW w:w="1482" w:type="dxa"/>
            <w:tcBorders>
              <w:top w:val="single" w:color="000000" w:sz="4" w:space="0"/>
              <w:left w:val="single" w:color="000000" w:sz="4" w:space="0"/>
              <w:bottom w:val="single" w:color="000000" w:sz="4" w:space="0"/>
              <w:right w:val="single" w:color="000000" w:sz="4" w:space="0"/>
            </w:tcBorders>
            <w:shd w:val="clear" w:color="DDEBF7" w:fill="auto"/>
            <w:noWrap/>
            <w:vAlign w:val="center"/>
          </w:tcPr>
          <w:p>
            <w:pPr>
              <w:widowControl/>
              <w:spacing w:line="360" w:lineRule="auto"/>
              <w:jc w:val="center"/>
              <w:textAlignment w:val="center"/>
              <w:rPr>
                <w:rFonts w:hint="default" w:ascii="仿宋_GB2312" w:hAnsi="仿宋_GB2312" w:eastAsia="仿宋_GB2312" w:cs="仿宋_GB2312"/>
                <w:b/>
                <w:bCs/>
                <w:color w:val="000000"/>
                <w:highlight w:val="none"/>
                <w:lang w:val="en-US" w:eastAsia="zh-CN"/>
              </w:rPr>
            </w:pPr>
            <w:r>
              <w:rPr>
                <w:rFonts w:hint="default" w:ascii="仿宋_GB2312" w:hAnsi="仿宋_GB2312" w:eastAsia="仿宋_GB2312" w:cs="仿宋_GB2312"/>
                <w:b/>
                <w:bCs/>
                <w:color w:val="000000"/>
                <w:highlight w:val="none"/>
                <w:lang w:val="en-US" w:eastAsia="zh-CN"/>
              </w:rPr>
              <w:t>年初预算</w:t>
            </w:r>
          </w:p>
        </w:tc>
        <w:tc>
          <w:tcPr>
            <w:tcW w:w="1092" w:type="dxa"/>
            <w:tcBorders>
              <w:top w:val="single" w:color="000000" w:sz="4" w:space="0"/>
              <w:left w:val="single" w:color="000000" w:sz="4" w:space="0"/>
              <w:bottom w:val="single" w:color="000000" w:sz="4" w:space="0"/>
              <w:right w:val="single" w:color="000000" w:sz="4" w:space="0"/>
            </w:tcBorders>
            <w:shd w:val="clear" w:color="DDEBF7" w:fill="auto"/>
            <w:noWrap/>
            <w:vAlign w:val="center"/>
          </w:tcPr>
          <w:p>
            <w:pPr>
              <w:widowControl/>
              <w:spacing w:line="360" w:lineRule="auto"/>
              <w:jc w:val="center"/>
              <w:textAlignment w:val="center"/>
              <w:rPr>
                <w:rFonts w:ascii="仿宋_GB2312" w:hAnsi="仿宋_GB2312" w:eastAsia="仿宋_GB2312" w:cs="仿宋_GB2312"/>
                <w:b/>
                <w:bCs/>
                <w:color w:val="000000"/>
                <w:highlight w:val="none"/>
              </w:rPr>
            </w:pPr>
            <w:r>
              <w:rPr>
                <w:rFonts w:hint="eastAsia" w:ascii="仿宋_GB2312" w:hAnsi="仿宋_GB2312" w:eastAsia="仿宋_GB2312" w:cs="仿宋_GB2312"/>
                <w:b/>
                <w:bCs/>
                <w:color w:val="000000"/>
                <w:kern w:val="0"/>
                <w:highlight w:val="none"/>
                <w:lang w:bidi="ar"/>
              </w:rPr>
              <w:t>全年预算</w:t>
            </w:r>
          </w:p>
        </w:tc>
        <w:tc>
          <w:tcPr>
            <w:tcW w:w="1716" w:type="dxa"/>
            <w:tcBorders>
              <w:top w:val="single" w:color="000000" w:sz="4" w:space="0"/>
              <w:left w:val="single" w:color="000000" w:sz="4" w:space="0"/>
              <w:bottom w:val="single" w:color="000000" w:sz="4" w:space="0"/>
              <w:right w:val="single" w:color="000000" w:sz="4" w:space="0"/>
            </w:tcBorders>
            <w:shd w:val="clear" w:color="DDEBF7" w:fill="auto"/>
            <w:noWrap/>
            <w:vAlign w:val="center"/>
          </w:tcPr>
          <w:p>
            <w:pPr>
              <w:widowControl/>
              <w:spacing w:line="360" w:lineRule="auto"/>
              <w:jc w:val="center"/>
              <w:textAlignment w:val="center"/>
              <w:rPr>
                <w:rFonts w:ascii="仿宋_GB2312" w:hAnsi="仿宋_GB2312" w:eastAsia="仿宋_GB2312" w:cs="仿宋_GB2312"/>
                <w:b/>
                <w:bCs/>
                <w:color w:val="000000"/>
                <w:highlight w:val="none"/>
              </w:rPr>
            </w:pPr>
            <w:r>
              <w:rPr>
                <w:rFonts w:hint="eastAsia" w:ascii="仿宋_GB2312" w:hAnsi="仿宋_GB2312" w:eastAsia="仿宋_GB2312" w:cs="仿宋_GB2312"/>
                <w:b/>
                <w:bCs/>
                <w:color w:val="000000"/>
                <w:kern w:val="0"/>
                <w:highlight w:val="none"/>
                <w:lang w:bidi="ar"/>
              </w:rPr>
              <w:t>全年</w:t>
            </w:r>
            <w:r>
              <w:rPr>
                <w:rFonts w:hint="eastAsia" w:ascii="仿宋_GB2312" w:hAnsi="仿宋_GB2312" w:eastAsia="仿宋_GB2312" w:cs="仿宋_GB2312"/>
                <w:b/>
                <w:bCs/>
                <w:color w:val="000000"/>
                <w:kern w:val="0"/>
                <w:highlight w:val="none"/>
                <w:lang w:val="en-US" w:eastAsia="zh-CN" w:bidi="ar"/>
              </w:rPr>
              <w:t>实际</w:t>
            </w:r>
            <w:r>
              <w:rPr>
                <w:rFonts w:hint="eastAsia" w:ascii="仿宋_GB2312" w:hAnsi="仿宋_GB2312" w:eastAsia="仿宋_GB2312" w:cs="仿宋_GB2312"/>
                <w:b/>
                <w:bCs/>
                <w:color w:val="000000"/>
                <w:kern w:val="0"/>
                <w:highlight w:val="none"/>
                <w:lang w:bidi="ar"/>
              </w:rPr>
              <w:t>支出</w:t>
            </w:r>
          </w:p>
        </w:tc>
        <w:tc>
          <w:tcPr>
            <w:tcW w:w="1525" w:type="dxa"/>
            <w:tcBorders>
              <w:top w:val="single" w:color="000000" w:sz="4" w:space="0"/>
              <w:left w:val="single" w:color="000000" w:sz="4" w:space="0"/>
              <w:bottom w:val="single" w:color="000000" w:sz="4" w:space="0"/>
              <w:right w:val="single" w:color="000000" w:sz="4" w:space="0"/>
            </w:tcBorders>
            <w:shd w:val="clear" w:color="DDEBF7" w:fill="auto"/>
            <w:noWrap/>
            <w:vAlign w:val="center"/>
          </w:tcPr>
          <w:p>
            <w:pPr>
              <w:widowControl/>
              <w:spacing w:line="360" w:lineRule="auto"/>
              <w:jc w:val="center"/>
              <w:textAlignment w:val="center"/>
              <w:rPr>
                <w:rFonts w:ascii="仿宋_GB2312" w:hAnsi="仿宋_GB2312" w:eastAsia="仿宋_GB2312" w:cs="仿宋_GB2312"/>
                <w:b/>
                <w:bCs/>
                <w:color w:val="000000"/>
                <w:highlight w:val="none"/>
              </w:rPr>
            </w:pPr>
            <w:r>
              <w:rPr>
                <w:rFonts w:hint="eastAsia" w:ascii="仿宋_GB2312" w:hAnsi="仿宋_GB2312" w:eastAsia="仿宋_GB2312" w:cs="仿宋_GB2312"/>
                <w:b/>
                <w:bCs/>
                <w:color w:val="000000"/>
                <w:kern w:val="0"/>
                <w:highlight w:val="none"/>
                <w:lang w:val="en-US" w:eastAsia="zh-CN" w:bidi="ar"/>
              </w:rPr>
              <w:t>预算</w:t>
            </w:r>
            <w:r>
              <w:rPr>
                <w:rFonts w:hint="eastAsia" w:ascii="仿宋_GB2312" w:hAnsi="仿宋_GB2312" w:eastAsia="仿宋_GB2312" w:cs="仿宋_GB2312"/>
                <w:b/>
                <w:bCs/>
                <w:color w:val="000000"/>
                <w:kern w:val="0"/>
                <w:highlight w:val="none"/>
                <w:lang w:bidi="ar"/>
              </w:rPr>
              <w:t>执行率</w:t>
            </w:r>
          </w:p>
        </w:tc>
      </w:tr>
      <w:tr>
        <w:tblPrEx>
          <w:tblCellMar>
            <w:top w:w="0" w:type="dxa"/>
            <w:left w:w="108" w:type="dxa"/>
            <w:bottom w:w="0" w:type="dxa"/>
            <w:right w:w="108" w:type="dxa"/>
          </w:tblCellMar>
        </w:tblPrEx>
        <w:trPr>
          <w:trHeight w:val="510" w:hRule="atLeast"/>
          <w:jc w:val="center"/>
        </w:trPr>
        <w:tc>
          <w:tcPr>
            <w:tcW w:w="1261" w:type="dxa"/>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r>
              <w:rPr>
                <w:rFonts w:hint="eastAsia" w:ascii="仿宋_GB2312" w:hAnsi="仿宋_GB2312" w:eastAsia="仿宋_GB2312" w:cs="仿宋_GB2312"/>
                <w:sz w:val="21"/>
                <w:szCs w:val="21"/>
                <w:lang w:val="en-US" w:eastAsia="zh-CN"/>
              </w:rPr>
              <w:t>消审处</w:t>
            </w:r>
          </w:p>
        </w:tc>
        <w:tc>
          <w:tcPr>
            <w:tcW w:w="2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消防设计审查购买服务</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400</w:t>
            </w:r>
            <w:r>
              <w:rPr>
                <w:rFonts w:hint="eastAsia" w:ascii="仿宋_GB2312" w:hAnsi="仿宋_GB2312" w:eastAsia="仿宋_GB2312" w:cs="仿宋_GB2312"/>
                <w:i w:val="0"/>
                <w:iCs w:val="0"/>
                <w:color w:val="000000"/>
                <w:kern w:val="0"/>
                <w:sz w:val="21"/>
                <w:szCs w:val="21"/>
                <w:u w:val="none"/>
                <w:lang w:val="en-US" w:eastAsia="zh-CN" w:bidi="ar"/>
              </w:rPr>
              <w:t>.00</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400</w:t>
            </w:r>
            <w:r>
              <w:rPr>
                <w:rFonts w:hint="eastAsia" w:ascii="仿宋_GB2312" w:hAnsi="仿宋_GB2312" w:eastAsia="仿宋_GB2312" w:cs="仿宋_GB2312"/>
                <w:i w:val="0"/>
                <w:iCs w:val="0"/>
                <w:color w:val="000000"/>
                <w:kern w:val="0"/>
                <w:sz w:val="21"/>
                <w:szCs w:val="21"/>
                <w:u w:val="none"/>
                <w:lang w:val="en-US" w:eastAsia="zh-CN" w:bidi="ar"/>
              </w:rPr>
              <w:t>.00</w:t>
            </w:r>
          </w:p>
        </w:tc>
        <w:tc>
          <w:tcPr>
            <w:tcW w:w="1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400</w:t>
            </w:r>
            <w:r>
              <w:rPr>
                <w:rFonts w:hint="eastAsia" w:ascii="仿宋_GB2312" w:hAnsi="仿宋_GB2312" w:eastAsia="仿宋_GB2312" w:cs="仿宋_GB2312"/>
                <w:i w:val="0"/>
                <w:iCs w:val="0"/>
                <w:color w:val="000000"/>
                <w:kern w:val="0"/>
                <w:sz w:val="21"/>
                <w:szCs w:val="21"/>
                <w:u w:val="none"/>
                <w:lang w:val="en-US" w:eastAsia="zh-CN" w:bidi="ar"/>
              </w:rPr>
              <w:t>.00</w:t>
            </w:r>
          </w:p>
        </w:tc>
        <w:tc>
          <w:tcPr>
            <w:tcW w:w="1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100</w:t>
            </w:r>
            <w:r>
              <w:rPr>
                <w:rFonts w:hint="eastAsia" w:ascii="仿宋_GB2312" w:hAnsi="仿宋_GB2312" w:eastAsia="仿宋_GB2312" w:cs="仿宋_GB2312"/>
                <w:i w:val="0"/>
                <w:iCs w:val="0"/>
                <w:color w:val="000000"/>
                <w:kern w:val="0"/>
                <w:sz w:val="21"/>
                <w:szCs w:val="21"/>
                <w:u w:val="none"/>
                <w:lang w:val="en-US" w:eastAsia="zh-CN" w:bidi="ar"/>
              </w:rPr>
              <w:t>.00</w:t>
            </w:r>
            <w:r>
              <w:rPr>
                <w:rFonts w:hint="eastAsia" w:ascii="仿宋_GB2312" w:hAnsi="仿宋_GB2312" w:eastAsia="仿宋_GB2312" w:cs="仿宋_GB2312"/>
                <w:color w:val="000000"/>
                <w:kern w:val="0"/>
                <w:sz w:val="21"/>
                <w:szCs w:val="21"/>
                <w:highlight w:val="none"/>
                <w:lang w:val="en-US" w:eastAsia="zh-CN" w:bidi="ar"/>
              </w:rPr>
              <w:t>%</w:t>
            </w:r>
          </w:p>
        </w:tc>
      </w:tr>
      <w:tr>
        <w:tblPrEx>
          <w:tblCellMar>
            <w:top w:w="0" w:type="dxa"/>
            <w:left w:w="108" w:type="dxa"/>
            <w:bottom w:w="0" w:type="dxa"/>
            <w:right w:w="108" w:type="dxa"/>
          </w:tblCellMar>
        </w:tblPrEx>
        <w:trPr>
          <w:trHeight w:val="510" w:hRule="atLeast"/>
          <w:jc w:val="center"/>
        </w:trPr>
        <w:tc>
          <w:tcPr>
            <w:tcW w:w="1261" w:type="dxa"/>
            <w:vMerge w:val="continue"/>
            <w:tcBorders>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bookmarkStart w:id="4" w:name="_Toc64647744"/>
            <w:bookmarkStart w:id="5" w:name="_Toc30219"/>
          </w:p>
        </w:tc>
        <w:tc>
          <w:tcPr>
            <w:tcW w:w="2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消防设计审查业务管理</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163</w:t>
            </w:r>
            <w:r>
              <w:rPr>
                <w:rFonts w:hint="eastAsia" w:ascii="仿宋_GB2312" w:hAnsi="仿宋_GB2312" w:eastAsia="仿宋_GB2312" w:cs="仿宋_GB2312"/>
                <w:i w:val="0"/>
                <w:iCs w:val="0"/>
                <w:color w:val="000000"/>
                <w:kern w:val="0"/>
                <w:sz w:val="21"/>
                <w:szCs w:val="21"/>
                <w:u w:val="none"/>
                <w:lang w:val="en-US" w:eastAsia="zh-CN" w:bidi="ar"/>
              </w:rPr>
              <w:t>.00</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163</w:t>
            </w:r>
            <w:r>
              <w:rPr>
                <w:rFonts w:hint="eastAsia" w:ascii="仿宋_GB2312" w:hAnsi="仿宋_GB2312" w:eastAsia="仿宋_GB2312" w:cs="仿宋_GB2312"/>
                <w:i w:val="0"/>
                <w:iCs w:val="0"/>
                <w:color w:val="000000"/>
                <w:kern w:val="0"/>
                <w:sz w:val="21"/>
                <w:szCs w:val="21"/>
                <w:u w:val="none"/>
                <w:lang w:val="en-US" w:eastAsia="zh-CN" w:bidi="ar"/>
              </w:rPr>
              <w:t>.00</w:t>
            </w:r>
          </w:p>
        </w:tc>
        <w:tc>
          <w:tcPr>
            <w:tcW w:w="1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147.77</w:t>
            </w:r>
          </w:p>
        </w:tc>
        <w:tc>
          <w:tcPr>
            <w:tcW w:w="1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bidi="ar"/>
              </w:rPr>
              <w:t>90.6</w:t>
            </w:r>
            <w:r>
              <w:rPr>
                <w:rFonts w:hint="eastAsia" w:ascii="仿宋_GB2312" w:hAnsi="仿宋_GB2312" w:eastAsia="仿宋_GB2312" w:cs="仿宋_GB2312"/>
                <w:color w:val="000000"/>
                <w:kern w:val="0"/>
                <w:sz w:val="21"/>
                <w:szCs w:val="21"/>
                <w:highlight w:val="none"/>
                <w:lang w:val="en-US" w:eastAsia="zh-CN" w:bidi="ar"/>
              </w:rPr>
              <w:t>6%</w:t>
            </w:r>
          </w:p>
        </w:tc>
      </w:tr>
      <w:tr>
        <w:tblPrEx>
          <w:tblCellMar>
            <w:top w:w="0" w:type="dxa"/>
            <w:left w:w="108" w:type="dxa"/>
            <w:bottom w:w="0" w:type="dxa"/>
            <w:right w:w="108" w:type="dxa"/>
          </w:tblCellMar>
        </w:tblPrEx>
        <w:trPr>
          <w:trHeight w:val="510" w:hRule="atLeast"/>
          <w:jc w:val="center"/>
        </w:trPr>
        <w:tc>
          <w:tcPr>
            <w:tcW w:w="1261" w:type="dxa"/>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r>
              <w:rPr>
                <w:rFonts w:hint="eastAsia" w:ascii="仿宋_GB2312" w:hAnsi="仿宋_GB2312" w:eastAsia="仿宋_GB2312" w:cs="仿宋_GB2312"/>
                <w:b w:val="0"/>
                <w:bCs w:val="0"/>
                <w:color w:val="000000"/>
                <w:sz w:val="21"/>
                <w:szCs w:val="21"/>
                <w:highlight w:val="none"/>
                <w:lang w:val="en-US" w:eastAsia="zh-CN"/>
              </w:rPr>
              <w:t>消验处</w:t>
            </w:r>
          </w:p>
        </w:tc>
        <w:tc>
          <w:tcPr>
            <w:tcW w:w="2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消防验收购买服务</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300</w:t>
            </w:r>
            <w:r>
              <w:rPr>
                <w:rFonts w:hint="eastAsia" w:ascii="仿宋_GB2312" w:hAnsi="仿宋_GB2312" w:eastAsia="仿宋_GB2312" w:cs="仿宋_GB2312"/>
                <w:i w:val="0"/>
                <w:iCs w:val="0"/>
                <w:color w:val="000000"/>
                <w:kern w:val="0"/>
                <w:sz w:val="21"/>
                <w:szCs w:val="21"/>
                <w:u w:val="none"/>
                <w:lang w:val="en-US" w:eastAsia="zh-CN" w:bidi="ar"/>
              </w:rPr>
              <w:t>.00</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300</w:t>
            </w:r>
            <w:r>
              <w:rPr>
                <w:rFonts w:hint="eastAsia" w:ascii="仿宋_GB2312" w:hAnsi="仿宋_GB2312" w:eastAsia="仿宋_GB2312" w:cs="仿宋_GB2312"/>
                <w:i w:val="0"/>
                <w:iCs w:val="0"/>
                <w:color w:val="000000"/>
                <w:kern w:val="0"/>
                <w:sz w:val="21"/>
                <w:szCs w:val="21"/>
                <w:u w:val="none"/>
                <w:lang w:val="en-US" w:eastAsia="zh-CN" w:bidi="ar"/>
              </w:rPr>
              <w:t>.00</w:t>
            </w:r>
          </w:p>
        </w:tc>
        <w:tc>
          <w:tcPr>
            <w:tcW w:w="1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300</w:t>
            </w:r>
            <w:r>
              <w:rPr>
                <w:rFonts w:hint="eastAsia" w:ascii="仿宋_GB2312" w:hAnsi="仿宋_GB2312" w:eastAsia="仿宋_GB2312" w:cs="仿宋_GB2312"/>
                <w:i w:val="0"/>
                <w:iCs w:val="0"/>
                <w:color w:val="000000"/>
                <w:kern w:val="0"/>
                <w:sz w:val="21"/>
                <w:szCs w:val="21"/>
                <w:u w:val="none"/>
                <w:lang w:val="en-US" w:eastAsia="zh-CN" w:bidi="ar"/>
              </w:rPr>
              <w:t>.00</w:t>
            </w:r>
          </w:p>
        </w:tc>
        <w:tc>
          <w:tcPr>
            <w:tcW w:w="1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100</w:t>
            </w:r>
            <w:r>
              <w:rPr>
                <w:rFonts w:hint="eastAsia" w:ascii="仿宋_GB2312" w:hAnsi="仿宋_GB2312" w:eastAsia="仿宋_GB2312" w:cs="仿宋_GB2312"/>
                <w:i w:val="0"/>
                <w:iCs w:val="0"/>
                <w:color w:val="000000"/>
                <w:kern w:val="0"/>
                <w:sz w:val="21"/>
                <w:szCs w:val="21"/>
                <w:u w:val="none"/>
                <w:lang w:val="en-US" w:eastAsia="zh-CN" w:bidi="ar"/>
              </w:rPr>
              <w:t>.00</w:t>
            </w:r>
            <w:r>
              <w:rPr>
                <w:rFonts w:hint="eastAsia" w:ascii="仿宋_GB2312" w:hAnsi="仿宋_GB2312" w:eastAsia="仿宋_GB2312" w:cs="仿宋_GB2312"/>
                <w:color w:val="000000"/>
                <w:kern w:val="0"/>
                <w:sz w:val="21"/>
                <w:szCs w:val="21"/>
                <w:highlight w:val="none"/>
                <w:lang w:val="en-US" w:eastAsia="zh-CN" w:bidi="ar"/>
              </w:rPr>
              <w:t>%</w:t>
            </w:r>
          </w:p>
        </w:tc>
      </w:tr>
      <w:tr>
        <w:tblPrEx>
          <w:tblCellMar>
            <w:top w:w="0" w:type="dxa"/>
            <w:left w:w="108" w:type="dxa"/>
            <w:bottom w:w="0" w:type="dxa"/>
            <w:right w:w="108" w:type="dxa"/>
          </w:tblCellMar>
        </w:tblPrEx>
        <w:trPr>
          <w:trHeight w:val="510" w:hRule="atLeast"/>
          <w:jc w:val="center"/>
        </w:trPr>
        <w:tc>
          <w:tcPr>
            <w:tcW w:w="1261" w:type="dxa"/>
            <w:vMerge w:val="continue"/>
            <w:tcBorders>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消防验收管理监督</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527</w:t>
            </w:r>
            <w:r>
              <w:rPr>
                <w:rFonts w:hint="eastAsia" w:ascii="仿宋_GB2312" w:hAnsi="仿宋_GB2312" w:eastAsia="仿宋_GB2312" w:cs="仿宋_GB2312"/>
                <w:i w:val="0"/>
                <w:iCs w:val="0"/>
                <w:color w:val="000000"/>
                <w:kern w:val="0"/>
                <w:sz w:val="21"/>
                <w:szCs w:val="21"/>
                <w:u w:val="none"/>
                <w:lang w:val="en-US" w:eastAsia="zh-CN" w:bidi="ar"/>
              </w:rPr>
              <w:t>.00</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527</w:t>
            </w:r>
            <w:r>
              <w:rPr>
                <w:rFonts w:hint="eastAsia" w:ascii="仿宋_GB2312" w:hAnsi="仿宋_GB2312" w:eastAsia="仿宋_GB2312" w:cs="仿宋_GB2312"/>
                <w:i w:val="0"/>
                <w:iCs w:val="0"/>
                <w:color w:val="000000"/>
                <w:kern w:val="0"/>
                <w:sz w:val="21"/>
                <w:szCs w:val="21"/>
                <w:u w:val="none"/>
                <w:lang w:val="en-US" w:eastAsia="zh-CN" w:bidi="ar"/>
              </w:rPr>
              <w:t>.00</w:t>
            </w:r>
          </w:p>
        </w:tc>
        <w:tc>
          <w:tcPr>
            <w:tcW w:w="1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516.54</w:t>
            </w:r>
          </w:p>
        </w:tc>
        <w:tc>
          <w:tcPr>
            <w:tcW w:w="1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bidi="ar"/>
              </w:rPr>
              <w:t>98.0</w:t>
            </w:r>
            <w:r>
              <w:rPr>
                <w:rFonts w:hint="eastAsia" w:ascii="仿宋_GB2312" w:hAnsi="仿宋_GB2312" w:eastAsia="仿宋_GB2312" w:cs="仿宋_GB2312"/>
                <w:color w:val="000000"/>
                <w:kern w:val="0"/>
                <w:sz w:val="21"/>
                <w:szCs w:val="21"/>
                <w:highlight w:val="none"/>
                <w:lang w:val="en-US" w:eastAsia="zh-CN" w:bidi="ar"/>
              </w:rPr>
              <w:t>1</w:t>
            </w:r>
            <w:bookmarkStart w:id="33" w:name="_GoBack"/>
            <w:bookmarkEnd w:id="33"/>
            <w:r>
              <w:rPr>
                <w:rFonts w:hint="eastAsia" w:ascii="仿宋_GB2312" w:hAnsi="仿宋_GB2312" w:eastAsia="仿宋_GB2312" w:cs="仿宋_GB2312"/>
                <w:color w:val="000000"/>
                <w:kern w:val="0"/>
                <w:sz w:val="21"/>
                <w:szCs w:val="21"/>
                <w:highlight w:val="none"/>
                <w:lang w:val="en-US" w:eastAsia="zh-CN" w:bidi="ar"/>
              </w:rPr>
              <w:t>%</w:t>
            </w:r>
          </w:p>
        </w:tc>
      </w:tr>
      <w:tr>
        <w:tblPrEx>
          <w:tblCellMar>
            <w:top w:w="0" w:type="dxa"/>
            <w:left w:w="108" w:type="dxa"/>
            <w:bottom w:w="0" w:type="dxa"/>
            <w:right w:w="108" w:type="dxa"/>
          </w:tblCellMar>
        </w:tblPrEx>
        <w:trPr>
          <w:trHeight w:val="510" w:hRule="atLeast"/>
          <w:jc w:val="center"/>
        </w:trPr>
        <w:tc>
          <w:tcPr>
            <w:tcW w:w="36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仿宋_GB2312" w:hAnsi="仿宋_GB2312" w:eastAsia="仿宋_GB2312" w:cs="仿宋_GB2312"/>
                <w:b/>
                <w:bCs/>
                <w:color w:val="000000"/>
                <w:kern w:val="0"/>
                <w:sz w:val="21"/>
                <w:szCs w:val="21"/>
                <w:highlight w:val="none"/>
                <w:lang w:val="en-US" w:eastAsia="zh-CN" w:bidi="ar"/>
              </w:rPr>
            </w:pPr>
            <w:r>
              <w:rPr>
                <w:rFonts w:hint="eastAsia" w:ascii="仿宋_GB2312" w:hAnsi="仿宋_GB2312" w:eastAsia="仿宋_GB2312" w:cs="仿宋_GB2312"/>
                <w:b/>
                <w:bCs/>
                <w:color w:val="000000"/>
                <w:kern w:val="0"/>
                <w:sz w:val="21"/>
                <w:szCs w:val="21"/>
                <w:highlight w:val="none"/>
                <w:lang w:val="en-US" w:eastAsia="zh-CN" w:bidi="ar"/>
              </w:rPr>
              <w:t>合计</w:t>
            </w:r>
          </w:p>
        </w:tc>
        <w:tc>
          <w:tcPr>
            <w:tcW w:w="1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eastAsia" w:ascii="仿宋_GB2312" w:hAnsi="仿宋_GB2312" w:eastAsia="仿宋_GB2312" w:cs="仿宋_GB2312"/>
                <w:b/>
                <w:bCs/>
                <w:color w:val="000000"/>
                <w:kern w:val="0"/>
                <w:sz w:val="21"/>
                <w:szCs w:val="21"/>
                <w:highlight w:val="none"/>
                <w:lang w:val="en-US" w:eastAsia="zh-CN" w:bidi="ar"/>
              </w:rPr>
            </w:pPr>
            <w:r>
              <w:rPr>
                <w:rFonts w:hint="eastAsia" w:ascii="仿宋_GB2312" w:hAnsi="仿宋_GB2312" w:cs="仿宋_GB2312"/>
                <w:b/>
                <w:bCs/>
                <w:szCs w:val="32"/>
                <w:highlight w:val="none"/>
                <w:lang w:val="en-US" w:eastAsia="zh-CN"/>
              </w:rPr>
              <w:t>1,390</w:t>
            </w:r>
            <w:r>
              <w:rPr>
                <w:rFonts w:hint="eastAsia" w:ascii="仿宋_GB2312" w:hAnsi="仿宋_GB2312" w:eastAsia="仿宋_GB2312" w:cs="仿宋_GB2312"/>
                <w:b/>
                <w:bCs/>
                <w:i w:val="0"/>
                <w:iCs w:val="0"/>
                <w:color w:val="000000"/>
                <w:kern w:val="0"/>
                <w:sz w:val="21"/>
                <w:szCs w:val="21"/>
                <w:u w:val="none"/>
                <w:lang w:val="en-US" w:eastAsia="zh-CN" w:bidi="ar"/>
              </w:rPr>
              <w:t>.00</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eastAsia" w:ascii="仿宋_GB2312" w:hAnsi="仿宋_GB2312" w:eastAsia="仿宋_GB2312" w:cs="仿宋_GB2312"/>
                <w:b/>
                <w:bCs/>
                <w:color w:val="000000"/>
                <w:kern w:val="0"/>
                <w:sz w:val="21"/>
                <w:szCs w:val="21"/>
                <w:highlight w:val="none"/>
                <w:lang w:val="en-US" w:eastAsia="zh-CN" w:bidi="ar"/>
              </w:rPr>
            </w:pPr>
            <w:r>
              <w:rPr>
                <w:rFonts w:hint="eastAsia" w:ascii="仿宋_GB2312" w:hAnsi="仿宋_GB2312" w:cs="仿宋_GB2312"/>
                <w:b/>
                <w:bCs/>
                <w:szCs w:val="32"/>
                <w:highlight w:val="none"/>
                <w:lang w:val="en-US" w:eastAsia="zh-CN"/>
              </w:rPr>
              <w:t>1,390</w:t>
            </w:r>
            <w:r>
              <w:rPr>
                <w:rFonts w:hint="eastAsia" w:ascii="仿宋_GB2312" w:hAnsi="仿宋_GB2312" w:eastAsia="仿宋_GB2312" w:cs="仿宋_GB2312"/>
                <w:b/>
                <w:bCs/>
                <w:i w:val="0"/>
                <w:iCs w:val="0"/>
                <w:color w:val="000000"/>
                <w:kern w:val="0"/>
                <w:sz w:val="21"/>
                <w:szCs w:val="21"/>
                <w:u w:val="none"/>
                <w:lang w:val="en-US" w:eastAsia="zh-CN" w:bidi="ar"/>
              </w:rPr>
              <w:t>.00</w:t>
            </w:r>
          </w:p>
        </w:tc>
        <w:tc>
          <w:tcPr>
            <w:tcW w:w="1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eastAsia" w:ascii="仿宋_GB2312" w:hAnsi="仿宋_GB2312" w:eastAsia="仿宋_GB2312" w:cs="仿宋_GB2312"/>
                <w:b/>
                <w:bCs/>
                <w:color w:val="000000"/>
                <w:kern w:val="0"/>
                <w:sz w:val="21"/>
                <w:szCs w:val="21"/>
                <w:highlight w:val="none"/>
                <w:lang w:bidi="ar"/>
              </w:rPr>
            </w:pPr>
            <w:r>
              <w:rPr>
                <w:rFonts w:hint="eastAsia" w:ascii="仿宋_GB2312" w:hAnsi="仿宋_GB2312" w:cs="仿宋_GB2312"/>
                <w:b/>
                <w:bCs/>
                <w:szCs w:val="32"/>
                <w:highlight w:val="none"/>
                <w:lang w:val="en-US"/>
              </w:rPr>
              <w:t>1</w:t>
            </w:r>
            <w:r>
              <w:rPr>
                <w:rFonts w:hint="eastAsia" w:ascii="仿宋_GB2312" w:hAnsi="仿宋_GB2312" w:cs="仿宋_GB2312"/>
                <w:b/>
                <w:bCs/>
                <w:szCs w:val="32"/>
                <w:highlight w:val="none"/>
                <w:lang w:val="en-US" w:eastAsia="zh-CN"/>
              </w:rPr>
              <w:t>,</w:t>
            </w:r>
            <w:r>
              <w:rPr>
                <w:rFonts w:hint="eastAsia" w:ascii="仿宋_GB2312" w:hAnsi="仿宋_GB2312" w:cs="仿宋_GB2312"/>
                <w:b/>
                <w:bCs/>
                <w:szCs w:val="32"/>
                <w:highlight w:val="none"/>
                <w:lang w:val="en-US"/>
              </w:rPr>
              <w:t>364.3</w:t>
            </w:r>
            <w:r>
              <w:rPr>
                <w:rFonts w:hint="eastAsia" w:ascii="仿宋_GB2312" w:hAnsi="仿宋_GB2312" w:cs="仿宋_GB2312"/>
                <w:b/>
                <w:bCs/>
                <w:szCs w:val="32"/>
                <w:highlight w:val="none"/>
                <w:lang w:val="en-US" w:eastAsia="zh-CN"/>
              </w:rPr>
              <w:t>1</w:t>
            </w:r>
          </w:p>
        </w:tc>
        <w:tc>
          <w:tcPr>
            <w:tcW w:w="1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eastAsia" w:ascii="仿宋_GB2312" w:hAnsi="仿宋_GB2312" w:eastAsia="仿宋_GB2312" w:cs="仿宋_GB2312"/>
                <w:b/>
                <w:bCs/>
                <w:color w:val="000000"/>
                <w:kern w:val="0"/>
                <w:sz w:val="21"/>
                <w:szCs w:val="21"/>
                <w:highlight w:val="none"/>
                <w:lang w:bidi="ar"/>
              </w:rPr>
            </w:pPr>
            <w:r>
              <w:rPr>
                <w:rFonts w:hint="eastAsia" w:ascii="仿宋_GB2312" w:hAnsi="仿宋_GB2312" w:cs="仿宋_GB2312"/>
                <w:b/>
                <w:bCs/>
                <w:szCs w:val="32"/>
                <w:highlight w:val="none"/>
                <w:lang w:val="en-US"/>
              </w:rPr>
              <w:t>98</w:t>
            </w:r>
            <w:r>
              <w:rPr>
                <w:rFonts w:hint="eastAsia" w:ascii="仿宋_GB2312" w:hAnsi="仿宋_GB2312" w:cs="仿宋_GB2312"/>
                <w:b/>
                <w:bCs/>
                <w:szCs w:val="32"/>
                <w:highlight w:val="none"/>
                <w:lang w:val="en-US" w:eastAsia="zh-CN"/>
              </w:rPr>
              <w:t>.</w:t>
            </w:r>
            <w:r>
              <w:rPr>
                <w:rFonts w:hint="eastAsia" w:ascii="仿宋_GB2312" w:hAnsi="仿宋_GB2312" w:cs="仿宋_GB2312"/>
                <w:b/>
                <w:bCs/>
                <w:szCs w:val="32"/>
                <w:highlight w:val="none"/>
                <w:lang w:val="en-US"/>
              </w:rPr>
              <w:t>15%</w:t>
            </w:r>
          </w:p>
        </w:tc>
      </w:tr>
    </w:tbl>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r>
        <w:rPr>
          <w:rFonts w:hint="eastAsia" w:ascii="楷体_GB2312" w:hAnsi="楷体_GB2312" w:eastAsia="楷体_GB2312" w:cs="楷体_GB2312"/>
          <w:b w:val="0"/>
          <w:bCs w:val="0"/>
          <w:highlight w:val="none"/>
          <w:lang w:val="en-US" w:eastAsia="zh-CN"/>
        </w:rPr>
        <w:t>（二）</w:t>
      </w:r>
      <w:r>
        <w:rPr>
          <w:rFonts w:hint="eastAsia" w:ascii="楷体_GB2312" w:hAnsi="楷体_GB2312" w:eastAsia="楷体_GB2312" w:cs="楷体_GB2312"/>
          <w:b w:val="0"/>
          <w:bCs w:val="0"/>
          <w:highlight w:val="none"/>
          <w:lang w:val="en-US"/>
        </w:rPr>
        <w:t>项目绩效目标</w:t>
      </w:r>
      <w:bookmarkEnd w:id="4"/>
      <w:bookmarkEnd w:id="5"/>
    </w:p>
    <w:p>
      <w:pPr>
        <w:pStyle w:val="4"/>
        <w:spacing w:line="579" w:lineRule="exact"/>
        <w:ind w:firstLine="640"/>
        <w:outlineLvl w:val="2"/>
        <w:rPr>
          <w:rFonts w:hint="eastAsia" w:ascii="仿宋_GB2312" w:hAnsi="仿宋_GB2312" w:eastAsia="仿宋_GB2312" w:cs="仿宋_GB2312"/>
          <w:b/>
          <w:bCs/>
          <w:szCs w:val="32"/>
          <w:highlight w:val="yellow"/>
          <w:lang w:val="en-US" w:eastAsia="zh-CN"/>
        </w:rPr>
      </w:pPr>
      <w:r>
        <w:rPr>
          <w:rFonts w:hint="eastAsia" w:ascii="仿宋_GB2312" w:hAnsi="仿宋_GB2312" w:eastAsia="仿宋_GB2312" w:cs="仿宋_GB2312"/>
          <w:b/>
          <w:bCs/>
          <w:szCs w:val="32"/>
          <w:highlight w:val="none"/>
          <w:lang w:val="en-US" w:eastAsia="zh-CN"/>
        </w:rPr>
        <w:t>1.总体目标</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cs="仿宋_GB2312"/>
          <w:szCs w:val="32"/>
          <w:highlight w:val="none"/>
          <w:lang w:val="en-US" w:eastAsia="zh-CN"/>
        </w:rPr>
        <w:t>本项目总体目标按各二级项目目标设置，</w:t>
      </w:r>
      <w:r>
        <w:rPr>
          <w:rFonts w:hint="eastAsia" w:ascii="仿宋_GB2312" w:hAnsi="仿宋_GB2312" w:eastAsia="仿宋_GB2312" w:cs="仿宋_GB2312"/>
          <w:szCs w:val="32"/>
          <w:highlight w:val="none"/>
          <w:lang w:val="en-US"/>
        </w:rPr>
        <w:t>具体如下：</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cs="仿宋_GB2312"/>
          <w:szCs w:val="32"/>
          <w:highlight w:val="none"/>
          <w:lang w:val="en-US" w:eastAsia="zh-CN"/>
        </w:rPr>
        <w:t>（1）</w:t>
      </w:r>
      <w:r>
        <w:rPr>
          <w:rFonts w:hint="eastAsia" w:ascii="仿宋_GB2312" w:hAnsi="仿宋_GB2312" w:eastAsia="仿宋_GB2312" w:cs="仿宋_GB2312"/>
          <w:szCs w:val="32"/>
          <w:highlight w:val="none"/>
          <w:lang w:val="en-US"/>
        </w:rPr>
        <w:t>消防设计审查购买服务</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eastAsia="仿宋_GB2312" w:cs="仿宋_GB2312"/>
          <w:szCs w:val="32"/>
          <w:highlight w:val="none"/>
          <w:lang w:val="en-US"/>
        </w:rPr>
        <w:t>通过项目的实施，完成建筑工程消防设计审图约250万平方米，以保证实现提高消防设计审查人员业务办事效率、保障消防设计审查工作的正常开展、降低消防安全隐患的目标。</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cs="仿宋_GB2312"/>
          <w:szCs w:val="32"/>
          <w:highlight w:val="none"/>
          <w:lang w:val="en-US" w:eastAsia="zh-CN"/>
        </w:rPr>
        <w:t>（2）</w:t>
      </w:r>
      <w:r>
        <w:rPr>
          <w:rFonts w:hint="eastAsia" w:ascii="仿宋_GB2312" w:hAnsi="仿宋_GB2312" w:eastAsia="仿宋_GB2312" w:cs="仿宋_GB2312"/>
          <w:szCs w:val="32"/>
          <w:highlight w:val="none"/>
          <w:lang w:val="en-US"/>
        </w:rPr>
        <w:t>消防设计审查业务管理</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eastAsia="仿宋_GB2312" w:cs="仿宋_GB2312"/>
          <w:szCs w:val="32"/>
          <w:highlight w:val="none"/>
          <w:lang w:val="en-US"/>
        </w:rPr>
        <w:t>通过本项目的实施，完成建筑工程消防设计审图量工作1000项，1套建筑工程消防设计审查指引，建筑工程消防设计审查专家评审项目20项等，以保证实现提高消防设计审查人员业务办事效率、保障消防设计审查工作的正常开展、降低消防安全隐患的目标。</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cs="仿宋_GB2312"/>
          <w:szCs w:val="32"/>
          <w:highlight w:val="none"/>
          <w:lang w:val="en-US" w:eastAsia="zh-CN"/>
        </w:rPr>
        <w:t>（3）</w:t>
      </w:r>
      <w:r>
        <w:rPr>
          <w:rFonts w:hint="eastAsia" w:ascii="仿宋_GB2312" w:hAnsi="仿宋_GB2312" w:eastAsia="仿宋_GB2312" w:cs="仿宋_GB2312"/>
          <w:szCs w:val="32"/>
          <w:highlight w:val="none"/>
          <w:lang w:val="en-US"/>
        </w:rPr>
        <w:t>消防验收购买服务</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eastAsia="仿宋_GB2312" w:cs="仿宋_GB2312"/>
          <w:szCs w:val="32"/>
          <w:highlight w:val="none"/>
          <w:lang w:val="en-US"/>
        </w:rPr>
        <w:t>通过本项目的实施，保障2021年消防验收处的业务正常开展，确保高效完成消防验收业务，保障建设工程的消防技术安全，推进我市建设进度，从而降低安全事故隐患，保障人民生命财产的安全。</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cs="仿宋_GB2312"/>
          <w:szCs w:val="32"/>
          <w:highlight w:val="none"/>
          <w:lang w:val="en-US" w:eastAsia="zh-CN"/>
        </w:rPr>
        <w:t>（4）</w:t>
      </w:r>
      <w:r>
        <w:rPr>
          <w:rFonts w:hint="eastAsia" w:ascii="仿宋_GB2312" w:hAnsi="仿宋_GB2312" w:eastAsia="仿宋_GB2312" w:cs="仿宋_GB2312"/>
          <w:szCs w:val="32"/>
          <w:highlight w:val="none"/>
          <w:lang w:val="en-US"/>
        </w:rPr>
        <w:t>消防验收管理监督</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eastAsia="仿宋_GB2312" w:cs="仿宋_GB2312"/>
          <w:szCs w:val="32"/>
          <w:highlight w:val="none"/>
          <w:lang w:val="en-US"/>
        </w:rPr>
        <w:t>通过本项目的实施，完成以下产出和效益目标：建设工程消防设计审查及验收资料受理、整理数量</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至少1100宗，消防设施检测面积至少2500000平方米</w:t>
      </w:r>
      <w:r>
        <w:rPr>
          <w:rFonts w:hint="eastAsia" w:ascii="仿宋_GB2312" w:hAnsi="仿宋_GB2312" w:eastAsia="仿宋_GB2312" w:cs="仿宋_GB2312"/>
          <w:szCs w:val="32"/>
          <w:highlight w:val="none"/>
          <w:lang w:val="en-US"/>
        </w:rPr>
        <w:t>；消防设施检测抽检率10</w:t>
      </w:r>
      <w:r>
        <w:rPr>
          <w:rFonts w:hint="eastAsia" w:ascii="仿宋_GB2312" w:hAnsi="仿宋_GB2312" w:cs="仿宋_GB2312"/>
          <w:szCs w:val="32"/>
          <w:highlight w:val="none"/>
          <w:lang w:val="en-US" w:eastAsia="zh-CN"/>
        </w:rPr>
        <w:t>%</w:t>
      </w:r>
      <w:r>
        <w:rPr>
          <w:rFonts w:hint="eastAsia" w:ascii="仿宋_GB2312" w:hAnsi="仿宋_GB2312" w:eastAsia="仿宋_GB2312" w:cs="仿宋_GB2312"/>
          <w:szCs w:val="32"/>
          <w:highlight w:val="none"/>
          <w:lang w:val="en-US"/>
        </w:rPr>
        <w:t>，建设工程消防设计审查及验收资料受理、整理质量达标率100</w:t>
      </w:r>
      <w:r>
        <w:rPr>
          <w:rFonts w:hint="eastAsia" w:ascii="仿宋_GB2312" w:hAnsi="仿宋_GB2312" w:cs="仿宋_GB2312"/>
          <w:szCs w:val="32"/>
          <w:highlight w:val="none"/>
          <w:lang w:val="en-US" w:eastAsia="zh-CN"/>
        </w:rPr>
        <w:t>%</w:t>
      </w:r>
      <w:r>
        <w:rPr>
          <w:rFonts w:hint="eastAsia" w:ascii="仿宋_GB2312" w:hAnsi="仿宋_GB2312" w:eastAsia="仿宋_GB2312" w:cs="仿宋_GB2312"/>
          <w:szCs w:val="32"/>
          <w:highlight w:val="none"/>
          <w:lang w:val="en-US"/>
        </w:rPr>
        <w:t>，建设工程消防设计审查及验收资料受理、整理及时率100</w:t>
      </w:r>
      <w:r>
        <w:rPr>
          <w:rFonts w:hint="eastAsia" w:ascii="仿宋_GB2312" w:hAnsi="仿宋_GB2312" w:cs="仿宋_GB2312"/>
          <w:szCs w:val="32"/>
          <w:highlight w:val="none"/>
          <w:lang w:val="en-US" w:eastAsia="zh-CN"/>
        </w:rPr>
        <w:t>%</w:t>
      </w:r>
      <w:r>
        <w:rPr>
          <w:rFonts w:hint="eastAsia" w:ascii="仿宋_GB2312" w:hAnsi="仿宋_GB2312" w:eastAsia="仿宋_GB2312" w:cs="仿宋_GB2312"/>
          <w:szCs w:val="32"/>
          <w:highlight w:val="none"/>
          <w:lang w:val="en-US"/>
        </w:rPr>
        <w:t>，消防设施检测工作完成及时率100</w:t>
      </w:r>
      <w:r>
        <w:rPr>
          <w:rFonts w:hint="eastAsia" w:ascii="仿宋_GB2312" w:hAnsi="仿宋_GB2312" w:cs="仿宋_GB2312"/>
          <w:szCs w:val="32"/>
          <w:highlight w:val="none"/>
          <w:lang w:val="en-US" w:eastAsia="zh-CN"/>
        </w:rPr>
        <w:t>%</w:t>
      </w:r>
      <w:r>
        <w:rPr>
          <w:rFonts w:hint="eastAsia" w:ascii="仿宋_GB2312" w:hAnsi="仿宋_GB2312" w:eastAsia="仿宋_GB2312" w:cs="仿宋_GB2312"/>
          <w:szCs w:val="32"/>
          <w:highlight w:val="none"/>
          <w:lang w:val="en-US"/>
        </w:rPr>
        <w:t>；有效降低消防安全隐患，申报项目建设单位满意度100</w:t>
      </w:r>
      <w:r>
        <w:rPr>
          <w:rFonts w:hint="eastAsia" w:ascii="仿宋_GB2312" w:hAnsi="仿宋_GB2312" w:cs="仿宋_GB2312"/>
          <w:szCs w:val="32"/>
          <w:highlight w:val="none"/>
          <w:lang w:val="en-US" w:eastAsia="zh-CN"/>
        </w:rPr>
        <w:t>%</w:t>
      </w:r>
      <w:r>
        <w:rPr>
          <w:rFonts w:hint="eastAsia" w:ascii="仿宋_GB2312" w:hAnsi="仿宋_GB2312" w:eastAsia="仿宋_GB2312" w:cs="仿宋_GB2312"/>
          <w:szCs w:val="32"/>
          <w:highlight w:val="none"/>
          <w:lang w:val="en-US"/>
        </w:rPr>
        <w:t>。</w:t>
      </w:r>
    </w:p>
    <w:p>
      <w:pPr>
        <w:pStyle w:val="4"/>
        <w:spacing w:line="579" w:lineRule="exact"/>
        <w:ind w:firstLine="640"/>
        <w:outlineLvl w:val="2"/>
        <w:rPr>
          <w:rFonts w:hint="eastAsia" w:ascii="仿宋_GB2312" w:hAnsi="仿宋_GB2312" w:eastAsia="仿宋_GB2312" w:cs="仿宋_GB2312"/>
          <w:b/>
          <w:bCs/>
          <w:szCs w:val="32"/>
          <w:highlight w:val="none"/>
          <w:lang w:val="en-US" w:eastAsia="zh-CN"/>
        </w:rPr>
      </w:pPr>
      <w:r>
        <w:rPr>
          <w:rFonts w:hint="eastAsia" w:ascii="仿宋_GB2312" w:hAnsi="仿宋_GB2312" w:cs="仿宋_GB2312"/>
          <w:b/>
          <w:bCs/>
          <w:szCs w:val="32"/>
          <w:highlight w:val="none"/>
          <w:lang w:val="en-US" w:eastAsia="zh-CN"/>
        </w:rPr>
        <w:t>2.</w:t>
      </w:r>
      <w:r>
        <w:rPr>
          <w:rFonts w:hint="eastAsia" w:ascii="仿宋_GB2312" w:hAnsi="仿宋_GB2312" w:eastAsia="仿宋_GB2312" w:cs="仿宋_GB2312"/>
          <w:b/>
          <w:bCs/>
          <w:szCs w:val="32"/>
          <w:highlight w:val="none"/>
          <w:lang w:val="en-US" w:eastAsia="zh-CN"/>
        </w:rPr>
        <w:t>绩效目标设置情况</w:t>
      </w:r>
    </w:p>
    <w:p>
      <w:pPr>
        <w:pStyle w:val="4"/>
        <w:spacing w:line="579" w:lineRule="exact"/>
        <w:ind w:firstLine="640"/>
        <w:rPr>
          <w:rFonts w:hint="eastAsia" w:ascii="仿宋_GB2312" w:hAnsi="仿宋_GB2312" w:eastAsia="仿宋_GB2312" w:cs="仿宋_GB2312"/>
          <w:szCs w:val="32"/>
          <w:highlight w:val="none"/>
          <w:lang w:val="en-US" w:eastAsia="zh-CN"/>
        </w:rPr>
      </w:pPr>
      <w:r>
        <w:rPr>
          <w:rFonts w:hint="eastAsia"/>
          <w:szCs w:val="32"/>
          <w:highlight w:val="none"/>
          <w:lang w:val="en-US" w:eastAsia="zh-CN"/>
        </w:rPr>
        <w:t>本项目绩效目标设置情况详</w:t>
      </w:r>
      <w:r>
        <w:rPr>
          <w:rFonts w:hint="eastAsia" w:ascii="仿宋_GB2312" w:hAnsi="仿宋_GB2312" w:eastAsia="仿宋_GB2312" w:cs="仿宋_GB2312"/>
          <w:szCs w:val="32"/>
          <w:highlight w:val="none"/>
          <w:lang w:val="en-US" w:eastAsia="zh-CN"/>
        </w:rPr>
        <w:t>见表2。</w:t>
      </w:r>
    </w:p>
    <w:p>
      <w:pPr>
        <w:pStyle w:val="4"/>
        <w:spacing w:line="579" w:lineRule="exact"/>
        <w:ind w:firstLine="640"/>
        <w:jc w:val="center"/>
        <w:rPr>
          <w:rFonts w:hint="eastAsia" w:ascii="仿宋_GB2312" w:hAnsi="仿宋_GB2312" w:eastAsia="仿宋_GB2312" w:cs="仿宋_GB2312"/>
          <w:szCs w:val="32"/>
          <w:highlight w:val="none"/>
          <w:lang w:val="en-US" w:eastAsia="zh-CN"/>
        </w:rPr>
      </w:pPr>
      <w:r>
        <w:rPr>
          <w:rFonts w:hint="eastAsia" w:ascii="仿宋_GB2312"/>
          <w:sz w:val="28"/>
          <w:szCs w:val="28"/>
          <w:highlight w:val="none"/>
        </w:rPr>
        <w:t>表</w:t>
      </w:r>
      <w:r>
        <w:rPr>
          <w:rFonts w:hint="eastAsia" w:ascii="仿宋_GB2312"/>
          <w:sz w:val="28"/>
          <w:szCs w:val="28"/>
          <w:highlight w:val="none"/>
          <w:lang w:val="en-US" w:eastAsia="zh-CN"/>
        </w:rPr>
        <w:t>2  本</w:t>
      </w:r>
      <w:r>
        <w:rPr>
          <w:rFonts w:hint="eastAsia" w:ascii="仿宋_GB2312"/>
          <w:sz w:val="28"/>
          <w:szCs w:val="28"/>
          <w:highlight w:val="none"/>
          <w:lang w:eastAsia="zh-CN"/>
        </w:rPr>
        <w:t>项目</w:t>
      </w:r>
      <w:r>
        <w:rPr>
          <w:rFonts w:hint="eastAsia" w:ascii="仿宋_GB2312"/>
          <w:sz w:val="28"/>
          <w:szCs w:val="28"/>
          <w:highlight w:val="none"/>
        </w:rPr>
        <w:t>绩效目标表</w:t>
      </w:r>
    </w:p>
    <w:tbl>
      <w:tblPr>
        <w:tblStyle w:val="20"/>
        <w:tblW w:w="85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58"/>
        <w:gridCol w:w="1080"/>
        <w:gridCol w:w="3504"/>
        <w:gridCol w:w="30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blHeader/>
          <w:jc w:val="center"/>
        </w:trPr>
        <w:tc>
          <w:tcPr>
            <w:tcW w:w="958"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一级指标</w:t>
            </w:r>
          </w:p>
        </w:tc>
        <w:tc>
          <w:tcPr>
            <w:tcW w:w="1080"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二级指标</w:t>
            </w:r>
          </w:p>
        </w:tc>
        <w:tc>
          <w:tcPr>
            <w:tcW w:w="3504"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指标内容</w:t>
            </w:r>
          </w:p>
        </w:tc>
        <w:tc>
          <w:tcPr>
            <w:tcW w:w="3051"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产出指标</w:t>
            </w:r>
          </w:p>
        </w:tc>
        <w:tc>
          <w:tcPr>
            <w:tcW w:w="1080"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数量指标</w:t>
            </w: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建设工程消防设计审图量（平方米）</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left="30" w:left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≥250万平方米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left="31"/>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建筑工程消防设计审图量（项）</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91" w:line="240" w:lineRule="auto"/>
              <w:ind w:left="30" w:left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right="77" w:righ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建筑工程消防设计审查指引（套）</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right="77" w:righ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建筑工程消防设计审查专家评审项目数（项）</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right="77" w:righ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组织专家梳理规范的执行难点工作次数（次）</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1" w:line="240" w:lineRule="auto"/>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right="77" w:righ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参与消防业务能力提升培训人员数（人）</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1" w:line="240" w:lineRule="auto"/>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91" w:line="240" w:lineRule="auto"/>
              <w:ind w:left="31" w:lef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消防验收现场评定</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91" w:line="240" w:lineRule="auto"/>
              <w:ind w:left="30" w:left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≥2500000㎡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59" w:line="240" w:lineRule="auto"/>
              <w:ind w:left="31" w:right="61"/>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建设工程消防设计审查及验收资料受理、整理数量（宗）</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89" w:line="240" w:lineRule="auto"/>
              <w:ind w:left="31" w:lef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消防设施检测面积（㎡）</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89" w:line="240" w:lineRule="auto"/>
              <w:ind w:left="30" w:left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≥2500000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质量指标</w:t>
            </w: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1" w:line="240" w:lineRule="auto"/>
              <w:ind w:right="67" w:righ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建设工程消防设计审查资料受理、整理质量达标率</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right="77" w:righ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消防能力提升培训人员到会率</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91" w:line="240" w:lineRule="auto"/>
              <w:ind w:left="31" w:lef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消防验收现场评定抽检率</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91" w:line="240" w:lineRule="auto"/>
              <w:ind w:left="30" w:left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right="61" w:righ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建设工程消防设计审查及验收资料受理、整理质量达标率</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91" w:line="240" w:lineRule="auto"/>
              <w:ind w:left="31" w:lef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消防设施检测抽检率</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91" w:line="240" w:lineRule="auto"/>
              <w:ind w:left="30" w:left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restart"/>
            <w:tcBorders>
              <w:tl2br w:val="nil"/>
              <w:tr2bl w:val="nil"/>
            </w:tcBorders>
            <w:shd w:val="clear" w:color="auto" w:fill="auto"/>
            <w:tcMar>
              <w:top w:w="12" w:type="dxa"/>
              <w:left w:w="12" w:type="dxa"/>
              <w:right w:w="12" w:type="dxa"/>
            </w:tcMar>
            <w:vAlign w:val="center"/>
          </w:tcPr>
          <w:p>
            <w:pPr>
              <w:keepNext w:val="0"/>
              <w:keepLines w:val="0"/>
              <w:widowControl/>
              <w:suppressLineNumbers w:val="0"/>
              <w:jc w:val="center"/>
              <w:textAlignment w:val="bottom"/>
              <w:rPr>
                <w:rFonts w:hint="eastAsia" w:ascii="仿宋_GB2312" w:hAnsi="仿宋_GB2312" w:eastAsia="仿宋_GB2312" w:cs="仿宋_GB2312"/>
                <w:i w:val="0"/>
                <w:color w:val="FF0000"/>
                <w:kern w:val="2"/>
                <w:sz w:val="21"/>
                <w:szCs w:val="21"/>
                <w:highlight w:val="none"/>
                <w:u w:val="none"/>
                <w:lang w:val="en-US" w:eastAsia="zh-CN" w:bidi="ar-SA"/>
              </w:rPr>
            </w:pPr>
            <w:r>
              <w:rPr>
                <w:rFonts w:hint="eastAsia" w:ascii="仿宋_GB2312" w:hAnsi="仿宋_GB2312" w:eastAsia="仿宋_GB2312" w:cs="仿宋_GB2312"/>
                <w:color w:val="000000"/>
                <w:kern w:val="0"/>
                <w:sz w:val="21"/>
                <w:szCs w:val="21"/>
                <w:highlight w:val="none"/>
                <w:lang w:val="en-US" w:eastAsia="zh-CN" w:bidi="ar"/>
              </w:rPr>
              <w:t>时效指标</w:t>
            </w: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right="56" w:righ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2021年度建筑工程消防设计审查</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2021年12月31日前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left="31"/>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消防业务能力提升培训时间</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89" w:line="240" w:lineRule="auto"/>
              <w:ind w:left="30" w:left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2021年12月31日前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right="77" w:righ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消防验收现场评定工作完成及时率</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52" w:line="240" w:lineRule="auto"/>
              <w:ind w:left="31" w:leftChars="0" w:right="61" w:righ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建设工程消防设计审查及验收资料受理、整理及时率</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134" w:line="240" w:lineRule="auto"/>
              <w:ind w:left="31" w:leftChars="0" w:right="77" w:rightChars="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消防设施检测工作完成及时率</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eastAsia="zh-CN" w:bidi="ar"/>
              </w:rPr>
              <w:t>成本指标</w:t>
            </w: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sz w:val="21"/>
                <w:szCs w:val="21"/>
              </w:rPr>
              <w:t>培训讲师费（元/人/天）</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sz w:val="21"/>
                <w:szCs w:val="21"/>
              </w:rPr>
              <w:t>8000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eastAsia="zh-CN"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left="31"/>
              <w:jc w:val="both"/>
              <w:textAlignment w:val="auto"/>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sz w:val="21"/>
                <w:szCs w:val="21"/>
              </w:rPr>
              <w:t>消防设计审查系统维护费（万元）</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91" w:line="240" w:lineRule="auto"/>
              <w:ind w:left="30" w:leftChars="0"/>
              <w:jc w:val="center"/>
              <w:textAlignment w:val="auto"/>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sz w:val="21"/>
                <w:szCs w:val="21"/>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eastAsia="zh-CN"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right="53" w:rightChars="0"/>
              <w:jc w:val="both"/>
              <w:textAlignment w:val="auto"/>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sz w:val="21"/>
                <w:szCs w:val="21"/>
              </w:rPr>
              <w:t>消防业务管理服务费（万元）</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1" w:line="240" w:lineRule="auto"/>
              <w:jc w:val="center"/>
              <w:textAlignment w:val="auto"/>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sz w:val="21"/>
                <w:szCs w:val="21"/>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jc w:val="center"/>
        </w:trPr>
        <w:tc>
          <w:tcPr>
            <w:tcW w:w="958"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效益指标</w:t>
            </w:r>
          </w:p>
        </w:tc>
        <w:tc>
          <w:tcPr>
            <w:tcW w:w="1080"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经济</w:t>
            </w:r>
            <w:r>
              <w:rPr>
                <w:rFonts w:hint="eastAsia" w:ascii="仿宋_GB2312" w:hAnsi="仿宋_GB2312" w:eastAsia="仿宋_GB2312" w:cs="仿宋_GB2312"/>
                <w:color w:val="000000"/>
                <w:kern w:val="0"/>
                <w:sz w:val="21"/>
                <w:szCs w:val="21"/>
                <w:highlight w:val="none"/>
                <w:lang w:bidi="ar"/>
              </w:rPr>
              <w:t>效益指标</w:t>
            </w: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91" w:line="240" w:lineRule="auto"/>
              <w:ind w:left="31" w:leftChars="0"/>
              <w:jc w:val="both"/>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w w:val="99"/>
                <w:sz w:val="21"/>
                <w:szCs w:val="21"/>
              </w:rPr>
              <w:t>无</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91" w:line="240" w:lineRule="auto"/>
              <w:ind w:left="30" w:leftChars="0"/>
              <w:jc w:val="center"/>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w w:val="99"/>
                <w:sz w:val="21"/>
                <w:szCs w:val="21"/>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社会效益指标</w:t>
            </w: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right="77" w:rightChars="0"/>
              <w:jc w:val="both"/>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sz w:val="21"/>
                <w:szCs w:val="21"/>
              </w:rPr>
              <w:t>保障消防设计审查工作的正常开展</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sz w:val="21"/>
                <w:szCs w:val="21"/>
              </w:rPr>
              <w:t>有效保障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1" w:line="240" w:lineRule="auto"/>
              <w:ind w:right="77" w:rightChars="0"/>
              <w:jc w:val="both"/>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sz w:val="21"/>
                <w:szCs w:val="21"/>
              </w:rPr>
              <w:t>提高消防设计审查人员业务办事效率</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sz w:val="21"/>
                <w:szCs w:val="21"/>
              </w:rPr>
              <w:t>有效提高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ind w:left="31"/>
              <w:jc w:val="both"/>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sz w:val="21"/>
                <w:szCs w:val="21"/>
              </w:rPr>
              <w:t>保障建设工程的消防技术安全</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91" w:line="240" w:lineRule="auto"/>
              <w:ind w:left="30" w:leftChars="0"/>
              <w:jc w:val="center"/>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sz w:val="21"/>
                <w:szCs w:val="21"/>
              </w:rPr>
              <w:t>有效保障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89" w:line="240" w:lineRule="auto"/>
              <w:ind w:left="31" w:leftChars="0"/>
              <w:jc w:val="both"/>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sz w:val="21"/>
                <w:szCs w:val="21"/>
              </w:rPr>
              <w:t>降低消防安全隐患</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89" w:line="240" w:lineRule="auto"/>
              <w:ind w:left="30" w:leftChars="0"/>
              <w:jc w:val="center"/>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sz w:val="21"/>
                <w:szCs w:val="21"/>
              </w:rPr>
              <w:t>有效降低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生态效益</w:t>
            </w:r>
            <w:r>
              <w:rPr>
                <w:rFonts w:hint="eastAsia" w:ascii="仿宋_GB2312" w:hAnsi="仿宋_GB2312" w:eastAsia="仿宋_GB2312" w:cs="仿宋_GB2312"/>
                <w:color w:val="000000"/>
                <w:kern w:val="0"/>
                <w:sz w:val="21"/>
                <w:szCs w:val="21"/>
                <w:highlight w:val="none"/>
                <w:lang w:bidi="ar"/>
              </w:rPr>
              <w:t>指标</w:t>
            </w: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89" w:line="240" w:lineRule="auto"/>
              <w:ind w:left="31" w:leftChars="0"/>
              <w:jc w:val="both"/>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w w:val="99"/>
                <w:sz w:val="21"/>
                <w:szCs w:val="21"/>
              </w:rPr>
              <w:t>无</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89" w:line="240" w:lineRule="auto"/>
              <w:ind w:left="30" w:leftChars="0"/>
              <w:jc w:val="center"/>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w w:val="99"/>
                <w:sz w:val="21"/>
                <w:szCs w:val="21"/>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服务对象满意度指标</w:t>
            </w: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sz w:val="21"/>
                <w:szCs w:val="21"/>
              </w:rPr>
              <w:t>被审查单位满意度</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sz w:val="21"/>
                <w:szCs w:val="21"/>
              </w:rPr>
              <w:t>≥80</w:t>
            </w:r>
            <w:r>
              <w:rPr>
                <w:rFonts w:hint="eastAsia" w:ascii="仿宋_GB2312" w:hAnsi="仿宋_GB2312" w:eastAsia="仿宋_GB2312" w:cs="仿宋_GB2312"/>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p>
        </w:tc>
        <w:tc>
          <w:tcPr>
            <w:tcW w:w="3504"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91" w:line="240" w:lineRule="auto"/>
              <w:ind w:left="31" w:leftChars="0"/>
              <w:jc w:val="both"/>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sz w:val="21"/>
                <w:szCs w:val="21"/>
              </w:rPr>
              <w:t>培训参与人员满意度</w:t>
            </w:r>
          </w:p>
        </w:tc>
        <w:tc>
          <w:tcPr>
            <w:tcW w:w="3051" w:type="dxa"/>
            <w:tcBorders>
              <w:tl2br w:val="nil"/>
              <w:tr2bl w:val="nil"/>
            </w:tcBorders>
            <w:shd w:val="clear" w:color="auto" w:fill="auto"/>
            <w:tcMar>
              <w:top w:w="12" w:type="dxa"/>
              <w:left w:w="12" w:type="dxa"/>
              <w:right w:w="12" w:type="dxa"/>
            </w:tcMar>
            <w:vAlign w:val="center"/>
          </w:tcPr>
          <w:p>
            <w:pPr>
              <w:pStyle w:val="81"/>
              <w:keepNext w:val="0"/>
              <w:keepLines w:val="0"/>
              <w:pageBreakBefore w:val="0"/>
              <w:widowControl w:val="0"/>
              <w:kinsoku/>
              <w:wordWrap/>
              <w:overflowPunct/>
              <w:topLinePunct w:val="0"/>
              <w:autoSpaceDE/>
              <w:autoSpaceDN/>
              <w:bidi w:val="0"/>
              <w:adjustRightInd/>
              <w:snapToGrid/>
              <w:spacing w:before="91" w:line="240" w:lineRule="auto"/>
              <w:ind w:left="30" w:leftChars="0"/>
              <w:jc w:val="center"/>
              <w:textAlignment w:val="auto"/>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sz w:val="21"/>
                <w:szCs w:val="21"/>
              </w:rPr>
              <w:t>≥80</w:t>
            </w:r>
            <w:r>
              <w:rPr>
                <w:rFonts w:hint="eastAsia" w:ascii="仿宋_GB2312" w:hAnsi="仿宋_GB2312" w:eastAsia="仿宋_GB2312" w:cs="仿宋_GB2312"/>
                <w:sz w:val="21"/>
                <w:szCs w:val="21"/>
                <w:lang w:val="en-US" w:eastAsia="zh-CN"/>
              </w:rPr>
              <w:t>%</w:t>
            </w:r>
          </w:p>
        </w:tc>
      </w:tr>
    </w:tbl>
    <w:p>
      <w:pPr>
        <w:pStyle w:val="3"/>
        <w:spacing w:before="0" w:after="0" w:line="579" w:lineRule="exact"/>
        <w:ind w:firstLine="640"/>
        <w:rPr>
          <w:highlight w:val="none"/>
        </w:rPr>
      </w:pPr>
      <w:bookmarkStart w:id="6" w:name="_Toc13975"/>
      <w:bookmarkStart w:id="7" w:name="_Toc64647747"/>
      <w:r>
        <w:rPr>
          <w:rFonts w:hint="eastAsia"/>
          <w:highlight w:val="none"/>
          <w:lang w:val="en-US"/>
        </w:rPr>
        <w:t>绩效</w:t>
      </w:r>
      <w:r>
        <w:rPr>
          <w:rFonts w:hint="eastAsia"/>
          <w:highlight w:val="none"/>
        </w:rPr>
        <w:t>评价工作开展情况</w:t>
      </w:r>
      <w:bookmarkEnd w:id="6"/>
      <w:bookmarkEnd w:id="7"/>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8" w:name="_Toc64647748"/>
      <w:bookmarkStart w:id="9" w:name="_Toc26347"/>
      <w:r>
        <w:rPr>
          <w:rFonts w:hint="eastAsia" w:ascii="楷体_GB2312" w:hAnsi="楷体_GB2312" w:eastAsia="楷体_GB2312" w:cs="楷体_GB2312"/>
          <w:b w:val="0"/>
          <w:bCs w:val="0"/>
          <w:highlight w:val="none"/>
          <w:lang w:val="en-US" w:eastAsia="zh-CN"/>
        </w:rPr>
        <w:t>（一）</w:t>
      </w:r>
      <w:r>
        <w:rPr>
          <w:rFonts w:hint="eastAsia" w:ascii="楷体_GB2312" w:hAnsi="楷体_GB2312" w:eastAsia="楷体_GB2312" w:cs="楷体_GB2312"/>
          <w:b w:val="0"/>
          <w:bCs w:val="0"/>
          <w:highlight w:val="none"/>
          <w:lang w:val="en-US"/>
        </w:rPr>
        <w:t>绩效评价目的、对象和范围</w:t>
      </w:r>
      <w:bookmarkEnd w:id="8"/>
      <w:bookmarkEnd w:id="9"/>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eastAsia="zh-CN"/>
        </w:rPr>
        <w:t>市住建局</w:t>
      </w:r>
      <w:r>
        <w:rPr>
          <w:rFonts w:hint="eastAsia" w:ascii="仿宋_GB2312" w:hAnsi="仿宋_GB2312" w:cs="仿宋_GB2312"/>
          <w:szCs w:val="32"/>
          <w:highlight w:val="none"/>
          <w:lang w:val="en-US"/>
        </w:rPr>
        <w:t>为加强项目管理，提升财政预算资金使用效益，选取本项目开展202</w:t>
      </w:r>
      <w:r>
        <w:rPr>
          <w:rFonts w:hint="eastAsia" w:ascii="仿宋_GB2312" w:hAnsi="仿宋_GB2312" w:cs="仿宋_GB2312"/>
          <w:szCs w:val="32"/>
          <w:highlight w:val="none"/>
          <w:lang w:val="en-US" w:eastAsia="zh-CN"/>
        </w:rPr>
        <w:t>1</w:t>
      </w:r>
      <w:r>
        <w:rPr>
          <w:rFonts w:hint="eastAsia" w:ascii="仿宋_GB2312" w:hAnsi="仿宋_GB2312" w:cs="仿宋_GB2312"/>
          <w:szCs w:val="32"/>
          <w:highlight w:val="none"/>
          <w:lang w:val="en-US"/>
        </w:rPr>
        <w:t>年度重点项目绩效评价，评价范围为202</w:t>
      </w:r>
      <w:r>
        <w:rPr>
          <w:rFonts w:hint="eastAsia" w:ascii="仿宋_GB2312" w:hAnsi="仿宋_GB2312" w:cs="仿宋_GB2312"/>
          <w:szCs w:val="32"/>
          <w:highlight w:val="none"/>
          <w:lang w:val="en-US" w:eastAsia="zh-CN"/>
        </w:rPr>
        <w:t>1</w:t>
      </w:r>
      <w:r>
        <w:rPr>
          <w:rFonts w:hint="eastAsia" w:ascii="仿宋_GB2312" w:hAnsi="仿宋_GB2312" w:cs="仿宋_GB2312"/>
          <w:szCs w:val="32"/>
          <w:highlight w:val="none"/>
          <w:lang w:val="en-US"/>
        </w:rPr>
        <w:t>年1月1日至1</w:t>
      </w:r>
      <w:r>
        <w:rPr>
          <w:rFonts w:ascii="仿宋_GB2312" w:hAnsi="仿宋_GB2312" w:cs="仿宋_GB2312"/>
          <w:szCs w:val="32"/>
          <w:highlight w:val="none"/>
          <w:lang w:val="en-US"/>
        </w:rPr>
        <w:t>2</w:t>
      </w:r>
      <w:r>
        <w:rPr>
          <w:rFonts w:hint="eastAsia" w:ascii="仿宋_GB2312" w:hAnsi="仿宋_GB2312" w:cs="仿宋_GB2312"/>
          <w:szCs w:val="32"/>
          <w:highlight w:val="none"/>
          <w:lang w:val="en-US"/>
        </w:rPr>
        <w:t>月3</w:t>
      </w:r>
      <w:r>
        <w:rPr>
          <w:rFonts w:ascii="仿宋_GB2312" w:hAnsi="仿宋_GB2312" w:cs="仿宋_GB2312"/>
          <w:szCs w:val="32"/>
          <w:highlight w:val="none"/>
          <w:lang w:val="en-US"/>
        </w:rPr>
        <w:t>1</w:t>
      </w:r>
      <w:r>
        <w:rPr>
          <w:rFonts w:hint="eastAsia" w:ascii="仿宋_GB2312" w:hAnsi="仿宋_GB2312" w:cs="仿宋_GB2312"/>
          <w:szCs w:val="32"/>
          <w:highlight w:val="none"/>
          <w:lang w:val="en-US"/>
        </w:rPr>
        <w:t>日，评价内容主要包括项目决策情况、资金管理和使用情况、相关管理制度和办法健全性及执行情况、实现的产出和效益情况。</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0" w:name="_Toc21237"/>
      <w:bookmarkStart w:id="11" w:name="_Toc64647749"/>
      <w:r>
        <w:rPr>
          <w:rFonts w:hint="eastAsia" w:ascii="楷体_GB2312" w:hAnsi="楷体_GB2312" w:eastAsia="楷体_GB2312" w:cs="楷体_GB2312"/>
          <w:b w:val="0"/>
          <w:bCs w:val="0"/>
          <w:highlight w:val="none"/>
          <w:lang w:val="en-US" w:eastAsia="zh-CN"/>
        </w:rPr>
        <w:t>（二）</w:t>
      </w:r>
      <w:r>
        <w:rPr>
          <w:rFonts w:hint="eastAsia" w:ascii="楷体_GB2312" w:hAnsi="楷体_GB2312" w:eastAsia="楷体_GB2312" w:cs="楷体_GB2312"/>
          <w:b w:val="0"/>
          <w:bCs w:val="0"/>
          <w:highlight w:val="none"/>
          <w:lang w:val="en-US"/>
        </w:rPr>
        <w:t>绩效评价原则</w:t>
      </w:r>
      <w:bookmarkEnd w:id="10"/>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1.</w:t>
      </w:r>
      <w:r>
        <w:rPr>
          <w:rFonts w:hint="eastAsia" w:ascii="仿宋_GB2312" w:hAnsi="仿宋_GB2312" w:cs="仿宋_GB2312"/>
          <w:szCs w:val="32"/>
          <w:highlight w:val="none"/>
        </w:rPr>
        <w:t>科学规范,公开透明。绩效评价运用科学合理的方法，按照规范的程序，对项目绩效进行客观、公正的反映。绩效评价结果依法依规公开，并自觉接受社会监督。</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2.</w:t>
      </w:r>
      <w:r>
        <w:rPr>
          <w:rFonts w:hint="eastAsia" w:ascii="仿宋_GB2312" w:hAnsi="仿宋_GB2312" w:cs="仿宋_GB2312"/>
          <w:szCs w:val="32"/>
          <w:highlight w:val="none"/>
        </w:rPr>
        <w:t>统筹兼顾，权责对等。单位自评、部门评价职责明确，各有侧重，相互衔接。单位自评由项目单位自主实施，即“谁支出、谁自评”。部门评价在单位自评的基础上开展。</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3.</w:t>
      </w:r>
      <w:r>
        <w:rPr>
          <w:rFonts w:hint="eastAsia" w:ascii="仿宋_GB2312" w:hAnsi="仿宋_GB2312" w:cs="仿宋_GB2312"/>
          <w:szCs w:val="32"/>
          <w:highlight w:val="none"/>
        </w:rPr>
        <w:t>问题导向，注重质量。绩效评价全面深入挖掘、剖析项目决策、实施和管理中存在的问题，聚焦重大政策和重点项目的实施效果。</w:t>
      </w:r>
    </w:p>
    <w:p>
      <w:pPr>
        <w:pStyle w:val="4"/>
        <w:spacing w:line="579" w:lineRule="exact"/>
        <w:ind w:firstLine="640"/>
        <w:rPr>
          <w:szCs w:val="32"/>
          <w:highlight w:val="yellow"/>
        </w:rPr>
      </w:pPr>
      <w:r>
        <w:rPr>
          <w:rFonts w:hint="eastAsia" w:ascii="仿宋_GB2312" w:hAnsi="仿宋_GB2312" w:cs="仿宋_GB2312"/>
          <w:szCs w:val="32"/>
          <w:highlight w:val="none"/>
          <w:lang w:val="en-US"/>
        </w:rPr>
        <w:t>4.</w:t>
      </w:r>
      <w:r>
        <w:rPr>
          <w:rFonts w:hint="eastAsia" w:ascii="仿宋_GB2312" w:hAnsi="仿宋_GB2312" w:cs="仿宋_GB2312"/>
          <w:szCs w:val="32"/>
          <w:highlight w:val="none"/>
        </w:rPr>
        <w:t>强化应用,约束有力。绩效评价结果与预算安排、政策调整、改进管理实质性挂钩，体现奖优罚劣和激励相容导向，有效要安排、低效要压减、无效要问责。</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2" w:name="_Toc24303"/>
      <w:r>
        <w:rPr>
          <w:rFonts w:hint="eastAsia" w:ascii="楷体_GB2312" w:hAnsi="楷体_GB2312" w:eastAsia="楷体_GB2312" w:cs="楷体_GB2312"/>
          <w:b w:val="0"/>
          <w:bCs w:val="0"/>
          <w:highlight w:val="none"/>
          <w:lang w:val="en-US" w:eastAsia="zh-CN"/>
        </w:rPr>
        <w:t>（三）</w:t>
      </w:r>
      <w:r>
        <w:rPr>
          <w:rFonts w:hint="eastAsia" w:ascii="楷体_GB2312" w:hAnsi="楷体_GB2312" w:eastAsia="楷体_GB2312" w:cs="楷体_GB2312"/>
          <w:b w:val="0"/>
          <w:bCs w:val="0"/>
          <w:highlight w:val="none"/>
          <w:lang w:val="en-US"/>
        </w:rPr>
        <w:t>评价指标体系</w:t>
      </w:r>
      <w:bookmarkEnd w:id="12"/>
    </w:p>
    <w:bookmarkEnd w:id="11"/>
    <w:p>
      <w:pPr>
        <w:pStyle w:val="4"/>
        <w:spacing w:line="579" w:lineRule="exact"/>
        <w:ind w:firstLine="640"/>
        <w:rPr>
          <w:rFonts w:hint="eastAsia" w:ascii="仿宋_GB2312" w:hAnsi="仿宋_GB2312" w:cs="仿宋_GB2312"/>
          <w:szCs w:val="32"/>
          <w:highlight w:val="none"/>
          <w:lang w:val="en-US"/>
        </w:rPr>
      </w:pPr>
      <w:r>
        <w:rPr>
          <w:rFonts w:hint="eastAsia" w:ascii="仿宋_GB2312" w:hAnsi="仿宋_GB2312" w:cs="仿宋_GB2312"/>
          <w:szCs w:val="32"/>
          <w:highlight w:val="none"/>
          <w:lang w:val="en-US"/>
        </w:rPr>
        <w:t>根据</w:t>
      </w:r>
      <w:r>
        <w:rPr>
          <w:rFonts w:hint="eastAsia" w:ascii="仿宋_GB2312" w:hAnsi="仿宋_GB2312" w:cs="仿宋_GB2312"/>
          <w:szCs w:val="32"/>
          <w:highlight w:val="none"/>
        </w:rPr>
        <w:t>《深圳市财政局关于印发</w:t>
      </w:r>
      <w:r>
        <w:rPr>
          <w:rFonts w:ascii="仿宋_GB2312" w:hAnsi="仿宋_GB2312" w:cs="仿宋_GB2312"/>
          <w:szCs w:val="32"/>
          <w:highlight w:val="none"/>
        </w:rPr>
        <w:t>&lt;深圳市市级项目支出绩效评价工作规程&gt;的通知》（深财绩〔2020〕14号）</w:t>
      </w:r>
      <w:r>
        <w:rPr>
          <w:rFonts w:hint="eastAsia" w:ascii="仿宋_GB2312" w:hAnsi="仿宋_GB2312" w:cs="仿宋_GB2312"/>
          <w:szCs w:val="32"/>
          <w:highlight w:val="none"/>
          <w:lang w:val="en-US"/>
        </w:rPr>
        <w:t>中的《项目支出绩效评价指标体系框架》</w:t>
      </w:r>
      <w:r>
        <w:rPr>
          <w:rFonts w:hint="eastAsia" w:ascii="仿宋_GB2312" w:hAnsi="仿宋_GB2312" w:cs="仿宋_GB2312"/>
          <w:szCs w:val="32"/>
          <w:highlight w:val="none"/>
          <w:lang w:val="en-US" w:eastAsia="zh-CN"/>
        </w:rPr>
        <w:t>，结合本项目实际</w:t>
      </w:r>
      <w:r>
        <w:rPr>
          <w:rFonts w:hint="eastAsia" w:ascii="仿宋_GB2312" w:hAnsi="仿宋_GB2312" w:cs="仿宋_GB2312"/>
          <w:szCs w:val="32"/>
          <w:highlight w:val="none"/>
          <w:lang w:val="en-US"/>
        </w:rPr>
        <w:t>设计了本项目绩效评价指标体系，共设置17</w:t>
      </w:r>
      <w:r>
        <w:rPr>
          <w:rFonts w:hint="eastAsia" w:ascii="仿宋_GB2312" w:hAnsi="仿宋_GB2312" w:cs="仿宋_GB2312"/>
          <w:szCs w:val="32"/>
          <w:highlight w:val="none"/>
          <w:lang w:val="en-US" w:eastAsia="zh-CN"/>
        </w:rPr>
        <w:t>个</w:t>
      </w:r>
      <w:r>
        <w:rPr>
          <w:rFonts w:hint="eastAsia" w:ascii="仿宋_GB2312" w:hAnsi="仿宋_GB2312" w:cs="仿宋_GB2312"/>
          <w:szCs w:val="32"/>
          <w:highlight w:val="none"/>
          <w:lang w:val="en-US"/>
        </w:rPr>
        <w:t>三级评价指标，总分值为100分，指标体系详见</w:t>
      </w:r>
      <w:r>
        <w:rPr>
          <w:rFonts w:hint="eastAsia" w:ascii="仿宋_GB2312" w:hAnsi="仿宋_GB2312" w:cs="仿宋_GB2312"/>
          <w:szCs w:val="32"/>
          <w:highlight w:val="none"/>
          <w:lang w:val="en-US" w:eastAsia="zh-CN"/>
        </w:rPr>
        <w:t>表3</w:t>
      </w:r>
      <w:r>
        <w:rPr>
          <w:rFonts w:hint="eastAsia" w:ascii="仿宋_GB2312" w:hAnsi="仿宋_GB2312" w:cs="仿宋_GB2312"/>
          <w:szCs w:val="32"/>
          <w:highlight w:val="none"/>
          <w:lang w:val="en-US"/>
        </w:rPr>
        <w:t>。</w:t>
      </w:r>
    </w:p>
    <w:p>
      <w:pPr>
        <w:pStyle w:val="4"/>
        <w:spacing w:line="579" w:lineRule="exact"/>
        <w:ind w:firstLine="640"/>
        <w:jc w:val="center"/>
        <w:rPr>
          <w:rFonts w:hint="eastAsia" w:ascii="仿宋_GB2312" w:hAnsi="仿宋_GB2312" w:cs="仿宋_GB2312"/>
          <w:sz w:val="28"/>
          <w:szCs w:val="28"/>
          <w:highlight w:val="none"/>
          <w:lang w:val="en-US"/>
        </w:rPr>
      </w:pPr>
      <w:r>
        <w:rPr>
          <w:rFonts w:hint="eastAsia" w:ascii="仿宋_GB2312" w:hAnsi="仿宋_GB2312" w:cs="仿宋_GB2312"/>
          <w:sz w:val="28"/>
          <w:szCs w:val="28"/>
          <w:highlight w:val="none"/>
          <w:lang w:val="en-US"/>
        </w:rPr>
        <w:t>表</w:t>
      </w:r>
      <w:r>
        <w:rPr>
          <w:rFonts w:hint="eastAsia" w:ascii="仿宋_GB2312" w:hAnsi="仿宋_GB2312" w:cs="仿宋_GB2312"/>
          <w:sz w:val="28"/>
          <w:szCs w:val="28"/>
          <w:highlight w:val="none"/>
          <w:lang w:val="en-US" w:eastAsia="zh-CN"/>
        </w:rPr>
        <w:t>3</w:t>
      </w:r>
      <w:r>
        <w:rPr>
          <w:rFonts w:hint="eastAsia" w:ascii="仿宋_GB2312" w:hAnsi="仿宋_GB2312" w:cs="仿宋_GB2312"/>
          <w:sz w:val="28"/>
          <w:szCs w:val="28"/>
          <w:highlight w:val="none"/>
          <w:lang w:val="en-US"/>
        </w:rPr>
        <w:t xml:space="preserve">  绩效评价指标体系框架</w:t>
      </w:r>
    </w:p>
    <w:tbl>
      <w:tblPr>
        <w:tblStyle w:val="20"/>
        <w:tblW w:w="8299" w:type="dxa"/>
        <w:tblInd w:w="9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931"/>
        <w:gridCol w:w="864"/>
        <w:gridCol w:w="1404"/>
        <w:gridCol w:w="1080"/>
        <w:gridCol w:w="2604"/>
        <w:gridCol w:w="141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tblHeader/>
        </w:trPr>
        <w:tc>
          <w:tcPr>
            <w:tcW w:w="1795" w:type="dxa"/>
            <w:gridSpan w:val="2"/>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一级指标</w:t>
            </w:r>
          </w:p>
        </w:tc>
        <w:tc>
          <w:tcPr>
            <w:tcW w:w="2484" w:type="dxa"/>
            <w:gridSpan w:val="2"/>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二级指标</w:t>
            </w:r>
          </w:p>
        </w:tc>
        <w:tc>
          <w:tcPr>
            <w:tcW w:w="4020" w:type="dxa"/>
            <w:gridSpan w:val="2"/>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三级指标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blHeader/>
        </w:trPr>
        <w:tc>
          <w:tcPr>
            <w:tcW w:w="931"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名称</w:t>
            </w:r>
          </w:p>
        </w:tc>
        <w:tc>
          <w:tcPr>
            <w:tcW w:w="86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权重</w:t>
            </w: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名称</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权重</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名称</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权重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决策</w:t>
            </w:r>
          </w:p>
        </w:tc>
        <w:tc>
          <w:tcPr>
            <w:tcW w:w="86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20</w:t>
            </w: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项目立项</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6</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立项依据充分性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立项程序规范性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绩效目标</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绩效目标合理性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绩效指标明确性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资金投入</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6</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预算编制科学性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资金分配合理性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过程</w:t>
            </w:r>
          </w:p>
        </w:tc>
        <w:tc>
          <w:tcPr>
            <w:tcW w:w="86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20</w:t>
            </w: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资金管理</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12</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资金到位率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预算执行率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资金使用合规性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12"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组织实施</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管理制度健全性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制度执行有效性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w:t>
            </w:r>
          </w:p>
        </w:tc>
        <w:tc>
          <w:tcPr>
            <w:tcW w:w="864" w:type="dxa"/>
            <w:vMerge w:val="restart"/>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30</w:t>
            </w: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产出数量</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实际完成率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12"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产出质量</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质量达标率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产出时效</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完成及时性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产出成本</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成本节约率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效益</w:t>
            </w:r>
          </w:p>
        </w:tc>
        <w:tc>
          <w:tcPr>
            <w:tcW w:w="864" w:type="dxa"/>
            <w:vMerge w:val="restart"/>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30</w:t>
            </w: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项目效益</w:t>
            </w:r>
          </w:p>
        </w:tc>
        <w:tc>
          <w:tcPr>
            <w:tcW w:w="1080" w:type="dxa"/>
            <w:vMerge w:val="restart"/>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30</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实施效益</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满意度</w:t>
            </w:r>
          </w:p>
        </w:tc>
        <w:tc>
          <w:tcPr>
            <w:tcW w:w="1416" w:type="dxa"/>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10</w:t>
            </w:r>
          </w:p>
        </w:tc>
      </w:tr>
    </w:tbl>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3" w:name="_Toc13610"/>
      <w:r>
        <w:rPr>
          <w:rFonts w:hint="eastAsia" w:ascii="楷体_GB2312" w:hAnsi="楷体_GB2312" w:eastAsia="楷体_GB2312" w:cs="楷体_GB2312"/>
          <w:b w:val="0"/>
          <w:bCs w:val="0"/>
          <w:highlight w:val="none"/>
          <w:lang w:val="en-US" w:eastAsia="zh-CN"/>
        </w:rPr>
        <w:t>（四）</w:t>
      </w:r>
      <w:r>
        <w:rPr>
          <w:rFonts w:hint="eastAsia" w:ascii="楷体_GB2312" w:hAnsi="楷体_GB2312" w:eastAsia="楷体_GB2312" w:cs="楷体_GB2312"/>
          <w:b w:val="0"/>
          <w:bCs w:val="0"/>
          <w:highlight w:val="none"/>
          <w:lang w:val="en-US"/>
        </w:rPr>
        <w:t>评价方法、评价标准</w:t>
      </w:r>
      <w:bookmarkEnd w:id="13"/>
    </w:p>
    <w:p>
      <w:pPr>
        <w:pStyle w:val="4"/>
        <w:spacing w:line="579" w:lineRule="exact"/>
        <w:ind w:firstLine="640"/>
        <w:rPr>
          <w:szCs w:val="32"/>
          <w:highlight w:val="none"/>
          <w:lang w:val="en-US"/>
        </w:rPr>
      </w:pPr>
      <w:r>
        <w:rPr>
          <w:rFonts w:hint="eastAsia"/>
          <w:szCs w:val="32"/>
          <w:highlight w:val="none"/>
          <w:lang w:val="en-US"/>
        </w:rPr>
        <w:t>绩效评价的方法主要包括比较法、因素分析法、公众评判法等。绩效</w:t>
      </w:r>
      <w:r>
        <w:rPr>
          <w:szCs w:val="32"/>
          <w:highlight w:val="none"/>
          <w:lang w:val="en-US"/>
        </w:rPr>
        <w:t>评价标准包括计划标准、行业标准、历史标准等，对绩效指标完成情况进行比较。</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4" w:name="_Toc17583"/>
      <w:r>
        <w:rPr>
          <w:rFonts w:hint="eastAsia" w:ascii="楷体_GB2312" w:hAnsi="楷体_GB2312" w:eastAsia="楷体_GB2312" w:cs="楷体_GB2312"/>
          <w:b w:val="0"/>
          <w:bCs w:val="0"/>
          <w:highlight w:val="none"/>
          <w:lang w:val="en-US" w:eastAsia="zh-CN"/>
        </w:rPr>
        <w:t>（五）</w:t>
      </w:r>
      <w:r>
        <w:rPr>
          <w:rFonts w:hint="eastAsia" w:ascii="楷体_GB2312" w:hAnsi="楷体_GB2312" w:eastAsia="楷体_GB2312" w:cs="楷体_GB2312"/>
          <w:b w:val="0"/>
          <w:bCs w:val="0"/>
          <w:highlight w:val="none"/>
          <w:lang w:val="en-US"/>
        </w:rPr>
        <w:t>绩效评价工作过程</w:t>
      </w:r>
      <w:bookmarkEnd w:id="14"/>
    </w:p>
    <w:p>
      <w:pPr>
        <w:spacing w:line="579"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绩效评价包括前期准备、组织实施、报告撰写、归档整理四个步骤。主要内容及工作安排如下：</w:t>
      </w:r>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1.前期准备</w:t>
      </w:r>
    </w:p>
    <w:p>
      <w:pPr>
        <w:spacing w:line="579" w:lineRule="exact"/>
        <w:ind w:firstLine="640" w:firstLineChars="200"/>
        <w:rPr>
          <w:rFonts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确定评价对象、范围和责任分工；成立评价小组，</w:t>
      </w:r>
      <w:r>
        <w:rPr>
          <w:rFonts w:hint="eastAsia" w:ascii="仿宋_GB2312" w:hAnsi="仿宋_GB2312" w:eastAsia="仿宋_GB2312" w:cs="仿宋_GB2312"/>
          <w:b w:val="0"/>
          <w:bCs w:val="0"/>
          <w:sz w:val="32"/>
          <w:szCs w:val="32"/>
          <w:highlight w:val="none"/>
          <w:lang w:val="en-US" w:eastAsia="zh-CN"/>
        </w:rPr>
        <w:t>召开专题</w:t>
      </w:r>
      <w:r>
        <w:rPr>
          <w:rFonts w:hint="eastAsia" w:ascii="仿宋_GB2312" w:hAnsi="仿宋_GB2312" w:eastAsia="仿宋_GB2312" w:cs="仿宋_GB2312"/>
          <w:b w:val="0"/>
          <w:bCs w:val="0"/>
          <w:sz w:val="32"/>
          <w:szCs w:val="32"/>
          <w:highlight w:val="none"/>
        </w:rPr>
        <w:t>会议；确定评价重点，设计评价指标体系初稿，撰写报告大纲。</w:t>
      </w:r>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2.组织实施</w:t>
      </w:r>
    </w:p>
    <w:p>
      <w:pPr>
        <w:spacing w:line="579" w:lineRule="exact"/>
        <w:ind w:firstLine="640" w:firstLineChars="200"/>
        <w:rPr>
          <w:rFonts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采集项目资料，确定指标体系；现场调研与访谈，数据分析；评价资料分析与论证，形成初步评价结论。</w:t>
      </w:r>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3.报告撰写</w:t>
      </w:r>
    </w:p>
    <w:p>
      <w:pPr>
        <w:spacing w:line="579" w:lineRule="exact"/>
        <w:ind w:firstLine="640" w:firstLineChars="200"/>
        <w:rPr>
          <w:rFonts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评价资料补充采集，问题梳理与改善建议；撰写报告初稿，开展内部研讨与问题论证；形成绩效评价报告征求意见稿并征求意见；意见采纳，形成正式绩效评价报告。</w:t>
      </w:r>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4.归档整理</w:t>
      </w:r>
    </w:p>
    <w:p>
      <w:pPr>
        <w:spacing w:line="579"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报告定稿后5个工作日内，评价小组及时建立绩效评价档案，将绩效评价各环节相关资料整理归档。</w:t>
      </w:r>
    </w:p>
    <w:p>
      <w:pPr>
        <w:pStyle w:val="3"/>
        <w:spacing w:before="0" w:after="0" w:line="579" w:lineRule="exact"/>
        <w:ind w:firstLine="640"/>
        <w:rPr>
          <w:highlight w:val="none"/>
        </w:rPr>
      </w:pPr>
      <w:bookmarkStart w:id="15" w:name="_Toc7532"/>
      <w:r>
        <w:rPr>
          <w:rFonts w:hint="eastAsia"/>
          <w:highlight w:val="none"/>
          <w:lang w:val="en-US"/>
        </w:rPr>
        <w:t>综合评价情况及评价结论</w:t>
      </w:r>
      <w:bookmarkEnd w:id="15"/>
    </w:p>
    <w:p>
      <w:pPr>
        <w:pStyle w:val="4"/>
        <w:spacing w:line="579" w:lineRule="exact"/>
        <w:ind w:firstLine="640"/>
        <w:rPr>
          <w:rFonts w:ascii="仿宋_GB2312" w:hAnsi="仿宋_GB2312" w:cs="仿宋_GB2312"/>
          <w:szCs w:val="32"/>
          <w:highlight w:val="yellow"/>
        </w:rPr>
      </w:pPr>
      <w:r>
        <w:rPr>
          <w:rFonts w:hint="eastAsia" w:ascii="仿宋_GB2312" w:hAnsi="仿宋_GB2312" w:cs="仿宋_GB2312"/>
          <w:szCs w:val="32"/>
          <w:highlight w:val="none"/>
        </w:rPr>
        <w:t>评价小组根据指标体系，结合项目相关资料、现场调研及问卷调查等获取的</w:t>
      </w:r>
      <w:r>
        <w:rPr>
          <w:rFonts w:hint="eastAsia" w:ascii="仿宋_GB2312" w:hAnsi="仿宋_GB2312" w:cs="仿宋_GB2312"/>
          <w:szCs w:val="32"/>
          <w:highlight w:val="none"/>
          <w:lang w:val="en-US" w:eastAsia="zh-CN"/>
        </w:rPr>
        <w:t>数据</w:t>
      </w:r>
      <w:r>
        <w:rPr>
          <w:rFonts w:hint="eastAsia" w:ascii="仿宋_GB2312" w:hAnsi="仿宋_GB2312" w:cs="仿宋_GB2312"/>
          <w:szCs w:val="32"/>
          <w:highlight w:val="none"/>
        </w:rPr>
        <w:t>，对</w:t>
      </w:r>
      <w:r>
        <w:rPr>
          <w:rFonts w:hint="eastAsia" w:ascii="仿宋_GB2312" w:hAnsi="仿宋_GB2312" w:cs="仿宋_GB2312"/>
          <w:szCs w:val="32"/>
          <w:highlight w:val="none"/>
          <w:lang w:val="en-US"/>
        </w:rPr>
        <w:t>本项目</w:t>
      </w:r>
      <w:r>
        <w:rPr>
          <w:rFonts w:hint="eastAsia" w:ascii="仿宋_GB2312" w:hAnsi="仿宋_GB2312" w:cs="仿宋_GB2312"/>
          <w:szCs w:val="32"/>
          <w:highlight w:val="none"/>
        </w:rPr>
        <w:t>进行综合评价，最终评价结果为93.41分。综合评价等级为“</w:t>
      </w:r>
      <w:r>
        <w:rPr>
          <w:rFonts w:hint="eastAsia" w:ascii="仿宋_GB2312" w:hAnsi="仿宋_GB2312" w:cs="仿宋_GB2312"/>
          <w:szCs w:val="32"/>
          <w:highlight w:val="none"/>
          <w:lang w:val="en-US"/>
        </w:rPr>
        <w:t>优</w:t>
      </w:r>
      <w:r>
        <w:rPr>
          <w:rFonts w:hint="eastAsia" w:ascii="仿宋_GB2312" w:hAnsi="仿宋_GB2312" w:cs="仿宋_GB2312"/>
          <w:szCs w:val="32"/>
          <w:highlight w:val="none"/>
        </w:rPr>
        <w:t>”</w:t>
      </w:r>
      <w:r>
        <w:rPr>
          <w:rStyle w:val="25"/>
          <w:rFonts w:hint="eastAsia" w:ascii="仿宋_GB2312" w:hAnsi="仿宋_GB2312" w:cs="仿宋_GB2312"/>
          <w:szCs w:val="32"/>
          <w:highlight w:val="none"/>
        </w:rPr>
        <w:footnoteReference w:id="0"/>
      </w:r>
      <w:r>
        <w:rPr>
          <w:rFonts w:hint="eastAsia" w:ascii="仿宋_GB2312" w:hAnsi="仿宋_GB2312" w:cs="仿宋_GB2312"/>
          <w:szCs w:val="32"/>
          <w:highlight w:val="none"/>
        </w:rPr>
        <w:t>。各指标具体得分详见表</w:t>
      </w:r>
      <w:r>
        <w:rPr>
          <w:rFonts w:hint="eastAsia" w:ascii="仿宋_GB2312" w:hAnsi="仿宋_GB2312" w:cs="仿宋_GB2312"/>
          <w:szCs w:val="32"/>
          <w:highlight w:val="none"/>
          <w:lang w:val="en-US" w:eastAsia="zh-CN"/>
        </w:rPr>
        <w:t>4</w:t>
      </w:r>
      <w:r>
        <w:rPr>
          <w:rFonts w:hint="eastAsia" w:ascii="仿宋_GB2312" w:hAnsi="仿宋_GB2312" w:cs="仿宋_GB2312"/>
          <w:szCs w:val="32"/>
          <w:highlight w:val="none"/>
        </w:rPr>
        <w:t>，</w:t>
      </w:r>
      <w:r>
        <w:rPr>
          <w:rFonts w:hint="eastAsia" w:ascii="仿宋_GB2312" w:hAnsi="仿宋_GB2312" w:cs="仿宋_GB2312"/>
          <w:szCs w:val="32"/>
          <w:highlight w:val="none"/>
          <w:lang w:val="en-US"/>
        </w:rPr>
        <w:t>各指标得分情况及扣分原因见附件</w:t>
      </w:r>
      <w:r>
        <w:rPr>
          <w:rFonts w:hint="eastAsia" w:ascii="仿宋_GB2312" w:hAnsi="仿宋_GB2312" w:cs="仿宋_GB2312"/>
          <w:szCs w:val="32"/>
          <w:highlight w:val="none"/>
          <w:lang w:val="en-US" w:eastAsia="zh-CN"/>
        </w:rPr>
        <w:t>1</w:t>
      </w:r>
      <w:r>
        <w:rPr>
          <w:rFonts w:hint="eastAsia" w:ascii="仿宋_GB2312" w:hAnsi="仿宋_GB2312" w:cs="仿宋_GB2312"/>
          <w:szCs w:val="32"/>
          <w:highlight w:val="none"/>
        </w:rPr>
        <w:t>。</w:t>
      </w:r>
    </w:p>
    <w:p>
      <w:pPr>
        <w:pStyle w:val="65"/>
        <w:spacing w:before="0" w:after="0" w:line="579" w:lineRule="exact"/>
        <w:rPr>
          <w:rFonts w:ascii="仿宋_GB2312" w:hAnsi="仿宋_GB2312" w:eastAsia="仿宋_GB2312" w:cs="仿宋_GB2312"/>
          <w:b w:val="0"/>
          <w:bCs/>
          <w:highlight w:val="none"/>
        </w:rPr>
      </w:pPr>
      <w:r>
        <w:rPr>
          <w:rFonts w:hint="eastAsia" w:ascii="仿宋_GB2312" w:hAnsi="仿宋_GB2312" w:eastAsia="仿宋_GB2312" w:cs="仿宋_GB2312"/>
          <w:b w:val="0"/>
          <w:bCs/>
          <w:highlight w:val="none"/>
        </w:rPr>
        <w:t>表</w:t>
      </w:r>
      <w:r>
        <w:rPr>
          <w:rFonts w:hint="eastAsia" w:ascii="仿宋_GB2312" w:hAnsi="仿宋_GB2312" w:eastAsia="仿宋_GB2312" w:cs="仿宋_GB2312"/>
          <w:b w:val="0"/>
          <w:bCs/>
          <w:highlight w:val="none"/>
          <w:lang w:val="en-US" w:eastAsia="zh-CN"/>
        </w:rPr>
        <w:t>4</w:t>
      </w:r>
      <w:r>
        <w:rPr>
          <w:rFonts w:hint="eastAsia" w:ascii="仿宋_GB2312" w:hAnsi="仿宋_GB2312" w:eastAsia="仿宋_GB2312" w:cs="仿宋_GB2312"/>
          <w:b w:val="0"/>
          <w:bCs/>
          <w:highlight w:val="none"/>
        </w:rPr>
        <w:t xml:space="preserve">  本项目各项指标得分</w:t>
      </w:r>
      <w:r>
        <w:rPr>
          <w:rFonts w:hint="eastAsia" w:ascii="仿宋_GB2312" w:hAnsi="仿宋_GB2312" w:eastAsia="仿宋_GB2312" w:cs="仿宋_GB2312"/>
          <w:b w:val="0"/>
          <w:bCs/>
          <w:highlight w:val="none"/>
          <w:lang w:val="en-US" w:eastAsia="zh-CN"/>
        </w:rPr>
        <w:t>情况</w:t>
      </w:r>
      <w:r>
        <w:rPr>
          <w:rFonts w:hint="eastAsia" w:ascii="仿宋_GB2312" w:hAnsi="仿宋_GB2312" w:eastAsia="仿宋_GB2312" w:cs="仿宋_GB2312"/>
          <w:b w:val="0"/>
          <w:bCs/>
          <w:highlight w:val="none"/>
        </w:rPr>
        <w:t>表</w:t>
      </w:r>
    </w:p>
    <w:tbl>
      <w:tblPr>
        <w:tblStyle w:val="20"/>
        <w:tblW w:w="8517" w:type="dxa"/>
        <w:tblInd w:w="0" w:type="dxa"/>
        <w:shd w:val="clear" w:color="auto" w:fill="auto"/>
        <w:tblLayout w:type="fixed"/>
        <w:tblCellMar>
          <w:top w:w="0" w:type="dxa"/>
          <w:left w:w="108" w:type="dxa"/>
          <w:bottom w:w="0" w:type="dxa"/>
          <w:right w:w="108" w:type="dxa"/>
        </w:tblCellMar>
      </w:tblPr>
      <w:tblGrid>
        <w:gridCol w:w="1391"/>
        <w:gridCol w:w="808"/>
        <w:gridCol w:w="956"/>
        <w:gridCol w:w="1103"/>
        <w:gridCol w:w="1391"/>
        <w:gridCol w:w="808"/>
        <w:gridCol w:w="956"/>
        <w:gridCol w:w="1104"/>
      </w:tblGrid>
      <w:tr>
        <w:tblPrEx>
          <w:shd w:val="clear" w:color="auto" w:fill="auto"/>
          <w:tblCellMar>
            <w:top w:w="0" w:type="dxa"/>
            <w:left w:w="108" w:type="dxa"/>
            <w:bottom w:w="0" w:type="dxa"/>
            <w:right w:w="108" w:type="dxa"/>
          </w:tblCellMar>
        </w:tblPrEx>
        <w:trPr>
          <w:trHeight w:val="23" w:hRule="atLeast"/>
          <w:tblHeader/>
        </w:trPr>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一级指标</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分值</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得分</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得分率</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二级指标</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分值</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得分</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得分率</w:t>
            </w:r>
          </w:p>
        </w:tc>
      </w:tr>
      <w:tr>
        <w:tblPrEx>
          <w:shd w:val="clear" w:color="auto" w:fill="auto"/>
          <w:tblCellMar>
            <w:top w:w="0" w:type="dxa"/>
            <w:left w:w="108" w:type="dxa"/>
            <w:bottom w:w="0" w:type="dxa"/>
            <w:right w:w="108" w:type="dxa"/>
          </w:tblCellMar>
        </w:tblPrEx>
        <w:trPr>
          <w:trHeight w:val="23" w:hRule="atLeast"/>
        </w:trPr>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000000"/>
                <w:kern w:val="0"/>
                <w:sz w:val="21"/>
                <w:szCs w:val="21"/>
                <w:highlight w:val="none"/>
                <w:lang w:bidi="ar"/>
              </w:rPr>
              <w:t>决策</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20</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19</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val="en-US" w:eastAsia="zh-CN"/>
              </w:rPr>
              <w:t>95%</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项目立项</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6</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6</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eastAsia="zh-CN"/>
              </w:rPr>
              <w:t>1</w:t>
            </w:r>
            <w:r>
              <w:rPr>
                <w:rFonts w:hint="eastAsia" w:ascii="仿宋_GB2312" w:hAnsi="仿宋_GB2312" w:eastAsia="仿宋_GB2312" w:cs="仿宋_GB2312"/>
                <w:sz w:val="21"/>
                <w:szCs w:val="21"/>
                <w:highlight w:val="none"/>
                <w:lang w:val="en-US" w:eastAsia="zh-CN"/>
              </w:rPr>
              <w:t>00%</w:t>
            </w:r>
          </w:p>
        </w:tc>
      </w:tr>
      <w:tr>
        <w:tblPrEx>
          <w:shd w:val="clear" w:color="auto" w:fill="auto"/>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绩效目标</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7</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eastAsia="zh-CN"/>
              </w:rPr>
              <w:t>87</w:t>
            </w:r>
            <w:r>
              <w:rPr>
                <w:rFonts w:hint="eastAsia" w:ascii="仿宋_GB2312" w:hAnsi="仿宋_GB2312" w:eastAsia="仿宋_GB2312" w:cs="仿宋_GB2312"/>
                <w:sz w:val="21"/>
                <w:szCs w:val="21"/>
                <w:highlight w:val="none"/>
                <w:lang w:val="en-US" w:eastAsia="zh-CN"/>
              </w:rPr>
              <w:t>.</w:t>
            </w:r>
            <w:r>
              <w:rPr>
                <w:rFonts w:hint="eastAsia" w:ascii="仿宋_GB2312" w:hAnsi="仿宋_GB2312" w:eastAsia="仿宋_GB2312" w:cs="仿宋_GB2312"/>
                <w:sz w:val="21"/>
                <w:szCs w:val="21"/>
                <w:highlight w:val="none"/>
                <w:lang w:eastAsia="zh-CN"/>
              </w:rPr>
              <w:t>5</w:t>
            </w:r>
            <w:r>
              <w:rPr>
                <w:rFonts w:hint="eastAsia" w:ascii="仿宋_GB2312" w:hAnsi="仿宋_GB2312" w:eastAsia="仿宋_GB2312" w:cs="仿宋_GB2312"/>
                <w:sz w:val="21"/>
                <w:szCs w:val="21"/>
                <w:highlight w:val="none"/>
                <w:lang w:val="en-US" w:eastAsia="zh-CN"/>
              </w:rPr>
              <w:t>%</w:t>
            </w:r>
          </w:p>
        </w:tc>
      </w:tr>
      <w:tr>
        <w:tblPrEx>
          <w:shd w:val="clear" w:color="auto" w:fill="auto"/>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资金投入</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6</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6</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rPr>
            </w:pPr>
            <w:r>
              <w:rPr>
                <w:rFonts w:hint="eastAsia" w:ascii="仿宋_GB2312" w:hAnsi="仿宋_GB2312" w:eastAsia="仿宋_GB2312" w:cs="仿宋_GB2312"/>
                <w:sz w:val="21"/>
                <w:szCs w:val="21"/>
                <w:highlight w:val="none"/>
                <w:lang w:eastAsia="zh-CN"/>
              </w:rPr>
              <w:t>1</w:t>
            </w:r>
            <w:r>
              <w:rPr>
                <w:rFonts w:hint="eastAsia" w:ascii="仿宋_GB2312" w:hAnsi="仿宋_GB2312" w:eastAsia="仿宋_GB2312" w:cs="仿宋_GB2312"/>
                <w:sz w:val="21"/>
                <w:szCs w:val="21"/>
                <w:highlight w:val="none"/>
                <w:lang w:val="en-US" w:eastAsia="zh-CN"/>
              </w:rPr>
              <w:t>00%</w:t>
            </w:r>
          </w:p>
        </w:tc>
      </w:tr>
      <w:tr>
        <w:tblPrEx>
          <w:shd w:val="clear" w:color="auto" w:fill="auto"/>
          <w:tblCellMar>
            <w:top w:w="0" w:type="dxa"/>
            <w:left w:w="108" w:type="dxa"/>
            <w:bottom w:w="0" w:type="dxa"/>
            <w:right w:w="108" w:type="dxa"/>
          </w:tblCellMar>
        </w:tblPrEx>
        <w:trPr>
          <w:trHeight w:val="23" w:hRule="atLeast"/>
        </w:trPr>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000000"/>
                <w:kern w:val="0"/>
                <w:sz w:val="21"/>
                <w:szCs w:val="21"/>
                <w:highlight w:val="none"/>
                <w:lang w:bidi="ar"/>
              </w:rPr>
              <w:t>过程</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20</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19.93</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99.65%</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资金管理</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12</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11.93</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99</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4</w:t>
            </w:r>
            <w:r>
              <w:rPr>
                <w:rFonts w:hint="eastAsia" w:ascii="仿宋_GB2312" w:hAnsi="仿宋_GB2312" w:eastAsia="仿宋_GB2312" w:cs="仿宋_GB2312"/>
                <w:sz w:val="21"/>
                <w:szCs w:val="21"/>
                <w:highlight w:val="none"/>
                <w:lang w:val="en-US" w:eastAsia="zh-CN"/>
              </w:rPr>
              <w:t>2%</w:t>
            </w:r>
          </w:p>
        </w:tc>
      </w:tr>
      <w:tr>
        <w:tblPrEx>
          <w:shd w:val="clear" w:color="auto" w:fill="auto"/>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组织实施</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8</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eastAsia="zh-CN"/>
              </w:rPr>
              <w:t>1</w:t>
            </w:r>
            <w:r>
              <w:rPr>
                <w:rFonts w:hint="eastAsia" w:ascii="仿宋_GB2312" w:hAnsi="仿宋_GB2312" w:eastAsia="仿宋_GB2312" w:cs="仿宋_GB2312"/>
                <w:sz w:val="21"/>
                <w:szCs w:val="21"/>
                <w:highlight w:val="none"/>
                <w:lang w:val="en-US" w:eastAsia="zh-CN"/>
              </w:rPr>
              <w:t>00%</w:t>
            </w:r>
          </w:p>
        </w:tc>
      </w:tr>
      <w:tr>
        <w:tblPrEx>
          <w:shd w:val="clear" w:color="auto" w:fill="auto"/>
          <w:tblCellMar>
            <w:top w:w="0" w:type="dxa"/>
            <w:left w:w="108" w:type="dxa"/>
            <w:bottom w:w="0" w:type="dxa"/>
            <w:right w:w="108" w:type="dxa"/>
          </w:tblCellMar>
        </w:tblPrEx>
        <w:trPr>
          <w:trHeight w:val="312" w:hRule="atLeast"/>
        </w:trPr>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000000"/>
                <w:kern w:val="0"/>
                <w:sz w:val="21"/>
                <w:szCs w:val="21"/>
                <w:highlight w:val="none"/>
                <w:lang w:bidi="ar"/>
              </w:rPr>
              <w:t>产出</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30</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25.48</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84.93%</w:t>
            </w: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产出数量</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9</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7</w:t>
            </w:r>
          </w:p>
        </w:tc>
        <w:tc>
          <w:tcPr>
            <w:tcW w:w="11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77.78%</w:t>
            </w:r>
          </w:p>
        </w:tc>
      </w:tr>
      <w:tr>
        <w:tblPrEx>
          <w:shd w:val="clear" w:color="auto" w:fill="auto"/>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r>
      <w:tr>
        <w:tblPrEx>
          <w:shd w:val="clear" w:color="auto" w:fill="auto"/>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sz w:val="21"/>
                <w:szCs w:val="21"/>
                <w:highlight w:val="none"/>
                <w:lang w:val="en-US" w:eastAsia="zh-CN"/>
              </w:rPr>
              <w:t>产出质量</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9</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9</w:t>
            </w:r>
          </w:p>
        </w:tc>
        <w:tc>
          <w:tcPr>
            <w:tcW w:w="11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eastAsia="zh-CN"/>
              </w:rPr>
              <w:t>1</w:t>
            </w:r>
            <w:r>
              <w:rPr>
                <w:rFonts w:hint="eastAsia" w:ascii="仿宋_GB2312" w:hAnsi="仿宋_GB2312" w:eastAsia="仿宋_GB2312" w:cs="仿宋_GB2312"/>
                <w:sz w:val="21"/>
                <w:szCs w:val="21"/>
                <w:highlight w:val="none"/>
                <w:lang w:val="en-US" w:eastAsia="zh-CN"/>
              </w:rPr>
              <w:t>00%</w:t>
            </w: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r>
      <w:tr>
        <w:tblPrEx>
          <w:shd w:val="clear" w:color="auto" w:fill="auto"/>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产出时效</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8</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eastAsia="zh-CN"/>
              </w:rPr>
              <w:t>1</w:t>
            </w:r>
            <w:r>
              <w:rPr>
                <w:rFonts w:hint="eastAsia" w:ascii="仿宋_GB2312" w:hAnsi="仿宋_GB2312" w:eastAsia="仿宋_GB2312" w:cs="仿宋_GB2312"/>
                <w:sz w:val="21"/>
                <w:szCs w:val="21"/>
                <w:highlight w:val="none"/>
                <w:lang w:val="en-US" w:eastAsia="zh-CN"/>
              </w:rPr>
              <w:t>00%</w:t>
            </w: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产出成本</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4</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1.48</w:t>
            </w:r>
          </w:p>
        </w:tc>
        <w:tc>
          <w:tcPr>
            <w:tcW w:w="11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37</w:t>
            </w:r>
            <w:r>
              <w:rPr>
                <w:rFonts w:hint="eastAsia" w:ascii="仿宋_GB2312" w:hAnsi="仿宋_GB2312" w:eastAsia="仿宋_GB2312" w:cs="仿宋_GB2312"/>
                <w:sz w:val="21"/>
                <w:szCs w:val="21"/>
                <w:highlight w:val="none"/>
                <w:lang w:val="en-US" w:eastAsia="zh-CN"/>
              </w:rPr>
              <w:t>%</w:t>
            </w: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r>
      <w:tr>
        <w:tblPrEx>
          <w:tblCellMar>
            <w:top w:w="0" w:type="dxa"/>
            <w:left w:w="108" w:type="dxa"/>
            <w:bottom w:w="0" w:type="dxa"/>
            <w:right w:w="108" w:type="dxa"/>
          </w:tblCellMar>
        </w:tblPrEx>
        <w:trPr>
          <w:trHeight w:val="23" w:hRule="atLeast"/>
        </w:trPr>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000000"/>
                <w:kern w:val="0"/>
                <w:sz w:val="21"/>
                <w:szCs w:val="21"/>
                <w:highlight w:val="none"/>
                <w:lang w:bidi="ar"/>
              </w:rPr>
              <w:t>效益</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30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29</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96</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6</w:t>
            </w:r>
            <w:r>
              <w:rPr>
                <w:rFonts w:hint="eastAsia" w:ascii="仿宋_GB2312" w:hAnsi="仿宋_GB2312" w:eastAsia="仿宋_GB2312" w:cs="仿宋_GB2312"/>
                <w:sz w:val="21"/>
                <w:szCs w:val="21"/>
                <w:highlight w:val="none"/>
                <w:lang w:val="en-US" w:eastAsia="zh-CN"/>
              </w:rPr>
              <w:t>7%</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项目效益</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30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29</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96</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6</w:t>
            </w:r>
            <w:r>
              <w:rPr>
                <w:rFonts w:hint="eastAsia" w:ascii="仿宋_GB2312" w:hAnsi="仿宋_GB2312" w:eastAsia="仿宋_GB2312" w:cs="仿宋_GB2312"/>
                <w:sz w:val="21"/>
                <w:szCs w:val="21"/>
                <w:highlight w:val="none"/>
                <w:lang w:val="en-US" w:eastAsia="zh-CN"/>
              </w:rPr>
              <w:t>7%</w:t>
            </w:r>
          </w:p>
        </w:tc>
      </w:tr>
      <w:tr>
        <w:tblPrEx>
          <w:tblCellMar>
            <w:top w:w="0" w:type="dxa"/>
            <w:left w:w="108" w:type="dxa"/>
            <w:bottom w:w="0" w:type="dxa"/>
            <w:right w:w="108" w:type="dxa"/>
          </w:tblCellMar>
        </w:tblPrEx>
        <w:trPr>
          <w:trHeight w:val="23" w:hRule="atLeast"/>
        </w:trPr>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总分</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i w:val="0"/>
                <w:iCs w:val="0"/>
                <w:color w:val="000000"/>
                <w:kern w:val="0"/>
                <w:sz w:val="21"/>
                <w:szCs w:val="21"/>
                <w:highlight w:val="none"/>
                <w:u w:val="none"/>
                <w:lang w:val="en-US" w:eastAsia="zh-CN" w:bidi="ar"/>
              </w:rPr>
              <w:t>100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b/>
                <w:bCs/>
                <w:sz w:val="21"/>
                <w:szCs w:val="21"/>
                <w:highlight w:val="none"/>
                <w:lang w:val="en-US" w:eastAsia="zh-CN"/>
              </w:rPr>
            </w:pPr>
            <w:r>
              <w:rPr>
                <w:rFonts w:hint="eastAsia" w:ascii="仿宋_GB2312" w:hAnsi="仿宋_GB2312" w:eastAsia="仿宋_GB2312" w:cs="仿宋_GB2312"/>
                <w:b/>
                <w:bCs/>
                <w:sz w:val="21"/>
                <w:szCs w:val="21"/>
                <w:highlight w:val="none"/>
                <w:lang w:val="en-US" w:eastAsia="zh-CN"/>
              </w:rPr>
              <w:t>93.41</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lang w:val="en-US" w:eastAsia="zh-CN"/>
              </w:rPr>
              <w:t>93.41%</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i w:val="0"/>
                <w:iCs w:val="0"/>
                <w:color w:val="000000"/>
                <w:kern w:val="0"/>
                <w:sz w:val="21"/>
                <w:szCs w:val="21"/>
                <w:highlight w:val="none"/>
                <w:u w:val="none"/>
                <w:lang w:val="en-US" w:eastAsia="zh-CN" w:bidi="ar"/>
              </w:rPr>
              <w:t>——</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i w:val="0"/>
                <w:iCs w:val="0"/>
                <w:color w:val="000000"/>
                <w:kern w:val="0"/>
                <w:sz w:val="21"/>
                <w:szCs w:val="21"/>
                <w:highlight w:val="none"/>
                <w:u w:val="none"/>
                <w:lang w:val="en-US" w:eastAsia="zh-CN" w:bidi="ar"/>
              </w:rPr>
              <w:t>100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b/>
                <w:bCs/>
                <w:sz w:val="21"/>
                <w:szCs w:val="21"/>
                <w:highlight w:val="none"/>
                <w:lang w:val="en-US" w:eastAsia="zh-CN"/>
              </w:rPr>
            </w:pPr>
            <w:r>
              <w:rPr>
                <w:rFonts w:hint="eastAsia" w:ascii="仿宋_GB2312" w:hAnsi="仿宋_GB2312" w:eastAsia="仿宋_GB2312" w:cs="仿宋_GB2312"/>
                <w:b/>
                <w:bCs/>
                <w:sz w:val="21"/>
                <w:szCs w:val="21"/>
                <w:highlight w:val="none"/>
                <w:lang w:val="en-US" w:eastAsia="zh-CN"/>
              </w:rPr>
              <w:t>93.41</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b/>
                <w:bCs/>
                <w:sz w:val="21"/>
                <w:szCs w:val="21"/>
                <w:highlight w:val="none"/>
                <w:lang w:val="en-US"/>
              </w:rPr>
            </w:pPr>
            <w:r>
              <w:rPr>
                <w:rFonts w:hint="eastAsia" w:ascii="仿宋_GB2312" w:hAnsi="仿宋_GB2312" w:eastAsia="仿宋_GB2312" w:cs="仿宋_GB2312"/>
                <w:b/>
                <w:bCs/>
                <w:sz w:val="21"/>
                <w:szCs w:val="21"/>
                <w:highlight w:val="none"/>
                <w:lang w:val="en-US" w:eastAsia="zh-CN"/>
              </w:rPr>
              <w:t>93.41%</w:t>
            </w:r>
          </w:p>
        </w:tc>
      </w:tr>
    </w:tbl>
    <w:p>
      <w:pPr>
        <w:pStyle w:val="3"/>
        <w:spacing w:before="0" w:after="0" w:line="579" w:lineRule="exact"/>
        <w:ind w:firstLine="640"/>
        <w:rPr>
          <w:highlight w:val="none"/>
          <w:lang w:val="en-US"/>
        </w:rPr>
      </w:pPr>
      <w:bookmarkStart w:id="16" w:name="_Toc64647750"/>
      <w:bookmarkStart w:id="17" w:name="_Toc898"/>
      <w:r>
        <w:rPr>
          <w:rFonts w:hint="eastAsia"/>
          <w:highlight w:val="none"/>
          <w:lang w:val="en-US"/>
        </w:rPr>
        <w:t>绩效评价指标分析</w:t>
      </w:r>
      <w:bookmarkEnd w:id="16"/>
      <w:bookmarkEnd w:id="17"/>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8" w:name="_Toc11724"/>
      <w:r>
        <w:rPr>
          <w:rFonts w:hint="eastAsia" w:ascii="楷体_GB2312" w:hAnsi="楷体_GB2312" w:eastAsia="楷体_GB2312" w:cs="楷体_GB2312"/>
          <w:b w:val="0"/>
          <w:bCs w:val="0"/>
          <w:highlight w:val="none"/>
          <w:lang w:val="en-US" w:eastAsia="zh-CN"/>
        </w:rPr>
        <w:t>（一）</w:t>
      </w:r>
      <w:r>
        <w:rPr>
          <w:rFonts w:hint="eastAsia" w:ascii="楷体_GB2312" w:hAnsi="楷体_GB2312" w:eastAsia="楷体_GB2312" w:cs="楷体_GB2312"/>
          <w:b w:val="0"/>
          <w:bCs w:val="0"/>
          <w:highlight w:val="none"/>
          <w:lang w:val="en-US"/>
        </w:rPr>
        <w:t>项目决策情况</w:t>
      </w:r>
      <w:bookmarkEnd w:id="18"/>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决策</w:t>
      </w:r>
      <w:r>
        <w:rPr>
          <w:rFonts w:hint="eastAsia" w:ascii="仿宋_GB2312" w:hAnsi="仿宋_GB2312" w:cs="仿宋_GB2312"/>
          <w:szCs w:val="32"/>
          <w:highlight w:val="none"/>
        </w:rPr>
        <w:t>指标从“</w:t>
      </w:r>
      <w:r>
        <w:rPr>
          <w:rFonts w:hint="eastAsia" w:ascii="仿宋_GB2312" w:hAnsi="仿宋_GB2312" w:cs="仿宋_GB2312"/>
          <w:szCs w:val="32"/>
          <w:highlight w:val="none"/>
          <w:lang w:val="en-US"/>
        </w:rPr>
        <w:t>项目立项</w:t>
      </w:r>
      <w:r>
        <w:rPr>
          <w:rFonts w:hint="eastAsia" w:ascii="仿宋_GB2312" w:hAnsi="仿宋_GB2312" w:cs="仿宋_GB2312"/>
          <w:szCs w:val="32"/>
          <w:highlight w:val="none"/>
        </w:rPr>
        <w:t>”“</w:t>
      </w:r>
      <w:r>
        <w:rPr>
          <w:rFonts w:hint="eastAsia" w:ascii="仿宋_GB2312" w:hAnsi="仿宋_GB2312" w:cs="仿宋_GB2312"/>
          <w:szCs w:val="32"/>
          <w:highlight w:val="none"/>
          <w:lang w:val="en-US"/>
        </w:rPr>
        <w:t>绩效</w:t>
      </w:r>
      <w:r>
        <w:rPr>
          <w:rFonts w:hint="eastAsia" w:ascii="仿宋_GB2312" w:hAnsi="仿宋_GB2312" w:cs="仿宋_GB2312"/>
          <w:szCs w:val="32"/>
          <w:highlight w:val="none"/>
        </w:rPr>
        <w:t>目标”“</w:t>
      </w:r>
      <w:r>
        <w:rPr>
          <w:rFonts w:hint="eastAsia" w:ascii="仿宋_GB2312" w:hAnsi="仿宋_GB2312" w:cs="仿宋_GB2312"/>
          <w:szCs w:val="32"/>
          <w:highlight w:val="none"/>
          <w:lang w:val="en-US"/>
        </w:rPr>
        <w:t>资金投入</w:t>
      </w:r>
      <w:r>
        <w:rPr>
          <w:rFonts w:hint="eastAsia" w:ascii="仿宋_GB2312" w:hAnsi="仿宋_GB2312" w:cs="仿宋_GB2312"/>
          <w:szCs w:val="32"/>
          <w:highlight w:val="none"/>
        </w:rPr>
        <w:t>”三个方面进行考察，满分</w:t>
      </w:r>
      <w:r>
        <w:rPr>
          <w:rFonts w:hint="eastAsia" w:ascii="仿宋_GB2312" w:hAnsi="仿宋_GB2312" w:cs="仿宋_GB2312"/>
          <w:szCs w:val="32"/>
          <w:highlight w:val="none"/>
          <w:lang w:val="en-US"/>
        </w:rPr>
        <w:t>20</w:t>
      </w:r>
      <w:r>
        <w:rPr>
          <w:rFonts w:hint="eastAsia" w:ascii="仿宋_GB2312" w:hAnsi="仿宋_GB2312" w:cs="仿宋_GB2312"/>
          <w:szCs w:val="32"/>
          <w:highlight w:val="none"/>
        </w:rPr>
        <w:t>分，得分</w:t>
      </w:r>
      <w:r>
        <w:rPr>
          <w:rFonts w:hint="eastAsia" w:ascii="仿宋_GB2312" w:hAnsi="仿宋_GB2312" w:cs="仿宋_GB2312"/>
          <w:szCs w:val="32"/>
          <w:highlight w:val="none"/>
          <w:lang w:val="en-US" w:eastAsia="zh-CN"/>
        </w:rPr>
        <w:t>19</w:t>
      </w:r>
      <w:r>
        <w:rPr>
          <w:rFonts w:hint="eastAsia" w:ascii="仿宋_GB2312" w:hAnsi="仿宋_GB2312" w:cs="仿宋_GB2312"/>
          <w:szCs w:val="32"/>
          <w:highlight w:val="none"/>
        </w:rPr>
        <w:t>分，得分率为</w:t>
      </w:r>
      <w:r>
        <w:rPr>
          <w:rFonts w:hint="eastAsia" w:ascii="仿宋_GB2312" w:hAnsi="仿宋_GB2312" w:cs="仿宋_GB2312"/>
          <w:szCs w:val="32"/>
          <w:highlight w:val="none"/>
          <w:lang w:val="en-US" w:eastAsia="zh-CN"/>
        </w:rPr>
        <w:t>95</w:t>
      </w:r>
      <w:r>
        <w:rPr>
          <w:rFonts w:hint="eastAsia" w:ascii="仿宋_GB2312" w:hAnsi="仿宋_GB2312" w:cs="仿宋_GB2312"/>
          <w:szCs w:val="32"/>
          <w:highlight w:val="none"/>
        </w:rPr>
        <w:t>%。</w:t>
      </w:r>
    </w:p>
    <w:p>
      <w:pPr>
        <w:pStyle w:val="4"/>
        <w:spacing w:line="579" w:lineRule="exact"/>
        <w:ind w:firstLine="643"/>
        <w:outlineLvl w:val="2"/>
        <w:rPr>
          <w:rFonts w:ascii="仿宋_GB2312" w:hAnsi="仿宋_GB2312" w:cs="仿宋_GB2312"/>
          <w:b/>
          <w:bCs/>
          <w:szCs w:val="32"/>
          <w:highlight w:val="none"/>
          <w:lang w:val="en-US"/>
        </w:rPr>
      </w:pPr>
      <w:r>
        <w:rPr>
          <w:rFonts w:hint="eastAsia" w:ascii="仿宋_GB2312" w:hAnsi="仿宋_GB2312" w:cs="仿宋_GB2312"/>
          <w:b/>
          <w:bCs/>
          <w:szCs w:val="32"/>
          <w:highlight w:val="none"/>
          <w:lang w:val="en-US"/>
        </w:rPr>
        <w:t>1.项目立项</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w:t>
      </w:r>
      <w:r>
        <w:rPr>
          <w:rFonts w:hint="eastAsia" w:ascii="仿宋_GB2312" w:hAnsi="仿宋_GB2312" w:cs="仿宋_GB2312"/>
          <w:szCs w:val="32"/>
          <w:highlight w:val="none"/>
          <w:lang w:val="en-US"/>
        </w:rPr>
        <w:t>1</w:t>
      </w:r>
      <w:r>
        <w:rPr>
          <w:rFonts w:hint="eastAsia" w:ascii="仿宋_GB2312" w:hAnsi="仿宋_GB2312" w:cs="仿宋_GB2312"/>
          <w:szCs w:val="32"/>
          <w:highlight w:val="none"/>
        </w:rPr>
        <w:t>）立项依据充分性</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本</w:t>
      </w:r>
      <w:r>
        <w:rPr>
          <w:rFonts w:hint="eastAsia" w:ascii="仿宋_GB2312" w:hAnsi="仿宋_GB2312" w:cs="仿宋_GB2312"/>
          <w:szCs w:val="32"/>
          <w:highlight w:val="none"/>
        </w:rPr>
        <w:t>项目立项符合国家法律法规、国民经济发展规划和相关政策，符合行业发展规划和政策要求，与部门职责范围相符，属于部门履职所需，</w:t>
      </w:r>
      <w:r>
        <w:rPr>
          <w:rFonts w:hint="eastAsia" w:ascii="仿宋_GB2312" w:hAnsi="仿宋_GB2312" w:cs="仿宋_GB2312"/>
          <w:szCs w:val="32"/>
          <w:highlight w:val="none"/>
          <w:lang w:val="en-US"/>
        </w:rPr>
        <w:t>本</w:t>
      </w:r>
      <w:r>
        <w:rPr>
          <w:rFonts w:hint="eastAsia" w:ascii="仿宋_GB2312" w:hAnsi="仿宋_GB2312" w:cs="仿宋_GB2312"/>
          <w:szCs w:val="32"/>
          <w:highlight w:val="none"/>
        </w:rPr>
        <w:t>项目属于公共财政支持范围，符合中央、地方事权支出责任划</w:t>
      </w:r>
      <w:r>
        <w:rPr>
          <w:rFonts w:hint="eastAsia" w:ascii="仿宋_GB2312" w:hAnsi="仿宋_GB2312" w:cs="仿宋_GB2312"/>
          <w:szCs w:val="32"/>
          <w:highlight w:val="none"/>
          <w:lang w:eastAsia="zh-CN"/>
        </w:rPr>
        <w:t>分</w:t>
      </w:r>
      <w:r>
        <w:rPr>
          <w:rFonts w:hint="eastAsia" w:ascii="仿宋_GB2312" w:hAnsi="仿宋_GB2312" w:cs="仿宋_GB2312"/>
          <w:szCs w:val="32"/>
          <w:highlight w:val="none"/>
        </w:rPr>
        <w:t>原则，</w:t>
      </w:r>
      <w:r>
        <w:rPr>
          <w:rFonts w:hint="eastAsia" w:ascii="仿宋_GB2312" w:hAnsi="仿宋_GB2312" w:cs="仿宋_GB2312"/>
          <w:szCs w:val="32"/>
          <w:highlight w:val="none"/>
          <w:lang w:val="en-US"/>
        </w:rPr>
        <w:t>本</w:t>
      </w:r>
      <w:r>
        <w:rPr>
          <w:rFonts w:hint="eastAsia" w:ascii="仿宋_GB2312" w:hAnsi="仿宋_GB2312" w:cs="仿宋_GB2312"/>
          <w:szCs w:val="32"/>
          <w:highlight w:val="none"/>
        </w:rPr>
        <w:t>项目未与相关部门同类项目或部门内部相关项目重复。</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w:t>
      </w:r>
      <w:r>
        <w:rPr>
          <w:rFonts w:hint="eastAsia" w:ascii="仿宋_GB2312" w:hAnsi="仿宋_GB2312" w:cs="仿宋_GB2312"/>
          <w:szCs w:val="32"/>
          <w:highlight w:val="none"/>
          <w:lang w:val="en-US"/>
        </w:rPr>
        <w:t>2</w:t>
      </w:r>
      <w:r>
        <w:rPr>
          <w:rFonts w:hint="eastAsia" w:ascii="仿宋_GB2312" w:hAnsi="仿宋_GB2312" w:cs="仿宋_GB2312"/>
          <w:szCs w:val="32"/>
          <w:highlight w:val="none"/>
        </w:rPr>
        <w:t>）立项程序规范性</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本项目按照规定的程序申请设立，审批文件、材料符合相关要求，事前已经过必要的可行性研究、专家论证、风险评估、绩效评估、集体决策</w:t>
      </w:r>
      <w:r>
        <w:rPr>
          <w:rFonts w:hint="eastAsia" w:ascii="仿宋_GB2312" w:hAnsi="仿宋_GB2312" w:cs="仿宋_GB2312"/>
          <w:szCs w:val="32"/>
          <w:highlight w:val="none"/>
        </w:rPr>
        <w:t>。</w:t>
      </w:r>
    </w:p>
    <w:p>
      <w:pPr>
        <w:pStyle w:val="4"/>
        <w:spacing w:line="579" w:lineRule="exact"/>
        <w:ind w:firstLine="643"/>
        <w:outlineLvl w:val="2"/>
        <w:rPr>
          <w:rFonts w:ascii="仿宋_GB2312" w:hAnsi="仿宋_GB2312" w:cs="仿宋_GB2312"/>
          <w:b/>
          <w:bCs/>
          <w:szCs w:val="32"/>
          <w:highlight w:val="none"/>
        </w:rPr>
      </w:pPr>
      <w:r>
        <w:rPr>
          <w:rFonts w:hint="eastAsia" w:ascii="仿宋_GB2312" w:hAnsi="仿宋_GB2312" w:cs="仿宋_GB2312"/>
          <w:b/>
          <w:bCs/>
          <w:szCs w:val="32"/>
          <w:highlight w:val="none"/>
          <w:lang w:val="en-US"/>
        </w:rPr>
        <w:t>2.绩效目标</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rPr>
        <w:t>（1）绩效目标合理</w:t>
      </w:r>
      <w:r>
        <w:rPr>
          <w:rFonts w:hint="eastAsia" w:ascii="仿宋_GB2312" w:hAnsi="仿宋_GB2312" w:cs="仿宋_GB2312"/>
          <w:szCs w:val="32"/>
          <w:highlight w:val="none"/>
        </w:rPr>
        <w:t>性</w:t>
      </w:r>
    </w:p>
    <w:p>
      <w:pPr>
        <w:pStyle w:val="4"/>
        <w:spacing w:line="579" w:lineRule="exact"/>
        <w:ind w:firstLine="640"/>
        <w:rPr>
          <w:rFonts w:ascii="仿宋_GB2312" w:hAnsi="仿宋_GB2312" w:cs="仿宋_GB2312"/>
          <w:szCs w:val="32"/>
          <w:highlight w:val="none"/>
        </w:rPr>
      </w:pPr>
      <w:r>
        <w:rPr>
          <w:rFonts w:hint="eastAsia" w:ascii="仿宋_GB2312" w:hAnsi="仿宋_GB2312" w:eastAsia="仿宋_GB2312" w:cs="仿宋_GB2312"/>
          <w:sz w:val="32"/>
          <w:szCs w:val="32"/>
          <w:highlight w:val="none"/>
          <w:lang w:val="en-US" w:eastAsia="zh-CN"/>
        </w:rPr>
        <w:t>本</w:t>
      </w:r>
      <w:r>
        <w:rPr>
          <w:rFonts w:hint="eastAsia" w:ascii="仿宋_GB2312" w:hAnsi="仿宋_GB2312" w:eastAsia="仿宋_GB2312" w:cs="仿宋_GB2312"/>
          <w:sz w:val="32"/>
          <w:szCs w:val="32"/>
          <w:highlight w:val="none"/>
        </w:rPr>
        <w:t>项</w:t>
      </w:r>
      <w:r>
        <w:rPr>
          <w:rFonts w:hint="eastAsia" w:ascii="仿宋_GB2312" w:hAnsi="仿宋_GB2312" w:eastAsia="仿宋_GB2312" w:cs="仿宋_GB2312"/>
          <w:sz w:val="32"/>
          <w:szCs w:val="32"/>
          <w:highlight w:val="none"/>
          <w:lang w:val="en-US" w:eastAsia="zh-CN"/>
        </w:rPr>
        <w:t>目</w:t>
      </w:r>
      <w:r>
        <w:rPr>
          <w:rFonts w:hint="eastAsia" w:ascii="仿宋_GB2312" w:hAnsi="仿宋_GB2312" w:cs="仿宋_GB2312"/>
          <w:sz w:val="32"/>
          <w:szCs w:val="32"/>
          <w:highlight w:val="none"/>
          <w:lang w:val="en-US" w:eastAsia="zh-CN"/>
        </w:rPr>
        <w:t>设置</w:t>
      </w:r>
      <w:r>
        <w:rPr>
          <w:rFonts w:hint="eastAsia" w:ascii="仿宋_GB2312" w:hAnsi="仿宋_GB2312" w:eastAsia="仿宋_GB2312" w:cs="仿宋_GB2312"/>
          <w:sz w:val="32"/>
          <w:szCs w:val="32"/>
          <w:highlight w:val="none"/>
        </w:rPr>
        <w:t>有绩效目标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项目绩效目标与实际工作内容具有相关性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项目预期产出效益和效果符合正常的业绩水平</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项目绩效目标与预算确定的项目投资额或资金量相匹配</w:t>
      </w:r>
      <w:r>
        <w:rPr>
          <w:rFonts w:hint="eastAsia" w:ascii="仿宋_GB2312" w:hAnsi="仿宋_GB2312" w:cs="仿宋_GB2312"/>
          <w:szCs w:val="32"/>
          <w:highlight w:val="none"/>
          <w:lang w:val="en-US"/>
        </w:rPr>
        <w:t>。</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（2）绩效指标明确</w:t>
      </w:r>
      <w:r>
        <w:rPr>
          <w:rFonts w:hint="eastAsia" w:ascii="仿宋_GB2312" w:hAnsi="仿宋_GB2312" w:cs="仿宋_GB2312"/>
          <w:szCs w:val="32"/>
          <w:highlight w:val="none"/>
        </w:rPr>
        <w:t>性</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rPr>
        <w:t>本项目绩效目标与项目目标任务数或计划数相对应，将项目绩效目标细化分解为具体的绩效指标</w:t>
      </w:r>
      <w:r>
        <w:rPr>
          <w:rFonts w:hint="eastAsia" w:ascii="仿宋_GB2312" w:hAnsi="仿宋_GB2312" w:cs="仿宋_GB2312"/>
          <w:szCs w:val="32"/>
          <w:highlight w:val="none"/>
          <w:lang w:val="en-US" w:eastAsia="zh-CN"/>
        </w:rPr>
        <w:t>，但社会效益指标未通过清晰、可衡量的指标值予以体现，扣1分。</w:t>
      </w:r>
    </w:p>
    <w:p>
      <w:pPr>
        <w:pStyle w:val="4"/>
        <w:spacing w:line="579" w:lineRule="exact"/>
        <w:ind w:firstLine="643"/>
        <w:outlineLvl w:val="2"/>
        <w:rPr>
          <w:rFonts w:ascii="仿宋_GB2312" w:hAnsi="仿宋_GB2312" w:cs="仿宋_GB2312"/>
          <w:b/>
          <w:bCs/>
          <w:szCs w:val="32"/>
          <w:highlight w:val="none"/>
          <w:lang w:val="en-US"/>
        </w:rPr>
      </w:pPr>
      <w:r>
        <w:rPr>
          <w:rFonts w:hint="eastAsia" w:ascii="仿宋_GB2312" w:hAnsi="仿宋_GB2312" w:cs="仿宋_GB2312"/>
          <w:b/>
          <w:bCs/>
          <w:szCs w:val="32"/>
          <w:highlight w:val="none"/>
          <w:lang w:val="en-US"/>
        </w:rPr>
        <w:t>3.资金投入</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w:t>
      </w:r>
      <w:r>
        <w:rPr>
          <w:rFonts w:hint="eastAsia" w:ascii="仿宋_GB2312" w:hAnsi="仿宋_GB2312" w:cs="仿宋_GB2312"/>
          <w:szCs w:val="32"/>
          <w:highlight w:val="none"/>
          <w:lang w:val="en-US"/>
        </w:rPr>
        <w:t>1</w:t>
      </w:r>
      <w:r>
        <w:rPr>
          <w:rFonts w:hint="eastAsia" w:ascii="仿宋_GB2312" w:hAnsi="仿宋_GB2312" w:cs="仿宋_GB2312"/>
          <w:szCs w:val="32"/>
          <w:highlight w:val="none"/>
        </w:rPr>
        <w:t>）预算编制科学性</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本</w:t>
      </w:r>
      <w:r>
        <w:rPr>
          <w:rFonts w:hint="eastAsia" w:ascii="仿宋_GB2312" w:hAnsi="仿宋_GB2312" w:cs="仿宋_GB2312"/>
          <w:szCs w:val="32"/>
          <w:highlight w:val="none"/>
        </w:rPr>
        <w:t>项目预算编制经过科学论证，预算内容与项目内容匹配，预算</w:t>
      </w:r>
      <w:r>
        <w:rPr>
          <w:rFonts w:hint="eastAsia" w:ascii="仿宋_GB2312" w:hAnsi="仿宋_GB2312" w:cs="仿宋_GB2312"/>
          <w:szCs w:val="32"/>
          <w:highlight w:val="none"/>
          <w:lang w:val="en-US" w:eastAsia="zh-CN"/>
        </w:rPr>
        <w:t>资金</w:t>
      </w:r>
      <w:r>
        <w:rPr>
          <w:rFonts w:hint="eastAsia" w:ascii="仿宋_GB2312" w:hAnsi="仿宋_GB2312" w:cs="仿宋_GB2312"/>
          <w:szCs w:val="32"/>
          <w:highlight w:val="none"/>
        </w:rPr>
        <w:t>测算依据充分，按照标准编制，预算确定的项目投资额或资金量与工作任务相匹配。</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w:t>
      </w:r>
      <w:r>
        <w:rPr>
          <w:rFonts w:hint="eastAsia" w:ascii="仿宋_GB2312" w:hAnsi="仿宋_GB2312" w:cs="仿宋_GB2312"/>
          <w:szCs w:val="32"/>
          <w:highlight w:val="none"/>
          <w:lang w:val="en-US"/>
        </w:rPr>
        <w:t>2</w:t>
      </w:r>
      <w:r>
        <w:rPr>
          <w:rFonts w:hint="eastAsia" w:ascii="仿宋_GB2312" w:hAnsi="仿宋_GB2312" w:cs="仿宋_GB2312"/>
          <w:szCs w:val="32"/>
          <w:highlight w:val="none"/>
        </w:rPr>
        <w:t>）资金分配合理性</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rPr>
        <w:t>本项目预算资金分配依据充分，体现厉行节约从严从紧安排的导向，资金分配额度合理，与项目单位实际相适应</w:t>
      </w:r>
      <w:r>
        <w:rPr>
          <w:rFonts w:hint="eastAsia" w:ascii="仿宋_GB2312" w:hAnsi="仿宋_GB2312" w:cs="仿宋_GB2312"/>
          <w:szCs w:val="32"/>
          <w:highlight w:val="none"/>
        </w:rPr>
        <w:t>。</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9" w:name="_Toc20735"/>
      <w:r>
        <w:rPr>
          <w:rFonts w:hint="eastAsia" w:ascii="楷体_GB2312" w:hAnsi="楷体_GB2312" w:eastAsia="楷体_GB2312" w:cs="楷体_GB2312"/>
          <w:b w:val="0"/>
          <w:bCs w:val="0"/>
          <w:highlight w:val="none"/>
          <w:lang w:val="en-US" w:eastAsia="zh-CN"/>
        </w:rPr>
        <w:t>（二）</w:t>
      </w:r>
      <w:r>
        <w:rPr>
          <w:rFonts w:hint="eastAsia" w:ascii="楷体_GB2312" w:hAnsi="楷体_GB2312" w:eastAsia="楷体_GB2312" w:cs="楷体_GB2312"/>
          <w:b w:val="0"/>
          <w:bCs w:val="0"/>
          <w:highlight w:val="none"/>
          <w:lang w:val="en-US"/>
        </w:rPr>
        <w:t>项目过程情况</w:t>
      </w:r>
      <w:bookmarkEnd w:id="19"/>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过程</w:t>
      </w:r>
      <w:r>
        <w:rPr>
          <w:rFonts w:hint="eastAsia" w:ascii="仿宋_GB2312" w:hAnsi="仿宋_GB2312" w:cs="仿宋_GB2312"/>
          <w:highlight w:val="none"/>
        </w:rPr>
        <w:t>指标从“</w:t>
      </w:r>
      <w:r>
        <w:rPr>
          <w:rFonts w:hint="eastAsia" w:ascii="仿宋_GB2312" w:hAnsi="仿宋_GB2312" w:cs="仿宋_GB2312"/>
          <w:highlight w:val="none"/>
          <w:lang w:val="en-US"/>
        </w:rPr>
        <w:t>资金</w:t>
      </w:r>
      <w:r>
        <w:rPr>
          <w:rFonts w:hint="eastAsia" w:ascii="仿宋_GB2312" w:hAnsi="仿宋_GB2312" w:cs="仿宋_GB2312"/>
          <w:highlight w:val="none"/>
        </w:rPr>
        <w:t>管理”“</w:t>
      </w:r>
      <w:r>
        <w:rPr>
          <w:rFonts w:hint="eastAsia" w:ascii="仿宋_GB2312" w:hAnsi="仿宋_GB2312" w:cs="仿宋_GB2312"/>
          <w:highlight w:val="none"/>
          <w:lang w:val="en-US"/>
        </w:rPr>
        <w:t>组织实施</w:t>
      </w:r>
      <w:r>
        <w:rPr>
          <w:rFonts w:hint="eastAsia" w:ascii="仿宋_GB2312" w:hAnsi="仿宋_GB2312" w:cs="仿宋_GB2312"/>
          <w:highlight w:val="none"/>
        </w:rPr>
        <w:t>”</w:t>
      </w:r>
      <w:r>
        <w:rPr>
          <w:rFonts w:hint="eastAsia" w:ascii="仿宋_GB2312" w:hAnsi="仿宋_GB2312" w:cs="仿宋_GB2312"/>
          <w:highlight w:val="none"/>
          <w:lang w:val="en-US"/>
        </w:rPr>
        <w:t>两个</w:t>
      </w:r>
      <w:r>
        <w:rPr>
          <w:rFonts w:hint="eastAsia" w:ascii="仿宋_GB2312" w:hAnsi="仿宋_GB2312" w:cs="仿宋_GB2312"/>
          <w:highlight w:val="none"/>
        </w:rPr>
        <w:t>方面进行考察，满分</w:t>
      </w:r>
      <w:r>
        <w:rPr>
          <w:rFonts w:hint="eastAsia" w:ascii="仿宋_GB2312" w:hAnsi="仿宋_GB2312" w:cs="仿宋_GB2312"/>
          <w:highlight w:val="none"/>
          <w:lang w:val="en-US"/>
        </w:rPr>
        <w:t>20</w:t>
      </w:r>
      <w:r>
        <w:rPr>
          <w:rFonts w:hint="eastAsia" w:ascii="仿宋_GB2312" w:hAnsi="仿宋_GB2312" w:cs="仿宋_GB2312"/>
          <w:highlight w:val="none"/>
        </w:rPr>
        <w:t>分，得分</w:t>
      </w:r>
      <w:r>
        <w:rPr>
          <w:rFonts w:hint="eastAsia" w:ascii="仿宋_GB2312" w:hAnsi="仿宋_GB2312" w:cs="仿宋_GB2312"/>
          <w:highlight w:val="none"/>
          <w:lang w:val="en-US"/>
        </w:rPr>
        <w:t>1</w:t>
      </w:r>
      <w:r>
        <w:rPr>
          <w:rFonts w:hint="eastAsia" w:ascii="仿宋_GB2312" w:hAnsi="仿宋_GB2312" w:cs="仿宋_GB2312"/>
          <w:highlight w:val="none"/>
          <w:lang w:val="en-US" w:eastAsia="zh-CN"/>
        </w:rPr>
        <w:t>9.93</w:t>
      </w:r>
      <w:r>
        <w:rPr>
          <w:rFonts w:hint="eastAsia" w:ascii="仿宋_GB2312" w:hAnsi="仿宋_GB2312" w:cs="仿宋_GB2312"/>
          <w:highlight w:val="none"/>
        </w:rPr>
        <w:t>分，得分率为</w:t>
      </w:r>
      <w:r>
        <w:rPr>
          <w:rFonts w:hint="eastAsia" w:ascii="仿宋_GB2312" w:hAnsi="仿宋_GB2312" w:cs="仿宋_GB2312"/>
          <w:highlight w:val="none"/>
          <w:lang w:val="en-US"/>
        </w:rPr>
        <w:t>9</w:t>
      </w:r>
      <w:r>
        <w:rPr>
          <w:rFonts w:hint="eastAsia" w:ascii="仿宋_GB2312" w:hAnsi="仿宋_GB2312" w:cs="仿宋_GB2312"/>
          <w:highlight w:val="none"/>
          <w:lang w:val="en-US" w:eastAsia="zh-CN"/>
        </w:rPr>
        <w:t>9.6</w:t>
      </w:r>
      <w:r>
        <w:rPr>
          <w:rFonts w:hint="eastAsia" w:ascii="仿宋_GB2312" w:hAnsi="仿宋_GB2312" w:cs="仿宋_GB2312"/>
          <w:highlight w:val="none"/>
          <w:lang w:val="en-US"/>
        </w:rPr>
        <w:t>5</w:t>
      </w:r>
      <w:r>
        <w:rPr>
          <w:rFonts w:hint="eastAsia" w:ascii="仿宋_GB2312" w:hAnsi="仿宋_GB2312" w:cs="仿宋_GB2312"/>
          <w:highlight w:val="none"/>
        </w:rPr>
        <w:t>%。</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1.资金</w:t>
      </w:r>
      <w:r>
        <w:rPr>
          <w:rFonts w:hint="eastAsia" w:ascii="仿宋_GB2312" w:hAnsi="仿宋_GB2312" w:cs="仿宋_GB2312"/>
          <w:b/>
          <w:bCs/>
          <w:highlight w:val="none"/>
        </w:rPr>
        <w:t>管理</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rPr>
        <w:t>（</w:t>
      </w:r>
      <w:r>
        <w:rPr>
          <w:rFonts w:hint="eastAsia" w:ascii="仿宋_GB2312" w:hAnsi="仿宋_GB2312" w:cs="仿宋_GB2312"/>
          <w:highlight w:val="none"/>
          <w:lang w:val="en-US"/>
        </w:rPr>
        <w:t>1</w:t>
      </w:r>
      <w:r>
        <w:rPr>
          <w:rFonts w:hint="eastAsia" w:ascii="仿宋_GB2312" w:hAnsi="仿宋_GB2312" w:cs="仿宋_GB2312"/>
          <w:highlight w:val="none"/>
        </w:rPr>
        <w:t>）资金到位率</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本</w:t>
      </w:r>
      <w:r>
        <w:rPr>
          <w:rFonts w:hint="eastAsia" w:ascii="仿宋_GB2312" w:hAnsi="仿宋_GB2312" w:cs="仿宋_GB2312"/>
          <w:highlight w:val="none"/>
        </w:rPr>
        <w:t>项目全年预算1,390</w:t>
      </w:r>
      <w:r>
        <w:rPr>
          <w:rFonts w:hint="eastAsia" w:ascii="仿宋_GB2312" w:hAnsi="仿宋_GB2312" w:cs="仿宋_GB2312"/>
          <w:highlight w:val="none"/>
          <w:lang w:val="en-US"/>
        </w:rPr>
        <w:t>万元，实际到位资金</w:t>
      </w:r>
      <w:r>
        <w:rPr>
          <w:rFonts w:hint="eastAsia" w:ascii="仿宋_GB2312" w:hAnsi="仿宋_GB2312" w:cs="仿宋_GB2312"/>
          <w:highlight w:val="none"/>
        </w:rPr>
        <w:t>1,390</w:t>
      </w:r>
      <w:r>
        <w:rPr>
          <w:rFonts w:hint="eastAsia" w:ascii="仿宋_GB2312" w:hAnsi="仿宋_GB2312" w:cs="仿宋_GB2312"/>
          <w:highlight w:val="none"/>
          <w:lang w:val="en-US"/>
        </w:rPr>
        <w:t>万元，资金到位率为100%。</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（2）</w:t>
      </w:r>
      <w:r>
        <w:rPr>
          <w:rFonts w:hint="eastAsia" w:ascii="仿宋_GB2312" w:hAnsi="仿宋_GB2312" w:cs="仿宋_GB2312"/>
          <w:highlight w:val="none"/>
        </w:rPr>
        <w:t>预算执行率</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本项目</w:t>
      </w:r>
      <w:r>
        <w:rPr>
          <w:rFonts w:hint="eastAsia" w:ascii="仿宋_GB2312" w:hAnsi="仿宋_GB2312" w:cs="仿宋_GB2312"/>
          <w:highlight w:val="none"/>
        </w:rPr>
        <w:t>全年预算1,390</w:t>
      </w:r>
      <w:r>
        <w:rPr>
          <w:rFonts w:hint="eastAsia" w:ascii="仿宋_GB2312" w:hAnsi="仿宋_GB2312" w:cs="仿宋_GB2312"/>
          <w:highlight w:val="none"/>
          <w:lang w:val="en-US"/>
        </w:rPr>
        <w:t>万元，</w:t>
      </w:r>
      <w:r>
        <w:rPr>
          <w:rFonts w:hint="eastAsia" w:ascii="仿宋_GB2312" w:hAnsi="仿宋_GB2312" w:cs="仿宋_GB2312"/>
          <w:highlight w:val="none"/>
          <w:lang w:val="en-US" w:eastAsia="zh-CN"/>
        </w:rPr>
        <w:t>全年</w:t>
      </w:r>
      <w:r>
        <w:rPr>
          <w:rFonts w:hint="eastAsia" w:ascii="仿宋_GB2312" w:hAnsi="仿宋_GB2312" w:cs="仿宋_GB2312"/>
          <w:highlight w:val="none"/>
          <w:lang w:val="en-US"/>
        </w:rPr>
        <w:t>实际支出1,364.31</w:t>
      </w:r>
      <w:r>
        <w:rPr>
          <w:rFonts w:hint="eastAsia" w:ascii="仿宋_GB2312" w:hAnsi="仿宋_GB2312" w:cs="仿宋_GB2312"/>
          <w:highlight w:val="none"/>
          <w:lang w:val="en-US" w:eastAsia="zh-CN"/>
        </w:rPr>
        <w:t>万</w:t>
      </w:r>
      <w:r>
        <w:rPr>
          <w:rFonts w:hint="eastAsia" w:ascii="仿宋_GB2312" w:hAnsi="仿宋_GB2312" w:cs="仿宋_GB2312"/>
          <w:highlight w:val="none"/>
          <w:lang w:val="en-US"/>
        </w:rPr>
        <w:t>元，预算执行率为98.15%，扣0.0</w:t>
      </w:r>
      <w:r>
        <w:rPr>
          <w:rFonts w:hint="eastAsia" w:ascii="仿宋_GB2312" w:hAnsi="仿宋_GB2312" w:cs="仿宋_GB2312"/>
          <w:highlight w:val="none"/>
          <w:lang w:val="en-US" w:eastAsia="zh-CN"/>
        </w:rPr>
        <w:t>7</w:t>
      </w:r>
      <w:r>
        <w:rPr>
          <w:rFonts w:hint="eastAsia" w:ascii="仿宋_GB2312" w:hAnsi="仿宋_GB2312" w:cs="仿宋_GB2312"/>
          <w:highlight w:val="none"/>
          <w:lang w:val="en-US"/>
        </w:rPr>
        <w:t>分。</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（3）资金使用合规性</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本项目资金支出符合国家财经法规和财务管理制度以及有关专项资金管理规程的规定，资金的拨付有完整的审批程序和手续，符合项目预算批复或合同规定的用途，不存在截留、挤占、挪用、虚列支出等情况</w:t>
      </w:r>
      <w:r>
        <w:rPr>
          <w:rFonts w:hint="eastAsia" w:ascii="仿宋_GB2312" w:hAnsi="仿宋_GB2312" w:cs="仿宋_GB2312"/>
          <w:highlight w:val="none"/>
        </w:rPr>
        <w:t>。</w:t>
      </w:r>
    </w:p>
    <w:p>
      <w:pPr>
        <w:pStyle w:val="4"/>
        <w:spacing w:line="579" w:lineRule="exact"/>
        <w:ind w:firstLine="643"/>
        <w:outlineLvl w:val="2"/>
        <w:rPr>
          <w:rFonts w:ascii="仿宋_GB2312" w:hAnsi="仿宋_GB2312" w:cs="仿宋_GB2312"/>
          <w:b/>
          <w:bCs/>
          <w:highlight w:val="none"/>
        </w:rPr>
      </w:pPr>
      <w:r>
        <w:rPr>
          <w:rFonts w:hint="eastAsia" w:ascii="仿宋_GB2312" w:hAnsi="仿宋_GB2312" w:cs="仿宋_GB2312"/>
          <w:b/>
          <w:bCs/>
          <w:highlight w:val="none"/>
          <w:lang w:val="en-US"/>
        </w:rPr>
        <w:t>2.组织实施</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（1）管理制度健全性</w:t>
      </w:r>
    </w:p>
    <w:p>
      <w:pPr>
        <w:pStyle w:val="4"/>
        <w:spacing w:line="579" w:lineRule="exact"/>
        <w:ind w:firstLine="640"/>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rPr>
        <w:t>市住建局已制订</w:t>
      </w:r>
      <w:r>
        <w:rPr>
          <w:rFonts w:hint="eastAsia" w:ascii="仿宋_GB2312" w:hAnsi="仿宋_GB2312" w:cs="仿宋_GB2312"/>
          <w:highlight w:val="none"/>
          <w:lang w:val="en-US" w:eastAsia="zh-CN"/>
        </w:rPr>
        <w:t>财务管理制度和业务管理制度，财务管理制度和业务管理制度的内容</w:t>
      </w:r>
      <w:r>
        <w:rPr>
          <w:rFonts w:hint="eastAsia" w:ascii="仿宋_GB2312" w:hAnsi="仿宋_GB2312" w:cs="仿宋_GB2312"/>
          <w:highlight w:val="none"/>
          <w:lang w:val="en-US"/>
        </w:rPr>
        <w:t>合法、合规、完整</w:t>
      </w:r>
      <w:r>
        <w:rPr>
          <w:rFonts w:hint="eastAsia" w:ascii="仿宋_GB2312" w:hAnsi="仿宋_GB2312" w:cs="仿宋_GB2312"/>
          <w:highlight w:val="none"/>
        </w:rPr>
        <w:t>。</w:t>
      </w:r>
      <w:r>
        <w:rPr>
          <w:rFonts w:hint="eastAsia" w:ascii="仿宋_GB2312" w:hAnsi="仿宋_GB2312" w:cs="仿宋_GB2312"/>
          <w:highlight w:val="none"/>
          <w:lang w:val="en-US" w:eastAsia="zh-CN"/>
        </w:rPr>
        <w:t>本项目的管理制度较为健全。</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rPr>
        <w:t>（</w:t>
      </w:r>
      <w:r>
        <w:rPr>
          <w:rFonts w:hint="eastAsia" w:ascii="仿宋_GB2312" w:hAnsi="仿宋_GB2312" w:cs="仿宋_GB2312"/>
          <w:highlight w:val="none"/>
          <w:lang w:val="en-US"/>
        </w:rPr>
        <w:t>2</w:t>
      </w:r>
      <w:r>
        <w:rPr>
          <w:rFonts w:hint="eastAsia" w:ascii="仿宋_GB2312" w:hAnsi="仿宋_GB2312" w:cs="仿宋_GB2312"/>
          <w:highlight w:val="none"/>
        </w:rPr>
        <w:t>）</w:t>
      </w:r>
      <w:r>
        <w:rPr>
          <w:rFonts w:hint="eastAsia" w:ascii="仿宋_GB2312" w:hAnsi="仿宋_GB2312" w:cs="仿宋_GB2312"/>
          <w:highlight w:val="none"/>
          <w:lang w:val="en-US"/>
        </w:rPr>
        <w:t>制度执行有效性</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本项目实施过程遵守相关法律法规和相关管理规定，项目调整及支出调整手续完备，项目合同书、验收报告、技术鉴定等资料齐全并及时归档，项目实施的人员条件、场地设备、信息支撑等落实到位。</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20" w:name="_Toc6688"/>
      <w:r>
        <w:rPr>
          <w:rFonts w:hint="eastAsia" w:ascii="楷体_GB2312" w:hAnsi="楷体_GB2312" w:eastAsia="楷体_GB2312" w:cs="楷体_GB2312"/>
          <w:b w:val="0"/>
          <w:bCs w:val="0"/>
          <w:highlight w:val="none"/>
          <w:lang w:val="en-US" w:eastAsia="zh-CN"/>
        </w:rPr>
        <w:t>（三）</w:t>
      </w:r>
      <w:r>
        <w:rPr>
          <w:rFonts w:hint="eastAsia" w:ascii="楷体_GB2312" w:hAnsi="楷体_GB2312" w:eastAsia="楷体_GB2312" w:cs="楷体_GB2312"/>
          <w:b w:val="0"/>
          <w:bCs w:val="0"/>
          <w:highlight w:val="none"/>
          <w:lang w:val="en-US"/>
        </w:rPr>
        <w:t>项目产出情况</w:t>
      </w:r>
      <w:bookmarkEnd w:id="20"/>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产出</w:t>
      </w:r>
      <w:r>
        <w:rPr>
          <w:rFonts w:hint="eastAsia" w:ascii="仿宋_GB2312" w:hAnsi="仿宋_GB2312" w:cs="仿宋_GB2312"/>
          <w:highlight w:val="none"/>
        </w:rPr>
        <w:t>指标从产出数量、产出质量、产出时效和产出成本</w:t>
      </w:r>
      <w:r>
        <w:rPr>
          <w:rFonts w:hint="eastAsia" w:ascii="仿宋_GB2312" w:hAnsi="仿宋_GB2312" w:cs="仿宋_GB2312"/>
          <w:highlight w:val="none"/>
          <w:lang w:val="en-US"/>
        </w:rPr>
        <w:t>四</w:t>
      </w:r>
      <w:r>
        <w:rPr>
          <w:rFonts w:hint="eastAsia" w:ascii="仿宋_GB2312" w:hAnsi="仿宋_GB2312" w:cs="仿宋_GB2312"/>
          <w:highlight w:val="none"/>
        </w:rPr>
        <w:t>个方面进行考察，满分</w:t>
      </w:r>
      <w:r>
        <w:rPr>
          <w:rFonts w:hint="eastAsia" w:ascii="仿宋_GB2312" w:hAnsi="仿宋_GB2312" w:cs="仿宋_GB2312"/>
          <w:highlight w:val="none"/>
          <w:lang w:val="en-US"/>
        </w:rPr>
        <w:t>30</w:t>
      </w:r>
      <w:r>
        <w:rPr>
          <w:rFonts w:hint="eastAsia" w:ascii="仿宋_GB2312" w:hAnsi="仿宋_GB2312" w:cs="仿宋_GB2312"/>
          <w:highlight w:val="none"/>
        </w:rPr>
        <w:t>分，得分</w:t>
      </w:r>
      <w:r>
        <w:rPr>
          <w:rFonts w:hint="eastAsia" w:ascii="仿宋_GB2312" w:hAnsi="仿宋_GB2312" w:cs="仿宋_GB2312"/>
          <w:highlight w:val="none"/>
          <w:lang w:val="en-US" w:eastAsia="zh-CN"/>
        </w:rPr>
        <w:t>25.48</w:t>
      </w:r>
      <w:r>
        <w:rPr>
          <w:rFonts w:hint="eastAsia" w:ascii="仿宋_GB2312" w:hAnsi="仿宋_GB2312" w:cs="仿宋_GB2312"/>
          <w:highlight w:val="none"/>
        </w:rPr>
        <w:t>分，得分率为84.93%。</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1.产出数量——实际完成率</w:t>
      </w:r>
    </w:p>
    <w:p>
      <w:pPr>
        <w:pStyle w:val="4"/>
        <w:spacing w:line="579" w:lineRule="exact"/>
        <w:ind w:firstLine="640"/>
        <w:rPr>
          <w:rFonts w:hint="default" w:ascii="仿宋_GB2312" w:hAnsi="仿宋_GB2312" w:cs="仿宋_GB2312"/>
          <w:highlight w:val="none"/>
          <w:lang w:val="en-US"/>
        </w:rPr>
      </w:pPr>
      <w:r>
        <w:rPr>
          <w:rFonts w:hint="eastAsia" w:ascii="仿宋_GB2312" w:hAnsi="仿宋_GB2312" w:cs="仿宋_GB2312"/>
          <w:highlight w:val="none"/>
          <w:lang w:val="en-US"/>
        </w:rPr>
        <w:t>本项目的</w:t>
      </w:r>
      <w:r>
        <w:rPr>
          <w:rFonts w:hint="eastAsia" w:ascii="仿宋_GB2312" w:hAnsi="仿宋_GB2312" w:cs="仿宋_GB2312"/>
          <w:highlight w:val="none"/>
          <w:lang w:val="en-US" w:eastAsia="zh-CN"/>
        </w:rPr>
        <w:t>9</w:t>
      </w:r>
      <w:r>
        <w:rPr>
          <w:rFonts w:hint="eastAsia" w:ascii="仿宋_GB2312" w:hAnsi="仿宋_GB2312" w:cs="仿宋_GB2312"/>
          <w:highlight w:val="none"/>
          <w:lang w:val="en-US"/>
        </w:rPr>
        <w:t>个数量指标</w:t>
      </w:r>
      <w:r>
        <w:rPr>
          <w:rFonts w:hint="eastAsia" w:ascii="仿宋_GB2312" w:hAnsi="仿宋_GB2312" w:cs="仿宋_GB2312"/>
          <w:highlight w:val="none"/>
          <w:lang w:val="en-US" w:eastAsia="zh-CN"/>
        </w:rPr>
        <w:t>中有6个指标已完成。有2个指标“建筑工程消防设计审查专家评审项目数（项）”“建设工程消防设计审查及验收资料受理、整理数量（宗）”因受到新冠疫情的影响，实际完成值略小于指标值，酌情各扣0.5分。剩余1个指标“建筑工程消防设计审图量（项）”，指标值设置为“≥1000”，实际完成值为“704”，偏差原因是“根据省住房和城乡建设厅《关于明确建设工程消防设计审查验收工作有关事项的通知》（粤建质函〔2020〕30号）文件，市住建局重新调整了《深圳市建设工程消防行政许可及备案分工范围》（以下简称《分工范围》）,自2020年8月15日起，市、区两级建设工程消防行政许可及备案业务按《分工范围》执行，部分项目由区住建部门受理审批”，因该绩效指标值设置时考量不充分，导致未能完成，扣1分。本指标共扣2分。</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2.产出质量——质量达标率</w:t>
      </w:r>
    </w:p>
    <w:p>
      <w:pPr>
        <w:pStyle w:val="4"/>
        <w:spacing w:line="579" w:lineRule="exact"/>
        <w:ind w:firstLine="640"/>
        <w:rPr>
          <w:rFonts w:ascii="仿宋_GB2312" w:hAnsi="仿宋_GB2312" w:cs="仿宋_GB2312"/>
          <w:highlight w:val="yellow"/>
        </w:rPr>
      </w:pPr>
      <w:r>
        <w:rPr>
          <w:rFonts w:hint="eastAsia" w:ascii="仿宋_GB2312" w:hAnsi="仿宋_GB2312" w:cs="仿宋_GB2312"/>
          <w:highlight w:val="none"/>
          <w:lang w:val="en-US"/>
        </w:rPr>
        <w:t>本项目的</w:t>
      </w:r>
      <w:r>
        <w:rPr>
          <w:rFonts w:hint="eastAsia" w:ascii="仿宋_GB2312" w:hAnsi="仿宋_GB2312" w:cs="仿宋_GB2312"/>
          <w:highlight w:val="none"/>
          <w:lang w:val="en-US" w:eastAsia="zh-CN"/>
        </w:rPr>
        <w:t>5</w:t>
      </w:r>
      <w:r>
        <w:rPr>
          <w:rFonts w:hint="eastAsia" w:ascii="仿宋_GB2312" w:hAnsi="仿宋_GB2312" w:cs="仿宋_GB2312"/>
          <w:highlight w:val="none"/>
          <w:lang w:val="en-US"/>
        </w:rPr>
        <w:t>个质量指标全部完成，</w:t>
      </w:r>
      <w:r>
        <w:rPr>
          <w:rFonts w:hint="eastAsia" w:ascii="仿宋_GB2312" w:hAnsi="仿宋_GB2312" w:cs="仿宋_GB2312"/>
          <w:highlight w:val="none"/>
          <w:lang w:val="en-US" w:eastAsia="zh-CN"/>
        </w:rPr>
        <w:t>“建设工程消防设计审查资料受理、整理质量达标率”“消防能力提升培训人员到会率”“消防验收现场评定抽检率”“建设工程消防设计审查及验收资料受理、整理质量达标率”“消防设施检测抽检率”</w:t>
      </w:r>
      <w:r>
        <w:rPr>
          <w:rFonts w:hint="eastAsia" w:ascii="仿宋_GB2312" w:hAnsi="仿宋_GB2312" w:cs="仿宋_GB2312"/>
          <w:highlight w:val="none"/>
          <w:lang w:val="en-US"/>
        </w:rPr>
        <w:t>完成率均达到100%。</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3.产出时效——完成及时性</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本项目及时性绩效目标达成，项目进度按计划进行，无明显滞后</w:t>
      </w:r>
      <w:r>
        <w:rPr>
          <w:rFonts w:hint="eastAsia"/>
          <w:highlight w:val="none"/>
        </w:rPr>
        <w:t>。</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4.产出成本——成本节约情况</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本项目</w:t>
      </w:r>
      <w:r>
        <w:rPr>
          <w:rFonts w:hint="eastAsia" w:ascii="仿宋_GB2312" w:hAnsi="仿宋_GB2312" w:cs="仿宋_GB2312"/>
          <w:highlight w:val="none"/>
        </w:rPr>
        <w:t>计划成本1,390</w:t>
      </w:r>
      <w:r>
        <w:rPr>
          <w:rFonts w:hint="eastAsia" w:ascii="仿宋_GB2312" w:hAnsi="仿宋_GB2312" w:cs="仿宋_GB2312"/>
          <w:highlight w:val="none"/>
          <w:lang w:val="en-US"/>
        </w:rPr>
        <w:t>万元，</w:t>
      </w:r>
      <w:r>
        <w:rPr>
          <w:rFonts w:hint="eastAsia" w:ascii="仿宋_GB2312" w:hAnsi="仿宋_GB2312" w:cs="仿宋_GB2312"/>
          <w:highlight w:val="none"/>
        </w:rPr>
        <w:t>实际成本1,364.31</w:t>
      </w:r>
      <w:r>
        <w:rPr>
          <w:rFonts w:hint="eastAsia" w:ascii="仿宋_GB2312" w:hAnsi="仿宋_GB2312" w:cs="仿宋_GB2312"/>
          <w:highlight w:val="none"/>
          <w:lang w:val="en-US"/>
        </w:rPr>
        <w:t>万元，成本节约率为</w:t>
      </w:r>
      <w:r>
        <w:rPr>
          <w:rFonts w:hint="eastAsia" w:ascii="仿宋_GB2312" w:hAnsi="仿宋_GB2312" w:cs="仿宋_GB2312"/>
          <w:highlight w:val="none"/>
          <w:lang w:val="en-US" w:eastAsia="zh-CN"/>
        </w:rPr>
        <w:t>1.85</w:t>
      </w:r>
      <w:r>
        <w:rPr>
          <w:rFonts w:hint="eastAsia" w:ascii="仿宋_GB2312" w:hAnsi="仿宋_GB2312" w:cs="仿宋_GB2312"/>
          <w:highlight w:val="none"/>
          <w:lang w:val="en-US"/>
        </w:rPr>
        <w:t>%，设定成本节约率5%为基准</w:t>
      </w:r>
      <w:r>
        <w:rPr>
          <w:rFonts w:hint="eastAsia" w:ascii="仿宋_GB2312" w:hAnsi="仿宋_GB2312" w:cs="仿宋_GB2312"/>
          <w:highlight w:val="none"/>
          <w:lang w:val="en-US" w:eastAsia="zh-CN"/>
        </w:rPr>
        <w:t>，</w:t>
      </w:r>
      <w:r>
        <w:rPr>
          <w:rFonts w:hint="eastAsia" w:ascii="仿宋_GB2312" w:hAnsi="仿宋_GB2312" w:cs="仿宋_GB2312"/>
          <w:highlight w:val="none"/>
          <w:lang w:val="en-US"/>
        </w:rPr>
        <w:t>扣</w:t>
      </w:r>
      <w:r>
        <w:rPr>
          <w:rFonts w:hint="eastAsia" w:ascii="仿宋_GB2312" w:hAnsi="仿宋_GB2312" w:cs="仿宋_GB2312"/>
          <w:highlight w:val="none"/>
          <w:lang w:val="en-US" w:eastAsia="zh-CN"/>
        </w:rPr>
        <w:t>2.52</w:t>
      </w:r>
      <w:r>
        <w:rPr>
          <w:rFonts w:hint="eastAsia" w:ascii="仿宋_GB2312" w:hAnsi="仿宋_GB2312" w:cs="仿宋_GB2312"/>
          <w:highlight w:val="none"/>
          <w:lang w:val="en-US"/>
        </w:rPr>
        <w:t>分</w:t>
      </w:r>
      <w:r>
        <w:rPr>
          <w:rFonts w:hint="eastAsia" w:ascii="仿宋_GB2312" w:hAnsi="仿宋_GB2312" w:cs="仿宋_GB2312"/>
          <w:highlight w:val="none"/>
        </w:rPr>
        <w:t>。</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21" w:name="_Toc7099"/>
      <w:r>
        <w:rPr>
          <w:rFonts w:hint="eastAsia" w:ascii="楷体_GB2312" w:hAnsi="楷体_GB2312" w:eastAsia="楷体_GB2312" w:cs="楷体_GB2312"/>
          <w:b w:val="0"/>
          <w:bCs w:val="0"/>
          <w:highlight w:val="none"/>
          <w:lang w:val="en-US" w:eastAsia="zh-CN"/>
        </w:rPr>
        <w:t>（四）</w:t>
      </w:r>
      <w:r>
        <w:rPr>
          <w:rFonts w:hint="eastAsia" w:ascii="楷体_GB2312" w:hAnsi="楷体_GB2312" w:eastAsia="楷体_GB2312" w:cs="楷体_GB2312"/>
          <w:b w:val="0"/>
          <w:bCs w:val="0"/>
          <w:highlight w:val="none"/>
          <w:lang w:val="en-US"/>
        </w:rPr>
        <w:t>项目效益情况</w:t>
      </w:r>
      <w:bookmarkEnd w:id="21"/>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效益</w:t>
      </w:r>
      <w:r>
        <w:rPr>
          <w:rFonts w:hint="eastAsia" w:ascii="仿宋_GB2312" w:hAnsi="仿宋_GB2312" w:cs="仿宋_GB2312"/>
          <w:highlight w:val="none"/>
        </w:rPr>
        <w:t>指标考察</w:t>
      </w:r>
      <w:r>
        <w:rPr>
          <w:rFonts w:hint="eastAsia" w:ascii="仿宋_GB2312" w:hAnsi="仿宋_GB2312" w:cs="仿宋_GB2312"/>
          <w:highlight w:val="none"/>
          <w:lang w:val="en-US"/>
        </w:rPr>
        <w:t>项目效益</w:t>
      </w:r>
      <w:r>
        <w:rPr>
          <w:rFonts w:hint="eastAsia" w:ascii="仿宋_GB2312" w:hAnsi="仿宋_GB2312" w:cs="仿宋_GB2312"/>
          <w:highlight w:val="none"/>
        </w:rPr>
        <w:t>，满分</w:t>
      </w:r>
      <w:r>
        <w:rPr>
          <w:rFonts w:hint="eastAsia" w:ascii="仿宋_GB2312" w:hAnsi="仿宋_GB2312" w:cs="仿宋_GB2312"/>
          <w:highlight w:val="none"/>
          <w:lang w:val="en-US"/>
        </w:rPr>
        <w:t>30</w:t>
      </w:r>
      <w:r>
        <w:rPr>
          <w:rFonts w:hint="eastAsia" w:ascii="仿宋_GB2312" w:hAnsi="仿宋_GB2312" w:cs="仿宋_GB2312"/>
          <w:highlight w:val="none"/>
        </w:rPr>
        <w:t>分，得分</w:t>
      </w:r>
      <w:r>
        <w:rPr>
          <w:rFonts w:hint="eastAsia" w:ascii="仿宋_GB2312" w:hAnsi="仿宋_GB2312" w:cs="仿宋_GB2312"/>
          <w:highlight w:val="none"/>
          <w:lang w:val="en-US" w:eastAsia="zh-CN"/>
        </w:rPr>
        <w:t>29</w:t>
      </w:r>
      <w:r>
        <w:rPr>
          <w:rFonts w:hint="eastAsia" w:ascii="仿宋_GB2312" w:hAnsi="仿宋_GB2312" w:cs="仿宋_GB2312"/>
          <w:highlight w:val="none"/>
        </w:rPr>
        <w:t>分，得分率为</w:t>
      </w:r>
      <w:r>
        <w:rPr>
          <w:rFonts w:hint="eastAsia" w:ascii="仿宋_GB2312" w:hAnsi="仿宋_GB2312" w:cs="仿宋_GB2312"/>
          <w:highlight w:val="none"/>
          <w:lang w:val="en-US"/>
        </w:rPr>
        <w:t>9</w:t>
      </w:r>
      <w:r>
        <w:rPr>
          <w:rFonts w:hint="eastAsia" w:ascii="仿宋_GB2312" w:hAnsi="仿宋_GB2312" w:cs="仿宋_GB2312"/>
          <w:highlight w:val="none"/>
          <w:lang w:val="en-US" w:eastAsia="zh-CN"/>
        </w:rPr>
        <w:t>6.67</w:t>
      </w:r>
      <w:r>
        <w:rPr>
          <w:rFonts w:hint="eastAsia" w:ascii="仿宋_GB2312" w:hAnsi="仿宋_GB2312" w:cs="仿宋_GB2312"/>
          <w:highlight w:val="none"/>
          <w:lang w:val="en-US"/>
        </w:rPr>
        <w:t>%</w:t>
      </w:r>
      <w:r>
        <w:rPr>
          <w:rFonts w:hint="eastAsia" w:ascii="仿宋_GB2312" w:hAnsi="仿宋_GB2312" w:cs="仿宋_GB2312"/>
          <w:highlight w:val="none"/>
        </w:rPr>
        <w:t>。</w:t>
      </w:r>
    </w:p>
    <w:p>
      <w:pPr>
        <w:pStyle w:val="4"/>
        <w:spacing w:line="579" w:lineRule="exact"/>
        <w:ind w:firstLine="643"/>
        <w:rPr>
          <w:rFonts w:ascii="仿宋_GB2312" w:hAnsi="仿宋_GB2312" w:cs="仿宋_GB2312"/>
          <w:b/>
          <w:bCs/>
          <w:highlight w:val="none"/>
        </w:rPr>
      </w:pPr>
      <w:r>
        <w:rPr>
          <w:rFonts w:hint="eastAsia" w:ascii="仿宋_GB2312" w:hAnsi="仿宋_GB2312" w:cs="仿宋_GB2312"/>
          <w:b/>
          <w:bCs/>
          <w:highlight w:val="none"/>
          <w:lang w:val="en-US"/>
        </w:rPr>
        <w:t>1.项目</w:t>
      </w:r>
      <w:r>
        <w:rPr>
          <w:rFonts w:hint="eastAsia" w:ascii="仿宋_GB2312" w:hAnsi="仿宋_GB2312" w:cs="仿宋_GB2312"/>
          <w:b/>
          <w:bCs/>
          <w:highlight w:val="none"/>
        </w:rPr>
        <w:t>效益</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rPr>
        <w:t>（</w:t>
      </w:r>
      <w:r>
        <w:rPr>
          <w:rFonts w:hint="eastAsia" w:ascii="仿宋_GB2312" w:hAnsi="仿宋_GB2312" w:cs="仿宋_GB2312"/>
          <w:highlight w:val="none"/>
          <w:lang w:val="en-US"/>
        </w:rPr>
        <w:t>1</w:t>
      </w:r>
      <w:r>
        <w:rPr>
          <w:rFonts w:hint="eastAsia" w:ascii="仿宋_GB2312" w:hAnsi="仿宋_GB2312" w:cs="仿宋_GB2312"/>
          <w:highlight w:val="none"/>
        </w:rPr>
        <w:t>）</w:t>
      </w:r>
      <w:r>
        <w:rPr>
          <w:rFonts w:hint="eastAsia" w:ascii="仿宋_GB2312" w:hAnsi="仿宋_GB2312" w:cs="仿宋_GB2312"/>
          <w:highlight w:val="none"/>
          <w:lang w:val="en-US"/>
        </w:rPr>
        <w:t>实施效益</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社会效益方面，</w:t>
      </w:r>
      <w:r>
        <w:rPr>
          <w:rFonts w:hint="eastAsia" w:ascii="仿宋_GB2312" w:hAnsi="仿宋_GB2312" w:cs="仿宋_GB2312"/>
          <w:highlight w:val="none"/>
          <w:lang w:val="en-US" w:eastAsia="zh-CN"/>
        </w:rPr>
        <w:t>实施</w:t>
      </w:r>
      <w:r>
        <w:rPr>
          <w:rFonts w:hint="eastAsia" w:ascii="仿宋_GB2312" w:hAnsi="仿宋_GB2312" w:cs="仿宋_GB2312"/>
          <w:highlight w:val="none"/>
          <w:lang w:val="en-US"/>
        </w:rPr>
        <w:t>本项目有效保障消防设计审查工作的正常开展，有效提高消防设计审查人员业务办事效率</w:t>
      </w:r>
      <w:r>
        <w:rPr>
          <w:rFonts w:hint="eastAsia" w:ascii="仿宋_GB2312" w:hAnsi="仿宋_GB2312" w:cs="仿宋_GB2312"/>
          <w:highlight w:val="none"/>
          <w:lang w:val="en-US" w:eastAsia="zh-CN"/>
        </w:rPr>
        <w:t>，有效保障建设工程的消防技术安全，有效降低消防安全隐患。</w:t>
      </w:r>
      <w:r>
        <w:rPr>
          <w:rFonts w:hint="eastAsia" w:ascii="仿宋_GB2312" w:hAnsi="仿宋_GB2312" w:cs="仿宋_GB2312"/>
          <w:highlight w:val="none"/>
          <w:lang w:val="en-US"/>
        </w:rPr>
        <w:t>本指标酌情扣</w:t>
      </w:r>
      <w:r>
        <w:rPr>
          <w:rFonts w:hint="eastAsia" w:ascii="仿宋_GB2312" w:hAnsi="仿宋_GB2312" w:cs="仿宋_GB2312"/>
          <w:highlight w:val="none"/>
          <w:lang w:val="en-US" w:eastAsia="zh-CN"/>
        </w:rPr>
        <w:t>1</w:t>
      </w:r>
      <w:r>
        <w:rPr>
          <w:rFonts w:hint="eastAsia" w:ascii="仿宋_GB2312" w:hAnsi="仿宋_GB2312" w:cs="仿宋_GB2312"/>
          <w:highlight w:val="none"/>
          <w:lang w:val="en-US"/>
        </w:rPr>
        <w:t>分。</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（2）满意度</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eastAsia="zh-CN"/>
        </w:rPr>
        <w:t>本项目满意度指标“</w:t>
      </w:r>
      <w:r>
        <w:rPr>
          <w:rFonts w:hint="eastAsia" w:ascii="仿宋_GB2312" w:hAnsi="仿宋_GB2312" w:cs="仿宋_GB2312"/>
          <w:highlight w:val="none"/>
          <w:lang w:val="en-US"/>
        </w:rPr>
        <w:t>被审查单位满意度</w:t>
      </w:r>
      <w:r>
        <w:rPr>
          <w:rFonts w:hint="eastAsia" w:ascii="仿宋_GB2312" w:hAnsi="仿宋_GB2312" w:cs="仿宋_GB2312"/>
          <w:highlight w:val="none"/>
          <w:lang w:val="en-US" w:eastAsia="zh-CN"/>
        </w:rPr>
        <w:t>”</w:t>
      </w:r>
      <w:r>
        <w:rPr>
          <w:rFonts w:hint="eastAsia" w:ascii="仿宋_GB2312" w:hAnsi="仿宋_GB2312" w:cs="仿宋_GB2312"/>
          <w:highlight w:val="none"/>
          <w:lang w:val="en-US"/>
        </w:rPr>
        <w:t>、</w:t>
      </w:r>
      <w:r>
        <w:rPr>
          <w:rFonts w:hint="eastAsia" w:ascii="仿宋_GB2312" w:hAnsi="仿宋_GB2312" w:cs="仿宋_GB2312"/>
          <w:highlight w:val="none"/>
          <w:lang w:val="en-US" w:eastAsia="zh-CN"/>
        </w:rPr>
        <w:t>“培训参与人员满意度”实际完成值</w:t>
      </w:r>
      <w:r>
        <w:rPr>
          <w:rFonts w:hint="eastAsia" w:ascii="仿宋_GB2312" w:hAnsi="仿宋_GB2312" w:cs="仿宋_GB2312"/>
          <w:highlight w:val="none"/>
          <w:lang w:val="en-US"/>
        </w:rPr>
        <w:t>均达到</w:t>
      </w:r>
      <w:r>
        <w:rPr>
          <w:rFonts w:hint="eastAsia" w:ascii="仿宋_GB2312" w:hAnsi="仿宋_GB2312" w:cs="仿宋_GB2312"/>
          <w:highlight w:val="none"/>
          <w:lang w:val="en-US" w:eastAsia="zh-CN"/>
        </w:rPr>
        <w:t>计划指标值</w:t>
      </w:r>
      <w:r>
        <w:rPr>
          <w:rFonts w:hint="eastAsia" w:ascii="仿宋_GB2312" w:hAnsi="仿宋_GB2312" w:cs="仿宋_GB2312"/>
          <w:highlight w:val="none"/>
          <w:lang w:val="en-US"/>
        </w:rPr>
        <w:t>。</w:t>
      </w:r>
    </w:p>
    <w:p>
      <w:pPr>
        <w:pStyle w:val="3"/>
        <w:spacing w:before="0" w:after="0" w:line="579" w:lineRule="exact"/>
        <w:ind w:firstLine="640"/>
        <w:rPr>
          <w:szCs w:val="32"/>
          <w:highlight w:val="none"/>
        </w:rPr>
      </w:pPr>
      <w:bookmarkStart w:id="22" w:name="_Toc64647751"/>
      <w:bookmarkStart w:id="23" w:name="_Toc24676"/>
      <w:r>
        <w:rPr>
          <w:rFonts w:hint="eastAsia"/>
          <w:highlight w:val="none"/>
          <w:lang w:val="en-US"/>
        </w:rPr>
        <w:t>主要</w:t>
      </w:r>
      <w:r>
        <w:rPr>
          <w:rFonts w:hint="eastAsia"/>
          <w:highlight w:val="none"/>
        </w:rPr>
        <w:t>经验</w:t>
      </w:r>
      <w:r>
        <w:rPr>
          <w:rFonts w:hint="eastAsia"/>
          <w:highlight w:val="none"/>
          <w:lang w:val="en-US"/>
        </w:rPr>
        <w:t>及</w:t>
      </w:r>
      <w:r>
        <w:rPr>
          <w:rFonts w:hint="eastAsia"/>
          <w:highlight w:val="none"/>
        </w:rPr>
        <w:t>做法</w:t>
      </w:r>
      <w:bookmarkEnd w:id="22"/>
      <w:r>
        <w:rPr>
          <w:rFonts w:hint="eastAsia"/>
          <w:highlight w:val="none"/>
          <w:lang w:eastAsia="zh-CN"/>
        </w:rPr>
        <w:t>、</w:t>
      </w:r>
      <w:r>
        <w:rPr>
          <w:rFonts w:hint="eastAsia"/>
          <w:highlight w:val="none"/>
        </w:rPr>
        <w:t>存在的问题及原因分析</w:t>
      </w:r>
      <w:bookmarkEnd w:id="23"/>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24" w:name="_Toc21681"/>
      <w:r>
        <w:rPr>
          <w:rFonts w:hint="eastAsia" w:ascii="楷体_GB2312" w:hAnsi="楷体_GB2312" w:eastAsia="楷体_GB2312" w:cs="楷体_GB2312"/>
          <w:b w:val="0"/>
          <w:bCs w:val="0"/>
          <w:highlight w:val="none"/>
          <w:lang w:val="en-US" w:eastAsia="zh-CN"/>
        </w:rPr>
        <w:t>（一）主要经验及做法</w:t>
      </w:r>
      <w:bookmarkEnd w:id="24"/>
    </w:p>
    <w:p>
      <w:pPr>
        <w:pStyle w:val="4"/>
        <w:spacing w:line="579" w:lineRule="exact"/>
        <w:ind w:firstLine="643"/>
        <w:outlineLvl w:val="2"/>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1.严格执行国家标准，及时消除安全隐患</w:t>
      </w:r>
    </w:p>
    <w:p>
      <w:pPr>
        <w:pStyle w:val="4"/>
        <w:spacing w:line="579" w:lineRule="exact"/>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消防设施检测及现场评定服务项目严格按照《建设工程消防设计审查验收管理暂行规定》、《建设工程消防设计审查验收工作细则》、《广东省建筑防火及消防设施检测技术规程》（DBJ/T 15-110-2015）等国家技术标准执行。其检测范围为市住建局管辖高层、医院、大型商业综合体、高危等消防重点项目。通过在消防竣工验收检查前进行第三方消防检测，帮助市住建局下辖各单位发现消防存在问题，并提供整改解决方案，及时降低和消除消防安全隐患。</w:t>
      </w:r>
    </w:p>
    <w:p>
      <w:pPr>
        <w:pStyle w:val="4"/>
        <w:spacing w:line="579" w:lineRule="exact"/>
        <w:ind w:firstLine="643"/>
        <w:outlineLvl w:val="2"/>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2.“三”项举措贯穿始终，统一技术审查尺度</w:t>
      </w:r>
    </w:p>
    <w:p>
      <w:pPr>
        <w:pStyle w:val="4"/>
        <w:spacing w:line="579" w:lineRule="exact"/>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因中标技术审查机构的原主要业务范围为施工图审查，审查标准以国家工程建设消防技术标准中的强制性条文规定为主；而消防设计审查除了审查国家工程建设消防技术标准中的强制性条文规定外，还要审查国家工程建设消防技术标准中带有“严禁”“必须”“应”“不应”“不得”等要求的非强制性条文规定。</w:t>
      </w:r>
    </w:p>
    <w:p>
      <w:pPr>
        <w:pStyle w:val="4"/>
        <w:spacing w:line="579" w:lineRule="exact"/>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为确保试点工作期间，不因审查标准的不一致造成负面影响，市住建局通过“统一标准业务培训、试点工作期间一对一专人对接、阶段性汇总疑点难点问题”等三项措施，统一了中标技术审查机构的技术审查尺度标准，延续了消防技术审查惯性，确保了过渡期的平稳。</w:t>
      </w:r>
    </w:p>
    <w:p>
      <w:pPr>
        <w:pStyle w:val="4"/>
        <w:spacing w:line="579" w:lineRule="exact"/>
        <w:ind w:firstLine="643"/>
        <w:outlineLvl w:val="2"/>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3.审查模式自主选择，高效审批优化服务</w:t>
      </w:r>
    </w:p>
    <w:p>
      <w:pPr>
        <w:pStyle w:val="4"/>
        <w:spacing w:line="579" w:lineRule="exact"/>
        <w:ind w:firstLine="640"/>
        <w:rPr>
          <w:rFonts w:hint="eastAsia" w:ascii="仿宋_GB2312" w:hAnsi="仿宋_GB2312" w:eastAsia="仿宋_GB2312" w:cs="仿宋_GB2312"/>
          <w:sz w:val="32"/>
          <w:szCs w:val="32"/>
          <w:shd w:val="clear" w:color="auto" w:fill="auto"/>
          <w:lang w:val="en-US" w:eastAsia="zh-CN"/>
        </w:rPr>
      </w:pPr>
      <w:r>
        <w:rPr>
          <w:rFonts w:hint="eastAsia" w:ascii="仿宋_GB2312" w:hAnsi="仿宋_GB2312" w:cs="仿宋_GB2312"/>
          <w:highlight w:val="none"/>
          <w:lang w:val="en-US" w:eastAsia="zh-CN"/>
        </w:rPr>
        <w:t>为提高审批效率、优化服务模式，市住建局在试点工作期间，委托第三方技术审查机构推出了“正常受理”和“提前服务”两种模式供建设单位选择。正常受理模式是受理业务后，技术服务机构在7个工作日内出具技术审查意见，市住建局在3个工作日内出具消防设计审查意见书；提前服务模式是建设单位在正式申报前，选择由技术服务机构在15个工作日内提供技术支持，确保建设单位到市住建局正式申报后能一次性拿到合格消防设计审查意见书，提高首次审查合格率。截止12月27日，委托第三方审图的86项建设工程中，有77项选择了提前服务，9项选择了正常受理，提前服务模式得到了更多建设单位的选择。</w:t>
      </w:r>
    </w:p>
    <w:p>
      <w:pPr>
        <w:pStyle w:val="4"/>
        <w:spacing w:line="579" w:lineRule="exact"/>
        <w:ind w:firstLine="643"/>
        <w:outlineLvl w:val="2"/>
        <w:rPr>
          <w:rFonts w:hint="eastAsia" w:ascii="仿宋_GB2312" w:hAnsi="仿宋_GB2312" w:cs="仿宋_GB2312"/>
          <w:b/>
          <w:bCs/>
          <w:highlight w:val="none"/>
          <w:lang w:val="en-US" w:eastAsia="zh-CN"/>
        </w:rPr>
      </w:pPr>
      <w:r>
        <w:rPr>
          <w:rFonts w:hint="eastAsia" w:ascii="仿宋_GB2312" w:hAnsi="仿宋_GB2312" w:cs="仿宋_GB2312"/>
          <w:b/>
          <w:bCs/>
          <w:highlight w:val="none"/>
          <w:lang w:val="en-US" w:eastAsia="zh-CN"/>
        </w:rPr>
        <w:t>4.新增审查服务模块，严防审批体外循环</w:t>
      </w:r>
    </w:p>
    <w:p>
      <w:pPr>
        <w:pStyle w:val="4"/>
        <w:spacing w:line="579" w:lineRule="exact"/>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为严防“体外循环”，市住建局对建设工程消防行政审批系统进行了升级改造，开发了第三方技术审查服务模块，设置了第三方技术审查管理流程、审查时间提醒、消审处技术人员随机抽查等功能，通过网络化系统全流程监控项目受理和第三方技术审查过程，确保了第三方技术审查工作质量。</w:t>
      </w:r>
    </w:p>
    <w:p>
      <w:pPr>
        <w:pStyle w:val="5"/>
        <w:numPr>
          <w:ilvl w:val="1"/>
          <w:numId w:val="0"/>
        </w:numPr>
        <w:spacing w:before="0" w:after="0" w:line="579" w:lineRule="exact"/>
        <w:ind w:leftChars="200"/>
        <w:rPr>
          <w:rFonts w:hint="eastAsia" w:ascii="楷体_GB2312" w:hAnsi="楷体_GB2312" w:eastAsia="楷体_GB2312" w:cs="楷体_GB2312"/>
          <w:b w:val="0"/>
          <w:bCs w:val="0"/>
          <w:highlight w:val="none"/>
          <w:lang w:val="en-US" w:eastAsia="zh-CN"/>
        </w:rPr>
      </w:pPr>
      <w:bookmarkStart w:id="25" w:name="_Toc5345"/>
      <w:r>
        <w:rPr>
          <w:rFonts w:hint="eastAsia" w:ascii="楷体_GB2312" w:hAnsi="楷体_GB2312" w:eastAsia="楷体_GB2312" w:cs="楷体_GB2312"/>
          <w:b w:val="0"/>
          <w:bCs w:val="0"/>
          <w:highlight w:val="none"/>
          <w:lang w:val="en-US" w:eastAsia="zh-CN"/>
        </w:rPr>
        <w:t>（二）存在的问题及原因分析</w:t>
      </w:r>
      <w:bookmarkEnd w:id="25"/>
    </w:p>
    <w:p>
      <w:pPr>
        <w:pStyle w:val="4"/>
        <w:spacing w:line="579" w:lineRule="exact"/>
        <w:ind w:firstLine="643"/>
        <w:outlineLvl w:val="2"/>
        <w:rPr>
          <w:rFonts w:hint="eastAsia" w:ascii="仿宋_GB2312" w:hAnsi="仿宋_GB2312" w:cs="仿宋_GB2312"/>
          <w:b/>
          <w:bCs/>
          <w:highlight w:val="none"/>
          <w:lang w:val="en-US" w:eastAsia="zh-CN"/>
        </w:rPr>
      </w:pPr>
      <w:r>
        <w:rPr>
          <w:rFonts w:hint="eastAsia" w:ascii="仿宋_GB2312" w:hAnsi="仿宋_GB2312" w:cs="仿宋_GB2312"/>
          <w:b/>
          <w:bCs/>
          <w:highlight w:val="none"/>
          <w:lang w:val="en-US" w:eastAsia="zh-CN"/>
        </w:rPr>
        <w:t>1.部分指标值不够明晰，明确性、深入性有待加强</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rPr>
        <w:t>根据</w:t>
      </w:r>
      <w:r>
        <w:rPr>
          <w:rFonts w:hint="eastAsia" w:ascii="仿宋_GB2312" w:hAnsi="仿宋_GB2312" w:cs="仿宋_GB2312"/>
          <w:szCs w:val="32"/>
          <w:highlight w:val="none"/>
          <w:lang w:val="en-US" w:eastAsia="zh-CN"/>
        </w:rPr>
        <w:t>本项目绩效目标表</w:t>
      </w:r>
      <w:r>
        <w:rPr>
          <w:rFonts w:hint="eastAsia" w:ascii="仿宋_GB2312" w:hAnsi="仿宋_GB2312" w:cs="仿宋_GB2312"/>
          <w:szCs w:val="32"/>
          <w:highlight w:val="none"/>
          <w:lang w:val="en-US"/>
        </w:rPr>
        <w:t>显示，</w:t>
      </w:r>
      <w:r>
        <w:rPr>
          <w:rFonts w:hint="eastAsia" w:ascii="仿宋_GB2312" w:hAnsi="仿宋_GB2312" w:cs="仿宋_GB2312"/>
          <w:szCs w:val="32"/>
          <w:highlight w:val="none"/>
          <w:lang w:val="en-US" w:eastAsia="zh-CN"/>
        </w:rPr>
        <w:t>全部</w:t>
      </w:r>
      <w:r>
        <w:rPr>
          <w:rFonts w:hint="eastAsia" w:ascii="仿宋_GB2312" w:hAnsi="仿宋_GB2312" w:cs="仿宋_GB2312"/>
          <w:szCs w:val="32"/>
          <w:highlight w:val="none"/>
          <w:lang w:val="en-US"/>
        </w:rPr>
        <w:t>社会效益指标存在指标值设置不够清晰</w:t>
      </w:r>
      <w:r>
        <w:rPr>
          <w:rFonts w:hint="eastAsia" w:ascii="仿宋_GB2312" w:hAnsi="仿宋_GB2312" w:cs="仿宋_GB2312"/>
          <w:szCs w:val="32"/>
          <w:highlight w:val="none"/>
          <w:lang w:val="en-US" w:eastAsia="zh-CN"/>
        </w:rPr>
        <w:t>、无法量化</w:t>
      </w:r>
      <w:r>
        <w:rPr>
          <w:rFonts w:hint="eastAsia" w:ascii="仿宋_GB2312" w:hAnsi="仿宋_GB2312" w:cs="仿宋_GB2312"/>
          <w:szCs w:val="32"/>
          <w:highlight w:val="none"/>
          <w:lang w:val="en-US"/>
        </w:rPr>
        <w:t>的问题，如“有效保障”“有效降低”“有效提高”等。通过概括性词语设置指标值，导致指标值不可衡量，无法</w:t>
      </w:r>
      <w:r>
        <w:rPr>
          <w:rFonts w:hint="eastAsia" w:ascii="仿宋_GB2312" w:hAnsi="仿宋_GB2312" w:cs="仿宋_GB2312"/>
          <w:szCs w:val="32"/>
          <w:highlight w:val="none"/>
          <w:lang w:val="en-US" w:eastAsia="zh-CN"/>
        </w:rPr>
        <w:t>明确</w:t>
      </w:r>
      <w:r>
        <w:rPr>
          <w:rFonts w:hint="eastAsia" w:ascii="仿宋_GB2312" w:hAnsi="仿宋_GB2312" w:cs="仿宋_GB2312"/>
          <w:szCs w:val="32"/>
          <w:highlight w:val="none"/>
          <w:lang w:val="en-US"/>
        </w:rPr>
        <w:t>考核。同时，对指标的深入性考核无法实现。</w:t>
      </w:r>
    </w:p>
    <w:p>
      <w:pPr>
        <w:pStyle w:val="4"/>
        <w:spacing w:line="579" w:lineRule="exact"/>
        <w:ind w:firstLine="643"/>
        <w:outlineLvl w:val="2"/>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2.个别指标值设置时考量因素不全面</w:t>
      </w:r>
    </w:p>
    <w:p>
      <w:pPr>
        <w:pStyle w:val="4"/>
        <w:spacing w:line="579" w:lineRule="exact"/>
        <w:ind w:firstLine="640"/>
        <w:rPr>
          <w:rFonts w:hint="eastAsia" w:ascii="仿宋_GB2312" w:hAnsi="仿宋_GB2312" w:eastAsia="仿宋_GB2312" w:cs="仿宋_GB2312"/>
          <w:szCs w:val="32"/>
          <w:highlight w:val="none"/>
          <w:lang w:val="en-US" w:eastAsia="zh-CN"/>
        </w:rPr>
      </w:pPr>
      <w:r>
        <w:rPr>
          <w:rFonts w:hint="eastAsia" w:ascii="仿宋_GB2312" w:hAnsi="仿宋_GB2312" w:cs="仿宋_GB2312"/>
          <w:szCs w:val="32"/>
          <w:highlight w:val="none"/>
          <w:lang w:val="en-US" w:eastAsia="zh-CN"/>
        </w:rPr>
        <w:t>本项目数量指标</w:t>
      </w:r>
      <w:r>
        <w:rPr>
          <w:rFonts w:hint="eastAsia" w:ascii="仿宋_GB2312" w:hAnsi="仿宋_GB2312" w:cs="仿宋_GB2312"/>
          <w:highlight w:val="none"/>
          <w:lang w:val="en-US" w:eastAsia="zh-CN"/>
        </w:rPr>
        <w:t>“建筑工程消防设计审图量（项）”，指标值设置为“≥1000”，实际完成值为“704”，偏差原因是“根据省住房和城乡建设厅《关于明确建设工程消防设计审查验收工作有关事项的通知》（粤建质函〔2020〕30号）文件，市住建局重新调整了《深圳市建设工程消防行政许可及备案分工范围》（以下简称《分工范围》）,自2020年8月15日起，市、区两级建设工程消防行政许可及备案业务按《分工范围》执行，部分项目由区住建部门受理审批”，该指标值设置时未充分考虑到新政策带来的影响，导致未达到目标值。</w:t>
      </w:r>
    </w:p>
    <w:p>
      <w:pPr>
        <w:pStyle w:val="3"/>
        <w:spacing w:before="0" w:after="0" w:line="579" w:lineRule="exact"/>
        <w:ind w:firstLine="640"/>
        <w:rPr>
          <w:highlight w:val="none"/>
        </w:rPr>
      </w:pPr>
      <w:bookmarkStart w:id="26" w:name="_Toc4410"/>
      <w:bookmarkStart w:id="27" w:name="_Toc64647758"/>
      <w:r>
        <w:rPr>
          <w:rFonts w:hint="eastAsia"/>
          <w:highlight w:val="none"/>
          <w:lang w:val="en-US"/>
        </w:rPr>
        <w:t>有关</w:t>
      </w:r>
      <w:r>
        <w:rPr>
          <w:rFonts w:hint="eastAsia"/>
          <w:highlight w:val="none"/>
        </w:rPr>
        <w:t>建议</w:t>
      </w:r>
      <w:bookmarkEnd w:id="26"/>
      <w:bookmarkEnd w:id="27"/>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28" w:name="_Toc26850"/>
      <w:r>
        <w:rPr>
          <w:rFonts w:hint="eastAsia" w:ascii="楷体_GB2312" w:hAnsi="楷体_GB2312" w:eastAsia="楷体_GB2312" w:cs="楷体_GB2312"/>
          <w:b w:val="0"/>
          <w:bCs w:val="0"/>
          <w:highlight w:val="none"/>
          <w:lang w:val="en-US" w:eastAsia="zh-CN"/>
        </w:rPr>
        <w:t>（一）</w:t>
      </w:r>
      <w:r>
        <w:rPr>
          <w:rFonts w:hint="eastAsia" w:ascii="楷体_GB2312" w:hAnsi="楷体_GB2312" w:eastAsia="楷体_GB2312" w:cs="楷体_GB2312"/>
          <w:b w:val="0"/>
          <w:bCs w:val="0"/>
          <w:highlight w:val="none"/>
          <w:lang w:val="en-US"/>
        </w:rPr>
        <w:t>明晰指标值，提高目标明确性和深入性</w:t>
      </w:r>
      <w:bookmarkEnd w:id="28"/>
    </w:p>
    <w:p>
      <w:pPr>
        <w:pStyle w:val="4"/>
        <w:spacing w:line="579" w:lineRule="exact"/>
        <w:ind w:firstLine="640"/>
        <w:rPr>
          <w:rFonts w:ascii="仿宋_GB2312" w:hAnsi="宋体" w:cs="宋体"/>
          <w:color w:val="000000" w:themeColor="text1"/>
          <w:szCs w:val="32"/>
          <w:highlight w:val="none"/>
          <w:lang w:val="en-US"/>
          <w14:textFill>
            <w14:solidFill>
              <w14:schemeClr w14:val="tx1"/>
            </w14:solidFill>
          </w14:textFill>
        </w:rPr>
      </w:pPr>
      <w:r>
        <w:rPr>
          <w:rFonts w:hint="eastAsia" w:ascii="仿宋_GB2312" w:hAnsi="宋体" w:cs="宋体"/>
          <w:color w:val="000000" w:themeColor="text1"/>
          <w:szCs w:val="32"/>
          <w:highlight w:val="none"/>
          <w:lang w:val="en-US"/>
          <w14:textFill>
            <w14:solidFill>
              <w14:schemeClr w14:val="tx1"/>
            </w14:solidFill>
          </w14:textFill>
        </w:rPr>
        <w:t>根据《深圳市本级预算绩效目标管理工作规程》（深财绩〔2020〕13号）规定，绩效目标需符合“细化量化”要求，“尽量进行定量表述”。以社会效益指标“提高消防设计审查人员业务办事效率”为例，其目标名称可以改为“消防设计审查人员</w:t>
      </w:r>
      <w:r>
        <w:rPr>
          <w:rFonts w:hint="eastAsia" w:ascii="仿宋_GB2312" w:hAnsi="宋体" w:cs="宋体"/>
          <w:color w:val="000000" w:themeColor="text1"/>
          <w:szCs w:val="32"/>
          <w:highlight w:val="none"/>
          <w:lang w:val="en-US" w:eastAsia="zh-CN"/>
          <w14:textFill>
            <w14:solidFill>
              <w14:schemeClr w14:val="tx1"/>
            </w14:solidFill>
          </w14:textFill>
        </w:rPr>
        <w:t>平均业务审查提高率</w:t>
      </w:r>
      <w:r>
        <w:rPr>
          <w:rFonts w:hint="eastAsia" w:ascii="仿宋_GB2312" w:hAnsi="宋体" w:cs="宋体"/>
          <w:color w:val="000000" w:themeColor="text1"/>
          <w:szCs w:val="32"/>
          <w:highlight w:val="none"/>
          <w:lang w:val="en-US"/>
          <w14:textFill>
            <w14:solidFill>
              <w14:schemeClr w14:val="tx1"/>
            </w14:solidFill>
          </w14:textFill>
        </w:rPr>
        <w:t>”，指标值设置为“≥</w:t>
      </w:r>
      <w:r>
        <w:rPr>
          <w:rFonts w:hint="eastAsia" w:ascii="仿宋_GB2312" w:hAnsi="宋体" w:cs="宋体"/>
          <w:color w:val="000000" w:themeColor="text1"/>
          <w:szCs w:val="32"/>
          <w:highlight w:val="none"/>
          <w:lang w:val="en-US" w:eastAsia="zh-CN"/>
          <w14:textFill>
            <w14:solidFill>
              <w14:schemeClr w14:val="tx1"/>
            </w14:solidFill>
          </w14:textFill>
        </w:rPr>
        <w:t>XX</w:t>
      </w:r>
      <w:r>
        <w:rPr>
          <w:rFonts w:hint="eastAsia" w:ascii="仿宋_GB2312" w:hAnsi="宋体" w:cs="宋体"/>
          <w:color w:val="000000" w:themeColor="text1"/>
          <w:szCs w:val="32"/>
          <w:highlight w:val="none"/>
          <w:lang w:val="en-US"/>
          <w14:textFill>
            <w14:solidFill>
              <w14:schemeClr w14:val="tx1"/>
            </w14:solidFill>
          </w14:textFill>
        </w:rPr>
        <w:t>%”。设定标准可以采用行业标准、历史标准、计划标准等。通过细化量化指标值，提高目标明确性和考核深入性。</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r>
        <w:rPr>
          <w:rFonts w:hint="eastAsia" w:ascii="楷体_GB2312" w:hAnsi="楷体_GB2312" w:eastAsia="楷体_GB2312" w:cs="楷体_GB2312"/>
          <w:b w:val="0"/>
          <w:bCs w:val="0"/>
          <w:highlight w:val="none"/>
          <w:lang w:val="en-US" w:eastAsia="zh-CN"/>
        </w:rPr>
        <w:t>（二）加强绩效指标值设置复核</w:t>
      </w:r>
    </w:p>
    <w:p>
      <w:pPr>
        <w:pStyle w:val="4"/>
        <w:ind w:firstLine="640"/>
        <w:rPr>
          <w:rFonts w:hint="eastAsia" w:ascii="仿宋_GB2312" w:hAnsi="仿宋_GB2312" w:cs="仿宋_GB2312"/>
          <w:color w:val="000000" w:themeColor="text1"/>
          <w:szCs w:val="32"/>
          <w:highlight w:val="none"/>
          <w14:textFill>
            <w14:solidFill>
              <w14:schemeClr w14:val="tx1"/>
            </w14:solidFill>
          </w14:textFill>
        </w:rPr>
      </w:pPr>
      <w:r>
        <w:rPr>
          <w:rFonts w:hint="eastAsia" w:ascii="仿宋_GB2312" w:hAnsi="仿宋_GB2312" w:cs="仿宋_GB2312"/>
          <w:color w:val="000000" w:themeColor="text1"/>
          <w:szCs w:val="32"/>
          <w:highlight w:val="none"/>
          <w:lang w:val="en-US" w:eastAsia="zh-CN"/>
          <w14:textFill>
            <w14:solidFill>
              <w14:schemeClr w14:val="tx1"/>
            </w14:solidFill>
          </w14:textFill>
        </w:rPr>
        <w:t>在设置项目绩效目标时，初步设定指标及指标值后，再次进行指标值合理性及可行性复核，充分考量所有影响因素，避免项目实施完成值因指标值设置问题不达预期</w:t>
      </w:r>
      <w:r>
        <w:rPr>
          <w:rFonts w:hint="eastAsia" w:ascii="仿宋_GB2312" w:hAnsi="仿宋_GB2312" w:cs="仿宋_GB2312"/>
          <w:color w:val="000000" w:themeColor="text1"/>
          <w:szCs w:val="32"/>
          <w:highlight w:val="none"/>
          <w14:textFill>
            <w14:solidFill>
              <w14:schemeClr w14:val="tx1"/>
            </w14:solidFill>
          </w14:textFill>
        </w:rPr>
        <w:t>。</w:t>
      </w:r>
    </w:p>
    <w:p>
      <w:pPr>
        <w:pStyle w:val="3"/>
        <w:spacing w:before="0" w:after="0" w:line="579" w:lineRule="exact"/>
        <w:ind w:firstLine="640"/>
        <w:rPr>
          <w:rFonts w:hint="eastAsia" w:ascii="Times New Roman" w:hAnsi="Times New Roman" w:cs="Times New Roman"/>
          <w:szCs w:val="32"/>
          <w:highlight w:val="none"/>
          <w:lang w:val="en-US"/>
        </w:rPr>
      </w:pPr>
      <w:bookmarkStart w:id="29" w:name="_Toc1984"/>
      <w:r>
        <w:rPr>
          <w:rFonts w:hint="eastAsia" w:ascii="Times New Roman" w:hAnsi="Times New Roman" w:cs="Times New Roman"/>
          <w:szCs w:val="32"/>
          <w:highlight w:val="none"/>
          <w:lang w:val="en-US" w:eastAsia="zh-CN"/>
        </w:rPr>
        <w:t>其他需要说明的问题</w:t>
      </w:r>
      <w:bookmarkEnd w:id="29"/>
    </w:p>
    <w:p>
      <w:pPr>
        <w:pStyle w:val="4"/>
        <w:rPr>
          <w:rFonts w:hint="eastAsia" w:ascii="Times New Roman" w:hAnsi="Times New Roman" w:cs="Times New Roman"/>
          <w:szCs w:val="32"/>
          <w:highlight w:val="none"/>
          <w:lang w:val="en-US" w:eastAsia="zh-CN"/>
        </w:rPr>
      </w:pPr>
      <w:r>
        <w:rPr>
          <w:rFonts w:hint="eastAsia" w:ascii="Times New Roman" w:hAnsi="Times New Roman" w:cs="Times New Roman"/>
          <w:szCs w:val="32"/>
          <w:highlight w:val="none"/>
          <w:lang w:val="en-US" w:eastAsia="zh-CN"/>
        </w:rPr>
        <w:t>无。</w:t>
      </w:r>
    </w:p>
    <w:p>
      <w:pPr>
        <w:pStyle w:val="4"/>
        <w:rPr>
          <w:rFonts w:hint="eastAsia" w:ascii="Times New Roman" w:hAnsi="Times New Roman" w:cs="Times New Roman"/>
          <w:szCs w:val="32"/>
          <w:highlight w:val="yellow"/>
          <w:lang w:val="en-US" w:eastAsia="zh-CN"/>
        </w:rPr>
      </w:pPr>
    </w:p>
    <w:p>
      <w:pPr>
        <w:pStyle w:val="4"/>
        <w:keepNext w:val="0"/>
        <w:keepLines w:val="0"/>
        <w:pageBreakBefore w:val="0"/>
        <w:widowControl w:val="0"/>
        <w:kinsoku/>
        <w:wordWrap/>
        <w:overflowPunct/>
        <w:topLinePunct w:val="0"/>
        <w:autoSpaceDE/>
        <w:autoSpaceDN/>
        <w:bidi w:val="0"/>
        <w:adjustRightInd w:val="0"/>
        <w:snapToGrid w:val="0"/>
        <w:ind w:left="0" w:leftChars="0" w:firstLine="640" w:firstLineChars="200"/>
        <w:textAlignment w:val="auto"/>
        <w:rPr>
          <w:highlight w:val="yellow"/>
        </w:rPr>
      </w:pPr>
      <w:bookmarkStart w:id="30" w:name="_Toc22491"/>
      <w:r>
        <w:rPr>
          <w:rFonts w:hint="eastAsia" w:ascii="Times New Roman" w:hAnsi="Times New Roman" w:cs="Times New Roman"/>
          <w:szCs w:val="32"/>
          <w:highlight w:val="none"/>
          <w:lang w:val="en-US" w:eastAsia="zh-CN"/>
        </w:rPr>
        <w:t>附件</w:t>
      </w:r>
      <w:r>
        <w:rPr>
          <w:rFonts w:hint="eastAsia" w:ascii="仿宋_GB2312" w:hAnsi="仿宋_GB2312" w:eastAsia="仿宋_GB2312" w:cs="仿宋_GB2312"/>
          <w:szCs w:val="32"/>
          <w:highlight w:val="none"/>
          <w:lang w:val="en-US" w:eastAsia="zh-CN"/>
        </w:rPr>
        <w:t>1</w:t>
      </w:r>
      <w:bookmarkEnd w:id="30"/>
      <w:r>
        <w:rPr>
          <w:rFonts w:hint="eastAsia" w:ascii="仿宋_GB2312" w:hAnsi="仿宋_GB2312" w:cs="仿宋_GB2312"/>
          <w:szCs w:val="32"/>
          <w:highlight w:val="none"/>
          <w:lang w:val="en-US" w:eastAsia="zh-CN"/>
        </w:rPr>
        <w:t>：</w:t>
      </w:r>
      <w:r>
        <w:rPr>
          <w:rFonts w:hint="eastAsia" w:ascii="仿宋_GB2312" w:hAnsi="仿宋_GB2312" w:eastAsia="仿宋_GB2312" w:cs="仿宋_GB2312"/>
          <w:szCs w:val="32"/>
          <w:highlight w:val="none"/>
          <w:lang w:val="en-US" w:eastAsia="zh-CN"/>
        </w:rPr>
        <w:t>2021年度消防审查与验收管理项目绩效评价指标评分表</w:t>
      </w:r>
    </w:p>
    <w:p>
      <w:pPr>
        <w:pStyle w:val="4"/>
        <w:ind w:firstLine="198" w:firstLineChars="62"/>
        <w:rPr>
          <w:highlight w:val="yellow"/>
        </w:rPr>
        <w:sectPr>
          <w:footerReference r:id="rId4" w:type="default"/>
          <w:footerReference r:id="rId5" w:type="even"/>
          <w:pgSz w:w="11906" w:h="16838"/>
          <w:pgMar w:top="1440" w:right="1800" w:bottom="1440" w:left="1800" w:header="964" w:footer="850" w:gutter="0"/>
          <w:pgNumType w:fmt="numberInDash" w:start="1"/>
          <w:cols w:space="425" w:num="1"/>
          <w:docGrid w:type="lines" w:linePitch="312" w:charSpace="0"/>
        </w:sectPr>
      </w:pPr>
    </w:p>
    <w:p>
      <w:pPr>
        <w:pStyle w:val="43"/>
        <w:numPr>
          <w:ilvl w:val="5"/>
          <w:numId w:val="0"/>
        </w:numPr>
        <w:spacing w:before="0" w:after="0"/>
        <w:ind w:leftChars="0"/>
        <w:rPr>
          <w:highlight w:val="none"/>
        </w:rPr>
      </w:pPr>
      <w:bookmarkStart w:id="31" w:name="_Toc1411"/>
      <w:bookmarkStart w:id="32" w:name="_Toc64647762"/>
      <w:r>
        <w:rPr>
          <w:rFonts w:hint="eastAsia" w:ascii="仿宋_GB2312" w:hAnsi="仿宋_GB2312" w:eastAsia="仿宋_GB2312" w:cs="仿宋_GB2312"/>
          <w:lang w:val="en-US" w:eastAsia="zh-CN"/>
        </w:rPr>
        <w:t>附件1</w:t>
      </w:r>
      <w:r>
        <w:rPr>
          <w:rFonts w:hint="eastAsia" w:ascii="仿宋_GB2312" w:hAnsi="仿宋_GB2312" w:eastAsia="仿宋_GB2312" w:cs="仿宋_GB2312"/>
        </w:rPr>
        <w:t>：</w:t>
      </w:r>
      <w:bookmarkEnd w:id="31"/>
      <w:bookmarkEnd w:id="32"/>
      <w:r>
        <w:rPr>
          <w:rFonts w:hint="eastAsia" w:ascii="仿宋_GB2312" w:hAnsi="仿宋_GB2312" w:eastAsia="仿宋_GB2312" w:cs="仿宋_GB2312"/>
          <w:szCs w:val="32"/>
          <w:highlight w:val="none"/>
          <w:lang w:val="en-US" w:eastAsia="zh-CN"/>
        </w:rPr>
        <w:t>2021年度消防审查与验收管理项目绩效评价指标评分表</w:t>
      </w:r>
    </w:p>
    <w:tbl>
      <w:tblPr>
        <w:tblStyle w:val="20"/>
        <w:tblW w:w="14168" w:type="dxa"/>
        <w:tblInd w:w="0" w:type="dxa"/>
        <w:shd w:val="clear" w:color="auto" w:fill="auto"/>
        <w:tblLayout w:type="fixed"/>
        <w:tblCellMar>
          <w:top w:w="0" w:type="dxa"/>
          <w:left w:w="108" w:type="dxa"/>
          <w:bottom w:w="0" w:type="dxa"/>
          <w:right w:w="108" w:type="dxa"/>
        </w:tblCellMar>
      </w:tblPr>
      <w:tblGrid>
        <w:gridCol w:w="804"/>
        <w:gridCol w:w="712"/>
        <w:gridCol w:w="828"/>
        <w:gridCol w:w="581"/>
        <w:gridCol w:w="4418"/>
        <w:gridCol w:w="3590"/>
        <w:gridCol w:w="2464"/>
        <w:gridCol w:w="771"/>
      </w:tblGrid>
      <w:tr>
        <w:tblPrEx>
          <w:shd w:val="clear" w:color="auto" w:fill="auto"/>
          <w:tblCellMar>
            <w:top w:w="0" w:type="dxa"/>
            <w:left w:w="108" w:type="dxa"/>
            <w:bottom w:w="0" w:type="dxa"/>
            <w:right w:w="108" w:type="dxa"/>
          </w:tblCellMar>
        </w:tblPrEx>
        <w:trPr>
          <w:trHeight w:val="300" w:hRule="atLeast"/>
          <w:tblHeader/>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一级指标</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二级指标</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三级指标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分值</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指标解释</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指标说明</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扣分点描述</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评分</w:t>
            </w:r>
          </w:p>
        </w:tc>
      </w:tr>
      <w:tr>
        <w:tblPrEx>
          <w:shd w:val="clear" w:color="auto" w:fill="auto"/>
          <w:tblCellMar>
            <w:top w:w="0" w:type="dxa"/>
            <w:left w:w="108" w:type="dxa"/>
            <w:bottom w:w="0" w:type="dxa"/>
            <w:right w:w="108" w:type="dxa"/>
          </w:tblCellMar>
        </w:tblPrEx>
        <w:trPr>
          <w:trHeight w:val="1500"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决策</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(20分)</w:t>
            </w: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项目立项</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(6分)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立项依据充分性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项目立项是否符合法律法规、相关政策、发展规划以及部门职责，用以反映和考核项目立项依据情况。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①项目立项符合国家法律法规、国民经济发展规划和相关政策（1分）；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②项目立项符合行业发展规划和政策要求（1分）；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③项目立项与部门职责范围相符，属于部门履职所需（0.5分）；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④项目未与相关部门同类项目或部门内部相关项目重复（0.5分）。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2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立项程序规范性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项目申请、设立过程是否符合相关要求，用以反映和考核项目立项的规范情况。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①项目按照规定的程序申请设立（1分）；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②审批文件、材料符合相关要求（1分）；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③事前已经过必要的可行性研究、专家论证、风险评估、绩效评估、集体决策（1分）。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5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绩效目标</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(8分)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绩效目标合理性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项目所设定的绩效目标是否依据充分，是否符合客观实际，用以反映和考核项目绩效目标与项目实施的相符情况。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①项目有绩效目标(1分）；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②项目绩效目标与实际工作内容具有相关性(1分）；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③项目预期产出效益和效果符合正常的业绩水平(1分）；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④项目绩效目标与预算确定的项目投资额或资金量相匹配(1分）。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r>
      <w:tr>
        <w:tblPrEx>
          <w:shd w:val="clear" w:color="auto" w:fill="auto"/>
          <w:tblCellMar>
            <w:top w:w="0" w:type="dxa"/>
            <w:left w:w="108" w:type="dxa"/>
            <w:bottom w:w="0" w:type="dxa"/>
            <w:right w:w="108" w:type="dxa"/>
          </w:tblCellMar>
        </w:tblPrEx>
        <w:trPr>
          <w:trHeight w:val="15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绩效指标明确性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依据绩效目标设定的绩效指标是否清晰、细化、可衡量等，用以反映和考核项目绩效目标的明细化情况。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①将项目绩效目标细化分解为具体的绩效指标(1.5分）；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②项目绩效目标通过清晰、可衡量的指标值予以体现(1.5分）；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③项目绩效目标与项目目标任务数或计划数相对应(1分）。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社会效益指标未通过可衡量的指标值予以体现，扣1分。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8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资金投入</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(6分)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预算编制科学性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项目预算编制是否经过科学论证、有明确标准，资金额度与年度目标是否相适应，用以反映和考核项目预算编制的科学性、合理性情况。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①预算编制经过科学论证(1分）；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②预算内容与项目内容匹配(1分）；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③预算额度测算依据充分，按照标准编制(0.5分）；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④预算确定的项目投资额或资金量与工作任务相匹配(0.5分）。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8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资金分配合理性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项目预算资金分配是否有测算依据，与补助单位或地方实际是否相适应，用以反映和考核项目预算资金分配的科学性、合理性情况。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①预算资金分配依据充分，体现厉行节约从严从紧安排的导向(1.5分）；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②资金分配额度合理，与项目单位或地方实际相适应(1.5分）。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200"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过程</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（20分）</w:t>
            </w:r>
          </w:p>
        </w:tc>
        <w:tc>
          <w:tcPr>
            <w:tcW w:w="712"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资金管理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(12分)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资金到位率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实际到位资金与预算资金的比率，用以反映和考核资金落实情况对项目实施的总体保障程度。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指标得分=资金到位率×4分。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资金到位率=（实际到位资金/预算资金）×100%。</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实际到位资金：一定时期（本年度或项目期）内落实到具体项目的资金。</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预算资金：一定时期（本年度或项目期）内预算安排到具体项目的资金。</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r>
      <w:tr>
        <w:tblPrEx>
          <w:shd w:val="clear" w:color="auto" w:fill="auto"/>
          <w:tblCellMar>
            <w:top w:w="0" w:type="dxa"/>
            <w:left w:w="108" w:type="dxa"/>
            <w:bottom w:w="0" w:type="dxa"/>
            <w:right w:w="108" w:type="dxa"/>
          </w:tblCellMar>
        </w:tblPrEx>
        <w:trPr>
          <w:trHeight w:val="9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预算执行率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项目预算资金是否按照计划执行，用以反映或考核项目预算执行情况。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指标得分=预算执行率×4分。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预算执行率=（实际支出资金/实际到位资金）×100%。</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实际支出资金：一定时期（本年度或项目期）内项目实际拨付的资金。</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预算执行率为98.15%，扣0.0</w:t>
            </w:r>
            <w:r>
              <w:rPr>
                <w:rFonts w:hint="eastAsia" w:ascii="仿宋_GB2312" w:hAnsi="仿宋_GB2312" w:eastAsia="仿宋_GB2312" w:cs="仿宋_GB2312"/>
                <w:color w:val="000000"/>
                <w:kern w:val="0"/>
                <w:sz w:val="22"/>
                <w:szCs w:val="22"/>
                <w:lang w:val="en-US" w:eastAsia="zh-CN" w:bidi="ar"/>
              </w:rPr>
              <w:t>7</w:t>
            </w:r>
            <w:r>
              <w:rPr>
                <w:rFonts w:hint="eastAsia" w:ascii="仿宋_GB2312" w:hAnsi="仿宋_GB2312" w:eastAsia="仿宋_GB2312" w:cs="仿宋_GB2312"/>
                <w:color w:val="000000"/>
                <w:kern w:val="0"/>
                <w:sz w:val="22"/>
                <w:szCs w:val="22"/>
                <w:lang w:bidi="ar"/>
              </w:rPr>
              <w:t>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bidi="ar"/>
              </w:rPr>
              <w:t>3.9</w:t>
            </w:r>
            <w:r>
              <w:rPr>
                <w:rFonts w:hint="eastAsia" w:ascii="仿宋_GB2312" w:hAnsi="仿宋_GB2312" w:eastAsia="仿宋_GB2312" w:cs="仿宋_GB2312"/>
                <w:color w:val="000000"/>
                <w:kern w:val="0"/>
                <w:sz w:val="22"/>
                <w:szCs w:val="22"/>
                <w:lang w:val="en-US" w:eastAsia="zh-CN" w:bidi="ar"/>
              </w:rPr>
              <w:t>3</w:t>
            </w:r>
          </w:p>
        </w:tc>
      </w:tr>
      <w:tr>
        <w:tblPrEx>
          <w:shd w:val="clear" w:color="auto" w:fill="auto"/>
          <w:tblCellMar>
            <w:top w:w="0" w:type="dxa"/>
            <w:left w:w="108" w:type="dxa"/>
            <w:bottom w:w="0" w:type="dxa"/>
            <w:right w:w="108" w:type="dxa"/>
          </w:tblCellMar>
        </w:tblPrEx>
        <w:trPr>
          <w:trHeight w:val="17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资金使用合规性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项目资金使用是否符合相关的财务管理制度规定，用以反映和考核项目资金的规范运行情况。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①符合国家财经法规和财务管理制度以及有关专项资金管理规程的规定(1分）；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②资金的拨付有完整的审批程序和手续(1分）；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③符合项目预算批复或合同规定的用途(1分）；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④不存在截留、挤占、挪用、虚列支出等情况(1分）。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r>
      <w:tr>
        <w:tblPrEx>
          <w:shd w:val="clear" w:color="auto" w:fill="auto"/>
          <w:tblCellMar>
            <w:top w:w="0" w:type="dxa"/>
            <w:left w:w="108" w:type="dxa"/>
            <w:bottom w:w="0" w:type="dxa"/>
            <w:right w:w="108" w:type="dxa"/>
          </w:tblCellMar>
        </w:tblPrEx>
        <w:trPr>
          <w:trHeight w:val="15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组织实施</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(8分)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管理制度健全性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项目实施单位的财务和业务管理制度是否健全，用以反映和考核财务和业务管理制度对项目顺利实施的保障情况。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①已制定或具有相应的财务和业务管理制度(2分）；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②财务和业务管理制度合法、合规、完整(2分）。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val="en-US" w:eastAsia="zh-CN" w:bidi="ar"/>
              </w:rPr>
              <w:t>4</w:t>
            </w:r>
          </w:p>
        </w:tc>
      </w:tr>
      <w:tr>
        <w:tblPrEx>
          <w:shd w:val="clear" w:color="auto" w:fill="auto"/>
          <w:tblCellMar>
            <w:top w:w="0" w:type="dxa"/>
            <w:left w:w="108" w:type="dxa"/>
            <w:bottom w:w="0" w:type="dxa"/>
            <w:right w:w="108" w:type="dxa"/>
          </w:tblCellMar>
        </w:tblPrEx>
        <w:trPr>
          <w:trHeight w:val="134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制度执行有效性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项目实施是否符合相关管理规定，用以反映和考核相关管理制度的有效执行情况。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①遵守相关法律法规和相关管理规定(1分）；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②项目调整及支出调整手续完备(1分）；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③项目合同书、验收报告、技术鉴定等资料齐全并及时归档(1分）；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④项目实施的人员条件、场地设备、信息支撑等落实到位(1分）。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r>
      <w:tr>
        <w:tblPrEx>
          <w:shd w:val="clear" w:color="auto" w:fill="auto"/>
          <w:tblCellMar>
            <w:top w:w="0" w:type="dxa"/>
            <w:left w:w="108" w:type="dxa"/>
            <w:bottom w:w="0" w:type="dxa"/>
            <w:right w:w="108" w:type="dxa"/>
          </w:tblCellMar>
        </w:tblPrEx>
        <w:trPr>
          <w:trHeight w:val="2660"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(30分)</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产出数量</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(9分)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实际完成率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9</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项目实施的实际产出数与计划产出数的比率，用以反映和考核项目产出数量目标的实现程度。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color w:val="000000"/>
                <w:kern w:val="0"/>
                <w:sz w:val="22"/>
                <w:szCs w:val="22"/>
                <w:lang w:eastAsia="zh-CN" w:bidi="ar"/>
              </w:rPr>
            </w:pPr>
            <w:r>
              <w:rPr>
                <w:rFonts w:hint="eastAsia" w:ascii="仿宋_GB2312" w:hAnsi="仿宋_GB2312" w:eastAsia="仿宋_GB2312" w:cs="仿宋_GB2312"/>
                <w:color w:val="000000"/>
                <w:kern w:val="0"/>
                <w:sz w:val="22"/>
                <w:szCs w:val="22"/>
                <w:lang w:bidi="ar"/>
              </w:rPr>
              <w:t>①建设工程消防设计审图量</w:t>
            </w:r>
            <w:r>
              <w:rPr>
                <w:rFonts w:hint="eastAsia" w:ascii="仿宋_GB2312" w:hAnsi="仿宋_GB2312" w:eastAsia="仿宋_GB2312" w:cs="仿宋_GB2312"/>
                <w:color w:val="000000"/>
                <w:kern w:val="0"/>
                <w:sz w:val="22"/>
                <w:szCs w:val="22"/>
                <w:lang w:val="en-US" w:eastAsia="zh-CN" w:bidi="ar"/>
              </w:rPr>
              <w:t>完成率</w:t>
            </w:r>
            <w:r>
              <w:rPr>
                <w:rFonts w:hint="eastAsia" w:ascii="仿宋_GB2312" w:hAnsi="仿宋_GB2312" w:eastAsia="仿宋_GB2312" w:cs="仿宋_GB2312"/>
                <w:color w:val="000000"/>
                <w:kern w:val="0"/>
                <w:sz w:val="22"/>
                <w:szCs w:val="22"/>
                <w:lang w:bidi="ar"/>
              </w:rPr>
              <w:t>（1分）；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②建筑工程消防设计审图量</w:t>
            </w:r>
            <w:r>
              <w:rPr>
                <w:rFonts w:hint="eastAsia" w:ascii="仿宋_GB2312" w:hAnsi="仿宋_GB2312" w:eastAsia="仿宋_GB2312" w:cs="仿宋_GB2312"/>
                <w:color w:val="000000"/>
                <w:kern w:val="0"/>
                <w:sz w:val="22"/>
                <w:szCs w:val="22"/>
                <w:lang w:val="en-US" w:eastAsia="zh-CN" w:bidi="ar"/>
              </w:rPr>
              <w:t>完成率</w:t>
            </w:r>
            <w:r>
              <w:rPr>
                <w:rFonts w:hint="eastAsia" w:ascii="仿宋_GB2312" w:hAnsi="仿宋_GB2312" w:eastAsia="仿宋_GB2312" w:cs="仿宋_GB2312"/>
                <w:color w:val="000000"/>
                <w:kern w:val="0"/>
                <w:sz w:val="22"/>
                <w:szCs w:val="22"/>
                <w:lang w:bidi="ar"/>
              </w:rPr>
              <w:t>（1分）；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③建筑工程消防设计审查指引</w:t>
            </w:r>
            <w:r>
              <w:rPr>
                <w:rFonts w:hint="eastAsia" w:ascii="仿宋_GB2312" w:hAnsi="仿宋_GB2312" w:eastAsia="仿宋_GB2312" w:cs="仿宋_GB2312"/>
                <w:color w:val="000000"/>
                <w:kern w:val="0"/>
                <w:sz w:val="22"/>
                <w:szCs w:val="22"/>
                <w:lang w:val="en-US" w:eastAsia="zh-CN" w:bidi="ar"/>
              </w:rPr>
              <w:t>完成率</w:t>
            </w:r>
            <w:r>
              <w:rPr>
                <w:rFonts w:hint="eastAsia" w:ascii="仿宋_GB2312" w:hAnsi="仿宋_GB2312" w:eastAsia="仿宋_GB2312" w:cs="仿宋_GB2312"/>
                <w:color w:val="000000"/>
                <w:kern w:val="0"/>
                <w:sz w:val="22"/>
                <w:szCs w:val="22"/>
                <w:lang w:bidi="ar"/>
              </w:rPr>
              <w:t>（1分）；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④建筑工程消防设计审查专家评审项目数</w:t>
            </w:r>
            <w:r>
              <w:rPr>
                <w:rFonts w:hint="eastAsia" w:ascii="仿宋_GB2312" w:hAnsi="仿宋_GB2312" w:eastAsia="仿宋_GB2312" w:cs="仿宋_GB2312"/>
                <w:color w:val="000000"/>
                <w:kern w:val="0"/>
                <w:sz w:val="22"/>
                <w:szCs w:val="22"/>
                <w:lang w:val="en-US" w:eastAsia="zh-CN" w:bidi="ar"/>
              </w:rPr>
              <w:t>完成率</w:t>
            </w:r>
            <w:r>
              <w:rPr>
                <w:rFonts w:hint="eastAsia" w:ascii="仿宋_GB2312" w:hAnsi="仿宋_GB2312" w:eastAsia="仿宋_GB2312" w:cs="仿宋_GB2312"/>
                <w:color w:val="000000"/>
                <w:kern w:val="0"/>
                <w:sz w:val="22"/>
                <w:szCs w:val="22"/>
                <w:lang w:bidi="ar"/>
              </w:rPr>
              <w:t>（1分）；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⑤组织专家梳理规范的执行难点工作次数</w:t>
            </w:r>
            <w:r>
              <w:rPr>
                <w:rFonts w:hint="eastAsia" w:ascii="仿宋_GB2312" w:hAnsi="仿宋_GB2312" w:eastAsia="仿宋_GB2312" w:cs="仿宋_GB2312"/>
                <w:color w:val="000000"/>
                <w:kern w:val="0"/>
                <w:sz w:val="22"/>
                <w:szCs w:val="22"/>
                <w:lang w:val="en-US" w:eastAsia="zh-CN" w:bidi="ar"/>
              </w:rPr>
              <w:t>完成率</w:t>
            </w:r>
            <w:r>
              <w:rPr>
                <w:rFonts w:hint="eastAsia" w:ascii="仿宋_GB2312" w:hAnsi="仿宋_GB2312" w:eastAsia="仿宋_GB2312" w:cs="仿宋_GB2312"/>
                <w:color w:val="000000"/>
                <w:kern w:val="0"/>
                <w:sz w:val="22"/>
                <w:szCs w:val="22"/>
                <w:lang w:bidi="ar"/>
              </w:rPr>
              <w:t>（1分）；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⑥参与消防业务能力提升培训人员数</w:t>
            </w:r>
            <w:r>
              <w:rPr>
                <w:rFonts w:hint="eastAsia" w:ascii="仿宋_GB2312" w:hAnsi="仿宋_GB2312" w:eastAsia="仿宋_GB2312" w:cs="仿宋_GB2312"/>
                <w:color w:val="000000"/>
                <w:kern w:val="0"/>
                <w:sz w:val="22"/>
                <w:szCs w:val="22"/>
                <w:lang w:val="en-US" w:eastAsia="zh-CN" w:bidi="ar"/>
              </w:rPr>
              <w:t>完成率</w:t>
            </w:r>
            <w:r>
              <w:rPr>
                <w:rFonts w:hint="eastAsia" w:ascii="仿宋_GB2312" w:hAnsi="仿宋_GB2312" w:eastAsia="仿宋_GB2312" w:cs="仿宋_GB2312"/>
                <w:color w:val="000000"/>
                <w:kern w:val="0"/>
                <w:sz w:val="22"/>
                <w:szCs w:val="22"/>
                <w:lang w:bidi="ar"/>
              </w:rPr>
              <w:t>（1分）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eastAsia="zh-CN" w:bidi="ar"/>
              </w:rPr>
            </w:pPr>
            <w:r>
              <w:rPr>
                <w:rFonts w:hint="eastAsia" w:ascii="仿宋_GB2312" w:hAnsi="仿宋_GB2312" w:eastAsia="仿宋_GB2312" w:cs="仿宋_GB2312"/>
                <w:color w:val="000000"/>
                <w:kern w:val="0"/>
                <w:sz w:val="22"/>
                <w:szCs w:val="22"/>
                <w:lang w:val="en-US" w:eastAsia="zh-CN" w:bidi="ar"/>
              </w:rPr>
              <w:t>⑦消防验收现场评定完成率</w:t>
            </w:r>
            <w:r>
              <w:rPr>
                <w:rFonts w:hint="eastAsia" w:ascii="仿宋_GB2312" w:hAnsi="仿宋_GB2312" w:eastAsia="仿宋_GB2312" w:cs="仿宋_GB2312"/>
                <w:color w:val="000000"/>
                <w:kern w:val="0"/>
                <w:sz w:val="22"/>
                <w:szCs w:val="22"/>
                <w:lang w:bidi="ar"/>
              </w:rPr>
              <w:t>（1分）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eastAsia="zh-CN" w:bidi="ar"/>
              </w:rPr>
            </w:pPr>
            <w:r>
              <w:rPr>
                <w:rFonts w:hint="eastAsia" w:ascii="仿宋_GB2312" w:hAnsi="仿宋_GB2312" w:eastAsia="仿宋_GB2312" w:cs="仿宋_GB2312"/>
                <w:color w:val="000000"/>
                <w:kern w:val="0"/>
                <w:sz w:val="22"/>
                <w:szCs w:val="22"/>
                <w:lang w:val="en-US" w:eastAsia="zh-CN" w:bidi="ar"/>
              </w:rPr>
              <w:t>⑧建设工程消防设计审查及验收资料受理、整理数量完成率</w:t>
            </w:r>
            <w:r>
              <w:rPr>
                <w:rFonts w:hint="eastAsia" w:ascii="仿宋_GB2312" w:hAnsi="仿宋_GB2312" w:eastAsia="仿宋_GB2312" w:cs="仿宋_GB2312"/>
                <w:color w:val="000000"/>
                <w:kern w:val="0"/>
                <w:sz w:val="22"/>
                <w:szCs w:val="22"/>
                <w:lang w:bidi="ar"/>
              </w:rPr>
              <w:t>（1分）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val="en-US" w:eastAsia="zh-CN" w:bidi="ar"/>
              </w:rPr>
              <w:t>⑨消防设施检测面积完成率</w:t>
            </w:r>
            <w:r>
              <w:rPr>
                <w:rFonts w:hint="eastAsia" w:ascii="仿宋_GB2312" w:hAnsi="仿宋_GB2312" w:eastAsia="仿宋_GB2312" w:cs="仿宋_GB2312"/>
                <w:color w:val="000000"/>
                <w:kern w:val="0"/>
                <w:sz w:val="22"/>
                <w:szCs w:val="22"/>
                <w:lang w:bidi="ar"/>
              </w:rPr>
              <w:t>（1分）。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本项目的9个数量指标中有2个指标因受到新冠疫情的影响，实际完成值略小于指标值，酌情各扣0.5分。剩余1个指标因该绩效指标值设置时考量不充分，导致未能完成，扣1分。共扣2分。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val="en-US" w:eastAsia="zh-CN" w:bidi="ar"/>
              </w:rPr>
              <w:t>7</w:t>
            </w:r>
          </w:p>
        </w:tc>
      </w:tr>
      <w:tr>
        <w:tblPrEx>
          <w:shd w:val="clear" w:color="auto" w:fill="auto"/>
          <w:tblCellMar>
            <w:top w:w="0" w:type="dxa"/>
            <w:left w:w="108" w:type="dxa"/>
            <w:bottom w:w="0" w:type="dxa"/>
            <w:right w:w="108" w:type="dxa"/>
          </w:tblCellMar>
        </w:tblPrEx>
        <w:trPr>
          <w:trHeight w:val="18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产出质量</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(9分)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质量达标率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9</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项目完成的质量达标产出数与实际产出数的比率，用以反映和考核项目产出质量目标的实现程度。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①建设工程消防设计审查资料受理、整理质量达标率（1.</w:t>
            </w:r>
            <w:r>
              <w:rPr>
                <w:rFonts w:hint="eastAsia" w:ascii="仿宋_GB2312" w:hAnsi="仿宋_GB2312" w:eastAsia="仿宋_GB2312" w:cs="仿宋_GB2312"/>
                <w:color w:val="000000"/>
                <w:kern w:val="0"/>
                <w:sz w:val="22"/>
                <w:szCs w:val="22"/>
                <w:lang w:val="en-US" w:eastAsia="zh-CN" w:bidi="ar"/>
              </w:rPr>
              <w:t>8</w:t>
            </w:r>
            <w:r>
              <w:rPr>
                <w:rFonts w:hint="eastAsia" w:ascii="仿宋_GB2312" w:hAnsi="仿宋_GB2312" w:eastAsia="仿宋_GB2312" w:cs="仿宋_GB2312"/>
                <w:color w:val="000000"/>
                <w:kern w:val="0"/>
                <w:sz w:val="22"/>
                <w:szCs w:val="22"/>
                <w:lang w:bidi="ar"/>
              </w:rPr>
              <w:t>分）；</w:t>
            </w:r>
          </w:p>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②消防能力提升培训人员到会率（1.</w:t>
            </w:r>
            <w:r>
              <w:rPr>
                <w:rFonts w:hint="eastAsia" w:ascii="仿宋_GB2312" w:hAnsi="仿宋_GB2312" w:eastAsia="仿宋_GB2312" w:cs="仿宋_GB2312"/>
                <w:color w:val="000000"/>
                <w:kern w:val="0"/>
                <w:sz w:val="22"/>
                <w:szCs w:val="22"/>
                <w:lang w:val="en-US" w:eastAsia="zh-CN" w:bidi="ar"/>
              </w:rPr>
              <w:t>8</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③消防验收现场评定抽检率（1.</w:t>
            </w:r>
            <w:r>
              <w:rPr>
                <w:rFonts w:hint="eastAsia" w:ascii="仿宋_GB2312" w:hAnsi="仿宋_GB2312" w:eastAsia="仿宋_GB2312" w:cs="仿宋_GB2312"/>
                <w:color w:val="000000"/>
                <w:kern w:val="0"/>
                <w:sz w:val="22"/>
                <w:szCs w:val="22"/>
                <w:lang w:val="en-US" w:eastAsia="zh-CN" w:bidi="ar"/>
              </w:rPr>
              <w:t>8</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④建设工程消防设计审查及验收资料受理、整理质量达标率（1.</w:t>
            </w:r>
            <w:r>
              <w:rPr>
                <w:rFonts w:hint="eastAsia" w:ascii="仿宋_GB2312" w:hAnsi="仿宋_GB2312" w:eastAsia="仿宋_GB2312" w:cs="仿宋_GB2312"/>
                <w:color w:val="000000"/>
                <w:kern w:val="0"/>
                <w:sz w:val="22"/>
                <w:szCs w:val="22"/>
                <w:lang w:val="en-US" w:eastAsia="zh-CN" w:bidi="ar"/>
              </w:rPr>
              <w:t>8</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⑤消防设施检测抽检率（1.</w:t>
            </w:r>
            <w:r>
              <w:rPr>
                <w:rFonts w:hint="eastAsia" w:ascii="仿宋_GB2312" w:hAnsi="仿宋_GB2312" w:eastAsia="仿宋_GB2312" w:cs="仿宋_GB2312"/>
                <w:color w:val="000000"/>
                <w:kern w:val="0"/>
                <w:sz w:val="22"/>
                <w:szCs w:val="22"/>
                <w:lang w:val="en-US" w:eastAsia="zh-CN" w:bidi="ar"/>
              </w:rPr>
              <w:t>8</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9</w:t>
            </w:r>
          </w:p>
        </w:tc>
      </w:tr>
      <w:tr>
        <w:tblPrEx>
          <w:shd w:val="clear" w:color="auto" w:fill="auto"/>
          <w:tblCellMar>
            <w:top w:w="0" w:type="dxa"/>
            <w:left w:w="108" w:type="dxa"/>
            <w:bottom w:w="0" w:type="dxa"/>
            <w:right w:w="108" w:type="dxa"/>
          </w:tblCellMar>
        </w:tblPrEx>
        <w:trPr>
          <w:trHeight w:val="12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产出时效</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(8分)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完成及时性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8</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项目实际完成时间与计划完成时间的比较，用以反映和考核项目产出时效目标的实现程度。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①及时性绩效目标达成（4分）；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②项目进度按计划进行，无明显滞后（4分）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8</w:t>
            </w:r>
          </w:p>
        </w:tc>
      </w:tr>
      <w:tr>
        <w:tblPrEx>
          <w:shd w:val="clear" w:color="auto" w:fill="auto"/>
          <w:tblCellMar>
            <w:top w:w="0" w:type="dxa"/>
            <w:left w:w="108" w:type="dxa"/>
            <w:bottom w:w="0" w:type="dxa"/>
            <w:right w:w="108" w:type="dxa"/>
          </w:tblCellMar>
        </w:tblPrEx>
        <w:trPr>
          <w:trHeight w:val="15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产出成本</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(4分)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成本节约情率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项目成本情况，以及完成项目计划工作目标的实际节约成本与计划成本的比率，用以反映和考核项目的成本节约程度。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成本节约率=[（计划成本-实际成本）/计划成本]×100%。</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实际成本：项目实施单位如期、保质、保量完成既定工作目标实际所耗费的支出。</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计划成本：项目实施单位为完成工作目标计划安排的支出，一般以项目预算为参考。</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仿宋_GB2312" w:eastAsia="仿宋_GB2312" w:cs="仿宋_GB2312"/>
                <w:color w:val="000000"/>
                <w:sz w:val="22"/>
                <w:szCs w:val="22"/>
              </w:rPr>
            </w:pPr>
            <w:r>
              <w:rPr>
                <w:rFonts w:hint="eastAsia" w:ascii="仿宋_GB2312" w:hAnsi="宋体" w:eastAsia="仿宋_GB2312" w:cs="仿宋_GB2312"/>
                <w:i w:val="0"/>
                <w:iCs w:val="0"/>
                <w:color w:val="000000"/>
                <w:kern w:val="0"/>
                <w:sz w:val="22"/>
                <w:szCs w:val="22"/>
                <w:u w:val="none"/>
                <w:lang w:val="en-US" w:eastAsia="zh-CN" w:bidi="ar"/>
              </w:rPr>
              <w:t>成本节约率为1.85%，扣2.52分。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color w:val="000000"/>
                <w:sz w:val="22"/>
                <w:szCs w:val="22"/>
                <w:lang w:val="en-US"/>
              </w:rPr>
            </w:pPr>
            <w:r>
              <w:rPr>
                <w:rFonts w:hint="eastAsia" w:ascii="仿宋_GB2312" w:hAnsi="宋体" w:eastAsia="仿宋_GB2312" w:cs="仿宋_GB2312"/>
                <w:i w:val="0"/>
                <w:iCs w:val="0"/>
                <w:color w:val="000000"/>
                <w:kern w:val="0"/>
                <w:sz w:val="22"/>
                <w:szCs w:val="22"/>
                <w:u w:val="none"/>
                <w:lang w:val="en-US" w:eastAsia="zh-CN" w:bidi="ar"/>
              </w:rPr>
              <w:t>1.48</w:t>
            </w:r>
          </w:p>
        </w:tc>
      </w:tr>
      <w:tr>
        <w:tblPrEx>
          <w:shd w:val="clear" w:color="auto" w:fill="auto"/>
          <w:tblCellMar>
            <w:top w:w="0" w:type="dxa"/>
            <w:left w:w="108" w:type="dxa"/>
            <w:bottom w:w="0" w:type="dxa"/>
            <w:right w:w="108" w:type="dxa"/>
          </w:tblCellMar>
        </w:tblPrEx>
        <w:trPr>
          <w:trHeight w:val="1500"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效益</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(30分)</w:t>
            </w: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项目效益</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(30分)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实施效益</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20</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项目实施所产生的效益</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①社会效益：保障消防设计审查工作的正常开展（</w:t>
            </w:r>
            <w:r>
              <w:rPr>
                <w:rFonts w:hint="eastAsia" w:ascii="仿宋_GB2312" w:hAnsi="仿宋_GB2312" w:eastAsia="仿宋_GB2312" w:cs="仿宋_GB2312"/>
                <w:color w:val="000000"/>
                <w:kern w:val="0"/>
                <w:sz w:val="22"/>
                <w:szCs w:val="22"/>
                <w:lang w:val="en-US" w:eastAsia="zh-CN" w:bidi="ar"/>
              </w:rPr>
              <w:t>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②社会效益：提高消防设计审查人员业务办事效率（</w:t>
            </w:r>
            <w:r>
              <w:rPr>
                <w:rFonts w:hint="eastAsia" w:ascii="仿宋_GB2312" w:hAnsi="仿宋_GB2312" w:eastAsia="仿宋_GB2312" w:cs="仿宋_GB2312"/>
                <w:color w:val="000000"/>
                <w:kern w:val="0"/>
                <w:sz w:val="22"/>
                <w:szCs w:val="22"/>
                <w:lang w:val="en-US" w:eastAsia="zh-CN" w:bidi="ar"/>
              </w:rPr>
              <w:t>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③社会效益：保障建设工程的消防技术安全（</w:t>
            </w:r>
            <w:r>
              <w:rPr>
                <w:rFonts w:hint="eastAsia" w:ascii="仿宋_GB2312" w:hAnsi="仿宋_GB2312" w:eastAsia="仿宋_GB2312" w:cs="仿宋_GB2312"/>
                <w:color w:val="000000"/>
                <w:kern w:val="0"/>
                <w:sz w:val="22"/>
                <w:szCs w:val="22"/>
                <w:lang w:val="en-US" w:eastAsia="zh-CN" w:bidi="ar"/>
              </w:rPr>
              <w:t>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④社会效益：降低消防安全隐患（</w:t>
            </w:r>
            <w:r>
              <w:rPr>
                <w:rFonts w:hint="eastAsia" w:ascii="仿宋_GB2312" w:hAnsi="仿宋_GB2312" w:eastAsia="仿宋_GB2312" w:cs="仿宋_GB2312"/>
                <w:color w:val="000000"/>
                <w:kern w:val="0"/>
                <w:sz w:val="22"/>
                <w:szCs w:val="22"/>
                <w:lang w:val="en-US" w:eastAsia="zh-CN" w:bidi="ar"/>
              </w:rPr>
              <w:t>5</w:t>
            </w:r>
            <w:r>
              <w:rPr>
                <w:rFonts w:hint="eastAsia" w:ascii="仿宋_GB2312" w:hAnsi="仿宋_GB2312" w:eastAsia="仿宋_GB2312" w:cs="仿宋_GB2312"/>
                <w:color w:val="000000"/>
                <w:kern w:val="0"/>
                <w:sz w:val="22"/>
                <w:szCs w:val="22"/>
                <w:lang w:bidi="ar"/>
              </w:rPr>
              <w:t>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bidi="ar"/>
              </w:rPr>
              <w:t>酌情扣1分</w:t>
            </w:r>
            <w:r>
              <w:rPr>
                <w:rFonts w:hint="eastAsia" w:ascii="仿宋_GB2312" w:hAnsi="仿宋_GB2312" w:eastAsia="仿宋_GB2312" w:cs="仿宋_GB2312"/>
                <w:color w:val="000000"/>
                <w:kern w:val="0"/>
                <w:sz w:val="22"/>
                <w:szCs w:val="22"/>
                <w:lang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19</w:t>
            </w:r>
          </w:p>
        </w:tc>
      </w:tr>
      <w:tr>
        <w:tblPrEx>
          <w:shd w:val="clear" w:color="auto" w:fill="auto"/>
          <w:tblCellMar>
            <w:top w:w="0" w:type="dxa"/>
            <w:left w:w="108" w:type="dxa"/>
            <w:bottom w:w="0" w:type="dxa"/>
            <w:right w:w="108" w:type="dxa"/>
          </w:tblCellMar>
        </w:tblPrEx>
        <w:trPr>
          <w:trHeight w:val="6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满意度</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10</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社会公众或服务对象对项目实施效果的满意度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①被审查单位满意度（5分）；</w:t>
            </w:r>
          </w:p>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②培训参与人员满意度（5分）。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10</w:t>
            </w:r>
          </w:p>
        </w:tc>
      </w:tr>
      <w:tr>
        <w:tblPrEx>
          <w:tblCellMar>
            <w:top w:w="0" w:type="dxa"/>
            <w:left w:w="108" w:type="dxa"/>
            <w:bottom w:w="0" w:type="dxa"/>
            <w:right w:w="108" w:type="dxa"/>
          </w:tblCellMar>
        </w:tblPrEx>
        <w:trPr>
          <w:trHeight w:val="280" w:hRule="atLeast"/>
        </w:trPr>
        <w:tc>
          <w:tcPr>
            <w:tcW w:w="234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总分</w:t>
            </w: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100</w:t>
            </w:r>
          </w:p>
        </w:tc>
        <w:tc>
          <w:tcPr>
            <w:tcW w:w="4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w:t>
            </w:r>
          </w:p>
        </w:tc>
        <w:tc>
          <w:tcPr>
            <w:tcW w:w="2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bCs/>
                <w:color w:val="000000"/>
                <w:kern w:val="0"/>
                <w:sz w:val="22"/>
                <w:szCs w:val="22"/>
                <w:lang w:bidi="ar"/>
              </w:rPr>
            </w:pPr>
            <w:r>
              <w:rPr>
                <w:rFonts w:hint="eastAsia" w:ascii="仿宋_GB2312" w:hAnsi="仿宋_GB2312" w:eastAsia="仿宋_GB2312" w:cs="仿宋_GB2312"/>
                <w:b/>
                <w:bCs/>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仿宋_GB2312" w:hAnsi="仿宋_GB2312" w:eastAsia="仿宋_GB2312" w:cs="仿宋_GB2312"/>
                <w:b/>
                <w:bCs/>
                <w:color w:val="000000"/>
                <w:kern w:val="0"/>
                <w:sz w:val="22"/>
                <w:szCs w:val="22"/>
                <w:lang w:val="en-US" w:eastAsia="zh-CN" w:bidi="ar"/>
              </w:rPr>
            </w:pPr>
            <w:r>
              <w:rPr>
                <w:rFonts w:hint="eastAsia" w:ascii="仿宋_GB2312" w:hAnsi="仿宋_GB2312" w:eastAsia="仿宋_GB2312" w:cs="仿宋_GB2312"/>
                <w:b/>
                <w:bCs/>
                <w:color w:val="000000"/>
                <w:kern w:val="0"/>
                <w:sz w:val="22"/>
                <w:szCs w:val="22"/>
                <w:lang w:val="en-US" w:eastAsia="zh-CN" w:bidi="ar"/>
              </w:rPr>
              <w:t>93.41</w:t>
            </w:r>
          </w:p>
        </w:tc>
      </w:tr>
    </w:tbl>
    <w:p>
      <w:pPr>
        <w:pStyle w:val="4"/>
        <w:ind w:firstLine="0" w:firstLineChars="0"/>
      </w:pPr>
    </w:p>
    <w:sectPr>
      <w:footerReference r:id="rId6" w:type="default"/>
      <w:pgSz w:w="16838" w:h="11906" w:orient="landscape"/>
      <w:pgMar w:top="1800" w:right="1440" w:bottom="1800" w:left="1440" w:header="1020" w:footer="1191"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altName w:val="仿宋_GB2312"/>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0025151"/>
    </w:sdtPr>
    <w:sdtEndPr>
      <w:rPr>
        <w:rFonts w:ascii="宋体" w:hAnsi="宋体"/>
        <w:sz w:val="28"/>
        <w:szCs w:val="28"/>
      </w:rPr>
    </w:sdtEndPr>
    <w:sdtContent>
      <w:p>
        <w:pPr>
          <w:pStyle w:val="1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0979640"/>
    </w:sdtPr>
    <w:sdtEndPr>
      <w:rPr>
        <w:rFonts w:ascii="宋体" w:hAnsi="宋体"/>
        <w:sz w:val="28"/>
        <w:szCs w:val="28"/>
      </w:rPr>
    </w:sdtEndPr>
    <w:sdtContent>
      <w:p>
        <w:pPr>
          <w:pStyle w:val="1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6452400"/>
    </w:sdtPr>
    <w:sdtContent>
      <w:p>
        <w:pPr>
          <w:pStyle w:val="1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17"/>
      </w:pPr>
      <w:r>
        <w:rPr>
          <w:rStyle w:val="25"/>
        </w:rPr>
        <w:footnoteRef/>
      </w:r>
      <w:r>
        <w:rPr>
          <w:rFonts w:hint="eastAsia"/>
        </w:rPr>
        <w:t>《深圳市财政局关于印发&lt;深圳市市级项目支出绩效评价工作规程&gt;的通知</w:t>
      </w:r>
      <w:r>
        <w:t>》（</w:t>
      </w:r>
      <w:r>
        <w:rPr>
          <w:rFonts w:hint="eastAsia"/>
        </w:rPr>
        <w:t>深财绩〔2020〕14号</w:t>
      </w:r>
      <w:r>
        <w:t>），</w:t>
      </w:r>
      <w:r>
        <w:rPr>
          <w:rFonts w:hint="eastAsia"/>
        </w:rPr>
        <w:t>总分一般设置为100分，等级一般划分为四档：90（含）-100分为优、80（含）-90分为良、60（含）-80分为中、60分以下为差。</w:t>
      </w:r>
    </w:p>
    <w:p>
      <w:pPr>
        <w:pStyle w:val="1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0671B8"/>
    <w:multiLevelType w:val="multilevel"/>
    <w:tmpl w:val="610671B8"/>
    <w:lvl w:ilvl="0" w:tentative="0">
      <w:start w:val="1"/>
      <w:numFmt w:val="chineseCountingThousand"/>
      <w:pStyle w:val="3"/>
      <w:suff w:val="nothing"/>
      <w:lvlText w:val="%1、"/>
      <w:lvlJc w:val="left"/>
      <w:pPr>
        <w:ind w:left="425" w:hanging="425"/>
      </w:pPr>
      <w:rPr>
        <w:rFonts w:hint="eastAsia"/>
      </w:rPr>
    </w:lvl>
    <w:lvl w:ilvl="1" w:tentative="0">
      <w:start w:val="1"/>
      <w:numFmt w:val="chineseCountingThousand"/>
      <w:pStyle w:val="5"/>
      <w:suff w:val="nothing"/>
      <w:lvlText w:val="（%2）"/>
      <w:lvlJc w:val="left"/>
      <w:pPr>
        <w:ind w:left="5388" w:hanging="567"/>
      </w:pPr>
      <w:rPr>
        <w:rFonts w:hint="eastAsia" w:ascii="楷体_GB2312" w:hAnsi="楷体_GB2312" w:eastAsia="楷体_GB2312" w:cs="楷体_GB2312"/>
        <w:b w:val="0"/>
        <w:bCs w:val="0"/>
        <w:i w:val="0"/>
        <w:iCs w:val="0"/>
        <w:caps w:val="0"/>
        <w:smallCaps w:val="0"/>
        <w:strike w:val="0"/>
        <w:dstrike w:val="0"/>
        <w:outline w:val="0"/>
        <w:shadow w:val="0"/>
        <w:emboss w:val="0"/>
        <w:imprint w:val="0"/>
        <w:vanish w:val="0"/>
        <w:spacing w:val="0"/>
        <w:position w:val="0"/>
        <w:sz w:val="32"/>
        <w:szCs w:val="32"/>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pStyle w:val="6"/>
      <w:suff w:val="nothing"/>
      <w:lvlText w:val="%3. "/>
      <w:lvlJc w:val="left"/>
      <w:pPr>
        <w:ind w:left="992" w:hanging="567"/>
      </w:pPr>
      <w:rPr>
        <w:rFonts w:hint="eastAsia"/>
      </w:rPr>
    </w:lvl>
    <w:lvl w:ilvl="3" w:tentative="0">
      <w:start w:val="1"/>
      <w:numFmt w:val="decimal"/>
      <w:pStyle w:val="7"/>
      <w:suff w:val="nothing"/>
      <w:lvlText w:val="（%4）"/>
      <w:lvlJc w:val="left"/>
      <w:pPr>
        <w:ind w:left="992" w:hanging="425"/>
      </w:pPr>
      <w:rPr>
        <w:rFonts w:hint="eastAsia"/>
      </w:rPr>
    </w:lvl>
    <w:lvl w:ilvl="4" w:tentative="0">
      <w:start w:val="1"/>
      <w:numFmt w:val="decimal"/>
      <w:pStyle w:val="8"/>
      <w:suff w:val="nothing"/>
      <w:lvlText w:val="%5）"/>
      <w:lvlJc w:val="left"/>
      <w:pPr>
        <w:ind w:left="992" w:hanging="113"/>
      </w:pPr>
      <w:rPr>
        <w:rFonts w:hint="eastAsia"/>
      </w:rPr>
    </w:lvl>
    <w:lvl w:ilvl="5" w:tentative="0">
      <w:start w:val="1"/>
      <w:numFmt w:val="decimal"/>
      <w:pStyle w:val="43"/>
      <w:suff w:val="nothing"/>
      <w:lvlText w:val="附件%6 "/>
      <w:lvlJc w:val="left"/>
      <w:pPr>
        <w:ind w:left="0" w:firstLine="0"/>
      </w:pPr>
      <w:rPr>
        <w:rFonts w:hint="eastAsia"/>
      </w:rPr>
    </w:lvl>
    <w:lvl w:ilvl="6" w:tentative="0">
      <w:start w:val="1"/>
      <w:numFmt w:val="chineseCountingThousand"/>
      <w:suff w:val="nothing"/>
      <w:lvlText w:val="%7、"/>
      <w:lvlJc w:val="left"/>
      <w:pPr>
        <w:ind w:left="992" w:hanging="567"/>
      </w:pPr>
      <w:rPr>
        <w:rFonts w:hint="eastAsia"/>
      </w:rPr>
    </w:lvl>
    <w:lvl w:ilvl="7" w:tentative="0">
      <w:start w:val="1"/>
      <w:numFmt w:val="chineseCountingThousand"/>
      <w:suff w:val="nothing"/>
      <w:lvlText w:val="（%8）"/>
      <w:lvlJc w:val="left"/>
      <w:pPr>
        <w:ind w:left="992" w:hanging="567"/>
      </w:pPr>
      <w:rPr>
        <w:rFonts w:hint="eastAsia"/>
      </w:rPr>
    </w:lvl>
    <w:lvl w:ilvl="8" w:tentative="0">
      <w:start w:val="1"/>
      <w:numFmt w:val="decimal"/>
      <w:suff w:val="nothing"/>
      <w:lvlText w:val="%9. "/>
      <w:lvlJc w:val="left"/>
      <w:pPr>
        <w:ind w:left="992" w:hanging="567"/>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lMjc0N2ViMDYzZThhY2NiOTBlYjI1OTcxZmM1ZDkifQ=="/>
  </w:docVars>
  <w:rsids>
    <w:rsidRoot w:val="35747EEC"/>
    <w:rsid w:val="0000372D"/>
    <w:rsid w:val="00006878"/>
    <w:rsid w:val="00006D0C"/>
    <w:rsid w:val="000140D8"/>
    <w:rsid w:val="000151FD"/>
    <w:rsid w:val="00015FD7"/>
    <w:rsid w:val="00017DAD"/>
    <w:rsid w:val="000272B8"/>
    <w:rsid w:val="0003406E"/>
    <w:rsid w:val="00035C58"/>
    <w:rsid w:val="0004194F"/>
    <w:rsid w:val="00042277"/>
    <w:rsid w:val="00042F15"/>
    <w:rsid w:val="00044534"/>
    <w:rsid w:val="0005304B"/>
    <w:rsid w:val="000540C9"/>
    <w:rsid w:val="0005634B"/>
    <w:rsid w:val="00057D23"/>
    <w:rsid w:val="00066C9A"/>
    <w:rsid w:val="00071965"/>
    <w:rsid w:val="00076E6D"/>
    <w:rsid w:val="00083FCC"/>
    <w:rsid w:val="00087F3A"/>
    <w:rsid w:val="000A06A8"/>
    <w:rsid w:val="000A2586"/>
    <w:rsid w:val="000A54DC"/>
    <w:rsid w:val="000B61E9"/>
    <w:rsid w:val="000C0DDB"/>
    <w:rsid w:val="000C748F"/>
    <w:rsid w:val="000C796B"/>
    <w:rsid w:val="000E7518"/>
    <w:rsid w:val="000E7F1A"/>
    <w:rsid w:val="000F099B"/>
    <w:rsid w:val="000F2B10"/>
    <w:rsid w:val="00102E6B"/>
    <w:rsid w:val="001129DA"/>
    <w:rsid w:val="00114DEE"/>
    <w:rsid w:val="00121E22"/>
    <w:rsid w:val="0013021A"/>
    <w:rsid w:val="00134901"/>
    <w:rsid w:val="00146A17"/>
    <w:rsid w:val="00147A7E"/>
    <w:rsid w:val="00153E1C"/>
    <w:rsid w:val="00162AE4"/>
    <w:rsid w:val="00172053"/>
    <w:rsid w:val="001804FE"/>
    <w:rsid w:val="001807D4"/>
    <w:rsid w:val="00182C86"/>
    <w:rsid w:val="0019781C"/>
    <w:rsid w:val="001A114C"/>
    <w:rsid w:val="001A11C6"/>
    <w:rsid w:val="001B24EE"/>
    <w:rsid w:val="001B3487"/>
    <w:rsid w:val="001B486E"/>
    <w:rsid w:val="001B5EC6"/>
    <w:rsid w:val="001D08B5"/>
    <w:rsid w:val="001D0A7E"/>
    <w:rsid w:val="001E4440"/>
    <w:rsid w:val="0020720F"/>
    <w:rsid w:val="002077E2"/>
    <w:rsid w:val="0021302C"/>
    <w:rsid w:val="002133E7"/>
    <w:rsid w:val="00213B66"/>
    <w:rsid w:val="00217A62"/>
    <w:rsid w:val="00220818"/>
    <w:rsid w:val="0022213C"/>
    <w:rsid w:val="00222A88"/>
    <w:rsid w:val="0023442A"/>
    <w:rsid w:val="00237C0D"/>
    <w:rsid w:val="0024330C"/>
    <w:rsid w:val="00254549"/>
    <w:rsid w:val="002616C2"/>
    <w:rsid w:val="00270F7F"/>
    <w:rsid w:val="00272D30"/>
    <w:rsid w:val="00277770"/>
    <w:rsid w:val="00280DA2"/>
    <w:rsid w:val="00281BB1"/>
    <w:rsid w:val="00291D2F"/>
    <w:rsid w:val="002A25E0"/>
    <w:rsid w:val="002A4B8C"/>
    <w:rsid w:val="002A706D"/>
    <w:rsid w:val="002A70CE"/>
    <w:rsid w:val="002B01E4"/>
    <w:rsid w:val="002B1BDA"/>
    <w:rsid w:val="002B41A0"/>
    <w:rsid w:val="002B4447"/>
    <w:rsid w:val="002C573F"/>
    <w:rsid w:val="002C62F6"/>
    <w:rsid w:val="002D0190"/>
    <w:rsid w:val="002D20F7"/>
    <w:rsid w:val="002D24DE"/>
    <w:rsid w:val="002D35B0"/>
    <w:rsid w:val="002E12DF"/>
    <w:rsid w:val="002E1CAE"/>
    <w:rsid w:val="002E396A"/>
    <w:rsid w:val="002E777C"/>
    <w:rsid w:val="002F2114"/>
    <w:rsid w:val="002F3B1A"/>
    <w:rsid w:val="002F5C0C"/>
    <w:rsid w:val="003002D8"/>
    <w:rsid w:val="00303D21"/>
    <w:rsid w:val="00306E74"/>
    <w:rsid w:val="00325501"/>
    <w:rsid w:val="00327A69"/>
    <w:rsid w:val="003310EB"/>
    <w:rsid w:val="00332F36"/>
    <w:rsid w:val="00335DAF"/>
    <w:rsid w:val="00337CD7"/>
    <w:rsid w:val="0034355A"/>
    <w:rsid w:val="00345744"/>
    <w:rsid w:val="00345DA4"/>
    <w:rsid w:val="00345EF3"/>
    <w:rsid w:val="00351421"/>
    <w:rsid w:val="00356990"/>
    <w:rsid w:val="00356FCE"/>
    <w:rsid w:val="003610C4"/>
    <w:rsid w:val="00364793"/>
    <w:rsid w:val="003675EB"/>
    <w:rsid w:val="0037780A"/>
    <w:rsid w:val="003828E5"/>
    <w:rsid w:val="0039002F"/>
    <w:rsid w:val="00390FDC"/>
    <w:rsid w:val="00394649"/>
    <w:rsid w:val="0039624B"/>
    <w:rsid w:val="00396FAE"/>
    <w:rsid w:val="00397DBF"/>
    <w:rsid w:val="003A1144"/>
    <w:rsid w:val="003A3494"/>
    <w:rsid w:val="003B06BC"/>
    <w:rsid w:val="003B44D3"/>
    <w:rsid w:val="003B45AE"/>
    <w:rsid w:val="003B5622"/>
    <w:rsid w:val="003C5AB2"/>
    <w:rsid w:val="003D3060"/>
    <w:rsid w:val="003D5E34"/>
    <w:rsid w:val="003E3FCA"/>
    <w:rsid w:val="003E5E49"/>
    <w:rsid w:val="003E67AE"/>
    <w:rsid w:val="003F0176"/>
    <w:rsid w:val="003F3495"/>
    <w:rsid w:val="003F6588"/>
    <w:rsid w:val="0041161A"/>
    <w:rsid w:val="00412277"/>
    <w:rsid w:val="00416147"/>
    <w:rsid w:val="00420116"/>
    <w:rsid w:val="004266F1"/>
    <w:rsid w:val="004408E8"/>
    <w:rsid w:val="004531F9"/>
    <w:rsid w:val="004605C1"/>
    <w:rsid w:val="00461EC2"/>
    <w:rsid w:val="00474E96"/>
    <w:rsid w:val="00475C42"/>
    <w:rsid w:val="00477F73"/>
    <w:rsid w:val="00486DBC"/>
    <w:rsid w:val="0048764E"/>
    <w:rsid w:val="00491525"/>
    <w:rsid w:val="00493F68"/>
    <w:rsid w:val="00496E3A"/>
    <w:rsid w:val="004A1269"/>
    <w:rsid w:val="004A5E40"/>
    <w:rsid w:val="004A7453"/>
    <w:rsid w:val="004B1DB1"/>
    <w:rsid w:val="004C1572"/>
    <w:rsid w:val="004C23FA"/>
    <w:rsid w:val="004C4555"/>
    <w:rsid w:val="004D515D"/>
    <w:rsid w:val="004D5BB2"/>
    <w:rsid w:val="004E294C"/>
    <w:rsid w:val="004E5422"/>
    <w:rsid w:val="004F1170"/>
    <w:rsid w:val="00510791"/>
    <w:rsid w:val="00516F0E"/>
    <w:rsid w:val="005172DD"/>
    <w:rsid w:val="005176AA"/>
    <w:rsid w:val="00522C62"/>
    <w:rsid w:val="0052613F"/>
    <w:rsid w:val="005261D8"/>
    <w:rsid w:val="0053230A"/>
    <w:rsid w:val="00534D4B"/>
    <w:rsid w:val="00535B45"/>
    <w:rsid w:val="00546D71"/>
    <w:rsid w:val="00546E78"/>
    <w:rsid w:val="00547F0E"/>
    <w:rsid w:val="00550593"/>
    <w:rsid w:val="00550DBC"/>
    <w:rsid w:val="00551552"/>
    <w:rsid w:val="00560DED"/>
    <w:rsid w:val="00562AB9"/>
    <w:rsid w:val="00562BBE"/>
    <w:rsid w:val="00563D91"/>
    <w:rsid w:val="00585352"/>
    <w:rsid w:val="005865EA"/>
    <w:rsid w:val="00594876"/>
    <w:rsid w:val="00595F34"/>
    <w:rsid w:val="005A67F5"/>
    <w:rsid w:val="005B11C8"/>
    <w:rsid w:val="005B3D96"/>
    <w:rsid w:val="005C0526"/>
    <w:rsid w:val="005C4184"/>
    <w:rsid w:val="005C7243"/>
    <w:rsid w:val="005C7953"/>
    <w:rsid w:val="005D2D9A"/>
    <w:rsid w:val="005D3B5F"/>
    <w:rsid w:val="005D6FA3"/>
    <w:rsid w:val="005E16C6"/>
    <w:rsid w:val="005E2149"/>
    <w:rsid w:val="005F2B69"/>
    <w:rsid w:val="005F363F"/>
    <w:rsid w:val="005F4C42"/>
    <w:rsid w:val="00604B75"/>
    <w:rsid w:val="00607F4F"/>
    <w:rsid w:val="00610C44"/>
    <w:rsid w:val="00615CB0"/>
    <w:rsid w:val="006161C5"/>
    <w:rsid w:val="0062031A"/>
    <w:rsid w:val="0062793E"/>
    <w:rsid w:val="006468EC"/>
    <w:rsid w:val="00651F02"/>
    <w:rsid w:val="006612A1"/>
    <w:rsid w:val="00670309"/>
    <w:rsid w:val="00672BF2"/>
    <w:rsid w:val="00681991"/>
    <w:rsid w:val="006852C1"/>
    <w:rsid w:val="00687549"/>
    <w:rsid w:val="006916EB"/>
    <w:rsid w:val="00692BE5"/>
    <w:rsid w:val="00696363"/>
    <w:rsid w:val="006A515F"/>
    <w:rsid w:val="006B06E6"/>
    <w:rsid w:val="006B1DEF"/>
    <w:rsid w:val="006B5747"/>
    <w:rsid w:val="006B6D34"/>
    <w:rsid w:val="006C0552"/>
    <w:rsid w:val="006D38B2"/>
    <w:rsid w:val="006D6D05"/>
    <w:rsid w:val="006E1680"/>
    <w:rsid w:val="006E3C10"/>
    <w:rsid w:val="006F0784"/>
    <w:rsid w:val="006F0874"/>
    <w:rsid w:val="006F117D"/>
    <w:rsid w:val="0073585A"/>
    <w:rsid w:val="00744BAE"/>
    <w:rsid w:val="0075187C"/>
    <w:rsid w:val="007527A3"/>
    <w:rsid w:val="00753AE2"/>
    <w:rsid w:val="00762975"/>
    <w:rsid w:val="0076568F"/>
    <w:rsid w:val="0076762C"/>
    <w:rsid w:val="007810D1"/>
    <w:rsid w:val="0078337F"/>
    <w:rsid w:val="00790042"/>
    <w:rsid w:val="007A4A13"/>
    <w:rsid w:val="007B64E2"/>
    <w:rsid w:val="007C1028"/>
    <w:rsid w:val="007C46E2"/>
    <w:rsid w:val="007C5DBA"/>
    <w:rsid w:val="007D2BF8"/>
    <w:rsid w:val="007D34AD"/>
    <w:rsid w:val="007E42B8"/>
    <w:rsid w:val="007E44F0"/>
    <w:rsid w:val="007E4D59"/>
    <w:rsid w:val="0080270A"/>
    <w:rsid w:val="00811E62"/>
    <w:rsid w:val="00814CB2"/>
    <w:rsid w:val="008301E8"/>
    <w:rsid w:val="0084030D"/>
    <w:rsid w:val="00843E70"/>
    <w:rsid w:val="008451DF"/>
    <w:rsid w:val="008454A4"/>
    <w:rsid w:val="0084599A"/>
    <w:rsid w:val="008461D5"/>
    <w:rsid w:val="00851BE1"/>
    <w:rsid w:val="00854CC0"/>
    <w:rsid w:val="00864B0D"/>
    <w:rsid w:val="008656D4"/>
    <w:rsid w:val="00865A64"/>
    <w:rsid w:val="00866B8A"/>
    <w:rsid w:val="00870FCE"/>
    <w:rsid w:val="00875970"/>
    <w:rsid w:val="00876C42"/>
    <w:rsid w:val="008822AB"/>
    <w:rsid w:val="008909AF"/>
    <w:rsid w:val="008928C4"/>
    <w:rsid w:val="008A384D"/>
    <w:rsid w:val="008A4DAC"/>
    <w:rsid w:val="008A5D44"/>
    <w:rsid w:val="008A7CA7"/>
    <w:rsid w:val="008C1C4A"/>
    <w:rsid w:val="008C56C4"/>
    <w:rsid w:val="008F14EB"/>
    <w:rsid w:val="008F3407"/>
    <w:rsid w:val="008F3C77"/>
    <w:rsid w:val="008F3F0C"/>
    <w:rsid w:val="008F51FF"/>
    <w:rsid w:val="00910FBE"/>
    <w:rsid w:val="00911590"/>
    <w:rsid w:val="0091217C"/>
    <w:rsid w:val="00912511"/>
    <w:rsid w:val="00932EA2"/>
    <w:rsid w:val="00934749"/>
    <w:rsid w:val="00936529"/>
    <w:rsid w:val="00944FA3"/>
    <w:rsid w:val="00945CB2"/>
    <w:rsid w:val="00946953"/>
    <w:rsid w:val="009535A2"/>
    <w:rsid w:val="00955D3D"/>
    <w:rsid w:val="0096155B"/>
    <w:rsid w:val="009616F6"/>
    <w:rsid w:val="00970C82"/>
    <w:rsid w:val="009740A2"/>
    <w:rsid w:val="00977054"/>
    <w:rsid w:val="00987A81"/>
    <w:rsid w:val="00993EFB"/>
    <w:rsid w:val="00994DD9"/>
    <w:rsid w:val="00996D8B"/>
    <w:rsid w:val="009A45A0"/>
    <w:rsid w:val="009A6EC2"/>
    <w:rsid w:val="009B506F"/>
    <w:rsid w:val="009B5C0F"/>
    <w:rsid w:val="009B6DDE"/>
    <w:rsid w:val="009C2455"/>
    <w:rsid w:val="009C3E17"/>
    <w:rsid w:val="009C456A"/>
    <w:rsid w:val="009E5B2A"/>
    <w:rsid w:val="009F31E9"/>
    <w:rsid w:val="009F536F"/>
    <w:rsid w:val="009F5961"/>
    <w:rsid w:val="00A04CEC"/>
    <w:rsid w:val="00A05231"/>
    <w:rsid w:val="00A05699"/>
    <w:rsid w:val="00A134E9"/>
    <w:rsid w:val="00A14591"/>
    <w:rsid w:val="00A15EBF"/>
    <w:rsid w:val="00A16EF8"/>
    <w:rsid w:val="00A231F7"/>
    <w:rsid w:val="00A264BB"/>
    <w:rsid w:val="00A313CE"/>
    <w:rsid w:val="00A315AF"/>
    <w:rsid w:val="00A31E86"/>
    <w:rsid w:val="00A36967"/>
    <w:rsid w:val="00A4228C"/>
    <w:rsid w:val="00A42809"/>
    <w:rsid w:val="00A45EB3"/>
    <w:rsid w:val="00A47F5F"/>
    <w:rsid w:val="00A52399"/>
    <w:rsid w:val="00A53AB1"/>
    <w:rsid w:val="00A64AFB"/>
    <w:rsid w:val="00A6677A"/>
    <w:rsid w:val="00A670C7"/>
    <w:rsid w:val="00A724DF"/>
    <w:rsid w:val="00A735D6"/>
    <w:rsid w:val="00A81B30"/>
    <w:rsid w:val="00A8283F"/>
    <w:rsid w:val="00A90A48"/>
    <w:rsid w:val="00A91A1E"/>
    <w:rsid w:val="00AA0205"/>
    <w:rsid w:val="00AA4DC5"/>
    <w:rsid w:val="00AA6DFA"/>
    <w:rsid w:val="00AB308A"/>
    <w:rsid w:val="00AB339C"/>
    <w:rsid w:val="00AB35FD"/>
    <w:rsid w:val="00AB4A8D"/>
    <w:rsid w:val="00AC0039"/>
    <w:rsid w:val="00AC77DC"/>
    <w:rsid w:val="00AD3D90"/>
    <w:rsid w:val="00AD47F0"/>
    <w:rsid w:val="00AE1035"/>
    <w:rsid w:val="00AF2E37"/>
    <w:rsid w:val="00B02376"/>
    <w:rsid w:val="00B030FC"/>
    <w:rsid w:val="00B14B55"/>
    <w:rsid w:val="00B2050E"/>
    <w:rsid w:val="00B22A7E"/>
    <w:rsid w:val="00B274E4"/>
    <w:rsid w:val="00B347A4"/>
    <w:rsid w:val="00B4122F"/>
    <w:rsid w:val="00B41E08"/>
    <w:rsid w:val="00B44896"/>
    <w:rsid w:val="00B45619"/>
    <w:rsid w:val="00B53126"/>
    <w:rsid w:val="00B53D21"/>
    <w:rsid w:val="00B66129"/>
    <w:rsid w:val="00B66F45"/>
    <w:rsid w:val="00B75F53"/>
    <w:rsid w:val="00B76B39"/>
    <w:rsid w:val="00B77990"/>
    <w:rsid w:val="00B806EB"/>
    <w:rsid w:val="00B81A30"/>
    <w:rsid w:val="00B82711"/>
    <w:rsid w:val="00B87DFC"/>
    <w:rsid w:val="00B924E2"/>
    <w:rsid w:val="00B934BC"/>
    <w:rsid w:val="00BA7537"/>
    <w:rsid w:val="00BB1B50"/>
    <w:rsid w:val="00BB5C63"/>
    <w:rsid w:val="00BB6DE3"/>
    <w:rsid w:val="00BC35C6"/>
    <w:rsid w:val="00BC6C7A"/>
    <w:rsid w:val="00BC6E4B"/>
    <w:rsid w:val="00BD31FF"/>
    <w:rsid w:val="00BD3244"/>
    <w:rsid w:val="00BD5790"/>
    <w:rsid w:val="00BD65BA"/>
    <w:rsid w:val="00BE05D4"/>
    <w:rsid w:val="00BE0C60"/>
    <w:rsid w:val="00BE2449"/>
    <w:rsid w:val="00BF5B0B"/>
    <w:rsid w:val="00C04EED"/>
    <w:rsid w:val="00C0701C"/>
    <w:rsid w:val="00C14179"/>
    <w:rsid w:val="00C149BF"/>
    <w:rsid w:val="00C20481"/>
    <w:rsid w:val="00C222DD"/>
    <w:rsid w:val="00C23D2E"/>
    <w:rsid w:val="00C32C0F"/>
    <w:rsid w:val="00C32CB0"/>
    <w:rsid w:val="00C334B0"/>
    <w:rsid w:val="00C35EF5"/>
    <w:rsid w:val="00C41F05"/>
    <w:rsid w:val="00C42E0E"/>
    <w:rsid w:val="00C4459E"/>
    <w:rsid w:val="00C47486"/>
    <w:rsid w:val="00C515BC"/>
    <w:rsid w:val="00C5209B"/>
    <w:rsid w:val="00C52C54"/>
    <w:rsid w:val="00C53172"/>
    <w:rsid w:val="00C5751C"/>
    <w:rsid w:val="00C57D10"/>
    <w:rsid w:val="00C705E2"/>
    <w:rsid w:val="00C71C8D"/>
    <w:rsid w:val="00C71F06"/>
    <w:rsid w:val="00C772DF"/>
    <w:rsid w:val="00C7785A"/>
    <w:rsid w:val="00C77E87"/>
    <w:rsid w:val="00C9453F"/>
    <w:rsid w:val="00C94566"/>
    <w:rsid w:val="00CA53E1"/>
    <w:rsid w:val="00CA7294"/>
    <w:rsid w:val="00CB287A"/>
    <w:rsid w:val="00CB3D5E"/>
    <w:rsid w:val="00CC10C4"/>
    <w:rsid w:val="00CC2F11"/>
    <w:rsid w:val="00CC5370"/>
    <w:rsid w:val="00CC7695"/>
    <w:rsid w:val="00CD5214"/>
    <w:rsid w:val="00CE34B5"/>
    <w:rsid w:val="00CE4282"/>
    <w:rsid w:val="00CE7600"/>
    <w:rsid w:val="00CF4C36"/>
    <w:rsid w:val="00CF64E6"/>
    <w:rsid w:val="00D00867"/>
    <w:rsid w:val="00D025D3"/>
    <w:rsid w:val="00D07462"/>
    <w:rsid w:val="00D12E76"/>
    <w:rsid w:val="00D24507"/>
    <w:rsid w:val="00D3096C"/>
    <w:rsid w:val="00D32DBF"/>
    <w:rsid w:val="00D404FC"/>
    <w:rsid w:val="00D40793"/>
    <w:rsid w:val="00D452C5"/>
    <w:rsid w:val="00D55623"/>
    <w:rsid w:val="00D732C7"/>
    <w:rsid w:val="00D74E79"/>
    <w:rsid w:val="00D8110D"/>
    <w:rsid w:val="00D8113E"/>
    <w:rsid w:val="00D91C27"/>
    <w:rsid w:val="00D92D98"/>
    <w:rsid w:val="00DB1A23"/>
    <w:rsid w:val="00DB4599"/>
    <w:rsid w:val="00DC2E99"/>
    <w:rsid w:val="00DD544F"/>
    <w:rsid w:val="00DE254C"/>
    <w:rsid w:val="00E04113"/>
    <w:rsid w:val="00E041C3"/>
    <w:rsid w:val="00E11575"/>
    <w:rsid w:val="00E20797"/>
    <w:rsid w:val="00E22233"/>
    <w:rsid w:val="00E223C2"/>
    <w:rsid w:val="00E331BB"/>
    <w:rsid w:val="00E34DC0"/>
    <w:rsid w:val="00E427DD"/>
    <w:rsid w:val="00E43199"/>
    <w:rsid w:val="00E4467C"/>
    <w:rsid w:val="00E449A7"/>
    <w:rsid w:val="00E472D0"/>
    <w:rsid w:val="00E5701D"/>
    <w:rsid w:val="00E627D4"/>
    <w:rsid w:val="00E63648"/>
    <w:rsid w:val="00E63A5E"/>
    <w:rsid w:val="00E6498D"/>
    <w:rsid w:val="00E67459"/>
    <w:rsid w:val="00E76BE2"/>
    <w:rsid w:val="00E81226"/>
    <w:rsid w:val="00E83A65"/>
    <w:rsid w:val="00E874F2"/>
    <w:rsid w:val="00E90F75"/>
    <w:rsid w:val="00E9227A"/>
    <w:rsid w:val="00E93E5C"/>
    <w:rsid w:val="00E95B73"/>
    <w:rsid w:val="00E979F4"/>
    <w:rsid w:val="00EA5937"/>
    <w:rsid w:val="00EA64FF"/>
    <w:rsid w:val="00EA6C50"/>
    <w:rsid w:val="00EC1253"/>
    <w:rsid w:val="00EC2DCA"/>
    <w:rsid w:val="00EC42B2"/>
    <w:rsid w:val="00ED6BAA"/>
    <w:rsid w:val="00EE3167"/>
    <w:rsid w:val="00EF1D4A"/>
    <w:rsid w:val="00EF1FA9"/>
    <w:rsid w:val="00F03FE3"/>
    <w:rsid w:val="00F0575E"/>
    <w:rsid w:val="00F076D3"/>
    <w:rsid w:val="00F114F1"/>
    <w:rsid w:val="00F116C4"/>
    <w:rsid w:val="00F11C75"/>
    <w:rsid w:val="00F14EA6"/>
    <w:rsid w:val="00F14FFC"/>
    <w:rsid w:val="00F177AD"/>
    <w:rsid w:val="00F17C49"/>
    <w:rsid w:val="00F23020"/>
    <w:rsid w:val="00F2368F"/>
    <w:rsid w:val="00F23AF7"/>
    <w:rsid w:val="00F24ACB"/>
    <w:rsid w:val="00F31CE1"/>
    <w:rsid w:val="00F34735"/>
    <w:rsid w:val="00F42595"/>
    <w:rsid w:val="00F44014"/>
    <w:rsid w:val="00F45F74"/>
    <w:rsid w:val="00F56148"/>
    <w:rsid w:val="00F70430"/>
    <w:rsid w:val="00F72106"/>
    <w:rsid w:val="00F770B2"/>
    <w:rsid w:val="00F81E35"/>
    <w:rsid w:val="00F8405D"/>
    <w:rsid w:val="00F8591A"/>
    <w:rsid w:val="00F9243B"/>
    <w:rsid w:val="00F9498E"/>
    <w:rsid w:val="00F95D73"/>
    <w:rsid w:val="00FA1902"/>
    <w:rsid w:val="00FA41F0"/>
    <w:rsid w:val="00FB0E3D"/>
    <w:rsid w:val="00FB7FE8"/>
    <w:rsid w:val="00FC36AB"/>
    <w:rsid w:val="00FC4AAB"/>
    <w:rsid w:val="00FD2FA2"/>
    <w:rsid w:val="00FD4734"/>
    <w:rsid w:val="00FE3A09"/>
    <w:rsid w:val="00FE55CA"/>
    <w:rsid w:val="00FF3792"/>
    <w:rsid w:val="00FF42FB"/>
    <w:rsid w:val="00FF4B3C"/>
    <w:rsid w:val="00FF4D39"/>
    <w:rsid w:val="00FF79BB"/>
    <w:rsid w:val="015005B6"/>
    <w:rsid w:val="02DF577D"/>
    <w:rsid w:val="03D746CC"/>
    <w:rsid w:val="061A6358"/>
    <w:rsid w:val="06E60815"/>
    <w:rsid w:val="07852929"/>
    <w:rsid w:val="081D1E29"/>
    <w:rsid w:val="086C3C1F"/>
    <w:rsid w:val="089D62AA"/>
    <w:rsid w:val="08AB292D"/>
    <w:rsid w:val="08AD0B63"/>
    <w:rsid w:val="08D92ACA"/>
    <w:rsid w:val="09277C06"/>
    <w:rsid w:val="09B364FD"/>
    <w:rsid w:val="0A1C3E91"/>
    <w:rsid w:val="0B537C8B"/>
    <w:rsid w:val="0C3E18BB"/>
    <w:rsid w:val="0D6E0E06"/>
    <w:rsid w:val="0E996129"/>
    <w:rsid w:val="0EC61BEC"/>
    <w:rsid w:val="0ECC7A30"/>
    <w:rsid w:val="0FB25439"/>
    <w:rsid w:val="12703E7A"/>
    <w:rsid w:val="1296445D"/>
    <w:rsid w:val="12DC7DE1"/>
    <w:rsid w:val="12F212F3"/>
    <w:rsid w:val="13544571"/>
    <w:rsid w:val="138F0A28"/>
    <w:rsid w:val="15907A93"/>
    <w:rsid w:val="15DA5A1A"/>
    <w:rsid w:val="167E0249"/>
    <w:rsid w:val="16AC4FC3"/>
    <w:rsid w:val="182911AB"/>
    <w:rsid w:val="183E69C7"/>
    <w:rsid w:val="188C5481"/>
    <w:rsid w:val="19C91A81"/>
    <w:rsid w:val="1AE234AE"/>
    <w:rsid w:val="1B873652"/>
    <w:rsid w:val="1BB51929"/>
    <w:rsid w:val="1CAF419E"/>
    <w:rsid w:val="1D36049C"/>
    <w:rsid w:val="1F354927"/>
    <w:rsid w:val="200A2759"/>
    <w:rsid w:val="200F2878"/>
    <w:rsid w:val="207E7A85"/>
    <w:rsid w:val="208D3D83"/>
    <w:rsid w:val="2100034D"/>
    <w:rsid w:val="210417B3"/>
    <w:rsid w:val="212C3FD0"/>
    <w:rsid w:val="251351C1"/>
    <w:rsid w:val="25CA7A0A"/>
    <w:rsid w:val="25F25669"/>
    <w:rsid w:val="27580E51"/>
    <w:rsid w:val="284D56EE"/>
    <w:rsid w:val="28765197"/>
    <w:rsid w:val="28E219C5"/>
    <w:rsid w:val="29FC5A63"/>
    <w:rsid w:val="2A373DEA"/>
    <w:rsid w:val="2B114AD0"/>
    <w:rsid w:val="2BBD3679"/>
    <w:rsid w:val="2BCF2500"/>
    <w:rsid w:val="2BE439E1"/>
    <w:rsid w:val="2C847896"/>
    <w:rsid w:val="2CC94C4A"/>
    <w:rsid w:val="2D265BF9"/>
    <w:rsid w:val="2E1A0DD2"/>
    <w:rsid w:val="2FF905AE"/>
    <w:rsid w:val="31181CFC"/>
    <w:rsid w:val="314948A2"/>
    <w:rsid w:val="31F97FD7"/>
    <w:rsid w:val="32AB1481"/>
    <w:rsid w:val="334E5EA9"/>
    <w:rsid w:val="339C3307"/>
    <w:rsid w:val="34AC1D99"/>
    <w:rsid w:val="35344AA0"/>
    <w:rsid w:val="35620545"/>
    <w:rsid w:val="35747EEC"/>
    <w:rsid w:val="358075D8"/>
    <w:rsid w:val="35874F44"/>
    <w:rsid w:val="35A679AF"/>
    <w:rsid w:val="35AD0248"/>
    <w:rsid w:val="35BB3A30"/>
    <w:rsid w:val="35D76BCF"/>
    <w:rsid w:val="375810A4"/>
    <w:rsid w:val="38050870"/>
    <w:rsid w:val="382A20F4"/>
    <w:rsid w:val="38545AF1"/>
    <w:rsid w:val="38746E53"/>
    <w:rsid w:val="3ABF500F"/>
    <w:rsid w:val="3AD71050"/>
    <w:rsid w:val="3B836D17"/>
    <w:rsid w:val="3C362F17"/>
    <w:rsid w:val="3C7C4824"/>
    <w:rsid w:val="3D4A69A7"/>
    <w:rsid w:val="3DA355EA"/>
    <w:rsid w:val="3DB640EF"/>
    <w:rsid w:val="3E04510D"/>
    <w:rsid w:val="3E8D3F69"/>
    <w:rsid w:val="3E961E9E"/>
    <w:rsid w:val="3FF66669"/>
    <w:rsid w:val="402F7339"/>
    <w:rsid w:val="412300B3"/>
    <w:rsid w:val="41595C19"/>
    <w:rsid w:val="426A4F93"/>
    <w:rsid w:val="42B77E51"/>
    <w:rsid w:val="43462E94"/>
    <w:rsid w:val="435A0B77"/>
    <w:rsid w:val="449B32E5"/>
    <w:rsid w:val="459C7567"/>
    <w:rsid w:val="464D51F9"/>
    <w:rsid w:val="46C2536A"/>
    <w:rsid w:val="47A5198F"/>
    <w:rsid w:val="47AB1014"/>
    <w:rsid w:val="494D4BE0"/>
    <w:rsid w:val="49F3676E"/>
    <w:rsid w:val="4AFD6820"/>
    <w:rsid w:val="4B0B4286"/>
    <w:rsid w:val="4BDB0596"/>
    <w:rsid w:val="4BEB0B62"/>
    <w:rsid w:val="4C724B4A"/>
    <w:rsid w:val="4D92622E"/>
    <w:rsid w:val="4E140D17"/>
    <w:rsid w:val="4E142FF1"/>
    <w:rsid w:val="4E7445BE"/>
    <w:rsid w:val="4EA647B1"/>
    <w:rsid w:val="50257857"/>
    <w:rsid w:val="50831E9E"/>
    <w:rsid w:val="50CF219D"/>
    <w:rsid w:val="518F170F"/>
    <w:rsid w:val="51B61C9B"/>
    <w:rsid w:val="51C07B1A"/>
    <w:rsid w:val="52A02093"/>
    <w:rsid w:val="52D031EB"/>
    <w:rsid w:val="53FB308C"/>
    <w:rsid w:val="54BD75DE"/>
    <w:rsid w:val="54D16E0B"/>
    <w:rsid w:val="553601AB"/>
    <w:rsid w:val="557B55AE"/>
    <w:rsid w:val="55CA5277"/>
    <w:rsid w:val="560E52F8"/>
    <w:rsid w:val="56632D8B"/>
    <w:rsid w:val="576B3B68"/>
    <w:rsid w:val="57971D58"/>
    <w:rsid w:val="58205B4E"/>
    <w:rsid w:val="5899208B"/>
    <w:rsid w:val="58C60DE9"/>
    <w:rsid w:val="59364835"/>
    <w:rsid w:val="59A438D8"/>
    <w:rsid w:val="5B740456"/>
    <w:rsid w:val="5C8A31FF"/>
    <w:rsid w:val="5D213B63"/>
    <w:rsid w:val="5E351F28"/>
    <w:rsid w:val="5E6B02C1"/>
    <w:rsid w:val="5E6E58BD"/>
    <w:rsid w:val="5FA90305"/>
    <w:rsid w:val="601A410A"/>
    <w:rsid w:val="6043557B"/>
    <w:rsid w:val="6087246B"/>
    <w:rsid w:val="60D033D7"/>
    <w:rsid w:val="60D74C98"/>
    <w:rsid w:val="61773F82"/>
    <w:rsid w:val="6177741F"/>
    <w:rsid w:val="626544F2"/>
    <w:rsid w:val="62820E1A"/>
    <w:rsid w:val="633E6B34"/>
    <w:rsid w:val="634937FE"/>
    <w:rsid w:val="63C312C7"/>
    <w:rsid w:val="63D97F2E"/>
    <w:rsid w:val="64484A2B"/>
    <w:rsid w:val="645E7643"/>
    <w:rsid w:val="64F703AD"/>
    <w:rsid w:val="64FD2FB0"/>
    <w:rsid w:val="650A3F82"/>
    <w:rsid w:val="6527753B"/>
    <w:rsid w:val="6548644D"/>
    <w:rsid w:val="66BC0878"/>
    <w:rsid w:val="67CC0954"/>
    <w:rsid w:val="67D10EE6"/>
    <w:rsid w:val="68076E81"/>
    <w:rsid w:val="68240CB9"/>
    <w:rsid w:val="685110E6"/>
    <w:rsid w:val="686E673A"/>
    <w:rsid w:val="687037CE"/>
    <w:rsid w:val="688A59BD"/>
    <w:rsid w:val="68AA58E1"/>
    <w:rsid w:val="692C58E1"/>
    <w:rsid w:val="6949061E"/>
    <w:rsid w:val="698D7A39"/>
    <w:rsid w:val="6A794FDE"/>
    <w:rsid w:val="6A8B500F"/>
    <w:rsid w:val="6A8C3054"/>
    <w:rsid w:val="6AC75DBF"/>
    <w:rsid w:val="6B1765A5"/>
    <w:rsid w:val="6B745B6A"/>
    <w:rsid w:val="6C256AA0"/>
    <w:rsid w:val="6C303F19"/>
    <w:rsid w:val="6E095765"/>
    <w:rsid w:val="6E3B415D"/>
    <w:rsid w:val="6E870E63"/>
    <w:rsid w:val="6FF42A15"/>
    <w:rsid w:val="6FFE5E92"/>
    <w:rsid w:val="71A86D0C"/>
    <w:rsid w:val="71F238C8"/>
    <w:rsid w:val="731D2A38"/>
    <w:rsid w:val="731E2BC7"/>
    <w:rsid w:val="74934D54"/>
    <w:rsid w:val="74E5050C"/>
    <w:rsid w:val="760C0016"/>
    <w:rsid w:val="7690678D"/>
    <w:rsid w:val="77E9143E"/>
    <w:rsid w:val="782D15D9"/>
    <w:rsid w:val="78B039E4"/>
    <w:rsid w:val="78B2014E"/>
    <w:rsid w:val="792C5BFB"/>
    <w:rsid w:val="7C8B28F9"/>
    <w:rsid w:val="7DA16716"/>
    <w:rsid w:val="7E130E4E"/>
    <w:rsid w:val="7E160CCF"/>
    <w:rsid w:val="7E636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2" w:semiHidden="0" w:name="heading 3"/>
    <w:lsdException w:qFormat="1" w:unhideWhenUsed="0" w:uiPriority="3"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4"/>
    <w:next w:val="4"/>
    <w:link w:val="27"/>
    <w:qFormat/>
    <w:uiPriority w:val="0"/>
    <w:pPr>
      <w:numPr>
        <w:ilvl w:val="0"/>
        <w:numId w:val="1"/>
      </w:numPr>
      <w:spacing w:before="120" w:after="60"/>
      <w:ind w:left="0" w:firstLine="200"/>
      <w:outlineLvl w:val="0"/>
    </w:pPr>
    <w:rPr>
      <w:rFonts w:eastAsia="黑体"/>
      <w:bCs/>
      <w:kern w:val="44"/>
      <w:szCs w:val="44"/>
    </w:rPr>
  </w:style>
  <w:style w:type="paragraph" w:styleId="5">
    <w:name w:val="heading 2"/>
    <w:basedOn w:val="4"/>
    <w:next w:val="4"/>
    <w:link w:val="28"/>
    <w:qFormat/>
    <w:uiPriority w:val="1"/>
    <w:pPr>
      <w:keepNext/>
      <w:keepLines/>
      <w:numPr>
        <w:ilvl w:val="1"/>
        <w:numId w:val="1"/>
      </w:numPr>
      <w:spacing w:before="120" w:after="60"/>
      <w:ind w:left="0" w:firstLine="200"/>
      <w:outlineLvl w:val="1"/>
    </w:pPr>
    <w:rPr>
      <w:rFonts w:eastAsia="楷体" w:cstheme="majorBidi"/>
      <w:b/>
      <w:bCs/>
      <w:szCs w:val="32"/>
    </w:rPr>
  </w:style>
  <w:style w:type="paragraph" w:styleId="6">
    <w:name w:val="heading 3"/>
    <w:basedOn w:val="4"/>
    <w:next w:val="4"/>
    <w:link w:val="29"/>
    <w:qFormat/>
    <w:uiPriority w:val="2"/>
    <w:pPr>
      <w:keepNext/>
      <w:keepLines/>
      <w:numPr>
        <w:ilvl w:val="2"/>
        <w:numId w:val="1"/>
      </w:numPr>
      <w:spacing w:before="120" w:after="60"/>
      <w:ind w:left="0" w:firstLine="200"/>
      <w:outlineLvl w:val="2"/>
    </w:pPr>
    <w:rPr>
      <w:b/>
      <w:bCs/>
      <w:szCs w:val="32"/>
    </w:rPr>
  </w:style>
  <w:style w:type="paragraph" w:styleId="7">
    <w:name w:val="heading 4"/>
    <w:basedOn w:val="4"/>
    <w:next w:val="1"/>
    <w:link w:val="30"/>
    <w:qFormat/>
    <w:uiPriority w:val="3"/>
    <w:pPr>
      <w:keepNext/>
      <w:keepLines/>
      <w:numPr>
        <w:ilvl w:val="3"/>
        <w:numId w:val="1"/>
      </w:numPr>
      <w:spacing w:before="120" w:after="60"/>
      <w:ind w:left="0" w:firstLine="200"/>
      <w:outlineLvl w:val="3"/>
    </w:pPr>
    <w:rPr>
      <w:rFonts w:cstheme="majorBidi"/>
      <w:b/>
      <w:bCs/>
    </w:rPr>
  </w:style>
  <w:style w:type="paragraph" w:styleId="8">
    <w:name w:val="heading 5"/>
    <w:basedOn w:val="4"/>
    <w:next w:val="4"/>
    <w:link w:val="31"/>
    <w:unhideWhenUsed/>
    <w:qFormat/>
    <w:uiPriority w:val="9"/>
    <w:pPr>
      <w:keepNext/>
      <w:keepLines/>
      <w:numPr>
        <w:ilvl w:val="4"/>
        <w:numId w:val="1"/>
      </w:numPr>
      <w:spacing w:before="120" w:after="60"/>
      <w:ind w:firstLine="0" w:firstLineChars="0"/>
      <w:outlineLvl w:val="4"/>
    </w:pPr>
    <w:rPr>
      <w:b/>
      <w:bCs/>
    </w:rPr>
  </w:style>
  <w:style w:type="paragraph" w:styleId="9">
    <w:name w:val="heading 6"/>
    <w:basedOn w:val="1"/>
    <w:next w:val="1"/>
    <w:unhideWhenUsed/>
    <w:qFormat/>
    <w:uiPriority w:val="9"/>
    <w:pPr>
      <w:keepNext/>
      <w:keepLines/>
      <w:spacing w:before="240" w:after="64" w:line="317" w:lineRule="auto"/>
      <w:outlineLvl w:val="5"/>
    </w:pPr>
    <w:rPr>
      <w:rFonts w:ascii="Arial" w:hAnsi="Arial" w:eastAsia="黑体"/>
      <w:b/>
      <w:sz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
    <w:name w:val="日浩正文"/>
    <w:basedOn w:val="1"/>
    <w:link w:val="37"/>
    <w:qFormat/>
    <w:uiPriority w:val="0"/>
    <w:pPr>
      <w:spacing w:line="560" w:lineRule="exact"/>
      <w:ind w:firstLine="200" w:firstLineChars="200"/>
    </w:pPr>
    <w:rPr>
      <w:rFonts w:ascii="Times New Roman" w:hAnsi="Times New Roman" w:eastAsia="仿宋_GB2312" w:cs="Times New Roman"/>
      <w:kern w:val="0"/>
      <w:sz w:val="32"/>
      <w:szCs w:val="28"/>
      <w:lang w:val="zh-CN"/>
    </w:rPr>
  </w:style>
  <w:style w:type="paragraph" w:styleId="10">
    <w:name w:val="caption"/>
    <w:basedOn w:val="1"/>
    <w:next w:val="1"/>
    <w:unhideWhenUsed/>
    <w:qFormat/>
    <w:uiPriority w:val="35"/>
    <w:rPr>
      <w:rFonts w:eastAsia="黑体" w:asciiTheme="majorHAnsi" w:hAnsiTheme="majorHAnsi" w:cstheme="majorBidi"/>
      <w:sz w:val="20"/>
      <w:szCs w:val="20"/>
    </w:rPr>
  </w:style>
  <w:style w:type="paragraph" w:styleId="11">
    <w:name w:val="annotation text"/>
    <w:basedOn w:val="1"/>
    <w:link w:val="58"/>
    <w:unhideWhenUsed/>
    <w:qFormat/>
    <w:uiPriority w:val="99"/>
    <w:pPr>
      <w:jc w:val="left"/>
    </w:pPr>
  </w:style>
  <w:style w:type="paragraph" w:styleId="12">
    <w:name w:val="toc 3"/>
    <w:basedOn w:val="1"/>
    <w:next w:val="1"/>
    <w:unhideWhenUsed/>
    <w:qFormat/>
    <w:uiPriority w:val="39"/>
    <w:pPr>
      <w:ind w:left="840" w:leftChars="400"/>
    </w:pPr>
  </w:style>
  <w:style w:type="paragraph" w:styleId="13">
    <w:name w:val="Balloon Text"/>
    <w:basedOn w:val="1"/>
    <w:link w:val="33"/>
    <w:unhideWhenUsed/>
    <w:qFormat/>
    <w:uiPriority w:val="99"/>
    <w:rPr>
      <w:sz w:val="18"/>
      <w:szCs w:val="18"/>
    </w:rPr>
  </w:style>
  <w:style w:type="paragraph" w:styleId="14">
    <w:name w:val="footer"/>
    <w:basedOn w:val="1"/>
    <w:link w:val="34"/>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15">
    <w:name w:val="header"/>
    <w:basedOn w:val="1"/>
    <w:link w:val="53"/>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4"/>
    <w:next w:val="4"/>
    <w:unhideWhenUsed/>
    <w:qFormat/>
    <w:uiPriority w:val="39"/>
    <w:pPr>
      <w:tabs>
        <w:tab w:val="right" w:leader="dot" w:pos="8296"/>
      </w:tabs>
      <w:spacing w:line="460" w:lineRule="exact"/>
      <w:ind w:firstLine="0" w:firstLineChars="0"/>
    </w:pPr>
    <w:rPr>
      <w:b/>
    </w:rPr>
  </w:style>
  <w:style w:type="paragraph" w:styleId="17">
    <w:name w:val="footnote text"/>
    <w:basedOn w:val="1"/>
    <w:link w:val="50"/>
    <w:qFormat/>
    <w:uiPriority w:val="99"/>
    <w:pPr>
      <w:snapToGrid w:val="0"/>
      <w:jc w:val="left"/>
    </w:pPr>
    <w:rPr>
      <w:rFonts w:ascii="Times New Roman" w:hAnsi="Times New Roman" w:eastAsia="宋体"/>
      <w:szCs w:val="18"/>
    </w:rPr>
  </w:style>
  <w:style w:type="paragraph" w:styleId="18">
    <w:name w:val="toc 2"/>
    <w:basedOn w:val="4"/>
    <w:next w:val="4"/>
    <w:unhideWhenUsed/>
    <w:qFormat/>
    <w:uiPriority w:val="39"/>
    <w:pPr>
      <w:tabs>
        <w:tab w:val="right" w:leader="dot" w:pos="8296"/>
      </w:tabs>
      <w:spacing w:line="460" w:lineRule="exact"/>
      <w:ind w:left="200" w:leftChars="200" w:firstLine="0" w:firstLineChars="0"/>
    </w:pPr>
  </w:style>
  <w:style w:type="paragraph" w:styleId="19">
    <w:name w:val="annotation subject"/>
    <w:basedOn w:val="11"/>
    <w:next w:val="11"/>
    <w:link w:val="59"/>
    <w:unhideWhenUsed/>
    <w:qFormat/>
    <w:uiPriority w:val="99"/>
    <w:rPr>
      <w:b/>
      <w:bCs/>
    </w:rPr>
  </w:style>
  <w:style w:type="table" w:styleId="21">
    <w:name w:val="Table Grid"/>
    <w:basedOn w:val="20"/>
    <w:qFormat/>
    <w:uiPriority w:val="99"/>
    <w:pPr>
      <w:spacing w:line="300" w:lineRule="exact"/>
      <w:jc w:val="center"/>
    </w:pPr>
    <w:rPr>
      <w:rFonts w:eastAsia="仿宋_GB231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blHeader/>
    </w:trPr>
    <w:tcPr>
      <w:vAlign w:val="center"/>
    </w:tcPr>
  </w:style>
  <w:style w:type="character" w:styleId="23">
    <w:name w:val="Hyperlink"/>
    <w:basedOn w:val="22"/>
    <w:unhideWhenUsed/>
    <w:qFormat/>
    <w:uiPriority w:val="99"/>
    <w:rPr>
      <w:color w:val="0563C1" w:themeColor="hyperlink"/>
      <w:u w:val="single"/>
      <w14:textFill>
        <w14:solidFill>
          <w14:schemeClr w14:val="hlink"/>
        </w14:solidFill>
      </w14:textFill>
    </w:rPr>
  </w:style>
  <w:style w:type="character" w:styleId="24">
    <w:name w:val="annotation reference"/>
    <w:basedOn w:val="22"/>
    <w:unhideWhenUsed/>
    <w:qFormat/>
    <w:uiPriority w:val="99"/>
    <w:rPr>
      <w:sz w:val="21"/>
      <w:szCs w:val="21"/>
    </w:rPr>
  </w:style>
  <w:style w:type="character" w:styleId="25">
    <w:name w:val="footnote reference"/>
    <w:qFormat/>
    <w:uiPriority w:val="99"/>
    <w:rPr>
      <w:vertAlign w:val="superscript"/>
    </w:rPr>
  </w:style>
  <w:style w:type="paragraph" w:customStyle="1" w:styleId="26">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character" w:customStyle="1" w:styleId="27">
    <w:name w:val="标题 1 字符"/>
    <w:basedOn w:val="22"/>
    <w:link w:val="3"/>
    <w:qFormat/>
    <w:uiPriority w:val="0"/>
    <w:rPr>
      <w:rFonts w:ascii="Times New Roman" w:hAnsi="Times New Roman" w:eastAsia="黑体" w:cs="Times New Roman"/>
      <w:bCs/>
      <w:kern w:val="44"/>
      <w:sz w:val="32"/>
      <w:szCs w:val="44"/>
      <w:lang w:val="zh-CN" w:eastAsia="zh-CN"/>
    </w:rPr>
  </w:style>
  <w:style w:type="character" w:customStyle="1" w:styleId="28">
    <w:name w:val="标题 2 字符"/>
    <w:basedOn w:val="22"/>
    <w:link w:val="5"/>
    <w:qFormat/>
    <w:uiPriority w:val="1"/>
    <w:rPr>
      <w:rFonts w:ascii="Times New Roman" w:hAnsi="Times New Roman" w:eastAsia="楷体" w:cstheme="majorBidi"/>
      <w:b/>
      <w:bCs/>
      <w:kern w:val="0"/>
      <w:sz w:val="28"/>
      <w:szCs w:val="32"/>
      <w:lang w:val="zh-CN" w:eastAsia="zh-CN"/>
    </w:rPr>
  </w:style>
  <w:style w:type="character" w:customStyle="1" w:styleId="29">
    <w:name w:val="标题 3 字符"/>
    <w:basedOn w:val="22"/>
    <w:link w:val="6"/>
    <w:qFormat/>
    <w:uiPriority w:val="2"/>
    <w:rPr>
      <w:rFonts w:ascii="Times New Roman" w:hAnsi="Times New Roman" w:eastAsia="仿宋_GB2312" w:cs="Times New Roman"/>
      <w:b/>
      <w:bCs/>
      <w:kern w:val="0"/>
      <w:sz w:val="28"/>
      <w:szCs w:val="32"/>
      <w:lang w:val="zh-CN" w:eastAsia="zh-CN"/>
    </w:rPr>
  </w:style>
  <w:style w:type="character" w:customStyle="1" w:styleId="30">
    <w:name w:val="标题 4 字符"/>
    <w:basedOn w:val="22"/>
    <w:link w:val="7"/>
    <w:qFormat/>
    <w:uiPriority w:val="3"/>
    <w:rPr>
      <w:rFonts w:ascii="Times New Roman" w:hAnsi="Times New Roman" w:eastAsia="仿宋_GB2312" w:cstheme="majorBidi"/>
      <w:b/>
      <w:bCs/>
      <w:kern w:val="0"/>
      <w:sz w:val="28"/>
      <w:szCs w:val="28"/>
      <w:lang w:val="zh-CN" w:eastAsia="zh-CN"/>
    </w:rPr>
  </w:style>
  <w:style w:type="character" w:customStyle="1" w:styleId="31">
    <w:name w:val="标题 5 字符"/>
    <w:basedOn w:val="22"/>
    <w:link w:val="8"/>
    <w:qFormat/>
    <w:uiPriority w:val="9"/>
    <w:rPr>
      <w:rFonts w:ascii="Times New Roman" w:hAnsi="Times New Roman" w:eastAsia="仿宋_GB2312" w:cs="Times New Roman"/>
      <w:b/>
      <w:bCs/>
      <w:kern w:val="0"/>
      <w:sz w:val="28"/>
      <w:szCs w:val="28"/>
      <w:lang w:val="zh-CN" w:eastAsia="zh-CN"/>
    </w:rPr>
  </w:style>
  <w:style w:type="paragraph" w:customStyle="1" w:styleId="32">
    <w:name w:val="TOC 标题1"/>
    <w:basedOn w:val="3"/>
    <w:next w:val="1"/>
    <w:unhideWhenUsed/>
    <w:qFormat/>
    <w:uiPriority w:val="39"/>
    <w:pPr>
      <w:widowControl/>
      <w:numPr>
        <w:numId w:val="0"/>
      </w:numPr>
      <w:spacing w:before="240" w:after="0" w:line="259" w:lineRule="auto"/>
      <w:outlineLvl w:val="9"/>
    </w:pPr>
    <w:rPr>
      <w:rFonts w:asciiTheme="majorHAnsi" w:hAnsiTheme="majorHAnsi" w:eastAsiaTheme="majorEastAsia" w:cstheme="majorBidi"/>
      <w:b/>
      <w:bCs w:val="0"/>
      <w:color w:val="2F5597" w:themeColor="accent1" w:themeShade="BF"/>
      <w:kern w:val="0"/>
      <w:szCs w:val="32"/>
    </w:rPr>
  </w:style>
  <w:style w:type="character" w:customStyle="1" w:styleId="33">
    <w:name w:val="批注框文本 字符"/>
    <w:basedOn w:val="22"/>
    <w:link w:val="13"/>
    <w:semiHidden/>
    <w:qFormat/>
    <w:uiPriority w:val="99"/>
    <w:rPr>
      <w:sz w:val="18"/>
      <w:szCs w:val="18"/>
    </w:rPr>
  </w:style>
  <w:style w:type="character" w:customStyle="1" w:styleId="34">
    <w:name w:val="页脚 字符"/>
    <w:basedOn w:val="22"/>
    <w:link w:val="14"/>
    <w:qFormat/>
    <w:uiPriority w:val="99"/>
    <w:rPr>
      <w:rFonts w:ascii="Calibri" w:hAnsi="Calibri" w:eastAsia="宋体" w:cs="Times New Roman"/>
      <w:sz w:val="18"/>
      <w:szCs w:val="18"/>
    </w:rPr>
  </w:style>
  <w:style w:type="paragraph" w:customStyle="1" w:styleId="35">
    <w:name w:val="日浩封面标题"/>
    <w:basedOn w:val="1"/>
    <w:next w:val="36"/>
    <w:qFormat/>
    <w:uiPriority w:val="0"/>
    <w:pPr>
      <w:jc w:val="center"/>
    </w:pPr>
    <w:rPr>
      <w:rFonts w:ascii="Times New Roman" w:hAnsi="Times New Roman" w:eastAsia="黑体" w:cs="Times New Roman"/>
      <w:snapToGrid w:val="0"/>
      <w:sz w:val="48"/>
      <w:szCs w:val="24"/>
    </w:rPr>
  </w:style>
  <w:style w:type="paragraph" w:customStyle="1" w:styleId="36">
    <w:name w:val="日浩封面项目信息"/>
    <w:basedOn w:val="1"/>
    <w:qFormat/>
    <w:uiPriority w:val="0"/>
    <w:pPr>
      <w:spacing w:before="120"/>
      <w:ind w:left="800" w:leftChars="800"/>
      <w:jc w:val="left"/>
    </w:pPr>
    <w:rPr>
      <w:rFonts w:ascii="Times New Roman" w:hAnsi="Times New Roman" w:eastAsia="仿宋_GB2312" w:cs="Times New Roman"/>
      <w:kern w:val="0"/>
      <w:sz w:val="32"/>
      <w:szCs w:val="28"/>
      <w:lang w:val="zh-CN"/>
    </w:rPr>
  </w:style>
  <w:style w:type="character" w:customStyle="1" w:styleId="37">
    <w:name w:val="闻政正文 Char"/>
    <w:link w:val="4"/>
    <w:qFormat/>
    <w:uiPriority w:val="0"/>
    <w:rPr>
      <w:rFonts w:eastAsia="仿宋_GB2312"/>
      <w:sz w:val="32"/>
      <w:szCs w:val="28"/>
      <w:lang w:val="zh-CN"/>
    </w:rPr>
  </w:style>
  <w:style w:type="paragraph" w:customStyle="1" w:styleId="38">
    <w:name w:val="日浩图（表）注"/>
    <w:basedOn w:val="1"/>
    <w:link w:val="39"/>
    <w:qFormat/>
    <w:uiPriority w:val="5"/>
    <w:pPr>
      <w:spacing w:before="120"/>
    </w:pPr>
    <w:rPr>
      <w:rFonts w:ascii="Times New Roman" w:hAnsi="Times New Roman" w:eastAsia="仿宋_GB2312" w:cs="Arial"/>
      <w:kern w:val="0"/>
    </w:rPr>
  </w:style>
  <w:style w:type="character" w:customStyle="1" w:styleId="39">
    <w:name w:val="闻政图（表）注 Char"/>
    <w:link w:val="38"/>
    <w:qFormat/>
    <w:uiPriority w:val="5"/>
    <w:rPr>
      <w:rFonts w:ascii="Times New Roman" w:hAnsi="Times New Roman" w:eastAsia="仿宋_GB2312" w:cs="Arial"/>
      <w:kern w:val="0"/>
    </w:rPr>
  </w:style>
  <w:style w:type="paragraph" w:customStyle="1" w:styleId="40">
    <w:name w:val="日浩图表名"/>
    <w:basedOn w:val="1"/>
    <w:link w:val="41"/>
    <w:qFormat/>
    <w:uiPriority w:val="0"/>
    <w:pPr>
      <w:spacing w:before="60" w:after="60"/>
      <w:jc w:val="center"/>
    </w:pPr>
    <w:rPr>
      <w:rFonts w:ascii="Times New Roman" w:hAnsi="Times New Roman" w:eastAsia="仿宋_GB2312" w:cs="Times New Roman"/>
      <w:b/>
      <w:kern w:val="0"/>
      <w:sz w:val="24"/>
      <w:szCs w:val="28"/>
    </w:rPr>
  </w:style>
  <w:style w:type="character" w:customStyle="1" w:styleId="41">
    <w:name w:val="闻政图表名 字符"/>
    <w:link w:val="40"/>
    <w:qFormat/>
    <w:uiPriority w:val="4"/>
    <w:rPr>
      <w:rFonts w:ascii="Times New Roman" w:hAnsi="Times New Roman" w:eastAsia="仿宋_GB2312" w:cs="Times New Roman"/>
      <w:b/>
      <w:kern w:val="0"/>
      <w:sz w:val="24"/>
      <w:szCs w:val="28"/>
    </w:rPr>
  </w:style>
  <w:style w:type="paragraph" w:customStyle="1" w:styleId="42">
    <w:name w:val="日浩备注类"/>
    <w:basedOn w:val="4"/>
    <w:qFormat/>
    <w:uiPriority w:val="5"/>
    <w:pPr>
      <w:spacing w:line="240" w:lineRule="auto"/>
      <w:jc w:val="left"/>
    </w:pPr>
    <w:rPr>
      <w:rFonts w:cs="宋体"/>
      <w:sz w:val="21"/>
    </w:rPr>
  </w:style>
  <w:style w:type="paragraph" w:customStyle="1" w:styleId="43">
    <w:name w:val="日浩附件标题"/>
    <w:basedOn w:val="4"/>
    <w:qFormat/>
    <w:uiPriority w:val="6"/>
    <w:pPr>
      <w:numPr>
        <w:ilvl w:val="5"/>
        <w:numId w:val="1"/>
      </w:numPr>
      <w:spacing w:before="120" w:after="60" w:line="240" w:lineRule="auto"/>
      <w:ind w:firstLineChars="0"/>
      <w:outlineLvl w:val="0"/>
    </w:pPr>
    <w:rPr>
      <w:rFonts w:eastAsia="黑体"/>
      <w:b/>
    </w:rPr>
  </w:style>
  <w:style w:type="paragraph" w:customStyle="1" w:styleId="44">
    <w:name w:val="日浩附件正文"/>
    <w:basedOn w:val="4"/>
    <w:qFormat/>
    <w:uiPriority w:val="6"/>
    <w:rPr>
      <w:sz w:val="28"/>
    </w:rPr>
  </w:style>
  <w:style w:type="paragraph" w:customStyle="1" w:styleId="45">
    <w:name w:val="日浩附件报告名"/>
    <w:basedOn w:val="4"/>
    <w:qFormat/>
    <w:uiPriority w:val="9"/>
    <w:pPr>
      <w:spacing w:before="120" w:after="60"/>
      <w:ind w:firstLine="0" w:firstLineChars="0"/>
      <w:jc w:val="center"/>
    </w:pPr>
    <w:rPr>
      <w:b/>
    </w:rPr>
  </w:style>
  <w:style w:type="paragraph" w:customStyle="1" w:styleId="46">
    <w:name w:val="日浩附件一级标题"/>
    <w:basedOn w:val="45"/>
    <w:next w:val="44"/>
    <w:qFormat/>
    <w:uiPriority w:val="6"/>
    <w:pPr>
      <w:ind w:firstLine="200" w:firstLineChars="200"/>
      <w:jc w:val="left"/>
    </w:pPr>
    <w:rPr>
      <w:rFonts w:cs="宋体"/>
      <w:sz w:val="28"/>
    </w:rPr>
  </w:style>
  <w:style w:type="paragraph" w:customStyle="1" w:styleId="47">
    <w:name w:val="日浩附件二级标题"/>
    <w:basedOn w:val="46"/>
    <w:qFormat/>
    <w:uiPriority w:val="8"/>
    <w:rPr>
      <w:rFonts w:ascii="宋体" w:hAnsi="宋体" w:eastAsia="宋体"/>
    </w:rPr>
  </w:style>
  <w:style w:type="paragraph" w:customStyle="1" w:styleId="48">
    <w:name w:val="日浩附件三级标题"/>
    <w:basedOn w:val="47"/>
    <w:qFormat/>
    <w:uiPriority w:val="8"/>
    <w:rPr>
      <w:rFonts w:ascii="Times New Roman" w:hAnsi="Times New Roman" w:eastAsia="仿宋_GB2312"/>
    </w:rPr>
  </w:style>
  <w:style w:type="paragraph" w:customStyle="1" w:styleId="49">
    <w:name w:val="日浩附件四级标题"/>
    <w:basedOn w:val="48"/>
    <w:qFormat/>
    <w:uiPriority w:val="9"/>
    <w:pPr>
      <w:spacing w:before="0" w:after="0"/>
    </w:pPr>
  </w:style>
  <w:style w:type="character" w:customStyle="1" w:styleId="50">
    <w:name w:val="脚注文本 字符"/>
    <w:basedOn w:val="22"/>
    <w:link w:val="17"/>
    <w:qFormat/>
    <w:uiPriority w:val="99"/>
    <w:rPr>
      <w:rFonts w:cstheme="minorBidi"/>
      <w:kern w:val="2"/>
      <w:sz w:val="21"/>
      <w:szCs w:val="18"/>
    </w:rPr>
  </w:style>
  <w:style w:type="paragraph" w:customStyle="1" w:styleId="51">
    <w:name w:val="日浩脚注"/>
    <w:basedOn w:val="4"/>
    <w:qFormat/>
    <w:uiPriority w:val="9"/>
    <w:pPr>
      <w:spacing w:line="400" w:lineRule="exact"/>
      <w:ind w:firstLine="0" w:firstLineChars="0"/>
    </w:pPr>
    <w:rPr>
      <w:sz w:val="18"/>
    </w:rPr>
  </w:style>
  <w:style w:type="paragraph" w:customStyle="1" w:styleId="52">
    <w:name w:val="日浩目录标题"/>
    <w:basedOn w:val="35"/>
    <w:qFormat/>
    <w:uiPriority w:val="1"/>
  </w:style>
  <w:style w:type="character" w:customStyle="1" w:styleId="53">
    <w:name w:val="页眉 字符"/>
    <w:basedOn w:val="22"/>
    <w:link w:val="15"/>
    <w:qFormat/>
    <w:uiPriority w:val="99"/>
    <w:rPr>
      <w:sz w:val="18"/>
      <w:szCs w:val="18"/>
    </w:rPr>
  </w:style>
  <w:style w:type="table" w:customStyle="1" w:styleId="54">
    <w:name w:val="网格型浅色1"/>
    <w:basedOn w:val="20"/>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table" w:customStyle="1" w:styleId="55">
    <w:name w:val="无格式表格 11"/>
    <w:basedOn w:val="20"/>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paragraph" w:customStyle="1" w:styleId="56">
    <w:name w:val="日浩表文字"/>
    <w:basedOn w:val="4"/>
    <w:link w:val="57"/>
    <w:qFormat/>
    <w:uiPriority w:val="0"/>
    <w:pPr>
      <w:widowControl/>
      <w:spacing w:line="320" w:lineRule="exact"/>
      <w:ind w:firstLine="0" w:firstLineChars="0"/>
      <w:jc w:val="center"/>
    </w:pPr>
    <w:rPr>
      <w:rFonts w:cs="宋体"/>
      <w:bCs/>
      <w:color w:val="000000"/>
      <w:sz w:val="22"/>
      <w:szCs w:val="22"/>
    </w:rPr>
  </w:style>
  <w:style w:type="character" w:customStyle="1" w:styleId="57">
    <w:name w:val="闻政表文字 字符"/>
    <w:basedOn w:val="37"/>
    <w:link w:val="56"/>
    <w:qFormat/>
    <w:uiPriority w:val="0"/>
    <w:rPr>
      <w:rFonts w:ascii="Times New Roman" w:hAnsi="Times New Roman" w:eastAsia="仿宋_GB2312" w:cs="宋体"/>
      <w:bCs/>
      <w:color w:val="000000"/>
      <w:kern w:val="0"/>
      <w:sz w:val="22"/>
      <w:szCs w:val="22"/>
      <w:lang w:val="zh-CN" w:eastAsia="zh-CN"/>
    </w:rPr>
  </w:style>
  <w:style w:type="character" w:customStyle="1" w:styleId="58">
    <w:name w:val="批注文字 字符"/>
    <w:basedOn w:val="22"/>
    <w:link w:val="11"/>
    <w:qFormat/>
    <w:uiPriority w:val="99"/>
  </w:style>
  <w:style w:type="character" w:customStyle="1" w:styleId="59">
    <w:name w:val="批注主题 字符"/>
    <w:basedOn w:val="58"/>
    <w:link w:val="19"/>
    <w:semiHidden/>
    <w:qFormat/>
    <w:uiPriority w:val="99"/>
    <w:rPr>
      <w:b/>
      <w:bCs/>
    </w:rPr>
  </w:style>
  <w:style w:type="paragraph" w:customStyle="1" w:styleId="60">
    <w:name w:val="日浩评价小组人员名单"/>
    <w:basedOn w:val="1"/>
    <w:qFormat/>
    <w:uiPriority w:val="0"/>
    <w:pPr>
      <w:jc w:val="left"/>
    </w:pPr>
    <w:rPr>
      <w:rFonts w:eastAsia="仿宋_GB2312"/>
      <w:sz w:val="32"/>
    </w:rPr>
  </w:style>
  <w:style w:type="paragraph" w:customStyle="1" w:styleId="61">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62">
    <w:name w:val="闻政表文字"/>
    <w:basedOn w:val="1"/>
    <w:qFormat/>
    <w:uiPriority w:val="0"/>
    <w:rPr>
      <w:rFonts w:ascii="Calibri" w:hAnsi="Calibri" w:eastAsia="宋体" w:cs="Times New Roman"/>
    </w:rPr>
  </w:style>
  <w:style w:type="paragraph" w:customStyle="1" w:styleId="63">
    <w:name w:val="WPSOffice手动目录 1"/>
    <w:qFormat/>
    <w:uiPriority w:val="0"/>
    <w:rPr>
      <w:rFonts w:ascii="Times New Roman" w:hAnsi="Times New Roman" w:eastAsia="宋体" w:cs="Times New Roman"/>
      <w:lang w:val="en-US" w:eastAsia="zh-CN" w:bidi="ar-SA"/>
    </w:rPr>
  </w:style>
  <w:style w:type="paragraph" w:customStyle="1" w:styleId="6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65">
    <w:name w:val="图表标题-四号仿宋加粗"/>
    <w:basedOn w:val="40"/>
    <w:link w:val="67"/>
    <w:qFormat/>
    <w:uiPriority w:val="0"/>
    <w:rPr>
      <w:rFonts w:eastAsia="仿宋"/>
      <w:sz w:val="28"/>
      <w:shd w:val="clear" w:color="auto" w:fill="FFFFFF"/>
    </w:rPr>
  </w:style>
  <w:style w:type="paragraph" w:customStyle="1" w:styleId="66">
    <w:name w:val="表格文字-仿宋四号"/>
    <w:basedOn w:val="56"/>
    <w:link w:val="68"/>
    <w:qFormat/>
    <w:uiPriority w:val="0"/>
    <w:rPr>
      <w:rFonts w:eastAsia="仿宋"/>
      <w:bCs w:val="0"/>
      <w:color w:val="auto"/>
      <w:sz w:val="28"/>
    </w:rPr>
  </w:style>
  <w:style w:type="character" w:customStyle="1" w:styleId="67">
    <w:name w:val="图表标题-四号仿宋加粗 字符"/>
    <w:basedOn w:val="41"/>
    <w:link w:val="65"/>
    <w:qFormat/>
    <w:uiPriority w:val="0"/>
    <w:rPr>
      <w:rFonts w:ascii="Times New Roman" w:hAnsi="Times New Roman" w:eastAsia="仿宋" w:cs="Times New Roman"/>
      <w:kern w:val="0"/>
      <w:sz w:val="28"/>
      <w:szCs w:val="28"/>
    </w:rPr>
  </w:style>
  <w:style w:type="character" w:customStyle="1" w:styleId="68">
    <w:name w:val="表格文字-仿宋四号 字符"/>
    <w:basedOn w:val="57"/>
    <w:link w:val="66"/>
    <w:qFormat/>
    <w:uiPriority w:val="0"/>
    <w:rPr>
      <w:rFonts w:ascii="Times New Roman" w:hAnsi="Times New Roman" w:eastAsia="仿宋" w:cs="宋体"/>
      <w:bCs w:val="0"/>
      <w:color w:val="000000"/>
      <w:kern w:val="0"/>
      <w:sz w:val="28"/>
      <w:szCs w:val="22"/>
      <w:lang w:val="zh-CN" w:eastAsia="zh-CN"/>
    </w:rPr>
  </w:style>
  <w:style w:type="character" w:customStyle="1" w:styleId="69">
    <w:name w:val="未处理的提及1"/>
    <w:basedOn w:val="22"/>
    <w:unhideWhenUsed/>
    <w:qFormat/>
    <w:uiPriority w:val="99"/>
    <w:rPr>
      <w:color w:val="605E5C"/>
      <w:shd w:val="clear" w:color="auto" w:fill="E1DFDD"/>
    </w:rPr>
  </w:style>
  <w:style w:type="paragraph" w:customStyle="1" w:styleId="70">
    <w:name w:val="Body text|1"/>
    <w:basedOn w:val="1"/>
    <w:qFormat/>
    <w:uiPriority w:val="0"/>
    <w:pPr>
      <w:spacing w:line="434" w:lineRule="auto"/>
      <w:ind w:firstLine="400"/>
    </w:pPr>
    <w:rPr>
      <w:rFonts w:ascii="宋体" w:hAnsi="宋体" w:eastAsia="宋体" w:cs="宋体"/>
      <w:sz w:val="30"/>
      <w:szCs w:val="30"/>
      <w:lang w:val="zh-TW" w:eastAsia="zh-TW" w:bidi="zh-TW"/>
    </w:rPr>
  </w:style>
  <w:style w:type="paragraph" w:customStyle="1" w:styleId="71">
    <w:name w:val="Heading #1|1"/>
    <w:basedOn w:val="1"/>
    <w:qFormat/>
    <w:uiPriority w:val="0"/>
    <w:pPr>
      <w:spacing w:after="700"/>
      <w:jc w:val="center"/>
      <w:outlineLvl w:val="0"/>
    </w:pPr>
    <w:rPr>
      <w:rFonts w:ascii="宋体" w:hAnsi="宋体" w:eastAsia="宋体" w:cs="宋体"/>
      <w:color w:val="DD012C"/>
      <w:sz w:val="88"/>
      <w:szCs w:val="88"/>
      <w:lang w:val="zh-TW" w:eastAsia="zh-TW" w:bidi="zh-TW"/>
    </w:rPr>
  </w:style>
  <w:style w:type="paragraph" w:customStyle="1" w:styleId="72">
    <w:name w:val="Header or footer|1"/>
    <w:basedOn w:val="1"/>
    <w:qFormat/>
    <w:uiPriority w:val="0"/>
    <w:rPr>
      <w:rFonts w:ascii="宋体" w:hAnsi="宋体" w:eastAsia="宋体" w:cs="宋体"/>
      <w:sz w:val="28"/>
      <w:szCs w:val="28"/>
      <w:lang w:val="zh-TW" w:eastAsia="zh-TW" w:bidi="zh-TW"/>
    </w:rPr>
  </w:style>
  <w:style w:type="character" w:customStyle="1" w:styleId="73">
    <w:name w:val="l-btn-left"/>
    <w:basedOn w:val="22"/>
    <w:qFormat/>
    <w:uiPriority w:val="0"/>
  </w:style>
  <w:style w:type="character" w:customStyle="1" w:styleId="74">
    <w:name w:val="l-btn-left1"/>
    <w:basedOn w:val="22"/>
    <w:qFormat/>
    <w:uiPriority w:val="0"/>
  </w:style>
  <w:style w:type="character" w:customStyle="1" w:styleId="75">
    <w:name w:val="l-btn-left2"/>
    <w:basedOn w:val="22"/>
    <w:qFormat/>
    <w:uiPriority w:val="0"/>
  </w:style>
  <w:style w:type="character" w:customStyle="1" w:styleId="76">
    <w:name w:val="l-btn-left3"/>
    <w:basedOn w:val="22"/>
    <w:qFormat/>
    <w:uiPriority w:val="0"/>
  </w:style>
  <w:style w:type="character" w:customStyle="1" w:styleId="77">
    <w:name w:val="l-btn-text"/>
    <w:basedOn w:val="22"/>
    <w:qFormat/>
    <w:uiPriority w:val="0"/>
  </w:style>
  <w:style w:type="character" w:customStyle="1" w:styleId="78">
    <w:name w:val="l-btn-empty"/>
    <w:basedOn w:val="22"/>
    <w:qFormat/>
    <w:uiPriority w:val="0"/>
  </w:style>
  <w:style w:type="character" w:customStyle="1" w:styleId="79">
    <w:name w:val="font11"/>
    <w:basedOn w:val="22"/>
    <w:qFormat/>
    <w:uiPriority w:val="0"/>
    <w:rPr>
      <w:rFonts w:hint="eastAsia" w:ascii="等线" w:hAnsi="等线" w:eastAsia="等线" w:cs="等线"/>
      <w:color w:val="000000"/>
      <w:sz w:val="48"/>
      <w:szCs w:val="48"/>
      <w:u w:val="none"/>
    </w:rPr>
  </w:style>
  <w:style w:type="character" w:customStyle="1" w:styleId="80">
    <w:name w:val="font41"/>
    <w:basedOn w:val="22"/>
    <w:qFormat/>
    <w:uiPriority w:val="0"/>
    <w:rPr>
      <w:rFonts w:ascii="Calibri" w:hAnsi="Calibri" w:cs="Calibri"/>
      <w:color w:val="FF0000"/>
      <w:sz w:val="48"/>
      <w:szCs w:val="48"/>
      <w:u w:val="none"/>
    </w:rPr>
  </w:style>
  <w:style w:type="paragraph" w:customStyle="1" w:styleId="81">
    <w:name w:val="Table Paragraph"/>
    <w:basedOn w:val="1"/>
    <w:qFormat/>
    <w:uiPriority w:val="1"/>
    <w:rPr>
      <w:rFonts w:ascii="等线" w:hAnsi="等线" w:eastAsia="等线" w:cs="等线"/>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10120</Words>
  <Characters>10820</Characters>
  <Lines>88</Lines>
  <Paragraphs>24</Paragraphs>
  <TotalTime>25</TotalTime>
  <ScaleCrop>false</ScaleCrop>
  <LinksUpToDate>false</LinksUpToDate>
  <CharactersWithSpaces>10829</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2021-02-20T11:04:00Z</dcterms:created>
  <dc:creator>sunshine</dc:creator>
  <cp:lastModifiedBy>詹莹莹</cp:lastModifiedBy>
  <cp:lastPrinted>2020-12-25T15:11:00Z</cp:lastPrinted>
  <dcterms:modified xsi:type="dcterms:W3CDTF">2022-06-24T01:33:49Z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4592F377F1DE4A0180760BACBB51EC78</vt:lpwstr>
  </property>
</Properties>
</file>