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notes.xml" ContentType="application/vnd.openxmlformats-officedocument.wordprocessingml.footnotes+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6"/>
        <w:rPr>
          <w:rFonts w:hint="eastAsia" w:ascii="宋体" w:hAnsi="宋体" w:eastAsia="宋体" w:cs="宋体"/>
        </w:rPr>
      </w:pPr>
    </w:p>
    <w:p>
      <w:pPr>
        <w:pStyle w:val="26"/>
        <w:rPr>
          <w:rFonts w:hint="eastAsia" w:ascii="宋体" w:hAnsi="宋体" w:eastAsia="宋体" w:cs="宋体"/>
        </w:rPr>
      </w:pPr>
    </w:p>
    <w:p>
      <w:pPr>
        <w:pStyle w:val="26"/>
        <w:rPr>
          <w:rFonts w:hint="eastAsia" w:ascii="宋体" w:hAnsi="宋体" w:eastAsia="宋体" w:cs="宋体"/>
        </w:rPr>
      </w:pPr>
    </w:p>
    <w:p>
      <w:pPr>
        <w:pStyle w:val="26"/>
        <w:rPr>
          <w:rFonts w:hint="eastAsia"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26"/>
      </w:pPr>
    </w:p>
    <w:p>
      <w:pPr>
        <w:rPr>
          <w:rFonts w:ascii="宋体" w:hAnsi="宋体" w:eastAsia="宋体" w:cs="宋体"/>
        </w:rPr>
      </w:pP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深圳市住房和建设局</w:t>
      </w: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hint="eastAsia" w:ascii="方正小标宋简体" w:hAnsi="方正小标宋简体" w:eastAsia="方正小标宋简体" w:cs="方正小标宋简体"/>
          <w:sz w:val="44"/>
          <w:szCs w:val="44"/>
          <w:lang w:val="en-US" w:eastAsia="zh-CN"/>
        </w:rPr>
      </w:pPr>
      <w:r>
        <w:rPr>
          <w:rFonts w:hint="eastAsia" w:ascii="方正小标宋简体" w:hAnsi="方正小标宋简体" w:eastAsia="方正小标宋简体" w:cs="方正小标宋简体"/>
          <w:sz w:val="44"/>
          <w:szCs w:val="44"/>
        </w:rPr>
        <w:t>202</w:t>
      </w:r>
      <w:r>
        <w:rPr>
          <w:rFonts w:hint="eastAsia" w:ascii="方正小标宋简体" w:hAnsi="方正小标宋简体" w:eastAsia="方正小标宋简体" w:cs="方正小标宋简体"/>
          <w:sz w:val="44"/>
          <w:szCs w:val="44"/>
          <w:lang w:val="en-US" w:eastAsia="zh-CN"/>
        </w:rPr>
        <w:t>1</w:t>
      </w:r>
      <w:r>
        <w:rPr>
          <w:rFonts w:hint="eastAsia" w:ascii="方正小标宋简体" w:hAnsi="方正小标宋简体" w:eastAsia="方正小标宋简体" w:cs="方正小标宋简体"/>
          <w:sz w:val="44"/>
          <w:szCs w:val="44"/>
        </w:rPr>
        <w:t>年度建设工程质量安全监督</w:t>
      </w:r>
      <w:r>
        <w:rPr>
          <w:rFonts w:hint="eastAsia" w:ascii="方正小标宋简体" w:hAnsi="方正小标宋简体" w:eastAsia="方正小标宋简体" w:cs="方正小标宋简体"/>
          <w:sz w:val="44"/>
          <w:szCs w:val="44"/>
          <w:lang w:val="en-US" w:eastAsia="zh-CN"/>
        </w:rPr>
        <w:t>项目</w:t>
      </w:r>
    </w:p>
    <w:p>
      <w:pPr>
        <w:pStyle w:val="35"/>
        <w:keepNext w:val="0"/>
        <w:keepLines w:val="0"/>
        <w:pageBreakBefore w:val="0"/>
        <w:widowControl w:val="0"/>
        <w:kinsoku/>
        <w:wordWrap/>
        <w:overflowPunct/>
        <w:topLinePunct w:val="0"/>
        <w:autoSpaceDE/>
        <w:autoSpaceDN/>
        <w:bidi w:val="0"/>
        <w:adjustRightInd/>
        <w:snapToGrid/>
        <w:spacing w:line="560" w:lineRule="exact"/>
        <w:textAlignment w:val="auto"/>
        <w:outlineLvl w:val="9"/>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绩效评价报告</w:t>
      </w: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4"/>
        <w:ind w:firstLine="0" w:firstLineChars="0"/>
      </w:pPr>
    </w:p>
    <w:p>
      <w:pPr>
        <w:rPr>
          <w:rFonts w:ascii="宋体" w:hAnsi="宋体" w:eastAsia="宋体" w:cs="宋体"/>
        </w:rPr>
      </w:pPr>
    </w:p>
    <w:p>
      <w:pPr>
        <w:rPr>
          <w:rFonts w:ascii="宋体" w:hAnsi="宋体" w:eastAsia="宋体" w:cs="宋体"/>
        </w:rPr>
      </w:pPr>
    </w:p>
    <w:p>
      <w:pPr>
        <w:rPr>
          <w:rFonts w:ascii="宋体" w:hAnsi="宋体" w:eastAsia="宋体" w:cs="宋体"/>
        </w:rPr>
      </w:pPr>
    </w:p>
    <w:p>
      <w:pPr>
        <w:rPr>
          <w:rFonts w:ascii="宋体" w:hAnsi="宋体" w:eastAsia="宋体" w:cs="宋体"/>
        </w:rPr>
      </w:pPr>
    </w:p>
    <w:p>
      <w:pPr>
        <w:pStyle w:val="36"/>
        <w:spacing w:before="0"/>
        <w:ind w:left="0" w:leftChars="0"/>
        <w:jc w:val="both"/>
        <w:rPr>
          <w:lang w:val="en-US"/>
        </w:rPr>
      </w:pPr>
      <w:r>
        <w:rPr>
          <w:rFonts w:hint="eastAsia"/>
        </w:rPr>
        <w:t>主管部门：</w:t>
      </w:r>
      <w:r>
        <w:rPr>
          <w:rFonts w:hint="eastAsia"/>
          <w:lang w:val="en-US"/>
        </w:rPr>
        <w:t>深圳市住房和建设局</w:t>
      </w:r>
    </w:p>
    <w:p>
      <w:pPr>
        <w:pStyle w:val="36"/>
        <w:spacing w:before="0"/>
        <w:ind w:left="0" w:leftChars="0"/>
        <w:jc w:val="both"/>
      </w:pPr>
      <w:r>
        <w:rPr>
          <w:rFonts w:hint="eastAsia"/>
        </w:rPr>
        <w:t>评价项目</w:t>
      </w:r>
      <w:r>
        <w:rPr>
          <w:rFonts w:hint="eastAsia" w:ascii="仿宋_GB2312" w:hAnsi="仿宋_GB2312" w:eastAsia="仿宋_GB2312" w:cs="仿宋_GB2312"/>
        </w:rPr>
        <w:t>：</w:t>
      </w:r>
      <w:r>
        <w:rPr>
          <w:rFonts w:hint="eastAsia" w:ascii="仿宋_GB2312" w:hAnsi="仿宋_GB2312" w:eastAsia="仿宋_GB2312" w:cs="仿宋_GB2312"/>
          <w:lang w:val="en-US" w:eastAsia="zh-CN"/>
        </w:rPr>
        <w:t>2021年度建设工程质量安全监督</w:t>
      </w:r>
    </w:p>
    <w:p>
      <w:pPr>
        <w:pStyle w:val="4"/>
        <w:spacing w:line="579" w:lineRule="exact"/>
        <w:ind w:left="0" w:leftChars="0" w:firstLine="0" w:firstLineChars="0"/>
        <w:rPr>
          <w:rFonts w:hint="eastAsia" w:ascii="仿宋_GB2312" w:hAnsi="仿宋_GB2312" w:eastAsia="仿宋_GB2312" w:cs="仿宋_GB2312"/>
          <w:lang w:val="en-US" w:eastAsia="zh-CN"/>
        </w:rPr>
        <w:sectPr>
          <w:pgSz w:w="11906" w:h="16838"/>
          <w:pgMar w:top="1440" w:right="1800" w:bottom="1440" w:left="1800" w:header="964" w:footer="850" w:gutter="0"/>
          <w:pgBorders>
            <w:top w:val="none" w:sz="0" w:space="0"/>
            <w:left w:val="none" w:sz="0" w:space="0"/>
            <w:bottom w:val="none" w:sz="0" w:space="0"/>
            <w:right w:val="none" w:sz="0" w:space="0"/>
          </w:pgBorders>
          <w:pgNumType w:fmt="numberInDash" w:start="1"/>
          <w:cols w:space="425" w:num="1"/>
          <w:docGrid w:type="lines" w:linePitch="312" w:charSpace="0"/>
        </w:sectPr>
      </w:pPr>
      <w:r>
        <w:rPr>
          <w:rFonts w:hint="eastAsia"/>
          <w:lang w:val="en-US" w:eastAsia="zh-CN"/>
        </w:rPr>
        <w:t>报告时间</w:t>
      </w:r>
      <w:r>
        <w:rPr>
          <w:rFonts w:hint="eastAsia"/>
        </w:rPr>
        <w:t>：</w:t>
      </w:r>
      <w:r>
        <w:rPr>
          <w:rFonts w:hint="eastAsia" w:ascii="仿宋_GB2312" w:hAnsi="仿宋_GB2312" w:eastAsia="仿宋_GB2312" w:cs="仿宋_GB2312"/>
          <w:lang w:val="en-US" w:eastAsia="zh-CN"/>
        </w:rPr>
        <w:t>202</w:t>
      </w:r>
      <w:r>
        <w:rPr>
          <w:rFonts w:hint="eastAsia" w:ascii="仿宋_GB2312" w:hAnsi="仿宋_GB2312" w:cs="仿宋_GB2312"/>
          <w:lang w:val="en-US" w:eastAsia="zh-CN"/>
        </w:rPr>
        <w:t>2</w:t>
      </w:r>
      <w:r>
        <w:rPr>
          <w:rFonts w:hint="eastAsia" w:ascii="仿宋_GB2312" w:hAnsi="仿宋_GB2312" w:eastAsia="仿宋_GB2312" w:cs="仿宋_GB2312"/>
          <w:lang w:val="en-US" w:eastAsia="zh-CN"/>
        </w:rPr>
        <w:t>年</w:t>
      </w:r>
      <w:r>
        <w:rPr>
          <w:rFonts w:hint="eastAsia" w:ascii="仿宋_GB2312" w:hAnsi="仿宋_GB2312" w:cs="仿宋_GB2312"/>
          <w:lang w:val="en-US" w:eastAsia="zh-CN"/>
        </w:rPr>
        <w:t>0</w:t>
      </w:r>
      <w:r>
        <w:rPr>
          <w:rFonts w:hint="eastAsia" w:ascii="仿宋_GB2312" w:hAnsi="仿宋_GB2312" w:eastAsia="仿宋_GB2312" w:cs="仿宋_GB2312"/>
          <w:lang w:val="en-US" w:eastAsia="zh-CN"/>
        </w:rPr>
        <w:t>6月</w:t>
      </w:r>
      <w:bookmarkStart w:id="0" w:name="_Toc64647742"/>
    </w:p>
    <w:p>
      <w:pPr>
        <w:pStyle w:val="3"/>
        <w:spacing w:before="0" w:after="0" w:line="579" w:lineRule="exact"/>
        <w:ind w:firstLine="640"/>
        <w:rPr>
          <w:szCs w:val="32"/>
          <w:lang w:val="en-US"/>
        </w:rPr>
      </w:pPr>
      <w:bookmarkStart w:id="1" w:name="_Toc22228"/>
      <w:r>
        <w:rPr>
          <w:rFonts w:hint="eastAsia"/>
          <w:szCs w:val="32"/>
          <w:lang w:val="en-US"/>
        </w:rPr>
        <w:t>基本情况</w:t>
      </w:r>
      <w:bookmarkEnd w:id="0"/>
      <w:bookmarkEnd w:id="1"/>
    </w:p>
    <w:p>
      <w:pPr>
        <w:pStyle w:val="5"/>
        <w:numPr>
          <w:ilvl w:val="1"/>
          <w:numId w:val="0"/>
        </w:numPr>
        <w:spacing w:before="0" w:after="0" w:line="579" w:lineRule="exact"/>
        <w:ind w:leftChars="200"/>
        <w:rPr>
          <w:rFonts w:ascii="楷体_GB2312" w:hAnsi="楷体_GB2312" w:eastAsia="楷体_GB2312" w:cs="楷体_GB2312"/>
          <w:b w:val="0"/>
          <w:bCs w:val="0"/>
        </w:rPr>
      </w:pPr>
      <w:bookmarkStart w:id="2" w:name="_Toc64647743"/>
      <w:bookmarkStart w:id="3" w:name="_Toc24585"/>
      <w:r>
        <w:rPr>
          <w:rFonts w:hint="eastAsia" w:ascii="楷体_GB2312" w:hAnsi="楷体_GB2312" w:eastAsia="楷体_GB2312" w:cs="楷体_GB2312"/>
          <w:b w:val="0"/>
          <w:bCs w:val="0"/>
          <w:lang w:val="en-US" w:eastAsia="zh-CN"/>
        </w:rPr>
        <w:t>（一）</w:t>
      </w:r>
      <w:r>
        <w:rPr>
          <w:rFonts w:hint="eastAsia" w:ascii="楷体_GB2312" w:hAnsi="楷体_GB2312" w:eastAsia="楷体_GB2312" w:cs="楷体_GB2312"/>
          <w:b w:val="0"/>
          <w:bCs w:val="0"/>
          <w:lang w:val="en-US"/>
        </w:rPr>
        <w:t>项目概况</w:t>
      </w:r>
      <w:bookmarkEnd w:id="2"/>
      <w:bookmarkEnd w:id="3"/>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lang w:val="en-US" w:eastAsia="zh-CN"/>
          <w14:textFill>
            <w14:solidFill>
              <w14:schemeClr w14:val="tx1"/>
            </w14:solidFill>
          </w14:textFill>
        </w:rPr>
        <w:t>1.项目背景</w:t>
      </w:r>
    </w:p>
    <w:p>
      <w:pPr>
        <w:pStyle w:val="70"/>
        <w:tabs>
          <w:tab w:val="left" w:pos="1425"/>
        </w:tabs>
        <w:spacing w:line="579" w:lineRule="exact"/>
        <w:ind w:firstLine="640" w:firstLineChars="200"/>
        <w:rPr>
          <w:rFonts w:ascii="仿宋_GB2312" w:hAnsi="仿宋_GB2312" w:eastAsia="仿宋_GB2312" w:cs="仿宋_GB2312"/>
          <w:color w:val="000000" w:themeColor="text1"/>
          <w:sz w:val="32"/>
          <w:szCs w:val="32"/>
          <w:highlight w:val="none"/>
          <w:lang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依据《深圳市党政部门安全管理工作职责规定》《广东省住房和城乡建设厅关于组织开展建筑起重机械安全抽查检测的通知》《危险性较大的分部分项工程安全管理规定》《广东省住房和城乡建设厅关于吸取河北衡水“4·25”重大事故教训立即开展房屋市政工程起重机械安全隐患大排查大整治的紧急通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等文件的相关工作要求，以及</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深圳市住房和建设局（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住建局”）主要职能“承担建设工程质量安全监管职责。负责建设工程质量、建筑安全生产和文明施工的监督管理。负责工程的施工许可管理。组织或参与工程质量、安全事故的调查处理。负责建设工程竣工验收备案管理。负责对工程质量监督、施工安全监督和工程质量检测机构进行业务指导和监督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的履职需要</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，2021年度市住建局设立建设工程质量安全监督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项目（以下简称“</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本项目”），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本项目为一级项目，</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包括</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《深圳市建筑施工专用机动车辆安全监督管理办法》编制</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工程质量安全第三方巡查</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质量安全监督</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建筑起重机械监督抽检</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深基坑和高边坡监测数据信息监管</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市政工程项目建筑废弃物排放监督管理第三方巡查服务</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执法监督抽检</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城际铁路工程建筑起重机械前置审查</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轨道交通综合管理</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建筑工人岗位安全培训教育</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施工安全监督</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等33</w:t>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个二级项目</w:t>
      </w:r>
      <w:r>
        <w:rPr>
          <w:rStyle w:val="25"/>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footnoteReference w:id="0"/>
      </w: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2.主要内容及实施情况</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本</w:t>
      </w:r>
      <w:r>
        <w:rPr>
          <w:rFonts w:ascii="仿宋_GB2312" w:hAnsi="仿宋_GB2312" w:eastAsia="仿宋_GB2312" w:cs="仿宋_GB2312"/>
          <w:color w:val="000000" w:themeColor="text1"/>
          <w:sz w:val="32"/>
          <w:szCs w:val="32"/>
          <w:highlight w:val="none"/>
          <w:lang w:eastAsia="zh-CN"/>
          <w14:textFill>
            <w14:solidFill>
              <w14:schemeClr w14:val="tx1"/>
            </w14:solidFill>
          </w14:textFill>
        </w:rPr>
        <w:t>项目</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由市住建局局本级工程质量安全处（以下简称“质安处”）、市住建局直属机构深圳市建筑工程质量安全监督总站（以下简称“建筑站”）和深圳市市政工程质量安全监督总站（以下简称“市政站”）组织实施。</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根据机构职能，</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质安处负责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监督执行建设工程质量、安全生产和文明施工的法律、法规、政策和技术标准。负责结建式人防工程质量监督管理。</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建筑站负责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市建设行政主管部门报建的建筑工程质量安全监督，负责抽查所监督工程的建设责任主体履行质量、安全责任情况，并重点抽查涉及工程地基基础、主体结构和主要使用功能的工程实体质量以及重大风险源的安全状况。</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市政站负责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在市建设行政主管部门报建的市政工程、城际铁路工程的质量安全监督工作，负责抽查所监督工程的建设责任主体履行质量、安全责任情况，并重点抽查涉及工程地基基础、暗挖、高边坡、主体结构和主要使用功能的工程实体质量以及重大风险源安全状况。</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质安处负责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3个二级项目，主要内容及实施情况如下：</w:t>
      </w:r>
    </w:p>
    <w:p>
      <w:pPr>
        <w:pStyle w:val="70"/>
        <w:tabs>
          <w:tab w:val="left" w:pos="1425"/>
        </w:tabs>
        <w:spacing w:line="579" w:lineRule="exact"/>
        <w:ind w:firstLine="640" w:firstLineChars="200"/>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《深圳市建筑施工专用机动车辆安全监督管理办法》编制</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的主要内容是：</w:t>
      </w:r>
      <w:r>
        <w:rPr>
          <w:rFonts w:hint="default" w:ascii="仿宋_GB2312" w:hAnsi="仿宋_GB2312" w:eastAsia="仿宋_GB2312" w:cs="仿宋_GB2312"/>
          <w:color w:val="000000" w:themeColor="text1"/>
          <w:sz w:val="32"/>
          <w:szCs w:val="32"/>
          <w:highlight w:val="none"/>
          <w:lang w:val="en-US" w:eastAsia="zh-CN"/>
          <w14:textFill>
            <w14:solidFill>
              <w14:schemeClr w14:val="tx1"/>
            </w14:solidFill>
          </w14:textFill>
        </w:rPr>
        <w:t>通过项目的实施，通过现场调研分析，完成具有可操作性的《深圳市建筑施工专用机动车辆安全监督管理办法》编制工作</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，有效推动深圳市建筑施工专用机动车辆安全的监督管理。</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工程质量安全第三方巡查项目的主要内容是：通过项目的实施，完成第三方巡查全市在建工地150次，第三方提交巡查报告达标率100%，合同到期后1个月内提交第三方巡查报告，有效督促施工项目整改安全隐患，服务委托方满意度达到良好及以上。</w:t>
      </w:r>
    </w:p>
    <w:p>
      <w:pPr>
        <w:pStyle w:val="70"/>
        <w:tabs>
          <w:tab w:val="left" w:pos="1425"/>
        </w:tabs>
        <w:spacing w:line="579" w:lineRule="exact"/>
        <w:ind w:firstLine="640" w:firstLineChars="200"/>
        <w:rPr>
          <w:rFonts w:hint="default" w:ascii="仿宋_GB2312" w:hAnsi="仿宋_GB2312" w:eastAsia="仿宋_GB2312" w:cs="仿宋_GB2312"/>
          <w:color w:val="000000" w:themeColor="text1"/>
          <w:sz w:val="32"/>
          <w:szCs w:val="32"/>
          <w:highlight w:val="yellow"/>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质量安全监督项目的主要内容是：通过项目的实施，完成对在建项目进行安全巡查60次，在建项目安全问题整改率达80%，加大对全市在建工程的安全监管力度，督促施工企业落实安全生产主体责任，确保全市建筑施工领域安全生产形势持续稳定向好。</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建筑站负责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10个二级项目</w:t>
      </w:r>
      <w:r>
        <w:rPr>
          <w:rStyle w:val="25"/>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footnoteReference w:id="1"/>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，主要内容及实施情况如下：</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第三方巡检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专业第三方对危大工程进行专项检查，平均每月巡查不少于250项次，提高识别危大工程存在的日常隐患，责令有关单位及时整改，管控危大工程的事故风险，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工程质量安全监督执法检查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项目的主要内容是：通过聘请专家、建设工程专业化培训、专项执法服务辅助及误餐费用补助等手段，及时帮助</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解决建筑站一线执法人员执行规章、制度和标准过程中遇到的专业性疑难问题，解决一线执法人员不能及时返回单位就餐和参与安全事故处理及市级以上联合整治行动的费用问题，保障建筑站一线执法人员履职监督工作的顺利进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工程质量安全监督综合管理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项目的主要内容是：通过项目的实施，完成后勤保障预算资金的投入和78人的后勤保障工作，确保发放任务完成率及发放及时率均达到100%，保障建筑站履职工作的顺利进行。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项目的主要内容是：通过对建筑站在监项目建筑起重机械进行抽检，找出起重机械实体存在的缺陷和隐患，责令有关单位及时整改，管控建筑起重机械事故风险，预防较大及以上安全事故发生。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建筑起重机械特种作业人员专项培训</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对建筑起重机械特种作业人员进行统一培训，检验特种作业人员的上岗资质，杜绝安全培训流于形式及代人学习考试的现象，强化他们的安全技术技能和安全意识，管控因特种作业人员技能不合格或安全意识不足产生的事故风险，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深基坑和高边坡监测数据信息监管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委托专业机构检查分析建筑站48个在监项目施工单位上传的深基坑和高边坡数据情况及预警数据的处置情况，对存在隐患的工程进行检查，并采取有效措施消除隐患，同时，将建筑站监督人员日常监测收集到的数据与企业上传的监测数据进行现场比对抽查，甄别企业上传数据的及时性、完整性和真实性；找出因企业提供数据不及时、不完整、不真实而被隐匿的风险点。提高建筑站获取的深基坑和高边坡监测数据的可靠性，暴露隐匿的风险点，及时责令企业整改，必要时加以惩处，有效保障深基坑和高边坡工程安全以及城市公共安全。</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市政工程项目建筑废弃物排放监督管理第三方巡查服务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项目的主要内容是：通过项目的实施，通过第三方巡查单位赴市管建设工程项目开展日常性的监督检查，推动建设工程项目依法申请建筑废弃物排放核准，规范其排放行为。</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执法监督抽检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项目的主要内容是：通过对建筑站在监项目主要建筑材料、工程结构实体以及桩基小应变的抽查检测，找出不合格建材，责令有关单位及时整改，有效提升房建工程质量水平，推进深圳质量。</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执法巡检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项目的主要内容是：通过委托第三方进行二次全面巡查，增加巡查频次，弥补建筑站日常巡查因在监数量大，监督人员少，巡查力度不够造成的不足。提高风险点的识别效率，预防较大及以上安全事故发生。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（3）</w:t>
      </w: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市政站负责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20个二级项目</w:t>
      </w:r>
      <w:r>
        <w:rPr>
          <w:rStyle w:val="25"/>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footnoteReference w:id="2"/>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，主要内容及实施情况如下：</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安全宣传普及教育</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项目的主要内容是：通过项目的实施，市政站全年组织开展安全大讲堂等安全培训不少于20次，同时保证培训讲师具有中级或以上职称，以普及安全知识、提高群体安全意识，遏制重特大质量安全事故发生。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标准化执法管理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市政站全年受理行政处罚案例不少于50个，同时对发现的违法行为100%进行行政处罚，并在四个月内开具行政处罚决定书，以此规范施工中各方的行为，遏制重大及以上安全事故发生，使得被行政处罚单位投诉率控制在3%以内。</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城际铁路工程建筑起重机械监督抽检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在监项目的建筑起重机械进行实地、全覆盖抽检，全年市政项目抽检总数量约200台，以及时发现问题、消除隐患，遏制与建筑起重机械相关的较大或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城际铁路工程建筑起重机械前置审查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市政站在监项目建筑起重机械的安装（拆卸）进行全覆盖的前置审查，市政项目全年不低于200台，并按照月度形成抽查报告；同时委托第三方专家对施工现场进行专项检查，加强质量安全检查力度，遏制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城际铁路工程施工现场专项检测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项目的主要内容是：通过项目的实施，全年开展施工现场专用材料检测工作不少于1次，保证在用材料合格率达到100%，减少安全隐患，遏制重大及以上安全事故发生。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城际铁路工程质量、安全第三方巡查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入第三方机构加强质量安全巡查力度。第三方巡查团队中，巡查副高及以上职称专家占30%以上，同时全年出具2次评估报告（半年一次），以补充巡查专家力量，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城际铁路工程质量、安全技术监管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进专业机构，对市政站在监项目的基坑、边坡进行监测，并将监测结果实时传输至市政站预警总平台；并按照月度出具监测报告，以加强对市政工程质量、安全的监管力度，提前预警风险，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轨道交通综合管理</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项目的主要内容是：通过项目的实施，监督员对城铁工程的质量安全进行日常监督检查，并对施工现场发现的问题100%督促整改，后勤部室对全站工作提供后勤支撑，保证各项工作正常运行。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建筑工人岗位安全培训教育</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项目的主要内容是：通过项目的实施，提供后勤支撑，全年召开总结会议不低于1次，会议出勤率在95%以上，并将单次总结会议成本控制在10500元以内，保障各项工作正常运行。</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建筑起重机械监督抽检</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在监项目的建筑起重机械进行实地、全覆盖抽检，全年市政项目抽检总数量约400台次，以及时发现问题、消除隐患，遏制与建筑起重机械相关的较大或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全国安全月宣传教育</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项目的主要内容是：通过项目的实施，及时开展全国安全月宣教活动不少于1次，保证安全月活动完成率达到100%，以有效提高群体安全意识，遏制重特大质量安全事故发生，使得活动参与对象满意度达到98%以上。</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施工安全监督</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监督员对市政工程的质量安全进行日常监督检查，平均每人每月巡查项目个数不少于8个，市政站在监项目质安巡查频次不低于2次/季度，并对施工现场发现的问题100%督促整改，以及时发现问题、消除隐患，遏制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施工现场专项检测</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项目的主要内容是：通过项目的实施，全年开展施工现场专用材料检测工作不少于1次，保证在用材料合格率达到100%，减少安全隐患，遏制重大及以上安全事故发生。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施工现场专项检查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委托第三方机构对市政站在监项目建筑起重机械的安装（拆卸）进行全覆盖的前置审查，市政项目全年不低于400台次，并按照月度形成抽查报告；同时委托第三方专家对施工现场进行专项检查，加强质量安全检查力度，遏制较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市政工程项目建筑废弃物排放监督管理第三方巡查服务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项目的主要内容是：通过第三方巡查单位赴市管建设工程项目开展日常性的监督检查，推动市政工程项目依法申请建筑废弃物排放核准，规范其排放行为。</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市政工程质量、安全第三方巡查</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入第三方机构加强质量安全巡查力度。第三方巡查团队中，巡查副高及以上职称专家占30%以上，同时全年出具3次评估报告（半年一次），以补充巡查专家力量，遏制重大及以上安全事故发生。</w:t>
      </w:r>
    </w:p>
    <w:p>
      <w:pPr>
        <w:pStyle w:val="70"/>
        <w:tabs>
          <w:tab w:val="left" w:pos="1425"/>
        </w:tabs>
        <w:spacing w:line="579" w:lineRule="exact"/>
        <w:ind w:firstLine="640" w:firstLineChars="200"/>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color w:val="000000" w:themeColor="text1"/>
          <w:sz w:val="32"/>
          <w:szCs w:val="32"/>
          <w:highlight w:val="none"/>
          <w:lang w:eastAsia="zh-CN"/>
          <w14:textFill>
            <w14:solidFill>
              <w14:schemeClr w14:val="tx1"/>
            </w14:solidFill>
          </w14:textFill>
        </w:rPr>
        <w:t>市政工程质量、安全技术监管</w:t>
      </w:r>
      <w:r>
        <w:rPr>
          <w:rFonts w:hint="eastAsia" w:ascii="仿宋_GB2312" w:hAnsi="仿宋_GB2312" w:eastAsia="仿宋_GB2312" w:cs="仿宋_GB2312"/>
          <w:color w:val="000000" w:themeColor="text1"/>
          <w:sz w:val="32"/>
          <w:szCs w:val="32"/>
          <w:highlight w:val="none"/>
          <w:lang w:val="en-US" w:eastAsia="zh-CN"/>
          <w14:textFill>
            <w14:solidFill>
              <w14:schemeClr w14:val="tx1"/>
            </w14:solidFill>
          </w14:textFill>
        </w:rPr>
        <w:t>项目的主要内容是：通过项目的实施，引进专业机构，对市政站在监项目的基坑、边坡进行监测，并将监测结果实时传输至市政站预警总平台；并按照月度出具监测报告。以加强对市政工程质量、安全的监管力度，提前预警风险，遏制重大及以上安全事故发生。</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3.资金投入和使用情况</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eastAsia="zh-CN"/>
        </w:rPr>
        <w:t>根据</w:t>
      </w:r>
      <w:r>
        <w:rPr>
          <w:rFonts w:hint="eastAsia" w:ascii="仿宋_GB2312" w:hAnsi="仿宋_GB2312" w:cs="仿宋_GB2312"/>
          <w:szCs w:val="32"/>
          <w:highlight w:val="none"/>
          <w:lang w:val="en-US"/>
        </w:rPr>
        <w:t>预算执行情况表</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本项目年初预算5</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670</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6万元，年中</w:t>
      </w:r>
      <w:r>
        <w:rPr>
          <w:rFonts w:hint="eastAsia" w:ascii="仿宋_GB2312" w:hAnsi="仿宋_GB2312" w:cs="仿宋_GB2312"/>
          <w:szCs w:val="32"/>
          <w:highlight w:val="none"/>
          <w:lang w:val="en-US" w:eastAsia="zh-CN"/>
        </w:rPr>
        <w:t>未进行</w:t>
      </w:r>
      <w:r>
        <w:rPr>
          <w:rFonts w:hint="eastAsia" w:ascii="仿宋_GB2312" w:hAnsi="仿宋_GB2312" w:cs="仿宋_GB2312"/>
          <w:szCs w:val="32"/>
          <w:highlight w:val="none"/>
          <w:lang w:val="en-US"/>
        </w:rPr>
        <w:t>调</w:t>
      </w:r>
      <w:r>
        <w:rPr>
          <w:rFonts w:hint="eastAsia" w:ascii="仿宋_GB2312" w:hAnsi="仿宋_GB2312" w:cs="仿宋_GB2312"/>
          <w:szCs w:val="32"/>
          <w:highlight w:val="none"/>
          <w:lang w:val="en-US" w:eastAsia="zh-CN"/>
        </w:rPr>
        <w:t>增或调</w:t>
      </w:r>
      <w:r>
        <w:rPr>
          <w:rFonts w:hint="eastAsia" w:ascii="仿宋_GB2312" w:hAnsi="仿宋_GB2312" w:cs="仿宋_GB2312"/>
          <w:szCs w:val="32"/>
          <w:highlight w:val="none"/>
          <w:lang w:val="en-US"/>
        </w:rPr>
        <w:t>减，全年预算5</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670</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6万元，预算下达5</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670</w:t>
      </w:r>
      <w:r>
        <w:rPr>
          <w:rFonts w:hint="eastAsia" w:ascii="仿宋_GB2312" w:hAnsi="仿宋_GB2312" w:cs="仿宋_GB2312"/>
          <w:szCs w:val="32"/>
          <w:highlight w:val="none"/>
          <w:lang w:val="en-US" w:eastAsia="zh-CN"/>
        </w:rPr>
        <w:t>.</w:t>
      </w:r>
      <w:r>
        <w:rPr>
          <w:rFonts w:hint="eastAsia" w:ascii="仿宋_GB2312" w:hAnsi="仿宋_GB2312" w:cs="仿宋_GB2312"/>
          <w:szCs w:val="32"/>
          <w:highlight w:val="none"/>
          <w:lang w:val="en-US"/>
        </w:rPr>
        <w:t>6万元，资金到位率100%。全年</w:t>
      </w:r>
      <w:r>
        <w:rPr>
          <w:rFonts w:hint="eastAsia" w:ascii="仿宋_GB2312" w:hAnsi="仿宋_GB2312" w:cs="仿宋_GB2312"/>
          <w:szCs w:val="32"/>
          <w:highlight w:val="none"/>
          <w:lang w:val="en-US" w:eastAsia="zh-CN"/>
        </w:rPr>
        <w:t>实际</w:t>
      </w:r>
      <w:r>
        <w:rPr>
          <w:rFonts w:hint="eastAsia" w:ascii="仿宋_GB2312" w:hAnsi="仿宋_GB2312" w:cs="仿宋_GB2312"/>
          <w:szCs w:val="32"/>
          <w:highlight w:val="none"/>
          <w:lang w:val="en-US"/>
        </w:rPr>
        <w:t>支出</w:t>
      </w:r>
      <w:r>
        <w:rPr>
          <w:rFonts w:hint="eastAsia" w:ascii="仿宋_GB2312" w:hAnsi="仿宋_GB2312" w:cs="仿宋_GB2312"/>
          <w:szCs w:val="32"/>
          <w:highlight w:val="none"/>
          <w:lang w:val="en-US" w:eastAsia="zh-CN"/>
        </w:rPr>
        <w:t>5,548.41</w:t>
      </w:r>
      <w:r>
        <w:rPr>
          <w:rFonts w:hint="eastAsia" w:ascii="仿宋_GB2312" w:hAnsi="仿宋_GB2312" w:cs="仿宋_GB2312"/>
          <w:szCs w:val="32"/>
          <w:highlight w:val="none"/>
          <w:lang w:val="en-US"/>
        </w:rPr>
        <w:t>万元</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预算执行率为9</w:t>
      </w:r>
      <w:r>
        <w:rPr>
          <w:rFonts w:hint="eastAsia" w:ascii="仿宋_GB2312" w:hAnsi="仿宋_GB2312" w:cs="仿宋_GB2312"/>
          <w:szCs w:val="32"/>
          <w:highlight w:val="none"/>
          <w:lang w:val="en-US" w:eastAsia="zh-CN"/>
        </w:rPr>
        <w:t>7.8</w:t>
      </w:r>
      <w:r>
        <w:rPr>
          <w:rFonts w:hint="eastAsia" w:ascii="仿宋_GB2312" w:hAnsi="仿宋_GB2312" w:cs="仿宋_GB2312"/>
          <w:szCs w:val="32"/>
          <w:highlight w:val="none"/>
          <w:lang w:val="en-US"/>
        </w:rPr>
        <w:t>5%，各二级项目资金投入和使用情况详见表</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w:t>
      </w:r>
    </w:p>
    <w:p>
      <w:pPr>
        <w:pStyle w:val="65"/>
        <w:spacing w:before="0" w:after="0" w:line="579" w:lineRule="exact"/>
        <w:rPr>
          <w:rFonts w:ascii="仿宋_GB2312" w:hAnsi="仿宋_GB2312" w:eastAsia="仿宋_GB2312" w:cs="仿宋_GB2312"/>
          <w:b w:val="0"/>
          <w:bCs/>
          <w:highlight w:val="none"/>
          <w:lang w:val="de-CH"/>
        </w:rPr>
      </w:pPr>
      <w:r>
        <w:rPr>
          <w:rFonts w:hint="eastAsia" w:ascii="仿宋_GB2312" w:hAnsi="仿宋_GB2312" w:eastAsia="仿宋_GB2312" w:cs="仿宋_GB2312"/>
          <w:b w:val="0"/>
          <w:bCs/>
          <w:highlight w:val="none"/>
          <w:lang w:val="de-CH"/>
        </w:rPr>
        <w:t>表</w:t>
      </w:r>
      <w:r>
        <w:rPr>
          <w:rFonts w:hint="eastAsia" w:ascii="仿宋_GB2312" w:hAnsi="仿宋_GB2312" w:eastAsia="仿宋_GB2312" w:cs="仿宋_GB2312"/>
          <w:b w:val="0"/>
          <w:bCs/>
          <w:highlight w:val="none"/>
        </w:rPr>
        <w:t>1</w:t>
      </w:r>
      <w:r>
        <w:rPr>
          <w:rFonts w:hint="eastAsia" w:ascii="仿宋_GB2312" w:hAnsi="仿宋_GB2312" w:eastAsia="仿宋_GB2312" w:cs="仿宋_GB2312"/>
          <w:b w:val="0"/>
          <w:bCs/>
          <w:highlight w:val="none"/>
          <w:lang w:val="de-CH"/>
        </w:rPr>
        <w:t xml:space="preserve">  </w:t>
      </w:r>
      <w:r>
        <w:rPr>
          <w:rFonts w:hint="eastAsia" w:ascii="仿宋_GB2312" w:hAnsi="仿宋_GB2312" w:eastAsia="仿宋_GB2312" w:cs="仿宋_GB2312"/>
          <w:b w:val="0"/>
          <w:bCs/>
          <w:highlight w:val="none"/>
          <w:lang w:val="en-US" w:eastAsia="zh-CN"/>
        </w:rPr>
        <w:t>本项目资金投入和使用情况</w:t>
      </w:r>
      <w:r>
        <w:rPr>
          <w:rFonts w:hint="eastAsia" w:ascii="仿宋_GB2312" w:hAnsi="仿宋_GB2312" w:eastAsia="仿宋_GB2312" w:cs="仿宋_GB2312"/>
          <w:b w:val="0"/>
          <w:bCs/>
          <w:highlight w:val="none"/>
          <w:lang w:val="de-CH"/>
        </w:rPr>
        <w:t>表</w:t>
      </w:r>
    </w:p>
    <w:p>
      <w:pPr>
        <w:pStyle w:val="65"/>
        <w:keepNext w:val="0"/>
        <w:keepLines w:val="0"/>
        <w:pageBreakBefore w:val="0"/>
        <w:widowControl w:val="0"/>
        <w:kinsoku/>
        <w:wordWrap/>
        <w:overflowPunct/>
        <w:topLinePunct w:val="0"/>
        <w:autoSpaceDE/>
        <w:autoSpaceDN/>
        <w:bidi w:val="0"/>
        <w:adjustRightInd/>
        <w:snapToGrid/>
        <w:spacing w:before="0" w:after="0" w:line="579" w:lineRule="exact"/>
        <w:jc w:val="right"/>
        <w:textAlignment w:val="auto"/>
        <w:outlineLvl w:val="9"/>
        <w:rPr>
          <w:rFonts w:ascii="仿宋_GB2312" w:hAnsi="仿宋_GB2312" w:eastAsia="仿宋_GB2312" w:cs="仿宋_GB2312"/>
          <w:b w:val="0"/>
          <w:bCs/>
          <w:highlight w:val="none"/>
          <w:lang w:val="de-CH"/>
        </w:rPr>
      </w:pPr>
      <w:r>
        <w:rPr>
          <w:rFonts w:hint="eastAsia" w:ascii="仿宋_GB2312" w:hAnsi="仿宋_GB2312" w:eastAsia="仿宋_GB2312" w:cs="仿宋_GB2312"/>
          <w:b w:val="0"/>
          <w:bCs/>
          <w:highlight w:val="none"/>
          <w:lang w:val="en-US" w:eastAsia="zh-CN"/>
        </w:rPr>
        <w:t>单位</w:t>
      </w:r>
      <w:r>
        <w:rPr>
          <w:rFonts w:hint="eastAsia" w:ascii="仿宋_GB2312" w:hAnsi="仿宋_GB2312" w:eastAsia="仿宋_GB2312" w:cs="仿宋_GB2312"/>
          <w:b w:val="0"/>
          <w:bCs/>
          <w:highlight w:val="none"/>
          <w:lang w:val="de-CH"/>
        </w:rPr>
        <w:t>:万元</w:t>
      </w:r>
    </w:p>
    <w:tbl>
      <w:tblPr>
        <w:tblStyle w:val="20"/>
        <w:tblW w:w="9494"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261"/>
        <w:gridCol w:w="2712"/>
        <w:gridCol w:w="1188"/>
        <w:gridCol w:w="1320"/>
        <w:gridCol w:w="1488"/>
        <w:gridCol w:w="1525"/>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80" w:hRule="atLeast"/>
          <w:tblHeader/>
          <w:jc w:val="center"/>
        </w:trPr>
        <w:tc>
          <w:tcPr>
            <w:tcW w:w="1261" w:type="dxa"/>
            <w:tcBorders>
              <w:tl2br w:val="nil"/>
              <w:tr2bl w:val="nil"/>
            </w:tcBorders>
            <w:shd w:val="clear" w:color="DDEBF7" w:fill="auto"/>
            <w:noWrap/>
            <w:vAlign w:val="center"/>
          </w:tcPr>
          <w:p>
            <w:pPr>
              <w:widowControl/>
              <w:spacing w:line="360" w:lineRule="auto"/>
              <w:jc w:val="center"/>
              <w:textAlignment w:val="center"/>
              <w:rPr>
                <w:rFonts w:hint="default" w:ascii="仿宋_GB2312" w:hAnsi="仿宋_GB2312" w:eastAsia="仿宋_GB2312" w:cs="仿宋_GB2312"/>
                <w:b/>
                <w:bCs/>
                <w:color w:val="000000"/>
                <w:highlight w:val="none"/>
                <w:lang w:val="en-US" w:eastAsia="zh-CN"/>
              </w:rPr>
            </w:pPr>
            <w:r>
              <w:rPr>
                <w:rFonts w:hint="eastAsia" w:ascii="仿宋_GB2312" w:hAnsi="仿宋_GB2312" w:eastAsia="仿宋_GB2312" w:cs="仿宋_GB2312"/>
                <w:b/>
                <w:bCs/>
                <w:color w:val="000000"/>
                <w:highlight w:val="none"/>
                <w:lang w:val="en-US" w:eastAsia="zh-CN"/>
              </w:rPr>
              <w:t>项目实施单位/处室名称</w:t>
            </w:r>
          </w:p>
        </w:tc>
        <w:tc>
          <w:tcPr>
            <w:tcW w:w="2712"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highlight w:val="none"/>
              </w:rPr>
              <w:t>二级项目名称</w:t>
            </w:r>
          </w:p>
        </w:tc>
        <w:tc>
          <w:tcPr>
            <w:tcW w:w="1188" w:type="dxa"/>
            <w:tcBorders>
              <w:tl2br w:val="nil"/>
              <w:tr2bl w:val="nil"/>
            </w:tcBorders>
            <w:shd w:val="clear" w:color="DDEBF7" w:fill="auto"/>
            <w:noWrap/>
            <w:vAlign w:val="center"/>
          </w:tcPr>
          <w:p>
            <w:pPr>
              <w:widowControl/>
              <w:spacing w:line="360" w:lineRule="auto"/>
              <w:jc w:val="center"/>
              <w:textAlignment w:val="center"/>
              <w:rPr>
                <w:rFonts w:hint="default" w:ascii="仿宋_GB2312" w:hAnsi="仿宋_GB2312" w:eastAsia="仿宋_GB2312" w:cs="仿宋_GB2312"/>
                <w:b/>
                <w:bCs/>
                <w:color w:val="000000"/>
                <w:highlight w:val="none"/>
                <w:lang w:val="en-US" w:eastAsia="zh-CN"/>
              </w:rPr>
            </w:pPr>
            <w:r>
              <w:rPr>
                <w:rFonts w:hint="default" w:ascii="仿宋_GB2312" w:hAnsi="仿宋_GB2312" w:eastAsia="仿宋_GB2312" w:cs="仿宋_GB2312"/>
                <w:b/>
                <w:bCs/>
                <w:color w:val="000000"/>
                <w:highlight w:val="none"/>
                <w:lang w:val="en-US" w:eastAsia="zh-CN"/>
              </w:rPr>
              <w:t>年初预算</w:t>
            </w:r>
          </w:p>
        </w:tc>
        <w:tc>
          <w:tcPr>
            <w:tcW w:w="1320"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bidi="ar"/>
              </w:rPr>
              <w:t>全年预算</w:t>
            </w:r>
          </w:p>
        </w:tc>
        <w:tc>
          <w:tcPr>
            <w:tcW w:w="1488"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bidi="ar"/>
              </w:rPr>
              <w:t>全年</w:t>
            </w:r>
            <w:r>
              <w:rPr>
                <w:rFonts w:hint="eastAsia" w:ascii="仿宋_GB2312" w:hAnsi="仿宋_GB2312" w:eastAsia="仿宋_GB2312" w:cs="仿宋_GB2312"/>
                <w:b/>
                <w:bCs/>
                <w:color w:val="000000"/>
                <w:kern w:val="0"/>
                <w:highlight w:val="none"/>
                <w:lang w:val="en-US" w:eastAsia="zh-CN" w:bidi="ar"/>
              </w:rPr>
              <w:t>实际</w:t>
            </w:r>
            <w:r>
              <w:rPr>
                <w:rFonts w:hint="eastAsia" w:ascii="仿宋_GB2312" w:hAnsi="仿宋_GB2312" w:eastAsia="仿宋_GB2312" w:cs="仿宋_GB2312"/>
                <w:b/>
                <w:bCs/>
                <w:color w:val="000000"/>
                <w:kern w:val="0"/>
                <w:highlight w:val="none"/>
                <w:lang w:bidi="ar"/>
              </w:rPr>
              <w:t>支出</w:t>
            </w:r>
          </w:p>
        </w:tc>
        <w:tc>
          <w:tcPr>
            <w:tcW w:w="1525" w:type="dxa"/>
            <w:tcBorders>
              <w:tl2br w:val="nil"/>
              <w:tr2bl w:val="nil"/>
            </w:tcBorders>
            <w:shd w:val="clear" w:color="DDEBF7" w:fill="auto"/>
            <w:noWrap/>
            <w:vAlign w:val="center"/>
          </w:tcPr>
          <w:p>
            <w:pPr>
              <w:widowControl/>
              <w:spacing w:line="360" w:lineRule="auto"/>
              <w:jc w:val="center"/>
              <w:textAlignment w:val="center"/>
              <w:rPr>
                <w:rFonts w:ascii="仿宋_GB2312" w:hAnsi="仿宋_GB2312" w:eastAsia="仿宋_GB2312" w:cs="仿宋_GB2312"/>
                <w:b/>
                <w:bCs/>
                <w:color w:val="000000"/>
                <w:highlight w:val="none"/>
              </w:rPr>
            </w:pPr>
            <w:r>
              <w:rPr>
                <w:rFonts w:hint="eastAsia" w:ascii="仿宋_GB2312" w:hAnsi="仿宋_GB2312" w:eastAsia="仿宋_GB2312" w:cs="仿宋_GB2312"/>
                <w:b/>
                <w:bCs/>
                <w:color w:val="000000"/>
                <w:kern w:val="0"/>
                <w:highlight w:val="none"/>
                <w:lang w:val="en-US" w:eastAsia="zh-CN" w:bidi="ar"/>
              </w:rPr>
              <w:t>预算</w:t>
            </w:r>
            <w:r>
              <w:rPr>
                <w:rFonts w:hint="eastAsia" w:ascii="仿宋_GB2312" w:hAnsi="仿宋_GB2312" w:eastAsia="仿宋_GB2312" w:cs="仿宋_GB2312"/>
                <w:b/>
                <w:bCs/>
                <w:color w:val="000000"/>
                <w:kern w:val="0"/>
                <w:highlight w:val="none"/>
                <w:lang w:bidi="ar"/>
              </w:rPr>
              <w:t>执行率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restart"/>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质安处</w:t>
            </w: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《深圳市建筑施工专用机动车辆安全监督管理办法》编制</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i w:val="0"/>
                <w:iCs w:val="0"/>
                <w:color w:val="000000"/>
                <w:kern w:val="2"/>
                <w:sz w:val="21"/>
                <w:szCs w:val="21"/>
                <w:u w:val="none"/>
                <w:lang w:val="en-US" w:eastAsia="zh-CN" w:bidi="ar-SA"/>
              </w:rPr>
            </w:pPr>
            <w:r>
              <w:rPr>
                <w:rFonts w:hint="eastAsia" w:ascii="仿宋_GB2312" w:hAnsi="仿宋_GB2312" w:eastAsia="仿宋_GB2312" w:cs="仿宋_GB2312"/>
                <w:i w:val="0"/>
                <w:iCs w:val="0"/>
                <w:color w:val="000000"/>
                <w:kern w:val="0"/>
                <w:sz w:val="21"/>
                <w:szCs w:val="21"/>
                <w:u w:val="none"/>
                <w:lang w:val="en-US" w:eastAsia="zh-CN" w:bidi="ar"/>
              </w:rPr>
              <w:t>20.00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19.81</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99.06%</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bCs/>
                <w:color w:val="000000"/>
                <w:sz w:val="21"/>
                <w:szCs w:val="21"/>
                <w:highlight w:val="none"/>
                <w:lang w:val="en-US" w:eastAsia="zh-CN"/>
              </w:rPr>
            </w:pPr>
            <w:bookmarkStart w:id="4" w:name="_Toc30219"/>
            <w:bookmarkStart w:id="5" w:name="_Toc64647744"/>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工程质量安全第三方巡查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159.00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b/>
                <w:bCs/>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质量安全监督</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97.92</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restart"/>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b/>
                <w:bCs/>
                <w:color w:val="000000"/>
                <w:sz w:val="21"/>
                <w:szCs w:val="21"/>
                <w:highlight w:val="none"/>
                <w:lang w:val="en-US" w:eastAsia="zh-CN"/>
              </w:rPr>
            </w:pPr>
            <w:r>
              <w:rPr>
                <w:rFonts w:hint="eastAsia" w:ascii="仿宋_GB2312" w:hAnsi="仿宋_GB2312" w:eastAsia="仿宋_GB2312" w:cs="仿宋_GB2312"/>
                <w:b/>
                <w:bCs/>
                <w:color w:val="000000"/>
                <w:sz w:val="21"/>
                <w:szCs w:val="21"/>
                <w:highlight w:val="none"/>
                <w:lang w:val="en-US" w:eastAsia="zh-CN"/>
              </w:rPr>
              <w:t>建筑站</w:t>
            </w: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第三方巡检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382.00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382.00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382.00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工程质量安全监督执法检查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326.00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326.00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302.98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92.94%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工程质量安全监督综合管理</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438.00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438.00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436.04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99.55%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基层党组织活动经费</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10.25</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48.81%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建筑起重机械监督抽检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285.00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285.00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284.43</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建筑起重机械特种作业人员专项培训</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58.00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深基坑和高边坡监测数据信息监管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市政工程项目建筑废弃物排放监督管理第三方巡查服务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48.80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执法监督抽检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965.00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965.00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964.05</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执法巡检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267.00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restart"/>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b w:val="0"/>
                <w:bCs w:val="0"/>
                <w:color w:val="000000"/>
                <w:sz w:val="21"/>
                <w:szCs w:val="21"/>
                <w:highlight w:val="none"/>
                <w:lang w:val="en-US" w:eastAsia="zh-CN"/>
              </w:rPr>
            </w:pPr>
            <w:r>
              <w:rPr>
                <w:rFonts w:hint="eastAsia" w:ascii="仿宋_GB2312" w:hAnsi="仿宋_GB2312" w:eastAsia="仿宋_GB2312" w:cs="仿宋_GB2312"/>
                <w:b/>
                <w:bCs/>
                <w:color w:val="000000"/>
                <w:sz w:val="21"/>
                <w:szCs w:val="21"/>
                <w:highlight w:val="none"/>
                <w:lang w:val="en-US" w:eastAsia="zh-CN"/>
              </w:rPr>
              <w:t>市政站</w:t>
            </w: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安全宣传普及教育</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42.84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91.15%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办公设备购置</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6.00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标准化执法管理</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40.10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85.32%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城际铁路工程建筑起重机械监督抽检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114.00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114.00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112.86</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城际铁路工程建筑起重机械前置审查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87.90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城际铁路工程施工现场专项检测</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144.00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144.00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143.50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99.65%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城际铁路工程质量、安全第三方巡查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211.00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211.00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175.10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82.99%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城际铁路工程质量、安全技术监管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252.00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252.00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251.51</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轨道交通综合管理</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105.79</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98.87%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建筑工人岗位安全培训教育</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249.00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249.00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242.78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97.50%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建筑起重机械监督抽检</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108.00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100.00%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全国安全月宣传教育</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8.94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99.33%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施工安全监督</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231.00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231.00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226.44</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98.02%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施工现场专项检测</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188.00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188.00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187.80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99.89%</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施工现场专项检查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95.00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95.00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94.90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99.90%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市政工程项目建筑废弃物排放监督管理第三方巡查服务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50.00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49.80</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市政工程质量、安全第三方巡查</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223.00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223.00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204.99</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91.92%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市政工程质量、安全技术监管</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266.00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266.00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265.38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99.77%</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税金及附加费用</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19.60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19.60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19.51</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99.53%</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1261" w:type="dxa"/>
            <w:vMerge w:val="continue"/>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 w:val="0"/>
                <w:bCs w:val="0"/>
                <w:color w:val="000000"/>
                <w:sz w:val="21"/>
                <w:szCs w:val="21"/>
                <w:highlight w:val="none"/>
                <w:lang w:val="en-US" w:eastAsia="zh-CN"/>
              </w:rPr>
            </w:pPr>
          </w:p>
        </w:tc>
        <w:tc>
          <w:tcPr>
            <w:tcW w:w="2712" w:type="dxa"/>
            <w:tcBorders>
              <w:tl2br w:val="nil"/>
              <w:tr2bl w:val="nil"/>
            </w:tcBorders>
            <w:shd w:val="clear" w:color="auto" w:fill="auto"/>
            <w:noWrap/>
            <w:vAlign w:val="center"/>
          </w:tcPr>
          <w:p>
            <w:pPr>
              <w:keepNext w:val="0"/>
              <w:keepLines w:val="0"/>
              <w:widowControl/>
              <w:suppressLineNumbers w:val="0"/>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信息网络及软件购置更新</w:t>
            </w:r>
          </w:p>
        </w:tc>
        <w:tc>
          <w:tcPr>
            <w:tcW w:w="11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57.00</w:t>
            </w:r>
          </w:p>
        </w:tc>
        <w:tc>
          <w:tcPr>
            <w:tcW w:w="1320" w:type="dxa"/>
            <w:tcBorders>
              <w:tl2br w:val="nil"/>
              <w:tr2bl w:val="nil"/>
            </w:tcBorders>
            <w:shd w:val="clear" w:color="auto" w:fill="auto"/>
            <w:noWrap/>
            <w:vAlign w:val="center"/>
          </w:tcPr>
          <w:p>
            <w:pPr>
              <w:keepNext w:val="0"/>
              <w:keepLines w:val="0"/>
              <w:widowControl/>
              <w:suppressLineNumbers w:val="0"/>
              <w:jc w:val="righ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57.00</w:t>
            </w:r>
          </w:p>
        </w:tc>
        <w:tc>
          <w:tcPr>
            <w:tcW w:w="1488"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55.98</w:t>
            </w:r>
          </w:p>
        </w:tc>
        <w:tc>
          <w:tcPr>
            <w:tcW w:w="1525" w:type="dxa"/>
            <w:tcBorders>
              <w:tl2br w:val="nil"/>
              <w:tr2bl w:val="nil"/>
            </w:tcBorders>
            <w:shd w:val="clear" w:color="auto" w:fill="auto"/>
            <w:noWrap/>
            <w:vAlign w:val="center"/>
          </w:tcPr>
          <w:p>
            <w:pPr>
              <w:keepNext w:val="0"/>
              <w:keepLines w:val="0"/>
              <w:widowControl/>
              <w:suppressLineNumbers w:val="0"/>
              <w:jc w:val="righ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u w:val="none"/>
                <w:lang w:val="en-US" w:eastAsia="zh-CN" w:bidi="ar"/>
              </w:rPr>
              <w:t>98.21%</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10" w:hRule="atLeast"/>
          <w:jc w:val="center"/>
        </w:trPr>
        <w:tc>
          <w:tcPr>
            <w:tcW w:w="3973" w:type="dxa"/>
            <w:gridSpan w:val="2"/>
            <w:tcBorders>
              <w:tl2br w:val="nil"/>
              <w:tr2bl w:val="nil"/>
            </w:tcBorders>
            <w:shd w:val="clear" w:color="auto" w:fill="auto"/>
            <w:noWrap/>
            <w:vAlign w:val="center"/>
          </w:tcPr>
          <w:p>
            <w:pPr>
              <w:widowControl/>
              <w:jc w:val="center"/>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b/>
                <w:bCs/>
                <w:color w:val="000000"/>
                <w:kern w:val="0"/>
                <w:sz w:val="21"/>
                <w:szCs w:val="21"/>
                <w:highlight w:val="none"/>
                <w:lang w:val="en-US" w:eastAsia="zh-CN" w:bidi="ar"/>
              </w:rPr>
              <w:t>合计</w:t>
            </w:r>
          </w:p>
        </w:tc>
        <w:tc>
          <w:tcPr>
            <w:tcW w:w="1188" w:type="dxa"/>
            <w:tcBorders>
              <w:tl2br w:val="nil"/>
              <w:tr2bl w:val="nil"/>
            </w:tcBorders>
            <w:shd w:val="clear" w:color="auto" w:fill="auto"/>
            <w:noWrap/>
            <w:vAlign w:val="center"/>
          </w:tcPr>
          <w:p>
            <w:pPr>
              <w:widowControl/>
              <w:jc w:val="right"/>
              <w:textAlignment w:val="center"/>
              <w:rPr>
                <w:rFonts w:hint="eastAsia" w:ascii="仿宋_GB2312" w:hAnsi="仿宋_GB2312" w:cs="仿宋_GB2312" w:eastAsiaTheme="minorEastAsia"/>
                <w:b/>
                <w:bCs/>
                <w:color w:val="000000"/>
                <w:kern w:val="0"/>
                <w:sz w:val="21"/>
                <w:szCs w:val="21"/>
                <w:highlight w:val="none"/>
                <w:lang w:val="en-US" w:eastAsia="zh-CN" w:bidi="ar"/>
              </w:rPr>
            </w:pPr>
            <w:r>
              <w:rPr>
                <w:rFonts w:hint="eastAsia" w:ascii="仿宋_GB2312" w:hAnsi="仿宋_GB2312" w:cs="仿宋_GB2312"/>
                <w:b/>
                <w:bCs/>
                <w:szCs w:val="32"/>
                <w:highlight w:val="none"/>
                <w:lang w:val="en-US"/>
              </w:rPr>
              <w:t>5</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670</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w:t>
            </w:r>
            <w:r>
              <w:rPr>
                <w:rFonts w:hint="eastAsia" w:ascii="仿宋_GB2312" w:hAnsi="仿宋_GB2312" w:cs="仿宋_GB2312"/>
                <w:b/>
                <w:bCs/>
                <w:szCs w:val="32"/>
                <w:highlight w:val="none"/>
                <w:lang w:val="en-US" w:eastAsia="zh-CN"/>
              </w:rPr>
              <w:t>0</w:t>
            </w:r>
          </w:p>
        </w:tc>
        <w:tc>
          <w:tcPr>
            <w:tcW w:w="1320" w:type="dxa"/>
            <w:tcBorders>
              <w:tl2br w:val="nil"/>
              <w:tr2bl w:val="nil"/>
            </w:tcBorders>
            <w:shd w:val="clear" w:color="auto" w:fill="auto"/>
            <w:noWrap/>
            <w:vAlign w:val="center"/>
          </w:tcPr>
          <w:p>
            <w:pPr>
              <w:widowControl/>
              <w:jc w:val="right"/>
              <w:textAlignment w:val="center"/>
              <w:rPr>
                <w:rFonts w:hint="eastAsia" w:ascii="仿宋_GB2312" w:hAnsi="仿宋_GB2312" w:cs="仿宋_GB2312" w:eastAsiaTheme="minorEastAsia"/>
                <w:b/>
                <w:bCs/>
                <w:color w:val="000000"/>
                <w:kern w:val="0"/>
                <w:sz w:val="21"/>
                <w:szCs w:val="21"/>
                <w:highlight w:val="none"/>
                <w:lang w:val="en-US" w:eastAsia="zh-CN" w:bidi="ar"/>
              </w:rPr>
            </w:pPr>
            <w:r>
              <w:rPr>
                <w:rFonts w:hint="eastAsia" w:ascii="仿宋_GB2312" w:hAnsi="仿宋_GB2312" w:cs="仿宋_GB2312"/>
                <w:b/>
                <w:bCs/>
                <w:szCs w:val="32"/>
                <w:highlight w:val="none"/>
                <w:lang w:val="en-US"/>
              </w:rPr>
              <w:t>5</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670</w:t>
            </w:r>
            <w:r>
              <w:rPr>
                <w:rFonts w:hint="eastAsia" w:ascii="仿宋_GB2312" w:hAnsi="仿宋_GB2312" w:cs="仿宋_GB2312"/>
                <w:b/>
                <w:bCs/>
                <w:szCs w:val="32"/>
                <w:highlight w:val="none"/>
                <w:lang w:val="en-US" w:eastAsia="zh-CN"/>
              </w:rPr>
              <w:t>.</w:t>
            </w:r>
            <w:r>
              <w:rPr>
                <w:rFonts w:hint="eastAsia" w:ascii="仿宋_GB2312" w:hAnsi="仿宋_GB2312" w:cs="仿宋_GB2312"/>
                <w:b/>
                <w:bCs/>
                <w:szCs w:val="32"/>
                <w:highlight w:val="none"/>
                <w:lang w:val="en-US"/>
              </w:rPr>
              <w:t>6</w:t>
            </w:r>
            <w:r>
              <w:rPr>
                <w:rFonts w:hint="eastAsia" w:ascii="仿宋_GB2312" w:hAnsi="仿宋_GB2312" w:cs="仿宋_GB2312"/>
                <w:b/>
                <w:bCs/>
                <w:szCs w:val="32"/>
                <w:highlight w:val="none"/>
                <w:lang w:val="en-US" w:eastAsia="zh-CN"/>
              </w:rPr>
              <w:t>0</w:t>
            </w:r>
          </w:p>
        </w:tc>
        <w:tc>
          <w:tcPr>
            <w:tcW w:w="1488" w:type="dxa"/>
            <w:tcBorders>
              <w:tl2br w:val="nil"/>
              <w:tr2bl w:val="nil"/>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bidi="ar"/>
              </w:rPr>
            </w:pPr>
            <w:r>
              <w:rPr>
                <w:rFonts w:hint="eastAsia" w:ascii="仿宋_GB2312" w:hAnsi="仿宋_GB2312" w:cs="仿宋_GB2312"/>
                <w:b/>
                <w:bCs/>
                <w:szCs w:val="32"/>
                <w:highlight w:val="none"/>
                <w:lang w:val="en-US" w:eastAsia="zh-CN"/>
              </w:rPr>
              <w:t>5,548.41</w:t>
            </w:r>
          </w:p>
        </w:tc>
        <w:tc>
          <w:tcPr>
            <w:tcW w:w="1525" w:type="dxa"/>
            <w:tcBorders>
              <w:tl2br w:val="nil"/>
              <w:tr2bl w:val="nil"/>
            </w:tcBorders>
            <w:shd w:val="clear" w:color="auto" w:fill="auto"/>
            <w:noWrap/>
            <w:vAlign w:val="center"/>
          </w:tcPr>
          <w:p>
            <w:pPr>
              <w:widowControl/>
              <w:jc w:val="right"/>
              <w:textAlignment w:val="center"/>
              <w:rPr>
                <w:rFonts w:hint="eastAsia" w:ascii="仿宋_GB2312" w:hAnsi="仿宋_GB2312" w:eastAsia="仿宋_GB2312" w:cs="仿宋_GB2312"/>
                <w:b/>
                <w:bCs/>
                <w:color w:val="000000"/>
                <w:kern w:val="0"/>
                <w:sz w:val="21"/>
                <w:szCs w:val="21"/>
                <w:highlight w:val="none"/>
                <w:lang w:bidi="ar"/>
              </w:rPr>
            </w:pPr>
            <w:r>
              <w:rPr>
                <w:rFonts w:hint="eastAsia" w:ascii="仿宋_GB2312" w:hAnsi="仿宋_GB2312" w:cs="仿宋_GB2312"/>
                <w:b/>
                <w:bCs/>
                <w:szCs w:val="32"/>
                <w:highlight w:val="none"/>
                <w:lang w:val="en-US"/>
              </w:rPr>
              <w:t>9</w:t>
            </w:r>
            <w:r>
              <w:rPr>
                <w:rFonts w:hint="eastAsia" w:ascii="仿宋_GB2312" w:hAnsi="仿宋_GB2312" w:cs="仿宋_GB2312"/>
                <w:b/>
                <w:bCs/>
                <w:szCs w:val="32"/>
                <w:highlight w:val="none"/>
                <w:lang w:val="en-US" w:eastAsia="zh-CN"/>
              </w:rPr>
              <w:t>7.8</w:t>
            </w:r>
            <w:r>
              <w:rPr>
                <w:rFonts w:hint="eastAsia" w:ascii="仿宋_GB2312" w:hAnsi="仿宋_GB2312" w:cs="仿宋_GB2312"/>
                <w:b/>
                <w:bCs/>
                <w:szCs w:val="32"/>
                <w:highlight w:val="none"/>
                <w:lang w:val="en-US"/>
              </w:rPr>
              <w:t>5%</w:t>
            </w:r>
          </w:p>
        </w:tc>
      </w:tr>
    </w:tbl>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项目绩效目标</w:t>
      </w:r>
      <w:bookmarkEnd w:id="4"/>
      <w:bookmarkEnd w:id="5"/>
    </w:p>
    <w:p>
      <w:pPr>
        <w:pStyle w:val="4"/>
        <w:spacing w:line="579" w:lineRule="exact"/>
        <w:ind w:firstLine="640"/>
        <w:outlineLvl w:val="2"/>
        <w:rPr>
          <w:rFonts w:hint="eastAsia" w:ascii="仿宋_GB2312" w:hAnsi="仿宋_GB2312" w:eastAsia="仿宋_GB2312" w:cs="仿宋_GB2312"/>
          <w:b/>
          <w:bCs/>
          <w:szCs w:val="32"/>
          <w:highlight w:val="none"/>
          <w:lang w:val="en-US" w:eastAsia="zh-CN"/>
        </w:rPr>
      </w:pPr>
      <w:r>
        <w:rPr>
          <w:rFonts w:hint="eastAsia" w:ascii="仿宋_GB2312" w:hAnsi="仿宋_GB2312" w:eastAsia="仿宋_GB2312" w:cs="仿宋_GB2312"/>
          <w:b/>
          <w:bCs/>
          <w:szCs w:val="32"/>
          <w:highlight w:val="none"/>
          <w:lang w:val="en-US" w:eastAsia="zh-CN"/>
        </w:rPr>
        <w:t>1.总体目标</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cs="仿宋_GB2312"/>
          <w:szCs w:val="32"/>
          <w:highlight w:val="none"/>
          <w:lang w:val="en-US" w:eastAsia="zh-CN"/>
        </w:rPr>
        <w:t>本项目的总体</w:t>
      </w:r>
      <w:r>
        <w:rPr>
          <w:rFonts w:hint="eastAsia" w:ascii="仿宋_GB2312" w:hAnsi="仿宋_GB2312" w:eastAsia="仿宋_GB2312" w:cs="仿宋_GB2312"/>
          <w:szCs w:val="32"/>
          <w:highlight w:val="none"/>
          <w:lang w:val="en-US"/>
        </w:rPr>
        <w:t>目标如下：</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一</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通过巡查发现施工过程中存在的安全隐患，督促施工企业整改，达到</w:t>
      </w:r>
      <w:r>
        <w:rPr>
          <w:rFonts w:hint="eastAsia" w:ascii="仿宋_GB2312" w:hAnsi="仿宋_GB2312" w:eastAsia="仿宋_GB2312" w:cs="仿宋_GB2312"/>
          <w:szCs w:val="32"/>
          <w:highlight w:val="none"/>
          <w:lang w:val="en-US"/>
        </w:rPr>
        <w:t>消除安全隐患，降低工人在施工过程的风险，预防或减少安全生产事故的发生。</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二</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通过日常的安全监管，加大对房屋</w:t>
      </w:r>
      <w:bookmarkStart w:id="33" w:name="_GoBack"/>
      <w:bookmarkEnd w:id="33"/>
      <w:r>
        <w:rPr>
          <w:rFonts w:hint="eastAsia" w:ascii="仿宋_GB2312" w:hAnsi="仿宋_GB2312" w:eastAsia="仿宋_GB2312" w:cs="仿宋_GB2312"/>
          <w:szCs w:val="32"/>
          <w:highlight w:val="none"/>
          <w:lang w:val="en-US"/>
        </w:rPr>
        <w:t>建筑和市政工程的危大工程的监管力度，持续提高工程质量安全监管水平，督促施工企业严格落实安全生产主体责任，排查安全隐患，消除安全隐患，保障施工人员的人身安全，确保全市建筑施工领域安全生产形势持续稳定向好。</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三</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防范重特大事故，保障安全生产；提升房建工程质量水平，推进深圳质量。</w:t>
      </w:r>
    </w:p>
    <w:p>
      <w:pPr>
        <w:pStyle w:val="4"/>
        <w:spacing w:line="579" w:lineRule="exact"/>
        <w:ind w:firstLine="640"/>
        <w:rPr>
          <w:rFonts w:hint="eastAsia" w:ascii="仿宋_GB2312" w:hAnsi="仿宋_GB2312" w:eastAsia="仿宋_GB2312" w:cs="仿宋_GB2312"/>
          <w:szCs w:val="32"/>
          <w:highlight w:val="none"/>
          <w:lang w:val="en-US"/>
        </w:rPr>
      </w:pPr>
      <w:r>
        <w:rPr>
          <w:rFonts w:hint="eastAsia" w:ascii="仿宋_GB2312" w:hAnsi="仿宋_GB2312" w:eastAsia="仿宋_GB2312" w:cs="仿宋_GB2312"/>
          <w:szCs w:val="32"/>
          <w:highlight w:val="none"/>
          <w:lang w:val="en-US"/>
        </w:rPr>
        <w:t>四</w:t>
      </w:r>
      <w:r>
        <w:rPr>
          <w:rFonts w:hint="eastAsia" w:ascii="仿宋_GB2312" w:hAnsi="仿宋_GB2312" w:cs="仿宋_GB2312"/>
          <w:szCs w:val="32"/>
          <w:highlight w:val="none"/>
          <w:lang w:val="en-US" w:eastAsia="zh-CN"/>
        </w:rPr>
        <w:t>是</w:t>
      </w:r>
      <w:r>
        <w:rPr>
          <w:rFonts w:hint="eastAsia" w:ascii="仿宋_GB2312" w:hAnsi="仿宋_GB2312" w:eastAsia="仿宋_GB2312" w:cs="仿宋_GB2312"/>
          <w:szCs w:val="32"/>
          <w:highlight w:val="none"/>
          <w:lang w:val="en-US"/>
        </w:rPr>
        <w:t>遏制重特大质量安全事故发生，保障人民生命安全；维护社会稳定，促进经济发展。</w:t>
      </w:r>
    </w:p>
    <w:p>
      <w:pPr>
        <w:pStyle w:val="4"/>
        <w:spacing w:line="579" w:lineRule="exact"/>
        <w:ind w:firstLine="640"/>
        <w:outlineLvl w:val="2"/>
        <w:rPr>
          <w:rFonts w:hint="eastAsia" w:ascii="仿宋_GB2312" w:hAnsi="仿宋_GB2312" w:eastAsia="仿宋_GB2312" w:cs="仿宋_GB2312"/>
          <w:b/>
          <w:bCs/>
          <w:szCs w:val="32"/>
          <w:highlight w:val="none"/>
          <w:lang w:val="en-US" w:eastAsia="zh-CN"/>
        </w:rPr>
      </w:pPr>
      <w:r>
        <w:rPr>
          <w:rFonts w:hint="eastAsia" w:ascii="仿宋_GB2312" w:hAnsi="仿宋_GB2312" w:cs="仿宋_GB2312"/>
          <w:b/>
          <w:bCs/>
          <w:szCs w:val="32"/>
          <w:highlight w:val="none"/>
          <w:lang w:val="en-US" w:eastAsia="zh-CN"/>
        </w:rPr>
        <w:t>2.</w:t>
      </w:r>
      <w:r>
        <w:rPr>
          <w:rFonts w:hint="eastAsia" w:ascii="仿宋_GB2312" w:hAnsi="仿宋_GB2312" w:eastAsia="仿宋_GB2312" w:cs="仿宋_GB2312"/>
          <w:b/>
          <w:bCs/>
          <w:szCs w:val="32"/>
          <w:highlight w:val="none"/>
          <w:lang w:val="en-US" w:eastAsia="zh-CN"/>
        </w:rPr>
        <w:t>绩效目标设置情况</w:t>
      </w:r>
    </w:p>
    <w:p>
      <w:pPr>
        <w:pStyle w:val="4"/>
        <w:spacing w:line="579" w:lineRule="exact"/>
        <w:ind w:firstLine="640"/>
        <w:rPr>
          <w:rFonts w:hint="eastAsia" w:ascii="仿宋_GB2312" w:hAnsi="仿宋_GB2312" w:eastAsia="仿宋_GB2312" w:cs="仿宋_GB2312"/>
          <w:szCs w:val="32"/>
          <w:highlight w:val="none"/>
          <w:lang w:val="en-US" w:eastAsia="zh-CN"/>
        </w:rPr>
      </w:pPr>
      <w:r>
        <w:rPr>
          <w:rFonts w:hint="eastAsia"/>
          <w:szCs w:val="32"/>
          <w:highlight w:val="none"/>
          <w:lang w:val="en-US" w:eastAsia="zh-CN"/>
        </w:rPr>
        <w:t>本项目绩效目标设置情况详</w:t>
      </w:r>
      <w:r>
        <w:rPr>
          <w:rFonts w:hint="eastAsia" w:ascii="仿宋_GB2312" w:hAnsi="仿宋_GB2312" w:eastAsia="仿宋_GB2312" w:cs="仿宋_GB2312"/>
          <w:szCs w:val="32"/>
          <w:highlight w:val="none"/>
          <w:lang w:val="en-US" w:eastAsia="zh-CN"/>
        </w:rPr>
        <w:t>见表2。</w:t>
      </w:r>
    </w:p>
    <w:p>
      <w:pPr>
        <w:pStyle w:val="4"/>
        <w:spacing w:line="579" w:lineRule="exact"/>
        <w:ind w:firstLine="640"/>
        <w:jc w:val="center"/>
        <w:rPr>
          <w:rFonts w:hint="eastAsia" w:ascii="仿宋_GB2312" w:hAnsi="仿宋_GB2312" w:eastAsia="仿宋_GB2312" w:cs="仿宋_GB2312"/>
          <w:szCs w:val="32"/>
          <w:highlight w:val="none"/>
          <w:lang w:val="en-US" w:eastAsia="zh-CN"/>
        </w:rPr>
      </w:pPr>
      <w:r>
        <w:rPr>
          <w:rFonts w:hint="eastAsia" w:ascii="仿宋_GB2312"/>
          <w:sz w:val="28"/>
          <w:szCs w:val="28"/>
          <w:highlight w:val="none"/>
        </w:rPr>
        <w:t>表</w:t>
      </w:r>
      <w:r>
        <w:rPr>
          <w:rFonts w:hint="eastAsia" w:ascii="仿宋_GB2312"/>
          <w:sz w:val="28"/>
          <w:szCs w:val="28"/>
          <w:highlight w:val="none"/>
          <w:lang w:val="en-US" w:eastAsia="zh-CN"/>
        </w:rPr>
        <w:t>2  本</w:t>
      </w:r>
      <w:r>
        <w:rPr>
          <w:rFonts w:hint="eastAsia" w:ascii="仿宋_GB2312"/>
          <w:sz w:val="28"/>
          <w:szCs w:val="28"/>
          <w:highlight w:val="none"/>
          <w:lang w:eastAsia="zh-CN"/>
        </w:rPr>
        <w:t>项目</w:t>
      </w:r>
      <w:r>
        <w:rPr>
          <w:rFonts w:hint="eastAsia" w:ascii="仿宋_GB2312"/>
          <w:sz w:val="28"/>
          <w:szCs w:val="28"/>
          <w:highlight w:val="none"/>
        </w:rPr>
        <w:t>绩效目标表</w:t>
      </w:r>
    </w:p>
    <w:tbl>
      <w:tblPr>
        <w:tblStyle w:val="20"/>
        <w:tblW w:w="8593"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autofit"/>
        <w:tblCellMar>
          <w:top w:w="0" w:type="dxa"/>
          <w:left w:w="0" w:type="dxa"/>
          <w:bottom w:w="0" w:type="dxa"/>
          <w:right w:w="0" w:type="dxa"/>
        </w:tblCellMar>
      </w:tblPr>
      <w:tblGrid>
        <w:gridCol w:w="958"/>
        <w:gridCol w:w="1080"/>
        <w:gridCol w:w="3504"/>
        <w:gridCol w:w="305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tblHeader/>
          <w:jc w:val="center"/>
        </w:trPr>
        <w:tc>
          <w:tcPr>
            <w:tcW w:w="958"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一级指标</w:t>
            </w: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二级指标</w:t>
            </w:r>
          </w:p>
        </w:tc>
        <w:tc>
          <w:tcPr>
            <w:tcW w:w="3504"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指标内容</w:t>
            </w:r>
          </w:p>
        </w:tc>
        <w:tc>
          <w:tcPr>
            <w:tcW w:w="3051"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r>
              <w:rPr>
                <w:rFonts w:hint="eastAsia" w:ascii="仿宋_GB2312" w:hAnsi="仿宋_GB2312" w:eastAsia="仿宋_GB2312" w:cs="仿宋_GB2312"/>
                <w:color w:val="000000"/>
                <w:kern w:val="0"/>
                <w:sz w:val="21"/>
                <w:szCs w:val="21"/>
                <w:highlight w:val="none"/>
                <w:lang w:bidi="ar"/>
              </w:rPr>
              <w:t>指标值</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产出指标</w:t>
            </w: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数量指标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完成《深圳市建筑施工专用机动车辆安全监督管理办法》编制工作</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巡查全市在建工地次数（次）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在建项目进行安全巡查次（次）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60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抽检主要建筑材料组数量（组）</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≥1800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抽检工程结构实体组数量（组）</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≥700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抽检工程桩基根数量（根）</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≥150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抽检建筑起重机械实体数量（台）</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深基坑、高边坡项目现场专项抽查次数（次）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≥144</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平均每月专项巡查危大工程项次（次）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≥230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培训建筑特种作业人员数（人）</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开展施工安全宣传培训教育次数</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≥20次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监督员平均每人每月巡查项目数（个）</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≥8个</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第三方出具市政工程质量安全巡查评估报告次数（次）</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质量指标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审批工作完成率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第三方提交巡查报告达标率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在建项目安全问题整改率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≥80%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发现不合格建材责令整改率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发现建筑起重机械实体缺陷和隐患责令整改率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发现深基坑、高边坡隐匿风险点责令整改率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专项巡查识别危大工程的日常隐患责令整改率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建筑特种作业人员培训考核不合格责令离岗率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施工现场发现质量安全问题督促整改率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在监市政项目质量安全监督覆盖率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举办安全培训活动培训讲师资质</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培训讲师为中级及以上职称</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建筑起重机械抽查覆盖率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keepNext w:val="0"/>
              <w:keepLines w:val="0"/>
              <w:widowControl/>
              <w:suppressLineNumbers w:val="0"/>
              <w:jc w:val="center"/>
              <w:textAlignment w:val="bottom"/>
              <w:rPr>
                <w:rFonts w:hint="eastAsia" w:ascii="仿宋_GB2312" w:hAnsi="仿宋_GB2312" w:eastAsia="仿宋_GB2312" w:cs="仿宋_GB2312"/>
                <w:i w:val="0"/>
                <w:color w:val="FF0000"/>
                <w:kern w:val="2"/>
                <w:sz w:val="21"/>
                <w:szCs w:val="21"/>
                <w:highlight w:val="none"/>
                <w:u w:val="none"/>
                <w:lang w:val="en-US" w:eastAsia="zh-CN" w:bidi="ar-SA"/>
              </w:rPr>
            </w:pPr>
            <w:r>
              <w:rPr>
                <w:rFonts w:hint="eastAsia" w:ascii="仿宋_GB2312" w:hAnsi="仿宋_GB2312" w:eastAsia="仿宋_GB2312" w:cs="仿宋_GB2312"/>
                <w:color w:val="000000"/>
                <w:kern w:val="0"/>
                <w:sz w:val="21"/>
                <w:szCs w:val="21"/>
                <w:highlight w:val="none"/>
                <w:lang w:val="en-US" w:eastAsia="zh-CN" w:bidi="ar"/>
              </w:rPr>
              <w:t>时效指标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default"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合理利用《深圳市建筑施工专用机动车辆安全监督管理办法》编制的时间</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2021年12月15日前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第三方提交巡查报告的时间</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合同到期后1个月内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每季度工程“红黑榜”刊登及时性</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每季度的第一个月15号前刊登报纸</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发现不合格建材责令整改及时率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发现建筑起重机械实体缺陷和隐患责令整改及时率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发现深基坑、高边坡隐匿风险点责令整改及时率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专项巡查识别危大工程的日常隐患责令整改及时率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建筑特种作业人员培训考核不合格责令离岗及时率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市政工程质量安全监督抽查基本频次（次/季度）</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安全培训工作的完成时间</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2021年12月31日前</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41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bottom"/>
          </w:tcPr>
          <w:p>
            <w:pPr>
              <w:keepNext w:val="0"/>
              <w:keepLines w:val="0"/>
              <w:widowControl/>
              <w:suppressLineNumbers w:val="0"/>
              <w:jc w:val="center"/>
              <w:textAlignment w:val="bottom"/>
              <w:rPr>
                <w:rFonts w:hint="eastAsia" w:ascii="仿宋_GB2312" w:hAnsi="仿宋_GB2312" w:eastAsia="仿宋_GB2312" w:cs="仿宋_GB2312"/>
                <w:color w:val="000000"/>
                <w:kern w:val="0"/>
                <w:sz w:val="21"/>
                <w:szCs w:val="21"/>
                <w:highlight w:val="none"/>
                <w:lang w:val="en-US"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形成建筑起重机械抽查工作报告频率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每月一次</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r>
              <w:rPr>
                <w:rFonts w:hint="eastAsia" w:ascii="仿宋_GB2312" w:hAnsi="仿宋_GB2312" w:eastAsia="仿宋_GB2312" w:cs="仿宋_GB2312"/>
                <w:color w:val="000000"/>
                <w:kern w:val="0"/>
                <w:sz w:val="21"/>
                <w:szCs w:val="21"/>
                <w:highlight w:val="none"/>
                <w:lang w:eastAsia="zh-CN" w:bidi="ar"/>
              </w:rPr>
              <w:t>成本指标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高级工程师收费标准（元/人/天）</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≤1000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中级工程师收费标准（元/人/天）</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≤400</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285"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eastAsia="zh-CN"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预算执行率</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≥95%</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44" w:hRule="atLeast"/>
          <w:jc w:val="center"/>
        </w:trPr>
        <w:tc>
          <w:tcPr>
            <w:tcW w:w="958"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效益指标</w:t>
            </w: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val="en-US" w:eastAsia="zh-CN" w:bidi="ar"/>
              </w:rPr>
              <w:t>经济</w:t>
            </w:r>
            <w:r>
              <w:rPr>
                <w:rFonts w:hint="eastAsia" w:ascii="仿宋_GB2312" w:hAnsi="仿宋_GB2312" w:eastAsia="仿宋_GB2312" w:cs="仿宋_GB2312"/>
                <w:color w:val="000000"/>
                <w:kern w:val="0"/>
                <w:sz w:val="21"/>
                <w:szCs w:val="21"/>
                <w:highlight w:val="none"/>
                <w:lang w:bidi="ar"/>
              </w:rPr>
              <w:t>效益指标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restart"/>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社会效益指标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推动深圳市建筑施工专用机动车辆安全的监督管理</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有效推动</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督促施工项目整改安全隐患</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有效督促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提高工人安全防范意识</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有效提高</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通过建筑工程施工质量监督管控，提升房建工程质量水平</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有效提升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通过建筑工程施工安全风险管控，预防重特大事故发生</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有效预防</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vMerge w:val="continue"/>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bidi="ar"/>
              </w:rPr>
            </w:pP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提高监督水平，遏制重特大质量安全事故发生，保障人民生命安全</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有效遏制</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kern w:val="0"/>
                <w:sz w:val="21"/>
                <w:szCs w:val="21"/>
                <w:highlight w:val="none"/>
                <w:lang w:val="en-US" w:eastAsia="zh-CN" w:bidi="ar"/>
              </w:rPr>
            </w:pPr>
            <w:r>
              <w:rPr>
                <w:rFonts w:hint="eastAsia" w:ascii="仿宋_GB2312" w:hAnsi="仿宋_GB2312" w:eastAsia="仿宋_GB2312" w:cs="仿宋_GB2312"/>
                <w:color w:val="000000"/>
                <w:kern w:val="0"/>
                <w:sz w:val="21"/>
                <w:szCs w:val="21"/>
                <w:highlight w:val="none"/>
                <w:lang w:val="en-US" w:eastAsia="zh-CN" w:bidi="ar"/>
              </w:rPr>
              <w:t>生态效益</w:t>
            </w:r>
            <w:r>
              <w:rPr>
                <w:rFonts w:hint="eastAsia" w:ascii="仿宋_GB2312" w:hAnsi="仿宋_GB2312" w:eastAsia="仿宋_GB2312" w:cs="仿宋_GB2312"/>
                <w:color w:val="000000"/>
                <w:kern w:val="0"/>
                <w:sz w:val="21"/>
                <w:szCs w:val="21"/>
                <w:highlight w:val="none"/>
                <w:lang w:bidi="ar"/>
              </w:rPr>
              <w:t>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无</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0" w:type="dxa"/>
            <w:bottom w:w="0" w:type="dxa"/>
            <w:right w:w="0" w:type="dxa"/>
          </w:tblCellMar>
        </w:tblPrEx>
        <w:trPr>
          <w:trHeight w:val="752" w:hRule="atLeast"/>
          <w:jc w:val="center"/>
        </w:trPr>
        <w:tc>
          <w:tcPr>
            <w:tcW w:w="958" w:type="dxa"/>
            <w:vMerge w:val="continue"/>
            <w:tcBorders>
              <w:tl2br w:val="nil"/>
              <w:tr2bl w:val="nil"/>
            </w:tcBorders>
            <w:shd w:val="clear" w:color="auto" w:fill="auto"/>
            <w:tcMar>
              <w:top w:w="12" w:type="dxa"/>
              <w:left w:w="12" w:type="dxa"/>
              <w:right w:w="12" w:type="dxa"/>
            </w:tcMar>
            <w:vAlign w:val="center"/>
          </w:tcPr>
          <w:p>
            <w:pPr>
              <w:jc w:val="center"/>
              <w:rPr>
                <w:rFonts w:hint="eastAsia" w:ascii="仿宋_GB2312" w:hAnsi="仿宋_GB2312" w:eastAsia="仿宋_GB2312" w:cs="仿宋_GB2312"/>
                <w:color w:val="000000"/>
                <w:sz w:val="21"/>
                <w:szCs w:val="21"/>
                <w:highlight w:val="none"/>
              </w:rPr>
            </w:pPr>
          </w:p>
        </w:tc>
        <w:tc>
          <w:tcPr>
            <w:tcW w:w="1080" w:type="dxa"/>
            <w:tcBorders>
              <w:tl2br w:val="nil"/>
              <w:tr2bl w:val="nil"/>
            </w:tcBorders>
            <w:shd w:val="clear" w:color="auto" w:fill="auto"/>
            <w:tcMar>
              <w:top w:w="12" w:type="dxa"/>
              <w:left w:w="12" w:type="dxa"/>
              <w:right w:w="12" w:type="dxa"/>
            </w:tcMar>
            <w:vAlign w:val="center"/>
          </w:tcPr>
          <w:p>
            <w:pPr>
              <w:widowControl/>
              <w:jc w:val="center"/>
              <w:textAlignment w:val="center"/>
              <w:rPr>
                <w:rFonts w:hint="eastAsia" w:ascii="仿宋_GB2312" w:hAnsi="仿宋_GB2312" w:eastAsia="仿宋_GB2312" w:cs="仿宋_GB2312"/>
                <w:color w:val="000000"/>
                <w:sz w:val="21"/>
                <w:szCs w:val="21"/>
                <w:highlight w:val="none"/>
              </w:rPr>
            </w:pPr>
            <w:r>
              <w:rPr>
                <w:rFonts w:hint="eastAsia" w:ascii="仿宋_GB2312" w:hAnsi="仿宋_GB2312" w:eastAsia="仿宋_GB2312" w:cs="仿宋_GB2312"/>
                <w:color w:val="000000"/>
                <w:kern w:val="0"/>
                <w:sz w:val="21"/>
                <w:szCs w:val="21"/>
                <w:highlight w:val="none"/>
                <w:lang w:bidi="ar"/>
              </w:rPr>
              <w:t>服务对象满意度指标</w:t>
            </w:r>
          </w:p>
        </w:tc>
        <w:tc>
          <w:tcPr>
            <w:tcW w:w="3504"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left"/>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服务委托方满意度</w:t>
            </w:r>
          </w:p>
        </w:tc>
        <w:tc>
          <w:tcPr>
            <w:tcW w:w="3051" w:type="dxa"/>
            <w:tcBorders>
              <w:tl2br w:val="nil"/>
              <w:tr2bl w:val="nil"/>
            </w:tcBorders>
            <w:shd w:val="clear" w:color="auto" w:fill="auto"/>
            <w:tcMar>
              <w:top w:w="12" w:type="dxa"/>
              <w:left w:w="12" w:type="dxa"/>
              <w:right w:w="12" w:type="dxa"/>
            </w:tcMar>
            <w:vAlign w:val="center"/>
          </w:tcPr>
          <w:p>
            <w:pPr>
              <w:keepNext w:val="0"/>
              <w:keepLines w:val="0"/>
              <w:pageBreakBefore w:val="0"/>
              <w:widowControl/>
              <w:suppressLineNumbers w:val="0"/>
              <w:kinsoku/>
              <w:wordWrap/>
              <w:overflowPunct/>
              <w:topLinePunct w:val="0"/>
              <w:autoSpaceDE/>
              <w:autoSpaceDN/>
              <w:bidi w:val="0"/>
              <w:adjustRightInd/>
              <w:snapToGrid/>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良好及以上</w:t>
            </w:r>
          </w:p>
        </w:tc>
      </w:tr>
    </w:tbl>
    <w:p>
      <w:pPr>
        <w:pStyle w:val="3"/>
        <w:spacing w:before="0" w:after="0" w:line="579" w:lineRule="exact"/>
        <w:ind w:firstLine="640"/>
        <w:rPr>
          <w:highlight w:val="none"/>
        </w:rPr>
      </w:pPr>
      <w:bookmarkStart w:id="6" w:name="_Toc64647747"/>
      <w:bookmarkStart w:id="7" w:name="_Toc13975"/>
      <w:r>
        <w:rPr>
          <w:rFonts w:hint="eastAsia"/>
          <w:highlight w:val="none"/>
          <w:lang w:val="en-US"/>
        </w:rPr>
        <w:t>绩效</w:t>
      </w:r>
      <w:r>
        <w:rPr>
          <w:rFonts w:hint="eastAsia"/>
          <w:highlight w:val="none"/>
        </w:rPr>
        <w:t>评价工作开展情况</w:t>
      </w:r>
      <w:bookmarkEnd w:id="6"/>
      <w:bookmarkEnd w:id="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8" w:name="_Toc26347"/>
      <w:bookmarkStart w:id="9" w:name="_Toc64647748"/>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绩效评价目的、对象和范围</w:t>
      </w:r>
      <w:bookmarkEnd w:id="8"/>
      <w:bookmarkEnd w:id="9"/>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eastAsia="zh-CN"/>
        </w:rPr>
        <w:t>市住建局</w:t>
      </w:r>
      <w:r>
        <w:rPr>
          <w:rFonts w:hint="eastAsia" w:ascii="仿宋_GB2312" w:hAnsi="仿宋_GB2312" w:cs="仿宋_GB2312"/>
          <w:szCs w:val="32"/>
          <w:highlight w:val="none"/>
          <w:lang w:val="en-US"/>
        </w:rPr>
        <w:t>为加强项目管理，提升财政预算资金使用效益，选取本项目开展202</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年度重点项目绩效评价，评价范围为202</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lang w:val="en-US"/>
        </w:rPr>
        <w:t>年1月1日至1</w:t>
      </w:r>
      <w:r>
        <w:rPr>
          <w:rFonts w:ascii="仿宋_GB2312" w:hAnsi="仿宋_GB2312" w:cs="仿宋_GB2312"/>
          <w:szCs w:val="32"/>
          <w:highlight w:val="none"/>
          <w:lang w:val="en-US"/>
        </w:rPr>
        <w:t>2</w:t>
      </w:r>
      <w:r>
        <w:rPr>
          <w:rFonts w:hint="eastAsia" w:ascii="仿宋_GB2312" w:hAnsi="仿宋_GB2312" w:cs="仿宋_GB2312"/>
          <w:szCs w:val="32"/>
          <w:highlight w:val="none"/>
          <w:lang w:val="en-US"/>
        </w:rPr>
        <w:t>月3</w:t>
      </w:r>
      <w:r>
        <w:rPr>
          <w:rFonts w:ascii="仿宋_GB2312" w:hAnsi="仿宋_GB2312" w:cs="仿宋_GB2312"/>
          <w:szCs w:val="32"/>
          <w:highlight w:val="none"/>
          <w:lang w:val="en-US"/>
        </w:rPr>
        <w:t>1</w:t>
      </w:r>
      <w:r>
        <w:rPr>
          <w:rFonts w:hint="eastAsia" w:ascii="仿宋_GB2312" w:hAnsi="仿宋_GB2312" w:cs="仿宋_GB2312"/>
          <w:szCs w:val="32"/>
          <w:highlight w:val="none"/>
          <w:lang w:val="en-US"/>
        </w:rPr>
        <w:t>日，评价内容主要包括项目决策情况、资金管理和使用情况、相关管理制度和办法健全性及执行情况、实现的产出和效益情况。</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0" w:name="_Toc21237"/>
      <w:bookmarkStart w:id="11" w:name="_Toc64647749"/>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绩效评价原则</w:t>
      </w:r>
      <w:bookmarkEnd w:id="10"/>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1.</w:t>
      </w:r>
      <w:r>
        <w:rPr>
          <w:rFonts w:hint="eastAsia" w:ascii="仿宋_GB2312" w:hAnsi="仿宋_GB2312" w:cs="仿宋_GB2312"/>
          <w:szCs w:val="32"/>
          <w:highlight w:val="none"/>
        </w:rPr>
        <w:t>科学规范,公开透明。绩效评价运用科学合理的方法，按照规范的程序，对项目绩效进行客观、公正的反映。绩效评价结果依法依规公开，并自觉接受社会监督。</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2.</w:t>
      </w:r>
      <w:r>
        <w:rPr>
          <w:rFonts w:hint="eastAsia" w:ascii="仿宋_GB2312" w:hAnsi="仿宋_GB2312" w:cs="仿宋_GB2312"/>
          <w:szCs w:val="32"/>
          <w:highlight w:val="none"/>
        </w:rPr>
        <w:t>统筹兼顾，权责对等。单位自评、部门评价职责明确，各有侧重，相互衔接。单位自评由项目单位自主实施，即“谁支出、谁自评”。部门评价在单位自评的基础上开展。</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3.</w:t>
      </w:r>
      <w:r>
        <w:rPr>
          <w:rFonts w:hint="eastAsia" w:ascii="仿宋_GB2312" w:hAnsi="仿宋_GB2312" w:cs="仿宋_GB2312"/>
          <w:szCs w:val="32"/>
          <w:highlight w:val="none"/>
        </w:rPr>
        <w:t>问题导向，注重质量。绩效评价全面深入挖掘、剖析项目决策、实施和管理中存在的问题，聚焦重大政策和重点项目的实施效果。</w:t>
      </w:r>
    </w:p>
    <w:p>
      <w:pPr>
        <w:pStyle w:val="4"/>
        <w:spacing w:line="579" w:lineRule="exact"/>
        <w:ind w:firstLine="640"/>
        <w:rPr>
          <w:szCs w:val="32"/>
          <w:highlight w:val="none"/>
        </w:rPr>
      </w:pPr>
      <w:r>
        <w:rPr>
          <w:rFonts w:hint="eastAsia" w:ascii="仿宋_GB2312" w:hAnsi="仿宋_GB2312" w:cs="仿宋_GB2312"/>
          <w:szCs w:val="32"/>
          <w:highlight w:val="none"/>
          <w:lang w:val="en-US"/>
        </w:rPr>
        <w:t>4.</w:t>
      </w:r>
      <w:r>
        <w:rPr>
          <w:rFonts w:hint="eastAsia" w:ascii="仿宋_GB2312" w:hAnsi="仿宋_GB2312" w:cs="仿宋_GB2312"/>
          <w:szCs w:val="32"/>
          <w:highlight w:val="none"/>
        </w:rPr>
        <w:t>强化应用,约束有力。绩效评价结果与预算安排、政策调整、改进管理实质性挂钩，体现奖优罚劣和激励相容导向，有效要安排、低效要压减、无效要问责。</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2" w:name="_Toc24303"/>
      <w:r>
        <w:rPr>
          <w:rFonts w:hint="eastAsia" w:ascii="楷体_GB2312" w:hAnsi="楷体_GB2312" w:eastAsia="楷体_GB2312" w:cs="楷体_GB2312"/>
          <w:b w:val="0"/>
          <w:bCs w:val="0"/>
          <w:highlight w:val="none"/>
          <w:lang w:val="en-US" w:eastAsia="zh-CN"/>
        </w:rPr>
        <w:t>（三）</w:t>
      </w:r>
      <w:r>
        <w:rPr>
          <w:rFonts w:hint="eastAsia" w:ascii="楷体_GB2312" w:hAnsi="楷体_GB2312" w:eastAsia="楷体_GB2312" w:cs="楷体_GB2312"/>
          <w:b w:val="0"/>
          <w:bCs w:val="0"/>
          <w:highlight w:val="none"/>
          <w:lang w:val="en-US"/>
        </w:rPr>
        <w:t>评价指标体系</w:t>
      </w:r>
      <w:bookmarkEnd w:id="12"/>
    </w:p>
    <w:bookmarkEnd w:id="11"/>
    <w:p>
      <w:pPr>
        <w:pStyle w:val="4"/>
        <w:spacing w:line="579" w:lineRule="exact"/>
        <w:ind w:firstLine="640"/>
        <w:rPr>
          <w:rFonts w:hint="eastAsia" w:ascii="仿宋_GB2312" w:hAnsi="仿宋_GB2312" w:cs="仿宋_GB2312"/>
          <w:szCs w:val="32"/>
          <w:highlight w:val="none"/>
          <w:lang w:val="en-US"/>
        </w:rPr>
      </w:pPr>
      <w:r>
        <w:rPr>
          <w:rFonts w:hint="eastAsia" w:ascii="仿宋_GB2312" w:hAnsi="仿宋_GB2312" w:cs="仿宋_GB2312"/>
          <w:szCs w:val="32"/>
          <w:highlight w:val="none"/>
          <w:lang w:val="en-US"/>
        </w:rPr>
        <w:t>根据</w:t>
      </w:r>
      <w:r>
        <w:rPr>
          <w:rFonts w:hint="eastAsia" w:ascii="仿宋_GB2312" w:hAnsi="仿宋_GB2312" w:cs="仿宋_GB2312"/>
          <w:szCs w:val="32"/>
          <w:highlight w:val="none"/>
        </w:rPr>
        <w:t>《深圳市财政局关于印发</w:t>
      </w:r>
      <w:r>
        <w:rPr>
          <w:rFonts w:ascii="仿宋_GB2312" w:hAnsi="仿宋_GB2312" w:cs="仿宋_GB2312"/>
          <w:szCs w:val="32"/>
          <w:highlight w:val="none"/>
        </w:rPr>
        <w:t>&lt;深圳市市级项目支出绩效评价工作规程&gt;的通知》（深财绩〔2020〕14号）</w:t>
      </w:r>
      <w:r>
        <w:rPr>
          <w:rFonts w:hint="eastAsia" w:ascii="仿宋_GB2312" w:hAnsi="仿宋_GB2312" w:cs="仿宋_GB2312"/>
          <w:szCs w:val="32"/>
          <w:highlight w:val="none"/>
          <w:lang w:val="en-US"/>
        </w:rPr>
        <w:t>中的《项目支出绩效评价指标体系框架》</w:t>
      </w:r>
      <w:r>
        <w:rPr>
          <w:rFonts w:hint="eastAsia" w:ascii="仿宋_GB2312" w:hAnsi="仿宋_GB2312" w:cs="仿宋_GB2312"/>
          <w:szCs w:val="32"/>
          <w:highlight w:val="none"/>
          <w:lang w:val="en-US" w:eastAsia="zh-CN"/>
        </w:rPr>
        <w:t>，结合本项目实际</w:t>
      </w:r>
      <w:r>
        <w:rPr>
          <w:rFonts w:hint="eastAsia" w:ascii="仿宋_GB2312" w:hAnsi="仿宋_GB2312" w:cs="仿宋_GB2312"/>
          <w:szCs w:val="32"/>
          <w:highlight w:val="none"/>
          <w:lang w:val="en-US"/>
        </w:rPr>
        <w:t>设计了本项目绩效评价指标体系，共设置17</w:t>
      </w:r>
      <w:r>
        <w:rPr>
          <w:rFonts w:hint="eastAsia" w:ascii="仿宋_GB2312" w:hAnsi="仿宋_GB2312" w:cs="仿宋_GB2312"/>
          <w:szCs w:val="32"/>
          <w:highlight w:val="none"/>
          <w:lang w:val="en-US" w:eastAsia="zh-CN"/>
        </w:rPr>
        <w:t>个</w:t>
      </w:r>
      <w:r>
        <w:rPr>
          <w:rFonts w:hint="eastAsia" w:ascii="仿宋_GB2312" w:hAnsi="仿宋_GB2312" w:cs="仿宋_GB2312"/>
          <w:szCs w:val="32"/>
          <w:highlight w:val="none"/>
          <w:lang w:val="en-US"/>
        </w:rPr>
        <w:t>三级评价指标，总分值为100分，指标体系详见</w:t>
      </w:r>
      <w:r>
        <w:rPr>
          <w:rFonts w:hint="eastAsia" w:ascii="仿宋_GB2312" w:hAnsi="仿宋_GB2312" w:cs="仿宋_GB2312"/>
          <w:szCs w:val="32"/>
          <w:highlight w:val="none"/>
          <w:lang w:val="en-US" w:eastAsia="zh-CN"/>
        </w:rPr>
        <w:t>表3</w:t>
      </w:r>
      <w:r>
        <w:rPr>
          <w:rFonts w:hint="eastAsia" w:ascii="仿宋_GB2312" w:hAnsi="仿宋_GB2312" w:cs="仿宋_GB2312"/>
          <w:szCs w:val="32"/>
          <w:highlight w:val="none"/>
          <w:lang w:val="en-US"/>
        </w:rPr>
        <w:t>。</w:t>
      </w:r>
    </w:p>
    <w:p>
      <w:pPr>
        <w:pStyle w:val="4"/>
        <w:spacing w:line="579" w:lineRule="exact"/>
        <w:ind w:firstLine="640"/>
        <w:jc w:val="center"/>
        <w:rPr>
          <w:rFonts w:hint="eastAsia" w:ascii="仿宋_GB2312" w:hAnsi="仿宋_GB2312" w:cs="仿宋_GB2312"/>
          <w:sz w:val="28"/>
          <w:szCs w:val="28"/>
          <w:highlight w:val="none"/>
          <w:lang w:val="en-US"/>
        </w:rPr>
      </w:pPr>
      <w:r>
        <w:rPr>
          <w:rFonts w:hint="eastAsia" w:ascii="仿宋_GB2312" w:hAnsi="仿宋_GB2312" w:cs="仿宋_GB2312"/>
          <w:sz w:val="28"/>
          <w:szCs w:val="28"/>
          <w:highlight w:val="none"/>
          <w:lang w:val="en-US"/>
        </w:rPr>
        <w:t>表</w:t>
      </w:r>
      <w:r>
        <w:rPr>
          <w:rFonts w:hint="eastAsia" w:ascii="仿宋_GB2312" w:hAnsi="仿宋_GB2312" w:cs="仿宋_GB2312"/>
          <w:sz w:val="28"/>
          <w:szCs w:val="28"/>
          <w:highlight w:val="none"/>
          <w:lang w:val="en-US" w:eastAsia="zh-CN"/>
        </w:rPr>
        <w:t>3</w:t>
      </w:r>
      <w:r>
        <w:rPr>
          <w:rFonts w:hint="eastAsia" w:ascii="仿宋_GB2312" w:hAnsi="仿宋_GB2312" w:cs="仿宋_GB2312"/>
          <w:sz w:val="28"/>
          <w:szCs w:val="28"/>
          <w:highlight w:val="none"/>
          <w:lang w:val="en-US"/>
        </w:rPr>
        <w:t xml:space="preserve">  绩效评价指标体系框架</w:t>
      </w:r>
    </w:p>
    <w:tbl>
      <w:tblPr>
        <w:tblStyle w:val="20"/>
        <w:tblW w:w="8299" w:type="dxa"/>
        <w:tblInd w:w="96" w:type="dxa"/>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Layout w:type="fixed"/>
        <w:tblCellMar>
          <w:top w:w="0" w:type="dxa"/>
          <w:left w:w="108" w:type="dxa"/>
          <w:bottom w:w="0" w:type="dxa"/>
          <w:right w:w="108" w:type="dxa"/>
        </w:tblCellMar>
      </w:tblPr>
      <w:tblGrid>
        <w:gridCol w:w="931"/>
        <w:gridCol w:w="864"/>
        <w:gridCol w:w="1404"/>
        <w:gridCol w:w="1080"/>
        <w:gridCol w:w="2604"/>
        <w:gridCol w:w="1416"/>
      </w:tblGrid>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90" w:hRule="atLeast"/>
          <w:tblHeader/>
        </w:trPr>
        <w:tc>
          <w:tcPr>
            <w:tcW w:w="1795"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一级指标</w:t>
            </w:r>
          </w:p>
        </w:tc>
        <w:tc>
          <w:tcPr>
            <w:tcW w:w="2484"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二级指标</w:t>
            </w:r>
          </w:p>
        </w:tc>
        <w:tc>
          <w:tcPr>
            <w:tcW w:w="4020" w:type="dxa"/>
            <w:gridSpan w:val="2"/>
            <w:tcBorders>
              <w:tl2br w:val="nil"/>
              <w:tr2bl w:val="nil"/>
            </w:tcBorders>
            <w:shd w:val="clear" w:color="auto" w:fill="auto"/>
            <w:noWrap/>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三级指标</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blHeader/>
        </w:trPr>
        <w:tc>
          <w:tcPr>
            <w:tcW w:w="931"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86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名称</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权重</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决策</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项目立项</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立项依据充分性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立项程序规范性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绩效目标合理性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绩效指标明确性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资金投入</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6</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预算编制科学性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资金分配合理性</w:t>
            </w:r>
          </w:p>
        </w:tc>
        <w:tc>
          <w:tcPr>
            <w:tcW w:w="1416" w:type="dxa"/>
            <w:tcBorders>
              <w:tl2br w:val="nil"/>
              <w:tr2bl w:val="nil"/>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3</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过程</w:t>
            </w:r>
          </w:p>
        </w:tc>
        <w:tc>
          <w:tcPr>
            <w:tcW w:w="86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资金管理</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12</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资金到位率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预算执行率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资金使用合规性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组织实施</w:t>
            </w:r>
          </w:p>
        </w:tc>
        <w:tc>
          <w:tcPr>
            <w:tcW w:w="1080"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管理制度健全性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制度执行有效性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23"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产出数量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实际完成率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tblCellMar>
            <w:top w:w="0" w:type="dxa"/>
            <w:left w:w="108" w:type="dxa"/>
            <w:bottom w:w="0" w:type="dxa"/>
            <w:right w:w="108" w:type="dxa"/>
          </w:tblCellMar>
        </w:tblPrEx>
        <w:trPr>
          <w:trHeight w:val="312"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产出质量</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质量达标率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9</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产出时效</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完成及时性</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8</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产出成本</w:t>
            </w:r>
          </w:p>
        </w:tc>
        <w:tc>
          <w:tcPr>
            <w:tcW w:w="1080"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成本节约率</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4</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312" w:hRule="atLeast"/>
        </w:trPr>
        <w:tc>
          <w:tcPr>
            <w:tcW w:w="931"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效益</w:t>
            </w:r>
          </w:p>
        </w:tc>
        <w:tc>
          <w:tcPr>
            <w:tcW w:w="864"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1404" w:type="dxa"/>
            <w:vMerge w:val="restart"/>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项目效益</w:t>
            </w:r>
          </w:p>
        </w:tc>
        <w:tc>
          <w:tcPr>
            <w:tcW w:w="1080" w:type="dxa"/>
            <w:vMerge w:val="restart"/>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30</w:t>
            </w: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实施效益</w:t>
            </w:r>
          </w:p>
        </w:tc>
        <w:tc>
          <w:tcPr>
            <w:tcW w:w="1416"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20</w:t>
            </w:r>
          </w:p>
        </w:tc>
      </w:tr>
      <w:tr>
        <w:tblPrEx>
          <w:tblBorders>
            <w:top w:val="single" w:color="000000" w:sz="8" w:space="0"/>
            <w:left w:val="single" w:color="000000" w:sz="8" w:space="0"/>
            <w:bottom w:val="single" w:color="000000" w:sz="8" w:space="0"/>
            <w:right w:val="single" w:color="000000" w:sz="8" w:space="0"/>
            <w:insideH w:val="single" w:color="000000" w:sz="8" w:space="0"/>
            <w:insideV w:val="single" w:color="000000" w:sz="8" w:space="0"/>
          </w:tblBorders>
          <w:shd w:val="clear" w:color="auto" w:fill="auto"/>
          <w:tblCellMar>
            <w:top w:w="0" w:type="dxa"/>
            <w:left w:w="108" w:type="dxa"/>
            <w:bottom w:w="0" w:type="dxa"/>
            <w:right w:w="108" w:type="dxa"/>
          </w:tblCellMar>
        </w:tblPrEx>
        <w:trPr>
          <w:trHeight w:val="23" w:hRule="atLeast"/>
        </w:trPr>
        <w:tc>
          <w:tcPr>
            <w:tcW w:w="931"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86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404"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1080" w:type="dxa"/>
            <w:vMerge w:val="continue"/>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p>
        </w:tc>
        <w:tc>
          <w:tcPr>
            <w:tcW w:w="2604" w:type="dxa"/>
            <w:tcBorders>
              <w:tl2br w:val="nil"/>
              <w:tr2bl w:val="nil"/>
            </w:tcBorders>
            <w:shd w:val="clear" w:color="auto" w:fill="auto"/>
            <w:vAlign w:val="center"/>
          </w:tcPr>
          <w:p>
            <w:pPr>
              <w:widowControl/>
              <w:jc w:val="center"/>
              <w:textAlignment w:val="center"/>
              <w:rPr>
                <w:rFonts w:hint="eastAsia"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满意度</w:t>
            </w:r>
          </w:p>
        </w:tc>
        <w:tc>
          <w:tcPr>
            <w:tcW w:w="1416" w:type="dxa"/>
            <w:tcBorders>
              <w:tl2br w:val="nil"/>
              <w:tr2bl w:val="nil"/>
            </w:tcBorders>
            <w:shd w:val="clear" w:color="auto" w:fill="auto"/>
            <w:vAlign w:val="center"/>
          </w:tcPr>
          <w:p>
            <w:pPr>
              <w:widowControl/>
              <w:jc w:val="center"/>
              <w:textAlignment w:val="center"/>
              <w:rPr>
                <w:rFonts w:hint="default" w:ascii="仿宋_GB2312" w:hAnsi="仿宋_GB2312" w:eastAsia="仿宋_GB2312" w:cs="仿宋_GB2312"/>
                <w:bCs/>
                <w:color w:val="000000"/>
                <w:kern w:val="0"/>
                <w:sz w:val="21"/>
                <w:szCs w:val="21"/>
                <w:highlight w:val="none"/>
                <w:lang w:val="en-US" w:eastAsia="zh-CN" w:bidi="ar"/>
              </w:rPr>
            </w:pPr>
            <w:r>
              <w:rPr>
                <w:rFonts w:hint="eastAsia" w:ascii="仿宋_GB2312" w:hAnsi="仿宋_GB2312" w:eastAsia="仿宋_GB2312" w:cs="仿宋_GB2312"/>
                <w:bCs/>
                <w:color w:val="000000"/>
                <w:kern w:val="0"/>
                <w:sz w:val="21"/>
                <w:szCs w:val="21"/>
                <w:highlight w:val="none"/>
                <w:lang w:val="en-US" w:eastAsia="zh-CN" w:bidi="ar"/>
              </w:rPr>
              <w:t>10</w:t>
            </w:r>
          </w:p>
        </w:tc>
      </w:tr>
    </w:tbl>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3" w:name="_Toc13610"/>
      <w:r>
        <w:rPr>
          <w:rFonts w:hint="eastAsia" w:ascii="楷体_GB2312" w:hAnsi="楷体_GB2312" w:eastAsia="楷体_GB2312" w:cs="楷体_GB2312"/>
          <w:b w:val="0"/>
          <w:bCs w:val="0"/>
          <w:highlight w:val="none"/>
          <w:lang w:val="en-US" w:eastAsia="zh-CN"/>
        </w:rPr>
        <w:t>（四）</w:t>
      </w:r>
      <w:r>
        <w:rPr>
          <w:rFonts w:hint="eastAsia" w:ascii="楷体_GB2312" w:hAnsi="楷体_GB2312" w:eastAsia="楷体_GB2312" w:cs="楷体_GB2312"/>
          <w:b w:val="0"/>
          <w:bCs w:val="0"/>
          <w:highlight w:val="none"/>
          <w:lang w:val="en-US"/>
        </w:rPr>
        <w:t>评价方法、评价标准</w:t>
      </w:r>
      <w:bookmarkEnd w:id="13"/>
    </w:p>
    <w:p>
      <w:pPr>
        <w:pStyle w:val="4"/>
        <w:spacing w:line="579" w:lineRule="exact"/>
        <w:ind w:firstLine="640"/>
        <w:rPr>
          <w:szCs w:val="32"/>
          <w:highlight w:val="none"/>
          <w:lang w:val="en-US"/>
        </w:rPr>
      </w:pPr>
      <w:r>
        <w:rPr>
          <w:rFonts w:hint="eastAsia"/>
          <w:szCs w:val="32"/>
          <w:highlight w:val="none"/>
          <w:lang w:val="en-US"/>
        </w:rPr>
        <w:t>绩效评价的方法主要包括比较法、因素分析法、公众评判法等。绩效</w:t>
      </w:r>
      <w:r>
        <w:rPr>
          <w:szCs w:val="32"/>
          <w:highlight w:val="none"/>
          <w:lang w:val="en-US"/>
        </w:rPr>
        <w:t>评价标准包括计划标准、行业标准、历史标准等，对绩效指标完成情况进行比较。</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4" w:name="_Toc17583"/>
      <w:r>
        <w:rPr>
          <w:rFonts w:hint="eastAsia" w:ascii="楷体_GB2312" w:hAnsi="楷体_GB2312" w:eastAsia="楷体_GB2312" w:cs="楷体_GB2312"/>
          <w:b w:val="0"/>
          <w:bCs w:val="0"/>
          <w:highlight w:val="none"/>
          <w:lang w:val="en-US" w:eastAsia="zh-CN"/>
        </w:rPr>
        <w:t>（五）</w:t>
      </w:r>
      <w:r>
        <w:rPr>
          <w:rFonts w:hint="eastAsia" w:ascii="楷体_GB2312" w:hAnsi="楷体_GB2312" w:eastAsia="楷体_GB2312" w:cs="楷体_GB2312"/>
          <w:b w:val="0"/>
          <w:bCs w:val="0"/>
          <w:highlight w:val="none"/>
          <w:lang w:val="en-US"/>
        </w:rPr>
        <w:t>绩效评价工作过程</w:t>
      </w:r>
      <w:bookmarkEnd w:id="14"/>
    </w:p>
    <w:p>
      <w:pPr>
        <w:spacing w:line="579"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绩效评价包括前期准备、组织实施、报告撰写、归档整理四个步骤。主要内容及工作安排如下：</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1.前期准备</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确定评价对象、范围和责任分工；成立评价小组，</w:t>
      </w:r>
      <w:r>
        <w:rPr>
          <w:rFonts w:hint="eastAsia" w:ascii="仿宋_GB2312" w:hAnsi="仿宋_GB2312" w:eastAsia="仿宋_GB2312" w:cs="仿宋_GB2312"/>
          <w:b w:val="0"/>
          <w:bCs w:val="0"/>
          <w:sz w:val="32"/>
          <w:szCs w:val="32"/>
          <w:highlight w:val="none"/>
          <w:lang w:val="en-US" w:eastAsia="zh-CN"/>
        </w:rPr>
        <w:t>召开专题</w:t>
      </w:r>
      <w:r>
        <w:rPr>
          <w:rFonts w:hint="eastAsia" w:ascii="仿宋_GB2312" w:hAnsi="仿宋_GB2312" w:eastAsia="仿宋_GB2312" w:cs="仿宋_GB2312"/>
          <w:b w:val="0"/>
          <w:bCs w:val="0"/>
          <w:sz w:val="32"/>
          <w:szCs w:val="32"/>
          <w:highlight w:val="none"/>
        </w:rPr>
        <w:t>会议；确定评价重点，设计评价指标体系初稿，撰写报告大纲。</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2.组织实施</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采集项目资料，确定指标体系；现场调研与访谈，数据分析；评价资料分析与论证，形成初步评价结论。</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3.报告撰写</w:t>
      </w:r>
    </w:p>
    <w:p>
      <w:pPr>
        <w:spacing w:line="579" w:lineRule="exact"/>
        <w:ind w:firstLine="640" w:firstLineChars="200"/>
        <w:rPr>
          <w:rFonts w:ascii="仿宋_GB2312" w:hAnsi="仿宋_GB2312" w:eastAsia="仿宋_GB2312" w:cs="仿宋_GB2312"/>
          <w:b w:val="0"/>
          <w:bCs w:val="0"/>
          <w:sz w:val="32"/>
          <w:szCs w:val="32"/>
          <w:highlight w:val="none"/>
        </w:rPr>
      </w:pPr>
      <w:r>
        <w:rPr>
          <w:rFonts w:hint="eastAsia" w:ascii="仿宋_GB2312" w:hAnsi="仿宋_GB2312" w:eastAsia="仿宋_GB2312" w:cs="仿宋_GB2312"/>
          <w:b w:val="0"/>
          <w:bCs w:val="0"/>
          <w:sz w:val="32"/>
          <w:szCs w:val="32"/>
          <w:highlight w:val="none"/>
        </w:rPr>
        <w:t>评价资料补充采集，问题梳理与改善建议；撰写报告初稿，开展内部研讨与问题论证；形成绩效评价报告征求意见稿并征求意见；意见采纳，形成正式绩效评价报告。</w:t>
      </w:r>
    </w:p>
    <w:p>
      <w:pPr>
        <w:pStyle w:val="70"/>
        <w:tabs>
          <w:tab w:val="left" w:pos="1425"/>
        </w:tabs>
        <w:spacing w:line="579" w:lineRule="exact"/>
        <w:ind w:firstLine="643" w:firstLineChars="200"/>
        <w:outlineLvl w:val="2"/>
        <w:rPr>
          <w:rFonts w:ascii="仿宋_GB2312" w:hAnsi="仿宋_GB2312" w:eastAsia="仿宋_GB2312" w:cs="仿宋_GB2312"/>
          <w:b/>
          <w:bCs/>
          <w:color w:val="000000" w:themeColor="text1"/>
          <w:sz w:val="32"/>
          <w:szCs w:val="32"/>
          <w:highlight w:val="none"/>
          <w:lang w:val="en-US" w:eastAsia="zh-CN"/>
          <w14:textFill>
            <w14:solidFill>
              <w14:schemeClr w14:val="tx1"/>
            </w14:solidFill>
          </w14:textFill>
        </w:rPr>
      </w:pPr>
      <w:r>
        <w:rPr>
          <w:rFonts w:hint="eastAsia" w:ascii="仿宋_GB2312" w:hAnsi="仿宋_GB2312" w:eastAsia="仿宋_GB2312" w:cs="仿宋_GB2312"/>
          <w:b/>
          <w:bCs/>
          <w:color w:val="000000" w:themeColor="text1"/>
          <w:sz w:val="32"/>
          <w:szCs w:val="32"/>
          <w:highlight w:val="none"/>
          <w:lang w:val="en-US" w:eastAsia="zh-CN"/>
          <w14:textFill>
            <w14:solidFill>
              <w14:schemeClr w14:val="tx1"/>
            </w14:solidFill>
          </w14:textFill>
        </w:rPr>
        <w:t>4.归档整理</w:t>
      </w:r>
    </w:p>
    <w:p>
      <w:pPr>
        <w:spacing w:line="579" w:lineRule="exact"/>
        <w:ind w:firstLine="640" w:firstLineChars="200"/>
        <w:rPr>
          <w:rFonts w:ascii="仿宋_GB2312" w:hAnsi="仿宋_GB2312" w:eastAsia="仿宋_GB2312" w:cs="仿宋_GB2312"/>
          <w:sz w:val="32"/>
          <w:szCs w:val="32"/>
          <w:highlight w:val="none"/>
        </w:rPr>
      </w:pPr>
      <w:r>
        <w:rPr>
          <w:rFonts w:hint="eastAsia" w:ascii="仿宋_GB2312" w:hAnsi="仿宋_GB2312" w:eastAsia="仿宋_GB2312" w:cs="仿宋_GB2312"/>
          <w:sz w:val="32"/>
          <w:szCs w:val="32"/>
          <w:highlight w:val="none"/>
        </w:rPr>
        <w:t>报告定稿后5个工作日内，评价小组及时建立绩效评价档案，将绩效评价各环节相关资料整理归档。</w:t>
      </w:r>
    </w:p>
    <w:p>
      <w:pPr>
        <w:pStyle w:val="3"/>
        <w:spacing w:before="0" w:after="0" w:line="579" w:lineRule="exact"/>
        <w:ind w:firstLine="640"/>
        <w:rPr>
          <w:highlight w:val="none"/>
        </w:rPr>
      </w:pPr>
      <w:bookmarkStart w:id="15" w:name="_Toc7532"/>
      <w:r>
        <w:rPr>
          <w:rFonts w:hint="eastAsia"/>
          <w:highlight w:val="none"/>
          <w:lang w:val="en-US"/>
        </w:rPr>
        <w:t>综合评价情况及评价结论</w:t>
      </w:r>
      <w:bookmarkEnd w:id="15"/>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评价小组根据指标体系，结合项目相关资料、现场调研及问卷调查等获取的</w:t>
      </w:r>
      <w:r>
        <w:rPr>
          <w:rFonts w:hint="eastAsia" w:ascii="仿宋_GB2312" w:hAnsi="仿宋_GB2312" w:cs="仿宋_GB2312"/>
          <w:szCs w:val="32"/>
          <w:highlight w:val="none"/>
          <w:lang w:val="en-US" w:eastAsia="zh-CN"/>
        </w:rPr>
        <w:t>数据</w:t>
      </w:r>
      <w:r>
        <w:rPr>
          <w:rFonts w:hint="eastAsia" w:ascii="仿宋_GB2312" w:hAnsi="仿宋_GB2312" w:cs="仿宋_GB2312"/>
          <w:szCs w:val="32"/>
          <w:highlight w:val="none"/>
        </w:rPr>
        <w:t>，对</w:t>
      </w:r>
      <w:r>
        <w:rPr>
          <w:rFonts w:hint="eastAsia" w:ascii="仿宋_GB2312" w:hAnsi="仿宋_GB2312" w:cs="仿宋_GB2312"/>
          <w:szCs w:val="32"/>
          <w:highlight w:val="none"/>
          <w:lang w:val="en-US"/>
        </w:rPr>
        <w:t>本项目</w:t>
      </w:r>
      <w:r>
        <w:rPr>
          <w:rFonts w:hint="eastAsia" w:ascii="仿宋_GB2312" w:hAnsi="仿宋_GB2312" w:cs="仿宋_GB2312"/>
          <w:szCs w:val="32"/>
          <w:highlight w:val="none"/>
        </w:rPr>
        <w:t>进行综合评价，最终评价结果为94.9分。综合评价等级为“</w:t>
      </w:r>
      <w:r>
        <w:rPr>
          <w:rFonts w:hint="eastAsia" w:ascii="仿宋_GB2312" w:hAnsi="仿宋_GB2312" w:cs="仿宋_GB2312"/>
          <w:szCs w:val="32"/>
          <w:highlight w:val="none"/>
          <w:lang w:val="en-US"/>
        </w:rPr>
        <w:t>优</w:t>
      </w:r>
      <w:r>
        <w:rPr>
          <w:rFonts w:hint="eastAsia" w:ascii="仿宋_GB2312" w:hAnsi="仿宋_GB2312" w:cs="仿宋_GB2312"/>
          <w:szCs w:val="32"/>
          <w:highlight w:val="none"/>
        </w:rPr>
        <w:t>”</w:t>
      </w:r>
      <w:r>
        <w:rPr>
          <w:rStyle w:val="25"/>
          <w:rFonts w:hint="eastAsia" w:ascii="仿宋_GB2312" w:hAnsi="仿宋_GB2312" w:cs="仿宋_GB2312"/>
          <w:szCs w:val="32"/>
          <w:highlight w:val="none"/>
        </w:rPr>
        <w:footnoteReference w:id="3"/>
      </w:r>
      <w:r>
        <w:rPr>
          <w:rFonts w:hint="eastAsia" w:ascii="仿宋_GB2312" w:hAnsi="仿宋_GB2312" w:cs="仿宋_GB2312"/>
          <w:szCs w:val="32"/>
          <w:highlight w:val="none"/>
        </w:rPr>
        <w:t>。各指标具体得分详见表</w:t>
      </w:r>
      <w:r>
        <w:rPr>
          <w:rFonts w:hint="eastAsia" w:ascii="仿宋_GB2312" w:hAnsi="仿宋_GB2312" w:cs="仿宋_GB2312"/>
          <w:szCs w:val="32"/>
          <w:highlight w:val="none"/>
          <w:lang w:val="en-US" w:eastAsia="zh-CN"/>
        </w:rPr>
        <w:t>4</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各指标得分情况及扣分原因见附件</w:t>
      </w:r>
      <w:r>
        <w:rPr>
          <w:rFonts w:hint="eastAsia" w:ascii="仿宋_GB2312" w:hAnsi="仿宋_GB2312" w:cs="仿宋_GB2312"/>
          <w:szCs w:val="32"/>
          <w:highlight w:val="none"/>
          <w:lang w:val="en-US" w:eastAsia="zh-CN"/>
        </w:rPr>
        <w:t>1</w:t>
      </w:r>
      <w:r>
        <w:rPr>
          <w:rFonts w:hint="eastAsia" w:ascii="仿宋_GB2312" w:hAnsi="仿宋_GB2312" w:cs="仿宋_GB2312"/>
          <w:szCs w:val="32"/>
          <w:highlight w:val="none"/>
        </w:rPr>
        <w:t>。</w:t>
      </w:r>
    </w:p>
    <w:p>
      <w:pPr>
        <w:pStyle w:val="65"/>
        <w:spacing w:before="0" w:after="0" w:line="579" w:lineRule="exact"/>
        <w:rPr>
          <w:rFonts w:ascii="仿宋_GB2312" w:hAnsi="仿宋_GB2312" w:eastAsia="仿宋_GB2312" w:cs="仿宋_GB2312"/>
          <w:b w:val="0"/>
          <w:bCs/>
          <w:highlight w:val="none"/>
        </w:rPr>
      </w:pPr>
      <w:r>
        <w:rPr>
          <w:rFonts w:hint="eastAsia" w:ascii="仿宋_GB2312" w:hAnsi="仿宋_GB2312" w:eastAsia="仿宋_GB2312" w:cs="仿宋_GB2312"/>
          <w:b w:val="0"/>
          <w:bCs/>
          <w:highlight w:val="none"/>
        </w:rPr>
        <w:t>表</w:t>
      </w:r>
      <w:r>
        <w:rPr>
          <w:rFonts w:hint="eastAsia" w:ascii="仿宋_GB2312" w:hAnsi="仿宋_GB2312" w:eastAsia="仿宋_GB2312" w:cs="仿宋_GB2312"/>
          <w:b w:val="0"/>
          <w:bCs/>
          <w:highlight w:val="none"/>
          <w:lang w:val="en-US" w:eastAsia="zh-CN"/>
        </w:rPr>
        <w:t>4</w:t>
      </w:r>
      <w:r>
        <w:rPr>
          <w:rFonts w:hint="eastAsia" w:ascii="仿宋_GB2312" w:hAnsi="仿宋_GB2312" w:eastAsia="仿宋_GB2312" w:cs="仿宋_GB2312"/>
          <w:b w:val="0"/>
          <w:bCs/>
          <w:highlight w:val="none"/>
        </w:rPr>
        <w:t xml:space="preserve">  本项目各项指标得分</w:t>
      </w:r>
      <w:r>
        <w:rPr>
          <w:rFonts w:hint="eastAsia" w:ascii="仿宋_GB2312" w:hAnsi="仿宋_GB2312" w:eastAsia="仿宋_GB2312" w:cs="仿宋_GB2312"/>
          <w:b w:val="0"/>
          <w:bCs/>
          <w:highlight w:val="none"/>
          <w:lang w:val="en-US" w:eastAsia="zh-CN"/>
        </w:rPr>
        <w:t>情况</w:t>
      </w:r>
      <w:r>
        <w:rPr>
          <w:rFonts w:hint="eastAsia" w:ascii="仿宋_GB2312" w:hAnsi="仿宋_GB2312" w:eastAsia="仿宋_GB2312" w:cs="仿宋_GB2312"/>
          <w:b w:val="0"/>
          <w:bCs/>
          <w:highlight w:val="none"/>
        </w:rPr>
        <w:t>表</w:t>
      </w:r>
    </w:p>
    <w:tbl>
      <w:tblPr>
        <w:tblStyle w:val="20"/>
        <w:tblW w:w="8517" w:type="dxa"/>
        <w:tblInd w:w="0" w:type="dxa"/>
        <w:shd w:val="clear" w:color="auto" w:fill="auto"/>
        <w:tblLayout w:type="fixed"/>
        <w:tblCellMar>
          <w:top w:w="0" w:type="dxa"/>
          <w:left w:w="108" w:type="dxa"/>
          <w:bottom w:w="0" w:type="dxa"/>
          <w:right w:w="108" w:type="dxa"/>
        </w:tblCellMar>
      </w:tblPr>
      <w:tblGrid>
        <w:gridCol w:w="1391"/>
        <w:gridCol w:w="808"/>
        <w:gridCol w:w="956"/>
        <w:gridCol w:w="1103"/>
        <w:gridCol w:w="1391"/>
        <w:gridCol w:w="808"/>
        <w:gridCol w:w="956"/>
        <w:gridCol w:w="1104"/>
      </w:tblGrid>
      <w:tr>
        <w:tblPrEx>
          <w:shd w:val="clear" w:color="auto" w:fill="auto"/>
          <w:tblCellMar>
            <w:top w:w="0" w:type="dxa"/>
            <w:left w:w="108" w:type="dxa"/>
            <w:bottom w:w="0" w:type="dxa"/>
            <w:right w:w="108" w:type="dxa"/>
          </w:tblCellMar>
        </w:tblPrEx>
        <w:trPr>
          <w:trHeight w:val="23" w:hRule="atLeast"/>
          <w:tblHeader/>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一级指标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得分率</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二级指标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分值</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得分率</w:t>
            </w:r>
          </w:p>
        </w:tc>
      </w:tr>
      <w:tr>
        <w:tblPrEx>
          <w:shd w:val="clear" w:color="auto" w:fill="auto"/>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决策</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rPr>
              <w:t>95%</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项目立项</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绩效目标</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7</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87</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5</w:t>
            </w:r>
            <w:r>
              <w:rPr>
                <w:rFonts w:hint="eastAsia" w:ascii="仿宋_GB2312" w:hAnsi="仿宋_GB2312" w:eastAsia="仿宋_GB2312" w:cs="仿宋_GB2312"/>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资金投入</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6</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6</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23"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过程</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20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19.91</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99</w:t>
            </w:r>
            <w:r>
              <w:rPr>
                <w:rFonts w:hint="eastAsia" w:ascii="仿宋_GB2312" w:hAnsi="仿宋_GB2312" w:eastAsia="仿宋_GB2312" w:cs="仿宋_GB2312"/>
                <w:sz w:val="21"/>
                <w:szCs w:val="21"/>
                <w:highlight w:val="none"/>
                <w:lang w:val="en-US" w:eastAsia="zh-CN"/>
              </w:rPr>
              <w:t>.</w:t>
            </w:r>
            <w:r>
              <w:rPr>
                <w:rFonts w:hint="default" w:ascii="仿宋_GB2312" w:hAnsi="仿宋_GB2312" w:eastAsia="仿宋_GB2312" w:cs="仿宋_GB2312"/>
                <w:sz w:val="21"/>
                <w:szCs w:val="21"/>
                <w:highlight w:val="none"/>
                <w:lang w:val="en-US" w:eastAsia="zh-CN"/>
              </w:rPr>
              <w:t>55</w:t>
            </w:r>
            <w:r>
              <w:rPr>
                <w:rFonts w:hint="eastAsia" w:ascii="仿宋_GB2312" w:hAnsi="仿宋_GB2312" w:eastAsia="仿宋_GB2312" w:cs="仿宋_GB2312"/>
                <w:sz w:val="21"/>
                <w:szCs w:val="21"/>
                <w:highlight w:val="none"/>
                <w:lang w:val="en-US" w:eastAsia="zh-CN"/>
              </w:rPr>
              <w:t>%</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资金管理</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12</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11.91</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99</w:t>
            </w:r>
            <w:r>
              <w:rPr>
                <w:rFonts w:hint="eastAsia" w:ascii="仿宋_GB2312" w:hAnsi="仿宋_GB2312" w:eastAsia="仿宋_GB2312" w:cs="仿宋_GB2312"/>
                <w:sz w:val="21"/>
                <w:szCs w:val="21"/>
                <w:highlight w:val="none"/>
                <w:lang w:val="en-US" w:eastAsia="zh-CN"/>
              </w:rPr>
              <w:t>.</w:t>
            </w:r>
            <w:r>
              <w:rPr>
                <w:rFonts w:hint="default" w:ascii="仿宋_GB2312" w:hAnsi="仿宋_GB2312" w:eastAsia="仿宋_GB2312" w:cs="仿宋_GB2312"/>
                <w:sz w:val="21"/>
                <w:szCs w:val="21"/>
                <w:highlight w:val="none"/>
                <w:lang w:val="en-US" w:eastAsia="zh-CN"/>
              </w:rPr>
              <w:t>25</w:t>
            </w:r>
            <w:r>
              <w:rPr>
                <w:rFonts w:hint="eastAsia" w:ascii="仿宋_GB2312" w:hAnsi="仿宋_GB2312" w:eastAsia="仿宋_GB2312" w:cs="仿宋_GB2312"/>
                <w:sz w:val="21"/>
                <w:szCs w:val="21"/>
                <w:highlight w:val="none"/>
                <w:lang w:val="en-US" w:eastAsia="zh-CN"/>
              </w:rPr>
              <w:t>%</w:t>
            </w:r>
          </w:p>
        </w:tc>
      </w:tr>
      <w:tr>
        <w:tblPrEx>
          <w:shd w:val="clear" w:color="auto" w:fill="auto"/>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组织实施</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8</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100%</w:t>
            </w:r>
          </w:p>
        </w:tc>
      </w:tr>
      <w:tr>
        <w:tblPrEx>
          <w:shd w:val="clear" w:color="auto" w:fill="auto"/>
          <w:tblCellMar>
            <w:top w:w="0" w:type="dxa"/>
            <w:left w:w="108" w:type="dxa"/>
            <w:bottom w:w="0" w:type="dxa"/>
            <w:right w:w="108" w:type="dxa"/>
          </w:tblCellMar>
        </w:tblPrEx>
        <w:trPr>
          <w:trHeight w:val="312" w:hRule="atLeast"/>
        </w:trPr>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产出</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26.99</w:t>
            </w:r>
          </w:p>
        </w:tc>
        <w:tc>
          <w:tcPr>
            <w:tcW w:w="1103"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default" w:ascii="仿宋_GB2312" w:hAnsi="仿宋_GB2312" w:eastAsia="仿宋_GB2312" w:cs="仿宋_GB2312"/>
                <w:sz w:val="21"/>
                <w:szCs w:val="21"/>
                <w:highlight w:val="none"/>
                <w:lang w:val="en-US" w:eastAsia="zh-CN"/>
              </w:rPr>
              <w:t>89</w:t>
            </w:r>
            <w:r>
              <w:rPr>
                <w:rFonts w:hint="eastAsia" w:ascii="仿宋_GB2312" w:hAnsi="仿宋_GB2312" w:eastAsia="仿宋_GB2312" w:cs="仿宋_GB2312"/>
                <w:sz w:val="21"/>
                <w:szCs w:val="21"/>
                <w:highlight w:val="none"/>
                <w:lang w:val="en-US" w:eastAsia="zh-CN"/>
              </w:rPr>
              <w:t>.</w:t>
            </w:r>
            <w:r>
              <w:rPr>
                <w:rFonts w:hint="default" w:ascii="仿宋_GB2312" w:hAnsi="仿宋_GB2312" w:eastAsia="仿宋_GB2312" w:cs="仿宋_GB2312"/>
                <w:sz w:val="21"/>
                <w:szCs w:val="21"/>
                <w:highlight w:val="none"/>
                <w:lang w:val="en-US" w:eastAsia="zh-CN"/>
              </w:rPr>
              <w:t>9</w:t>
            </w:r>
            <w:r>
              <w:rPr>
                <w:rFonts w:hint="eastAsia" w:ascii="仿宋_GB2312" w:hAnsi="仿宋_GB2312" w:eastAsia="仿宋_GB2312" w:cs="仿宋_GB2312"/>
                <w:sz w:val="21"/>
                <w:szCs w:val="21"/>
                <w:highlight w:val="none"/>
                <w:lang w:val="en-US" w:eastAsia="zh-CN"/>
              </w:rPr>
              <w:t>7%</w:t>
            </w: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产出数量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highlight w:val="none"/>
                <w:lang w:val="en-US" w:eastAsia="zh-CN"/>
              </w:rPr>
              <w:t>100%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i w:val="0"/>
                <w:iCs w:val="0"/>
                <w:color w:val="000000"/>
                <w:kern w:val="0"/>
                <w:sz w:val="21"/>
                <w:szCs w:val="21"/>
                <w:highlight w:val="none"/>
                <w:u w:val="none"/>
                <w:lang w:val="en-US" w:eastAsia="zh-CN" w:bidi="ar"/>
              </w:rPr>
            </w:pPr>
            <w:r>
              <w:rPr>
                <w:rFonts w:hint="eastAsia" w:ascii="仿宋_GB2312" w:hAnsi="仿宋_GB2312" w:eastAsia="仿宋_GB2312" w:cs="仿宋_GB2312"/>
                <w:sz w:val="21"/>
                <w:szCs w:val="21"/>
                <w:highlight w:val="none"/>
                <w:lang w:val="en-US" w:eastAsia="zh-CN"/>
              </w:rPr>
              <w:t>产出质量</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9</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9</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sz w:val="21"/>
                <w:szCs w:val="21"/>
                <w:highlight w:val="none"/>
                <w:lang w:val="en-US" w:eastAsia="zh-CN"/>
              </w:rPr>
              <w:t>100%</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23"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产出时效</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8</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7.27</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90</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8</w:t>
            </w:r>
            <w:r>
              <w:rPr>
                <w:rFonts w:hint="eastAsia" w:ascii="仿宋_GB2312" w:hAnsi="仿宋_GB2312" w:eastAsia="仿宋_GB2312" w:cs="仿宋_GB2312"/>
                <w:sz w:val="21"/>
                <w:szCs w:val="21"/>
                <w:highlight w:val="none"/>
                <w:lang w:val="en-US" w:eastAsia="zh-CN"/>
              </w:rPr>
              <w:t>8%</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kinsoku/>
              <w:wordWrap/>
              <w:overflowPunct/>
              <w:topLinePunct w:val="0"/>
              <w:autoSpaceDE/>
              <w:autoSpaceDN/>
              <w:bidi w:val="0"/>
              <w:adjustRightInd/>
              <w:snapToGrid/>
              <w:spacing w:line="240" w:lineRule="auto"/>
              <w:jc w:val="center"/>
              <w:rPr>
                <w:rFonts w:hint="eastAsia" w:ascii="仿宋_GB2312" w:hAnsi="仿宋_GB2312" w:eastAsia="仿宋_GB2312" w:cs="仿宋_GB2312"/>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hint="eastAsia" w:ascii="仿宋_GB2312" w:hAnsi="仿宋_GB2312" w:eastAsia="仿宋_GB2312" w:cs="仿宋_GB2312"/>
                <w:sz w:val="21"/>
                <w:szCs w:val="21"/>
                <w:highlight w:val="none"/>
              </w:rPr>
            </w:pPr>
          </w:p>
        </w:tc>
        <w:tc>
          <w:tcPr>
            <w:tcW w:w="1391"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产出成本</w:t>
            </w:r>
          </w:p>
        </w:tc>
        <w:tc>
          <w:tcPr>
            <w:tcW w:w="808"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4</w:t>
            </w:r>
          </w:p>
        </w:tc>
        <w:tc>
          <w:tcPr>
            <w:tcW w:w="956"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1.72</w:t>
            </w:r>
          </w:p>
        </w:tc>
        <w:tc>
          <w:tcPr>
            <w:tcW w:w="11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43%</w:t>
            </w:r>
          </w:p>
        </w:tc>
      </w:tr>
      <w:tr>
        <w:tblPrEx>
          <w:tblCellMar>
            <w:top w:w="0" w:type="dxa"/>
            <w:left w:w="108" w:type="dxa"/>
            <w:bottom w:w="0" w:type="dxa"/>
            <w:right w:w="108" w:type="dxa"/>
          </w:tblCellMar>
        </w:tblPrEx>
        <w:trPr>
          <w:trHeight w:val="312" w:hRule="atLeast"/>
        </w:trPr>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3"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391"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808"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956"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c>
          <w:tcPr>
            <w:tcW w:w="11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pStyle w:val="56"/>
              <w:keepNext w:val="0"/>
              <w:keepLines w:val="0"/>
              <w:pageBreakBefore w:val="0"/>
              <w:kinsoku/>
              <w:wordWrap/>
              <w:overflowPunct/>
              <w:topLinePunct w:val="0"/>
              <w:autoSpaceDE/>
              <w:autoSpaceDN/>
              <w:bidi w:val="0"/>
              <w:adjustRightInd/>
              <w:snapToGrid/>
              <w:spacing w:line="240" w:lineRule="auto"/>
              <w:rPr>
                <w:rFonts w:hint="eastAsia" w:ascii="仿宋_GB2312" w:hAnsi="仿宋_GB2312" w:eastAsia="仿宋_GB2312" w:cs="仿宋_GB2312"/>
                <w:color w:val="auto"/>
                <w:sz w:val="21"/>
                <w:szCs w:val="21"/>
                <w:highlight w:val="none"/>
              </w:rPr>
            </w:pP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color w:val="000000"/>
                <w:kern w:val="0"/>
                <w:sz w:val="21"/>
                <w:szCs w:val="21"/>
                <w:highlight w:val="none"/>
                <w:lang w:bidi="ar"/>
              </w:rPr>
              <w:t>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29</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96</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6</w:t>
            </w:r>
            <w:r>
              <w:rPr>
                <w:rFonts w:hint="eastAsia" w:ascii="仿宋_GB2312" w:hAnsi="仿宋_GB2312" w:eastAsia="仿宋_GB2312" w:cs="仿宋_GB2312"/>
                <w:sz w:val="21"/>
                <w:szCs w:val="21"/>
                <w:highlight w:val="none"/>
                <w:lang w:val="en-US" w:eastAsia="zh-CN"/>
              </w:rPr>
              <w:t>7%</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项目效益</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sz w:val="21"/>
                <w:szCs w:val="21"/>
                <w:highlight w:val="none"/>
              </w:rPr>
            </w:pPr>
            <w:r>
              <w:rPr>
                <w:rFonts w:hint="eastAsia" w:ascii="仿宋_GB2312" w:hAnsi="仿宋_GB2312" w:eastAsia="仿宋_GB2312" w:cs="仿宋_GB2312"/>
                <w:i w:val="0"/>
                <w:iCs w:val="0"/>
                <w:color w:val="000000"/>
                <w:kern w:val="0"/>
                <w:sz w:val="21"/>
                <w:szCs w:val="21"/>
                <w:highlight w:val="none"/>
                <w:u w:val="none"/>
                <w:lang w:val="en-US" w:eastAsia="zh-CN" w:bidi="ar"/>
              </w:rPr>
              <w:t>30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lang w:val="en-US" w:eastAsia="zh-CN"/>
              </w:rPr>
              <w:t>29</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sz w:val="21"/>
                <w:szCs w:val="21"/>
                <w:highlight w:val="none"/>
                <w:lang w:val="en-US" w:eastAsia="zh-CN"/>
              </w:rPr>
            </w:pPr>
            <w:r>
              <w:rPr>
                <w:rFonts w:hint="eastAsia" w:ascii="仿宋_GB2312" w:hAnsi="仿宋_GB2312" w:eastAsia="仿宋_GB2312" w:cs="仿宋_GB2312"/>
                <w:sz w:val="21"/>
                <w:szCs w:val="21"/>
                <w:highlight w:val="none"/>
              </w:rPr>
              <w:t>96</w:t>
            </w:r>
            <w:r>
              <w:rPr>
                <w:rFonts w:hint="eastAsia" w:ascii="仿宋_GB2312" w:hAnsi="仿宋_GB2312" w:eastAsia="仿宋_GB2312" w:cs="仿宋_GB2312"/>
                <w:sz w:val="21"/>
                <w:szCs w:val="21"/>
                <w:highlight w:val="none"/>
                <w:lang w:eastAsia="zh-CN"/>
              </w:rPr>
              <w:t>.</w:t>
            </w:r>
            <w:r>
              <w:rPr>
                <w:rFonts w:hint="eastAsia" w:ascii="仿宋_GB2312" w:hAnsi="仿宋_GB2312" w:eastAsia="仿宋_GB2312" w:cs="仿宋_GB2312"/>
                <w:sz w:val="21"/>
                <w:szCs w:val="21"/>
                <w:highlight w:val="none"/>
              </w:rPr>
              <w:t>6</w:t>
            </w:r>
            <w:r>
              <w:rPr>
                <w:rFonts w:hint="eastAsia" w:ascii="仿宋_GB2312" w:hAnsi="仿宋_GB2312" w:eastAsia="仿宋_GB2312" w:cs="仿宋_GB2312"/>
                <w:sz w:val="21"/>
                <w:szCs w:val="21"/>
                <w:highlight w:val="none"/>
                <w:lang w:val="en-US" w:eastAsia="zh-CN"/>
              </w:rPr>
              <w:t>7%</w:t>
            </w:r>
          </w:p>
        </w:tc>
      </w:tr>
      <w:tr>
        <w:tblPrEx>
          <w:tblCellMar>
            <w:top w:w="0" w:type="dxa"/>
            <w:left w:w="108" w:type="dxa"/>
            <w:bottom w:w="0" w:type="dxa"/>
            <w:right w:w="108" w:type="dxa"/>
          </w:tblCellMar>
        </w:tblPrEx>
        <w:trPr>
          <w:trHeight w:val="23" w:hRule="atLeast"/>
        </w:trPr>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snapToGrid/>
              <w:spacing w:line="240" w:lineRule="auto"/>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color w:val="000000"/>
                <w:kern w:val="0"/>
                <w:sz w:val="21"/>
                <w:szCs w:val="21"/>
                <w:highlight w:val="none"/>
                <w:lang w:bidi="ar"/>
              </w:rPr>
              <w:t>总分</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94.9</w:t>
            </w:r>
          </w:p>
        </w:tc>
        <w:tc>
          <w:tcPr>
            <w:tcW w:w="1103"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94.9%</w:t>
            </w:r>
          </w:p>
        </w:tc>
        <w:tc>
          <w:tcPr>
            <w:tcW w:w="139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w:t>
            </w:r>
          </w:p>
        </w:tc>
        <w:tc>
          <w:tcPr>
            <w:tcW w:w="808"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eastAsia" w:ascii="仿宋_GB2312" w:hAnsi="仿宋_GB2312" w:eastAsia="仿宋_GB2312" w:cs="仿宋_GB2312"/>
                <w:b/>
                <w:bCs/>
                <w:sz w:val="21"/>
                <w:szCs w:val="21"/>
                <w:highlight w:val="none"/>
              </w:rPr>
            </w:pPr>
            <w:r>
              <w:rPr>
                <w:rFonts w:hint="eastAsia" w:ascii="仿宋_GB2312" w:hAnsi="仿宋_GB2312" w:eastAsia="仿宋_GB2312" w:cs="仿宋_GB2312"/>
                <w:b/>
                <w:bCs/>
                <w:i w:val="0"/>
                <w:iCs w:val="0"/>
                <w:color w:val="000000"/>
                <w:kern w:val="0"/>
                <w:sz w:val="21"/>
                <w:szCs w:val="21"/>
                <w:highlight w:val="none"/>
                <w:u w:val="none"/>
                <w:lang w:val="en-US" w:eastAsia="zh-CN" w:bidi="ar"/>
              </w:rPr>
              <w:t>100</w:t>
            </w:r>
          </w:p>
        </w:tc>
        <w:tc>
          <w:tcPr>
            <w:tcW w:w="956"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eastAsia="zh-CN"/>
              </w:rPr>
            </w:pPr>
            <w:r>
              <w:rPr>
                <w:rFonts w:hint="eastAsia" w:ascii="仿宋_GB2312" w:hAnsi="仿宋_GB2312" w:eastAsia="仿宋_GB2312" w:cs="仿宋_GB2312"/>
                <w:b/>
                <w:bCs/>
                <w:sz w:val="21"/>
                <w:szCs w:val="21"/>
                <w:highlight w:val="none"/>
                <w:lang w:val="en-US" w:eastAsia="zh-CN"/>
              </w:rPr>
              <w:t>94.9</w:t>
            </w:r>
          </w:p>
        </w:tc>
        <w:tc>
          <w:tcPr>
            <w:tcW w:w="110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b/>
                <w:bCs/>
                <w:sz w:val="21"/>
                <w:szCs w:val="21"/>
                <w:highlight w:val="none"/>
                <w:lang w:val="en-US"/>
              </w:rPr>
            </w:pPr>
            <w:r>
              <w:rPr>
                <w:rFonts w:hint="eastAsia" w:ascii="仿宋_GB2312" w:hAnsi="仿宋_GB2312" w:eastAsia="仿宋_GB2312" w:cs="仿宋_GB2312"/>
                <w:b/>
                <w:bCs/>
                <w:sz w:val="21"/>
                <w:szCs w:val="21"/>
                <w:highlight w:val="none"/>
                <w:lang w:val="en-US" w:eastAsia="zh-CN"/>
              </w:rPr>
              <w:t>94.9%</w:t>
            </w:r>
          </w:p>
        </w:tc>
      </w:tr>
    </w:tbl>
    <w:p>
      <w:pPr>
        <w:pStyle w:val="3"/>
        <w:spacing w:before="0" w:after="0" w:line="579" w:lineRule="exact"/>
        <w:ind w:firstLine="640"/>
        <w:rPr>
          <w:highlight w:val="none"/>
          <w:lang w:val="en-US"/>
        </w:rPr>
      </w:pPr>
      <w:bookmarkStart w:id="16" w:name="_Toc898"/>
      <w:bookmarkStart w:id="17" w:name="_Toc64647750"/>
      <w:r>
        <w:rPr>
          <w:rFonts w:hint="eastAsia"/>
          <w:highlight w:val="none"/>
          <w:lang w:val="en-US"/>
        </w:rPr>
        <w:t>绩效评价指标分析</w:t>
      </w:r>
      <w:bookmarkEnd w:id="16"/>
      <w:bookmarkEnd w:id="1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8" w:name="_Toc11724"/>
      <w:r>
        <w:rPr>
          <w:rFonts w:hint="eastAsia" w:ascii="楷体_GB2312" w:hAnsi="楷体_GB2312" w:eastAsia="楷体_GB2312" w:cs="楷体_GB2312"/>
          <w:b w:val="0"/>
          <w:bCs w:val="0"/>
          <w:highlight w:val="none"/>
          <w:lang w:val="en-US" w:eastAsia="zh-CN"/>
        </w:rPr>
        <w:t>（一）</w:t>
      </w:r>
      <w:r>
        <w:rPr>
          <w:rFonts w:hint="eastAsia" w:ascii="楷体_GB2312" w:hAnsi="楷体_GB2312" w:eastAsia="楷体_GB2312" w:cs="楷体_GB2312"/>
          <w:b w:val="0"/>
          <w:bCs w:val="0"/>
          <w:highlight w:val="none"/>
          <w:lang w:val="en-US"/>
        </w:rPr>
        <w:t>项目决策情况</w:t>
      </w:r>
      <w:bookmarkEnd w:id="18"/>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决策</w:t>
      </w:r>
      <w:r>
        <w:rPr>
          <w:rFonts w:hint="eastAsia" w:ascii="仿宋_GB2312" w:hAnsi="仿宋_GB2312" w:cs="仿宋_GB2312"/>
          <w:szCs w:val="32"/>
          <w:highlight w:val="none"/>
        </w:rPr>
        <w:t>指标从“</w:t>
      </w:r>
      <w:r>
        <w:rPr>
          <w:rFonts w:hint="eastAsia" w:ascii="仿宋_GB2312" w:hAnsi="仿宋_GB2312" w:cs="仿宋_GB2312"/>
          <w:szCs w:val="32"/>
          <w:highlight w:val="none"/>
          <w:lang w:val="en-US"/>
        </w:rPr>
        <w:t>项目立项</w:t>
      </w:r>
      <w:r>
        <w:rPr>
          <w:rFonts w:hint="eastAsia" w:ascii="仿宋_GB2312" w:hAnsi="仿宋_GB2312" w:cs="仿宋_GB2312"/>
          <w:szCs w:val="32"/>
          <w:highlight w:val="none"/>
        </w:rPr>
        <w:t>”“</w:t>
      </w:r>
      <w:r>
        <w:rPr>
          <w:rFonts w:hint="eastAsia" w:ascii="仿宋_GB2312" w:hAnsi="仿宋_GB2312" w:cs="仿宋_GB2312"/>
          <w:szCs w:val="32"/>
          <w:highlight w:val="none"/>
          <w:lang w:val="en-US"/>
        </w:rPr>
        <w:t>绩效</w:t>
      </w:r>
      <w:r>
        <w:rPr>
          <w:rFonts w:hint="eastAsia" w:ascii="仿宋_GB2312" w:hAnsi="仿宋_GB2312" w:cs="仿宋_GB2312"/>
          <w:szCs w:val="32"/>
          <w:highlight w:val="none"/>
        </w:rPr>
        <w:t>目标”“</w:t>
      </w:r>
      <w:r>
        <w:rPr>
          <w:rFonts w:hint="eastAsia" w:ascii="仿宋_GB2312" w:hAnsi="仿宋_GB2312" w:cs="仿宋_GB2312"/>
          <w:szCs w:val="32"/>
          <w:highlight w:val="none"/>
          <w:lang w:val="en-US"/>
        </w:rPr>
        <w:t>资金投入</w:t>
      </w:r>
      <w:r>
        <w:rPr>
          <w:rFonts w:hint="eastAsia" w:ascii="仿宋_GB2312" w:hAnsi="仿宋_GB2312" w:cs="仿宋_GB2312"/>
          <w:szCs w:val="32"/>
          <w:highlight w:val="none"/>
        </w:rPr>
        <w:t>”三个方面进行考察，满分</w:t>
      </w:r>
      <w:r>
        <w:rPr>
          <w:rFonts w:hint="eastAsia" w:ascii="仿宋_GB2312" w:hAnsi="仿宋_GB2312" w:cs="仿宋_GB2312"/>
          <w:szCs w:val="32"/>
          <w:highlight w:val="none"/>
          <w:lang w:val="en-US"/>
        </w:rPr>
        <w:t>20</w:t>
      </w:r>
      <w:r>
        <w:rPr>
          <w:rFonts w:hint="eastAsia" w:ascii="仿宋_GB2312" w:hAnsi="仿宋_GB2312" w:cs="仿宋_GB2312"/>
          <w:szCs w:val="32"/>
          <w:highlight w:val="none"/>
        </w:rPr>
        <w:t>分，得分</w:t>
      </w:r>
      <w:r>
        <w:rPr>
          <w:rFonts w:hint="eastAsia" w:ascii="仿宋_GB2312" w:hAnsi="仿宋_GB2312" w:cs="仿宋_GB2312"/>
          <w:szCs w:val="32"/>
          <w:highlight w:val="none"/>
          <w:lang w:val="en-US" w:eastAsia="zh-CN"/>
        </w:rPr>
        <w:t>19</w:t>
      </w:r>
      <w:r>
        <w:rPr>
          <w:rFonts w:hint="eastAsia" w:ascii="仿宋_GB2312" w:hAnsi="仿宋_GB2312" w:cs="仿宋_GB2312"/>
          <w:szCs w:val="32"/>
          <w:highlight w:val="none"/>
        </w:rPr>
        <w:t>分，得分率为</w:t>
      </w:r>
      <w:r>
        <w:rPr>
          <w:rFonts w:hint="eastAsia" w:ascii="仿宋_GB2312" w:hAnsi="仿宋_GB2312" w:cs="仿宋_GB2312"/>
          <w:szCs w:val="32"/>
          <w:highlight w:val="none"/>
          <w:lang w:val="en-US" w:eastAsia="zh-CN"/>
        </w:rPr>
        <w:t>95</w:t>
      </w:r>
      <w:r>
        <w:rPr>
          <w:rFonts w:hint="eastAsia" w:ascii="仿宋_GB2312" w:hAnsi="仿宋_GB2312" w:cs="仿宋_GB2312"/>
          <w:szCs w:val="32"/>
          <w:highlight w:val="none"/>
        </w:rPr>
        <w:t>%。</w:t>
      </w:r>
    </w:p>
    <w:p>
      <w:pPr>
        <w:pStyle w:val="4"/>
        <w:spacing w:line="579" w:lineRule="exact"/>
        <w:ind w:firstLine="643"/>
        <w:outlineLvl w:val="2"/>
        <w:rPr>
          <w:rFonts w:ascii="仿宋_GB2312" w:hAnsi="仿宋_GB2312" w:cs="仿宋_GB2312"/>
          <w:b/>
          <w:bCs/>
          <w:szCs w:val="32"/>
          <w:highlight w:val="none"/>
          <w:lang w:val="en-US"/>
        </w:rPr>
      </w:pPr>
      <w:r>
        <w:rPr>
          <w:rFonts w:hint="eastAsia" w:ascii="仿宋_GB2312" w:hAnsi="仿宋_GB2312" w:cs="仿宋_GB2312"/>
          <w:b/>
          <w:bCs/>
          <w:szCs w:val="32"/>
          <w:highlight w:val="none"/>
          <w:lang w:val="en-US"/>
        </w:rPr>
        <w:t>1.项目立项</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1</w:t>
      </w:r>
      <w:r>
        <w:rPr>
          <w:rFonts w:hint="eastAsia" w:ascii="仿宋_GB2312" w:hAnsi="仿宋_GB2312" w:cs="仿宋_GB2312"/>
          <w:szCs w:val="32"/>
          <w:highlight w:val="none"/>
        </w:rPr>
        <w:t>）立项依据充分性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项目立项符合国家法律法规、国民经济发展规划和相关政策，符合行业发展规划和政策要求，与部门职责范围相符，属于部门履职所需，</w:t>
      </w: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项目属于公共财政支持范围，符合中央、地方事权支出责任划</w:t>
      </w:r>
      <w:r>
        <w:rPr>
          <w:rFonts w:hint="eastAsia" w:ascii="仿宋_GB2312" w:hAnsi="仿宋_GB2312" w:cs="仿宋_GB2312"/>
          <w:szCs w:val="32"/>
          <w:highlight w:val="none"/>
          <w:lang w:val="en-US" w:eastAsia="zh-CN"/>
        </w:rPr>
        <w:t>分</w:t>
      </w:r>
      <w:r>
        <w:rPr>
          <w:rFonts w:hint="eastAsia" w:ascii="仿宋_GB2312" w:hAnsi="仿宋_GB2312" w:cs="仿宋_GB2312"/>
          <w:szCs w:val="32"/>
          <w:highlight w:val="none"/>
        </w:rPr>
        <w:t>原则，</w:t>
      </w: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项目未与相关部门同类项目或部门内部相关项目重复。</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2</w:t>
      </w:r>
      <w:r>
        <w:rPr>
          <w:rFonts w:hint="eastAsia" w:ascii="仿宋_GB2312" w:hAnsi="仿宋_GB2312" w:cs="仿宋_GB2312"/>
          <w:szCs w:val="32"/>
          <w:highlight w:val="none"/>
        </w:rPr>
        <w:t>）立项程序规范性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本项目按照规定的程序申请设立，审批文件、材料符合相关要求，事前已经过必要的可行性研究、专家论证、风险评估、绩效评估、集体决策</w:t>
      </w:r>
      <w:r>
        <w:rPr>
          <w:rFonts w:hint="eastAsia" w:ascii="仿宋_GB2312" w:hAnsi="仿宋_GB2312" w:cs="仿宋_GB2312"/>
          <w:szCs w:val="32"/>
          <w:highlight w:val="none"/>
        </w:rPr>
        <w:t>。</w:t>
      </w:r>
    </w:p>
    <w:p>
      <w:pPr>
        <w:pStyle w:val="4"/>
        <w:spacing w:line="579" w:lineRule="exact"/>
        <w:ind w:firstLine="643"/>
        <w:outlineLvl w:val="2"/>
        <w:rPr>
          <w:rFonts w:ascii="仿宋_GB2312" w:hAnsi="仿宋_GB2312" w:cs="仿宋_GB2312"/>
          <w:b/>
          <w:bCs/>
          <w:szCs w:val="32"/>
          <w:highlight w:val="none"/>
        </w:rPr>
      </w:pPr>
      <w:r>
        <w:rPr>
          <w:rFonts w:hint="eastAsia" w:ascii="仿宋_GB2312" w:hAnsi="仿宋_GB2312" w:cs="仿宋_GB2312"/>
          <w:b/>
          <w:bCs/>
          <w:szCs w:val="32"/>
          <w:highlight w:val="none"/>
          <w:lang w:val="en-US"/>
        </w:rPr>
        <w:t>2.绩效目标</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（1）绩效目标合理</w:t>
      </w:r>
      <w:r>
        <w:rPr>
          <w:rFonts w:hint="eastAsia" w:ascii="仿宋_GB2312" w:hAnsi="仿宋_GB2312" w:cs="仿宋_GB2312"/>
          <w:szCs w:val="32"/>
          <w:highlight w:val="none"/>
        </w:rPr>
        <w:t>性</w:t>
      </w:r>
    </w:p>
    <w:p>
      <w:pPr>
        <w:pStyle w:val="4"/>
        <w:spacing w:line="579" w:lineRule="exact"/>
        <w:ind w:firstLine="640"/>
        <w:rPr>
          <w:rFonts w:ascii="仿宋_GB2312" w:hAnsi="仿宋_GB2312" w:cs="仿宋_GB2312"/>
          <w:szCs w:val="32"/>
          <w:highlight w:val="none"/>
        </w:rPr>
      </w:pPr>
      <w:r>
        <w:rPr>
          <w:rFonts w:hint="eastAsia" w:ascii="仿宋_GB2312" w:hAnsi="仿宋_GB2312" w:eastAsia="仿宋_GB2312" w:cs="仿宋_GB2312"/>
          <w:sz w:val="32"/>
          <w:szCs w:val="32"/>
          <w:highlight w:val="none"/>
          <w:lang w:val="en-US" w:eastAsia="zh-CN"/>
        </w:rPr>
        <w:t>本</w:t>
      </w:r>
      <w:r>
        <w:rPr>
          <w:rFonts w:hint="eastAsia" w:ascii="仿宋_GB2312" w:hAnsi="仿宋_GB2312" w:eastAsia="仿宋_GB2312" w:cs="仿宋_GB2312"/>
          <w:sz w:val="32"/>
          <w:szCs w:val="32"/>
          <w:highlight w:val="none"/>
        </w:rPr>
        <w:t>项</w:t>
      </w:r>
      <w:r>
        <w:rPr>
          <w:rFonts w:hint="eastAsia" w:ascii="仿宋_GB2312" w:hAnsi="仿宋_GB2312" w:eastAsia="仿宋_GB2312" w:cs="仿宋_GB2312"/>
          <w:sz w:val="32"/>
          <w:szCs w:val="32"/>
          <w:highlight w:val="none"/>
          <w:lang w:val="en-US" w:eastAsia="zh-CN"/>
        </w:rPr>
        <w:t>目</w:t>
      </w:r>
      <w:r>
        <w:rPr>
          <w:rFonts w:hint="eastAsia" w:ascii="仿宋_GB2312" w:hAnsi="仿宋_GB2312" w:cs="仿宋_GB2312"/>
          <w:sz w:val="32"/>
          <w:szCs w:val="32"/>
          <w:highlight w:val="none"/>
          <w:lang w:val="en-US" w:eastAsia="zh-CN"/>
        </w:rPr>
        <w:t>设置</w:t>
      </w:r>
      <w:r>
        <w:rPr>
          <w:rFonts w:hint="eastAsia" w:ascii="仿宋_GB2312" w:hAnsi="仿宋_GB2312" w:eastAsia="仿宋_GB2312" w:cs="仿宋_GB2312"/>
          <w:sz w:val="32"/>
          <w:szCs w:val="32"/>
          <w:highlight w:val="none"/>
        </w:rPr>
        <w:t>有绩效目标</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项目绩效目标与实际工作内容具有相关性</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项目预期产出效益和效果符合正常的业绩水平</w:t>
      </w:r>
      <w:r>
        <w:rPr>
          <w:rFonts w:hint="eastAsia" w:ascii="仿宋_GB2312" w:hAnsi="仿宋_GB2312" w:eastAsia="仿宋_GB2312" w:cs="仿宋_GB2312"/>
          <w:sz w:val="32"/>
          <w:szCs w:val="32"/>
          <w:highlight w:val="none"/>
          <w:lang w:eastAsia="zh-CN"/>
        </w:rPr>
        <w:t>，</w:t>
      </w:r>
      <w:r>
        <w:rPr>
          <w:rFonts w:hint="eastAsia" w:ascii="仿宋_GB2312" w:hAnsi="仿宋_GB2312" w:eastAsia="仿宋_GB2312" w:cs="仿宋_GB2312"/>
          <w:sz w:val="32"/>
          <w:szCs w:val="32"/>
          <w:highlight w:val="none"/>
        </w:rPr>
        <w:t>项目绩效目标与预算确定的项目投资额或资金量相匹配</w:t>
      </w:r>
      <w:r>
        <w:rPr>
          <w:rFonts w:hint="eastAsia" w:ascii="仿宋_GB2312" w:hAnsi="仿宋_GB2312" w:cs="仿宋_GB2312"/>
          <w:szCs w:val="32"/>
          <w:highlight w:val="none"/>
          <w:lang w:val="en-US"/>
        </w:rPr>
        <w:t>。</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（2）绩效指标明确</w:t>
      </w:r>
      <w:r>
        <w:rPr>
          <w:rFonts w:hint="eastAsia" w:ascii="仿宋_GB2312" w:hAnsi="仿宋_GB2312" w:cs="仿宋_GB2312"/>
          <w:szCs w:val="32"/>
          <w:highlight w:val="none"/>
        </w:rPr>
        <w:t>性</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本项目绩效目标与项目目标任务数或计划数相对应，将项目绩效目标细化分解为具体的绩效指标</w:t>
      </w:r>
      <w:r>
        <w:rPr>
          <w:rFonts w:hint="eastAsia" w:ascii="仿宋_GB2312" w:hAnsi="仿宋_GB2312" w:cs="仿宋_GB2312"/>
          <w:szCs w:val="32"/>
          <w:highlight w:val="none"/>
          <w:lang w:val="en-US" w:eastAsia="zh-CN"/>
        </w:rPr>
        <w:t>，但社会效益指标未通过清晰、可衡量的指标值予以体现，扣1分。</w:t>
      </w:r>
    </w:p>
    <w:p>
      <w:pPr>
        <w:pStyle w:val="4"/>
        <w:spacing w:line="579" w:lineRule="exact"/>
        <w:ind w:firstLine="643"/>
        <w:outlineLvl w:val="2"/>
        <w:rPr>
          <w:rFonts w:ascii="仿宋_GB2312" w:hAnsi="仿宋_GB2312" w:cs="仿宋_GB2312"/>
          <w:b/>
          <w:bCs/>
          <w:szCs w:val="32"/>
          <w:highlight w:val="none"/>
          <w:lang w:val="en-US"/>
        </w:rPr>
      </w:pPr>
      <w:r>
        <w:rPr>
          <w:rFonts w:hint="eastAsia" w:ascii="仿宋_GB2312" w:hAnsi="仿宋_GB2312" w:cs="仿宋_GB2312"/>
          <w:b/>
          <w:bCs/>
          <w:szCs w:val="32"/>
          <w:highlight w:val="none"/>
          <w:lang w:val="en-US"/>
        </w:rPr>
        <w:t>3.资金投入</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1</w:t>
      </w:r>
      <w:r>
        <w:rPr>
          <w:rFonts w:hint="eastAsia" w:ascii="仿宋_GB2312" w:hAnsi="仿宋_GB2312" w:cs="仿宋_GB2312"/>
          <w:szCs w:val="32"/>
          <w:highlight w:val="none"/>
        </w:rPr>
        <w:t>）预算编制科学性</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lang w:val="en-US"/>
        </w:rPr>
        <w:t>本</w:t>
      </w:r>
      <w:r>
        <w:rPr>
          <w:rFonts w:hint="eastAsia" w:ascii="仿宋_GB2312" w:hAnsi="仿宋_GB2312" w:cs="仿宋_GB2312"/>
          <w:szCs w:val="32"/>
          <w:highlight w:val="none"/>
        </w:rPr>
        <w:t>项目预算编制经过科学论证，预算内容与项目内容匹配，预算</w:t>
      </w:r>
      <w:r>
        <w:rPr>
          <w:rFonts w:hint="eastAsia" w:ascii="仿宋_GB2312" w:hAnsi="仿宋_GB2312" w:cs="仿宋_GB2312"/>
          <w:szCs w:val="32"/>
          <w:highlight w:val="none"/>
          <w:lang w:val="en-US" w:eastAsia="zh-CN"/>
        </w:rPr>
        <w:t>资金</w:t>
      </w:r>
      <w:r>
        <w:rPr>
          <w:rFonts w:hint="eastAsia" w:ascii="仿宋_GB2312" w:hAnsi="仿宋_GB2312" w:cs="仿宋_GB2312"/>
          <w:szCs w:val="32"/>
          <w:highlight w:val="none"/>
        </w:rPr>
        <w:t>测算依据充分，按照标准编制，预算确定的项目投资额或资金量与工作任务相匹配。</w:t>
      </w:r>
    </w:p>
    <w:p>
      <w:pPr>
        <w:pStyle w:val="4"/>
        <w:spacing w:line="579" w:lineRule="exact"/>
        <w:ind w:firstLine="640"/>
        <w:rPr>
          <w:rFonts w:ascii="仿宋_GB2312" w:hAnsi="仿宋_GB2312" w:cs="仿宋_GB2312"/>
          <w:szCs w:val="32"/>
          <w:highlight w:val="none"/>
        </w:rPr>
      </w:pPr>
      <w:r>
        <w:rPr>
          <w:rFonts w:hint="eastAsia" w:ascii="仿宋_GB2312" w:hAnsi="仿宋_GB2312" w:cs="仿宋_GB2312"/>
          <w:szCs w:val="32"/>
          <w:highlight w:val="none"/>
        </w:rPr>
        <w:t>（</w:t>
      </w:r>
      <w:r>
        <w:rPr>
          <w:rFonts w:hint="eastAsia" w:ascii="仿宋_GB2312" w:hAnsi="仿宋_GB2312" w:cs="仿宋_GB2312"/>
          <w:szCs w:val="32"/>
          <w:highlight w:val="none"/>
          <w:lang w:val="en-US"/>
        </w:rPr>
        <w:t>2</w:t>
      </w:r>
      <w:r>
        <w:rPr>
          <w:rFonts w:hint="eastAsia" w:ascii="仿宋_GB2312" w:hAnsi="仿宋_GB2312" w:cs="仿宋_GB2312"/>
          <w:szCs w:val="32"/>
          <w:highlight w:val="none"/>
        </w:rPr>
        <w:t>）资金分配合理性</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本项目预算资金分配依据充分，体现厉行节约从严从紧安排的导向，资金分配额度合理，与项目单位实际相适应</w:t>
      </w:r>
      <w:r>
        <w:rPr>
          <w:rFonts w:hint="eastAsia" w:ascii="仿宋_GB2312" w:hAnsi="仿宋_GB2312" w:cs="仿宋_GB2312"/>
          <w:szCs w:val="32"/>
          <w:highlight w:val="none"/>
        </w:rPr>
        <w:t>。</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19" w:name="_Toc20735"/>
      <w:r>
        <w:rPr>
          <w:rFonts w:hint="eastAsia" w:ascii="楷体_GB2312" w:hAnsi="楷体_GB2312" w:eastAsia="楷体_GB2312" w:cs="楷体_GB2312"/>
          <w:b w:val="0"/>
          <w:bCs w:val="0"/>
          <w:highlight w:val="none"/>
          <w:lang w:val="en-US" w:eastAsia="zh-CN"/>
        </w:rPr>
        <w:t>（二）</w:t>
      </w:r>
      <w:r>
        <w:rPr>
          <w:rFonts w:hint="eastAsia" w:ascii="楷体_GB2312" w:hAnsi="楷体_GB2312" w:eastAsia="楷体_GB2312" w:cs="楷体_GB2312"/>
          <w:b w:val="0"/>
          <w:bCs w:val="0"/>
          <w:highlight w:val="none"/>
          <w:lang w:val="en-US"/>
        </w:rPr>
        <w:t>项目过程情况</w:t>
      </w:r>
      <w:bookmarkEnd w:id="19"/>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过程</w:t>
      </w:r>
      <w:r>
        <w:rPr>
          <w:rFonts w:hint="eastAsia" w:ascii="仿宋_GB2312" w:hAnsi="仿宋_GB2312" w:cs="仿宋_GB2312"/>
          <w:highlight w:val="none"/>
        </w:rPr>
        <w:t>指标从“</w:t>
      </w:r>
      <w:r>
        <w:rPr>
          <w:rFonts w:hint="eastAsia" w:ascii="仿宋_GB2312" w:hAnsi="仿宋_GB2312" w:cs="仿宋_GB2312"/>
          <w:highlight w:val="none"/>
          <w:lang w:val="en-US"/>
        </w:rPr>
        <w:t>资金</w:t>
      </w:r>
      <w:r>
        <w:rPr>
          <w:rFonts w:hint="eastAsia" w:ascii="仿宋_GB2312" w:hAnsi="仿宋_GB2312" w:cs="仿宋_GB2312"/>
          <w:highlight w:val="none"/>
        </w:rPr>
        <w:t>管理”“</w:t>
      </w:r>
      <w:r>
        <w:rPr>
          <w:rFonts w:hint="eastAsia" w:ascii="仿宋_GB2312" w:hAnsi="仿宋_GB2312" w:cs="仿宋_GB2312"/>
          <w:highlight w:val="none"/>
          <w:lang w:val="en-US"/>
        </w:rPr>
        <w:t>组织实施</w:t>
      </w:r>
      <w:r>
        <w:rPr>
          <w:rFonts w:hint="eastAsia" w:ascii="仿宋_GB2312" w:hAnsi="仿宋_GB2312" w:cs="仿宋_GB2312"/>
          <w:highlight w:val="none"/>
        </w:rPr>
        <w:t>”</w:t>
      </w:r>
      <w:r>
        <w:rPr>
          <w:rFonts w:hint="eastAsia" w:ascii="仿宋_GB2312" w:hAnsi="仿宋_GB2312" w:cs="仿宋_GB2312"/>
          <w:highlight w:val="none"/>
          <w:lang w:val="en-US"/>
        </w:rPr>
        <w:t>两个</w:t>
      </w:r>
      <w:r>
        <w:rPr>
          <w:rFonts w:hint="eastAsia" w:ascii="仿宋_GB2312" w:hAnsi="仿宋_GB2312" w:cs="仿宋_GB2312"/>
          <w:highlight w:val="none"/>
        </w:rPr>
        <w:t>方面进行考察，满分</w:t>
      </w:r>
      <w:r>
        <w:rPr>
          <w:rFonts w:hint="eastAsia" w:ascii="仿宋_GB2312" w:hAnsi="仿宋_GB2312" w:cs="仿宋_GB2312"/>
          <w:highlight w:val="none"/>
          <w:lang w:val="en-US"/>
        </w:rPr>
        <w:t>20</w:t>
      </w:r>
      <w:r>
        <w:rPr>
          <w:rFonts w:hint="eastAsia" w:ascii="仿宋_GB2312" w:hAnsi="仿宋_GB2312" w:cs="仿宋_GB2312"/>
          <w:highlight w:val="none"/>
        </w:rPr>
        <w:t>分，得分</w:t>
      </w:r>
      <w:r>
        <w:rPr>
          <w:rFonts w:hint="eastAsia" w:ascii="仿宋_GB2312" w:hAnsi="仿宋_GB2312" w:cs="仿宋_GB2312"/>
          <w:highlight w:val="none"/>
          <w:lang w:val="en-US"/>
        </w:rPr>
        <w:t>1</w:t>
      </w:r>
      <w:r>
        <w:rPr>
          <w:rFonts w:hint="eastAsia" w:ascii="仿宋_GB2312" w:hAnsi="仿宋_GB2312" w:cs="仿宋_GB2312"/>
          <w:highlight w:val="none"/>
          <w:lang w:val="en-US" w:eastAsia="zh-CN"/>
        </w:rPr>
        <w:t>9.91</w:t>
      </w:r>
      <w:r>
        <w:rPr>
          <w:rFonts w:hint="eastAsia" w:ascii="仿宋_GB2312" w:hAnsi="仿宋_GB2312" w:cs="仿宋_GB2312"/>
          <w:highlight w:val="none"/>
        </w:rPr>
        <w:t>分，得分率为99.55%。</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1.资金</w:t>
      </w:r>
      <w:r>
        <w:rPr>
          <w:rFonts w:hint="eastAsia" w:ascii="仿宋_GB2312" w:hAnsi="仿宋_GB2312" w:cs="仿宋_GB2312"/>
          <w:b/>
          <w:bCs/>
          <w:highlight w:val="none"/>
        </w:rPr>
        <w:t>管理</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rPr>
        <w:t>（</w:t>
      </w:r>
      <w:r>
        <w:rPr>
          <w:rFonts w:hint="eastAsia" w:ascii="仿宋_GB2312" w:hAnsi="仿宋_GB2312" w:cs="仿宋_GB2312"/>
          <w:highlight w:val="none"/>
          <w:lang w:val="en-US"/>
        </w:rPr>
        <w:t>1</w:t>
      </w:r>
      <w:r>
        <w:rPr>
          <w:rFonts w:hint="eastAsia" w:ascii="仿宋_GB2312" w:hAnsi="仿宋_GB2312" w:cs="仿宋_GB2312"/>
          <w:highlight w:val="none"/>
        </w:rPr>
        <w:t>）资金到位率</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w:t>
      </w:r>
      <w:r>
        <w:rPr>
          <w:rFonts w:hint="eastAsia" w:ascii="仿宋_GB2312" w:hAnsi="仿宋_GB2312" w:cs="仿宋_GB2312"/>
          <w:highlight w:val="none"/>
        </w:rPr>
        <w:t>项目全年预算</w:t>
      </w:r>
      <w:r>
        <w:rPr>
          <w:rFonts w:hint="eastAsia" w:ascii="仿宋_GB2312" w:hAnsi="仿宋_GB2312" w:cs="仿宋_GB2312"/>
          <w:highlight w:val="none"/>
          <w:lang w:val="en-US" w:eastAsia="zh-CN"/>
        </w:rPr>
        <w:t>5,670.6</w:t>
      </w:r>
      <w:r>
        <w:rPr>
          <w:rFonts w:hint="eastAsia" w:ascii="仿宋_GB2312" w:hAnsi="仿宋_GB2312" w:cs="仿宋_GB2312"/>
          <w:highlight w:val="none"/>
          <w:lang w:val="en-US"/>
        </w:rPr>
        <w:t>万元，实际到位资金</w:t>
      </w:r>
      <w:r>
        <w:rPr>
          <w:rFonts w:hint="eastAsia" w:ascii="仿宋_GB2312" w:hAnsi="仿宋_GB2312" w:cs="仿宋_GB2312"/>
          <w:highlight w:val="none"/>
          <w:lang w:val="en-US" w:eastAsia="zh-CN"/>
        </w:rPr>
        <w:t>5,670.6</w:t>
      </w:r>
      <w:r>
        <w:rPr>
          <w:rFonts w:hint="eastAsia" w:ascii="仿宋_GB2312" w:hAnsi="仿宋_GB2312" w:cs="仿宋_GB2312"/>
          <w:highlight w:val="none"/>
          <w:lang w:val="en-US"/>
        </w:rPr>
        <w:t>万元，资金到位率为100%。</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（2）</w:t>
      </w:r>
      <w:r>
        <w:rPr>
          <w:rFonts w:hint="eastAsia" w:ascii="仿宋_GB2312" w:hAnsi="仿宋_GB2312" w:cs="仿宋_GB2312"/>
          <w:highlight w:val="none"/>
        </w:rPr>
        <w:t>预算执行率</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本项目</w:t>
      </w:r>
      <w:r>
        <w:rPr>
          <w:rFonts w:hint="eastAsia" w:ascii="仿宋_GB2312" w:hAnsi="仿宋_GB2312" w:cs="仿宋_GB2312"/>
          <w:highlight w:val="none"/>
        </w:rPr>
        <w:t>全年预算</w:t>
      </w:r>
      <w:r>
        <w:rPr>
          <w:rFonts w:hint="eastAsia" w:ascii="仿宋_GB2312" w:hAnsi="仿宋_GB2312" w:cs="仿宋_GB2312"/>
          <w:highlight w:val="none"/>
          <w:lang w:val="en-US" w:eastAsia="zh-CN"/>
        </w:rPr>
        <w:t>5,670.6</w:t>
      </w:r>
      <w:r>
        <w:rPr>
          <w:rFonts w:hint="eastAsia" w:ascii="仿宋_GB2312" w:hAnsi="仿宋_GB2312" w:cs="仿宋_GB2312"/>
          <w:highlight w:val="none"/>
          <w:lang w:val="en-US"/>
        </w:rPr>
        <w:t>万元，</w:t>
      </w:r>
      <w:r>
        <w:rPr>
          <w:rFonts w:hint="eastAsia" w:ascii="仿宋_GB2312" w:hAnsi="仿宋_GB2312" w:cs="仿宋_GB2312"/>
          <w:highlight w:val="none"/>
          <w:lang w:val="en-US" w:eastAsia="zh-CN"/>
        </w:rPr>
        <w:t>全年</w:t>
      </w:r>
      <w:r>
        <w:rPr>
          <w:rFonts w:hint="eastAsia" w:ascii="仿宋_GB2312" w:hAnsi="仿宋_GB2312" w:cs="仿宋_GB2312"/>
          <w:highlight w:val="none"/>
          <w:lang w:val="en-US"/>
        </w:rPr>
        <w:t>实际支出</w:t>
      </w:r>
      <w:r>
        <w:rPr>
          <w:rFonts w:hint="eastAsia" w:ascii="仿宋_GB2312" w:hAnsi="仿宋_GB2312" w:cs="仿宋_GB2312"/>
          <w:highlight w:val="none"/>
          <w:lang w:val="en-US" w:eastAsia="zh-CN"/>
        </w:rPr>
        <w:t>5,548.4</w:t>
      </w:r>
      <w:r>
        <w:rPr>
          <w:rFonts w:hint="eastAsia" w:ascii="仿宋_GB2312" w:hAnsi="仿宋_GB2312" w:cs="仿宋_GB2312"/>
          <w:highlight w:val="none"/>
          <w:lang w:val="en-US"/>
        </w:rPr>
        <w:t>1</w:t>
      </w:r>
      <w:r>
        <w:rPr>
          <w:rFonts w:hint="eastAsia" w:ascii="仿宋_GB2312" w:hAnsi="仿宋_GB2312" w:cs="仿宋_GB2312"/>
          <w:highlight w:val="none"/>
          <w:lang w:val="en-US" w:eastAsia="zh-CN"/>
        </w:rPr>
        <w:t>万</w:t>
      </w:r>
      <w:r>
        <w:rPr>
          <w:rFonts w:hint="eastAsia" w:ascii="仿宋_GB2312" w:hAnsi="仿宋_GB2312" w:cs="仿宋_GB2312"/>
          <w:highlight w:val="none"/>
          <w:lang w:val="en-US"/>
        </w:rPr>
        <w:t>元，预算执行率为97.85%，扣0.0</w:t>
      </w:r>
      <w:r>
        <w:rPr>
          <w:rFonts w:hint="eastAsia" w:ascii="仿宋_GB2312" w:hAnsi="仿宋_GB2312" w:cs="仿宋_GB2312"/>
          <w:highlight w:val="none"/>
          <w:lang w:val="en-US" w:eastAsia="zh-CN"/>
        </w:rPr>
        <w:t>9</w:t>
      </w:r>
      <w:r>
        <w:rPr>
          <w:rFonts w:hint="eastAsia" w:ascii="仿宋_GB2312" w:hAnsi="仿宋_GB2312" w:cs="仿宋_GB2312"/>
          <w:highlight w:val="none"/>
          <w:lang w:val="en-US"/>
        </w:rPr>
        <w:t>分。</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（3）资金使用合规性</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本项目资金支出符合国家财经法规和财务管理制度以及有关专项资金管理规程的规定，资金的拨付有完整的审批程序和手续，符合项目预算批复或合同规定的用途，不存在截留、挤占、挪用、虚列支出等情况</w:t>
      </w:r>
      <w:r>
        <w:rPr>
          <w:rFonts w:hint="eastAsia" w:ascii="仿宋_GB2312" w:hAnsi="仿宋_GB2312" w:cs="仿宋_GB2312"/>
          <w:highlight w:val="none"/>
        </w:rPr>
        <w:t>。</w:t>
      </w:r>
    </w:p>
    <w:p>
      <w:pPr>
        <w:pStyle w:val="4"/>
        <w:spacing w:line="579" w:lineRule="exact"/>
        <w:ind w:firstLine="643"/>
        <w:outlineLvl w:val="2"/>
        <w:rPr>
          <w:rFonts w:ascii="仿宋_GB2312" w:hAnsi="仿宋_GB2312" w:cs="仿宋_GB2312"/>
          <w:b/>
          <w:bCs/>
          <w:highlight w:val="none"/>
        </w:rPr>
      </w:pPr>
      <w:r>
        <w:rPr>
          <w:rFonts w:hint="eastAsia" w:ascii="仿宋_GB2312" w:hAnsi="仿宋_GB2312" w:cs="仿宋_GB2312"/>
          <w:b/>
          <w:bCs/>
          <w:highlight w:val="none"/>
          <w:lang w:val="en-US"/>
        </w:rPr>
        <w:t>2.组织实施</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（1）管理制度健全性</w:t>
      </w:r>
    </w:p>
    <w:p>
      <w:pPr>
        <w:pStyle w:val="4"/>
        <w:spacing w:line="579" w:lineRule="exact"/>
        <w:ind w:firstLine="640"/>
        <w:rPr>
          <w:rFonts w:hint="default" w:ascii="仿宋_GB2312" w:hAnsi="仿宋_GB2312" w:eastAsia="仿宋_GB2312" w:cs="仿宋_GB2312"/>
          <w:highlight w:val="none"/>
          <w:lang w:val="en-US" w:eastAsia="zh-CN"/>
        </w:rPr>
      </w:pPr>
      <w:r>
        <w:rPr>
          <w:rFonts w:hint="eastAsia" w:ascii="仿宋_GB2312" w:hAnsi="仿宋_GB2312" w:cs="仿宋_GB2312"/>
          <w:highlight w:val="none"/>
          <w:lang w:val="en-US"/>
        </w:rPr>
        <w:t>市住建局已制订</w:t>
      </w:r>
      <w:r>
        <w:rPr>
          <w:rFonts w:hint="eastAsia" w:ascii="仿宋_GB2312" w:hAnsi="仿宋_GB2312" w:cs="仿宋_GB2312"/>
          <w:highlight w:val="none"/>
          <w:lang w:val="en-US" w:eastAsia="zh-CN"/>
        </w:rPr>
        <w:t>财务管理制度和业务管理制度，财务管理制度和业务管理制度的内容</w:t>
      </w:r>
      <w:r>
        <w:rPr>
          <w:rFonts w:hint="eastAsia" w:ascii="仿宋_GB2312" w:hAnsi="仿宋_GB2312" w:cs="仿宋_GB2312"/>
          <w:highlight w:val="none"/>
          <w:lang w:val="en-US"/>
        </w:rPr>
        <w:t>合法、合规、完整</w:t>
      </w:r>
      <w:r>
        <w:rPr>
          <w:rFonts w:hint="eastAsia" w:ascii="仿宋_GB2312" w:hAnsi="仿宋_GB2312" w:cs="仿宋_GB2312"/>
          <w:highlight w:val="none"/>
        </w:rPr>
        <w:t>。</w:t>
      </w:r>
      <w:r>
        <w:rPr>
          <w:rFonts w:hint="eastAsia" w:ascii="仿宋_GB2312" w:hAnsi="仿宋_GB2312" w:cs="仿宋_GB2312"/>
          <w:highlight w:val="none"/>
          <w:lang w:val="en-US" w:eastAsia="zh-CN"/>
        </w:rPr>
        <w:t>本项目的管理制度较为健全。</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rPr>
        <w:t>（</w:t>
      </w:r>
      <w:r>
        <w:rPr>
          <w:rFonts w:hint="eastAsia" w:ascii="仿宋_GB2312" w:hAnsi="仿宋_GB2312" w:cs="仿宋_GB2312"/>
          <w:highlight w:val="none"/>
          <w:lang w:val="en-US"/>
        </w:rPr>
        <w:t>2</w:t>
      </w:r>
      <w:r>
        <w:rPr>
          <w:rFonts w:hint="eastAsia" w:ascii="仿宋_GB2312" w:hAnsi="仿宋_GB2312" w:cs="仿宋_GB2312"/>
          <w:highlight w:val="none"/>
        </w:rPr>
        <w:t>）</w:t>
      </w:r>
      <w:r>
        <w:rPr>
          <w:rFonts w:hint="eastAsia" w:ascii="仿宋_GB2312" w:hAnsi="仿宋_GB2312" w:cs="仿宋_GB2312"/>
          <w:highlight w:val="none"/>
          <w:lang w:val="en-US"/>
        </w:rPr>
        <w:t>制度执行有效性</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本项目实施过程遵守相关法律法规和相关管理规定，项目调整及支出调整手续完备，项目合同书、验收报告、技术鉴定等资料齐全并及时归档，项目实施的人员条件、场地设备、信息支撑等落实到位。</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0" w:name="_Toc6688"/>
      <w:r>
        <w:rPr>
          <w:rFonts w:hint="eastAsia" w:ascii="楷体_GB2312" w:hAnsi="楷体_GB2312" w:eastAsia="楷体_GB2312" w:cs="楷体_GB2312"/>
          <w:b w:val="0"/>
          <w:bCs w:val="0"/>
          <w:highlight w:val="none"/>
          <w:lang w:val="en-US" w:eastAsia="zh-CN"/>
        </w:rPr>
        <w:t>（三）</w:t>
      </w:r>
      <w:r>
        <w:rPr>
          <w:rFonts w:hint="eastAsia" w:ascii="楷体_GB2312" w:hAnsi="楷体_GB2312" w:eastAsia="楷体_GB2312" w:cs="楷体_GB2312"/>
          <w:b w:val="0"/>
          <w:bCs w:val="0"/>
          <w:highlight w:val="none"/>
          <w:lang w:val="en-US"/>
        </w:rPr>
        <w:t>项目产出情况</w:t>
      </w:r>
      <w:bookmarkEnd w:id="20"/>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产出</w:t>
      </w:r>
      <w:r>
        <w:rPr>
          <w:rFonts w:hint="eastAsia" w:ascii="仿宋_GB2312" w:hAnsi="仿宋_GB2312" w:cs="仿宋_GB2312"/>
          <w:highlight w:val="none"/>
        </w:rPr>
        <w:t>指标从产出数量、产出质量、产出时效和产出成本</w:t>
      </w:r>
      <w:r>
        <w:rPr>
          <w:rFonts w:hint="eastAsia" w:ascii="仿宋_GB2312" w:hAnsi="仿宋_GB2312" w:cs="仿宋_GB2312"/>
          <w:highlight w:val="none"/>
          <w:lang w:val="en-US"/>
        </w:rPr>
        <w:t>四</w:t>
      </w:r>
      <w:r>
        <w:rPr>
          <w:rFonts w:hint="eastAsia" w:ascii="仿宋_GB2312" w:hAnsi="仿宋_GB2312" w:cs="仿宋_GB2312"/>
          <w:highlight w:val="none"/>
        </w:rPr>
        <w:t>个方面进行考察，满分</w:t>
      </w:r>
      <w:r>
        <w:rPr>
          <w:rFonts w:hint="eastAsia" w:ascii="仿宋_GB2312" w:hAnsi="仿宋_GB2312" w:cs="仿宋_GB2312"/>
          <w:highlight w:val="none"/>
          <w:lang w:val="en-US"/>
        </w:rPr>
        <w:t>30</w:t>
      </w:r>
      <w:r>
        <w:rPr>
          <w:rFonts w:hint="eastAsia" w:ascii="仿宋_GB2312" w:hAnsi="仿宋_GB2312" w:cs="仿宋_GB2312"/>
          <w:highlight w:val="none"/>
        </w:rPr>
        <w:t>分，得分</w:t>
      </w:r>
      <w:r>
        <w:rPr>
          <w:rFonts w:hint="eastAsia" w:ascii="仿宋_GB2312" w:hAnsi="仿宋_GB2312" w:cs="仿宋_GB2312"/>
          <w:highlight w:val="none"/>
          <w:lang w:val="en-US" w:eastAsia="zh-CN"/>
        </w:rPr>
        <w:t>26.99</w:t>
      </w:r>
      <w:r>
        <w:rPr>
          <w:rFonts w:hint="eastAsia" w:ascii="仿宋_GB2312" w:hAnsi="仿宋_GB2312" w:cs="仿宋_GB2312"/>
          <w:highlight w:val="none"/>
        </w:rPr>
        <w:t>分，得分率为89.97%。</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1.产出数量——实际完成率</w:t>
      </w:r>
    </w:p>
    <w:p>
      <w:pPr>
        <w:pStyle w:val="4"/>
        <w:spacing w:line="579" w:lineRule="exact"/>
        <w:ind w:firstLine="640"/>
        <w:rPr>
          <w:rFonts w:hint="default" w:ascii="仿宋_GB2312" w:hAnsi="仿宋_GB2312" w:cs="仿宋_GB2312"/>
          <w:highlight w:val="none"/>
          <w:lang w:val="en-US"/>
        </w:rPr>
      </w:pPr>
      <w:r>
        <w:rPr>
          <w:rFonts w:hint="eastAsia" w:ascii="仿宋_GB2312" w:hAnsi="仿宋_GB2312" w:cs="仿宋_GB2312"/>
          <w:highlight w:val="none"/>
          <w:lang w:val="en-US"/>
        </w:rPr>
        <w:t>本项目的</w:t>
      </w:r>
      <w:r>
        <w:rPr>
          <w:rFonts w:hint="eastAsia" w:ascii="仿宋_GB2312" w:hAnsi="仿宋_GB2312" w:cs="仿宋_GB2312"/>
          <w:highlight w:val="none"/>
          <w:lang w:val="en-US" w:eastAsia="zh-CN"/>
        </w:rPr>
        <w:t>13</w:t>
      </w:r>
      <w:r>
        <w:rPr>
          <w:rFonts w:hint="eastAsia" w:ascii="仿宋_GB2312" w:hAnsi="仿宋_GB2312" w:cs="仿宋_GB2312"/>
          <w:highlight w:val="none"/>
          <w:lang w:val="en-US"/>
        </w:rPr>
        <w:t>个数量指标</w:t>
      </w:r>
      <w:r>
        <w:rPr>
          <w:rFonts w:hint="eastAsia" w:ascii="仿宋_GB2312" w:hAnsi="仿宋_GB2312" w:cs="仿宋_GB2312"/>
          <w:highlight w:val="none"/>
          <w:lang w:val="en-US" w:eastAsia="zh-CN"/>
        </w:rPr>
        <w:t>实际完成率为100%。“完成《深圳市建筑施工专用机动车辆安全监督管理办法》编制工作”“巡查全市在建工地次数（次）”“在建项目进行安全巡查次（次）”“抽检主要建筑材料组数量（组）”“抽检工程结构实体组数量（组）”“抽检工程桩基根数量（根）”“抽检建筑起重机械实体数量（台）”“深基坑、高边坡项目现场专项抽查次数（次）”“平均每月专项巡查危大工程项次（次）”“培训建筑特种作业人员数（人）”“开展施工安全宣传培训教育次数”“监督员平均每人每月巡查项目数（个）”“第三方出具市政工程质量安全巡查评估报告次数（次）”均已完成目标值。</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2.产出质量——质量达标率</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本项目的</w:t>
      </w:r>
      <w:r>
        <w:rPr>
          <w:rFonts w:hint="eastAsia" w:ascii="仿宋_GB2312" w:hAnsi="仿宋_GB2312" w:cs="仿宋_GB2312"/>
          <w:highlight w:val="none"/>
          <w:lang w:val="en-US" w:eastAsia="zh-CN"/>
        </w:rPr>
        <w:t>12</w:t>
      </w:r>
      <w:r>
        <w:rPr>
          <w:rFonts w:hint="eastAsia" w:ascii="仿宋_GB2312" w:hAnsi="仿宋_GB2312" w:cs="仿宋_GB2312"/>
          <w:highlight w:val="none"/>
          <w:lang w:val="en-US"/>
        </w:rPr>
        <w:t>个质量指标完成率均达到100%，</w:t>
      </w:r>
      <w:r>
        <w:rPr>
          <w:rFonts w:hint="eastAsia" w:ascii="仿宋_GB2312" w:hAnsi="仿宋_GB2312" w:cs="仿宋_GB2312"/>
          <w:highlight w:val="none"/>
          <w:lang w:val="en-US" w:eastAsia="zh-CN"/>
        </w:rPr>
        <w:t>“审批工作完成率”“第三方提交巡查报告达标率”“在建项目安全问题整改率”“发现不合格建材责令整改率”“发现建筑起重机械实体缺陷和隐患责令整改率”“发现深基坑、高边坡隐匿风险点责令整改率”“专项巡查识别危大工程的日常隐患责令整改率”“建筑特种作业人员培训考核不合格责令离岗率”“施工现场发现质量安全问题督促整改率”“在监市政项目质量安全监督覆盖率”“举办安全培训活动培训讲师资质”“建筑起重机械抽查覆盖率</w:t>
      </w:r>
      <w:r>
        <w:rPr>
          <w:rFonts w:hint="default" w:ascii="仿宋_GB2312" w:hAnsi="仿宋_GB2312" w:cs="仿宋_GB2312"/>
          <w:highlight w:val="none"/>
          <w:lang w:val="en-US" w:eastAsia="zh-CN"/>
        </w:rPr>
        <w:t>”</w:t>
      </w:r>
      <w:r>
        <w:rPr>
          <w:rFonts w:hint="eastAsia" w:ascii="仿宋_GB2312" w:hAnsi="仿宋_GB2312" w:cs="仿宋_GB2312"/>
          <w:highlight w:val="none"/>
          <w:lang w:val="en-US" w:eastAsia="zh-CN"/>
        </w:rPr>
        <w:t>已</w:t>
      </w:r>
      <w:r>
        <w:rPr>
          <w:rFonts w:hint="eastAsia" w:ascii="仿宋_GB2312" w:hAnsi="仿宋_GB2312" w:cs="仿宋_GB2312"/>
          <w:highlight w:val="none"/>
          <w:lang w:val="en-US"/>
        </w:rPr>
        <w:t>全部</w:t>
      </w:r>
      <w:r>
        <w:rPr>
          <w:rFonts w:hint="eastAsia" w:ascii="仿宋_GB2312" w:hAnsi="仿宋_GB2312" w:cs="仿宋_GB2312"/>
          <w:highlight w:val="none"/>
          <w:lang w:val="en-US" w:eastAsia="zh-CN"/>
        </w:rPr>
        <w:t>达标</w:t>
      </w:r>
      <w:r>
        <w:rPr>
          <w:rFonts w:hint="eastAsia" w:ascii="仿宋_GB2312" w:hAnsi="仿宋_GB2312" w:cs="仿宋_GB2312"/>
          <w:highlight w:val="none"/>
          <w:lang w:val="en-US"/>
        </w:rPr>
        <w:t>。</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3.产出时效——完成及时性</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w:t>
      </w:r>
      <w:r>
        <w:rPr>
          <w:rFonts w:hint="eastAsia" w:ascii="仿宋_GB2312" w:hAnsi="仿宋_GB2312" w:cs="仿宋_GB2312"/>
          <w:highlight w:val="none"/>
          <w:lang w:val="en-US" w:eastAsia="zh-CN"/>
        </w:rPr>
        <w:t>共设有11个时效指标，其中，“安全培训工作的完成时间”“形成建筑起重机械抽查工作报告频率”“市政工程质量安全监督抽查基本频次（次/季度）”等10个指标</w:t>
      </w:r>
      <w:r>
        <w:rPr>
          <w:rFonts w:hint="eastAsia" w:ascii="仿宋_GB2312" w:hAnsi="仿宋_GB2312" w:cs="仿宋_GB2312"/>
          <w:highlight w:val="none"/>
          <w:lang w:val="en-US"/>
        </w:rPr>
        <w:t>及时性绩效目标</w:t>
      </w:r>
      <w:r>
        <w:rPr>
          <w:rFonts w:hint="eastAsia" w:ascii="仿宋_GB2312" w:hAnsi="仿宋_GB2312" w:cs="仿宋_GB2312"/>
          <w:highlight w:val="none"/>
          <w:lang w:val="en-US" w:eastAsia="zh-CN"/>
        </w:rPr>
        <w:t>已</w:t>
      </w:r>
      <w:r>
        <w:rPr>
          <w:rFonts w:hint="eastAsia" w:ascii="仿宋_GB2312" w:hAnsi="仿宋_GB2312" w:cs="仿宋_GB2312"/>
          <w:highlight w:val="none"/>
          <w:lang w:val="en-US"/>
        </w:rPr>
        <w:t>达成，</w:t>
      </w:r>
      <w:r>
        <w:rPr>
          <w:rFonts w:hint="eastAsia" w:ascii="仿宋_GB2312" w:hAnsi="仿宋_GB2312" w:cs="仿宋_GB2312"/>
          <w:highlight w:val="none"/>
          <w:lang w:val="en-US" w:eastAsia="zh-CN"/>
        </w:rPr>
        <w:t>剩余1个指标“每季度工程‘红黑榜’刊登及时性”，计划指标值为“每季度的第一个月15号前刊登报纸”，实际在项目实施过程中，2021年支付了1期“红黑榜”刊登费用，因市安委办新增了工作任务《全市住房建设事故灾难安全风险自评第三方服务》，支付了该项目款49.15万元，导致后期无费用继续刊登报纸，该指标未能完成，扣0.73分</w:t>
      </w:r>
      <w:r>
        <w:rPr>
          <w:rFonts w:hint="eastAsia"/>
          <w:highlight w:val="none"/>
        </w:rPr>
        <w:t>。</w:t>
      </w:r>
    </w:p>
    <w:p>
      <w:pPr>
        <w:pStyle w:val="4"/>
        <w:spacing w:line="579" w:lineRule="exact"/>
        <w:ind w:firstLine="643"/>
        <w:outlineLvl w:val="2"/>
        <w:rPr>
          <w:rFonts w:ascii="仿宋_GB2312" w:hAnsi="仿宋_GB2312" w:cs="仿宋_GB2312"/>
          <w:b/>
          <w:bCs/>
          <w:highlight w:val="none"/>
          <w:lang w:val="en-US"/>
        </w:rPr>
      </w:pPr>
      <w:r>
        <w:rPr>
          <w:rFonts w:hint="eastAsia" w:ascii="仿宋_GB2312" w:hAnsi="仿宋_GB2312" w:cs="仿宋_GB2312"/>
          <w:b/>
          <w:bCs/>
          <w:highlight w:val="none"/>
          <w:lang w:val="en-US"/>
        </w:rPr>
        <w:t>4.产出成本——成本节约情况</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本项目</w:t>
      </w:r>
      <w:r>
        <w:rPr>
          <w:rFonts w:hint="eastAsia" w:ascii="仿宋_GB2312" w:hAnsi="仿宋_GB2312" w:cs="仿宋_GB2312"/>
          <w:highlight w:val="none"/>
        </w:rPr>
        <w:t>计划成本5,670.6</w:t>
      </w:r>
      <w:r>
        <w:rPr>
          <w:rFonts w:hint="eastAsia" w:ascii="仿宋_GB2312" w:hAnsi="仿宋_GB2312" w:cs="仿宋_GB2312"/>
          <w:highlight w:val="none"/>
          <w:lang w:val="en-US"/>
        </w:rPr>
        <w:t>万元，</w:t>
      </w:r>
      <w:r>
        <w:rPr>
          <w:rFonts w:hint="eastAsia" w:ascii="仿宋_GB2312" w:hAnsi="仿宋_GB2312" w:cs="仿宋_GB2312"/>
          <w:highlight w:val="none"/>
        </w:rPr>
        <w:t>实际成本5,548.41</w:t>
      </w:r>
      <w:r>
        <w:rPr>
          <w:rFonts w:hint="eastAsia" w:ascii="仿宋_GB2312" w:hAnsi="仿宋_GB2312" w:cs="仿宋_GB2312"/>
          <w:highlight w:val="none"/>
          <w:lang w:val="en-US"/>
        </w:rPr>
        <w:t>万元，成本节约率为</w:t>
      </w:r>
      <w:r>
        <w:rPr>
          <w:rFonts w:hint="eastAsia" w:ascii="仿宋_GB2312" w:hAnsi="仿宋_GB2312" w:cs="仿宋_GB2312"/>
          <w:highlight w:val="none"/>
          <w:lang w:val="en-US" w:eastAsia="zh-CN"/>
        </w:rPr>
        <w:t>2.15</w:t>
      </w:r>
      <w:r>
        <w:rPr>
          <w:rFonts w:hint="eastAsia" w:ascii="仿宋_GB2312" w:hAnsi="仿宋_GB2312" w:cs="仿宋_GB2312"/>
          <w:highlight w:val="none"/>
          <w:lang w:val="en-US"/>
        </w:rPr>
        <w:t>%，设定成本节约率5%为基准</w:t>
      </w:r>
      <w:r>
        <w:rPr>
          <w:rFonts w:hint="eastAsia" w:ascii="仿宋_GB2312" w:hAnsi="仿宋_GB2312" w:cs="仿宋_GB2312"/>
          <w:highlight w:val="none"/>
          <w:lang w:val="en-US" w:eastAsia="zh-CN"/>
        </w:rPr>
        <w:t>，</w:t>
      </w:r>
      <w:r>
        <w:rPr>
          <w:rFonts w:hint="eastAsia" w:ascii="仿宋_GB2312" w:hAnsi="仿宋_GB2312" w:cs="仿宋_GB2312"/>
          <w:highlight w:val="none"/>
          <w:lang w:val="en-US"/>
        </w:rPr>
        <w:t>扣</w:t>
      </w:r>
      <w:r>
        <w:rPr>
          <w:rFonts w:hint="eastAsia" w:ascii="仿宋_GB2312" w:hAnsi="仿宋_GB2312" w:cs="仿宋_GB2312"/>
          <w:highlight w:val="none"/>
          <w:lang w:val="en-US" w:eastAsia="zh-CN"/>
        </w:rPr>
        <w:t>2.28</w:t>
      </w:r>
      <w:r>
        <w:rPr>
          <w:rFonts w:hint="eastAsia" w:ascii="仿宋_GB2312" w:hAnsi="仿宋_GB2312" w:cs="仿宋_GB2312"/>
          <w:highlight w:val="none"/>
          <w:lang w:val="en-US"/>
        </w:rPr>
        <w:t>分</w:t>
      </w:r>
      <w:r>
        <w:rPr>
          <w:rFonts w:hint="eastAsia" w:ascii="仿宋_GB2312" w:hAnsi="仿宋_GB2312" w:cs="仿宋_GB2312"/>
          <w:highlight w:val="none"/>
        </w:rPr>
        <w:t>。</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1" w:name="_Toc7099"/>
      <w:r>
        <w:rPr>
          <w:rFonts w:hint="eastAsia" w:ascii="楷体_GB2312" w:hAnsi="楷体_GB2312" w:eastAsia="楷体_GB2312" w:cs="楷体_GB2312"/>
          <w:b w:val="0"/>
          <w:bCs w:val="0"/>
          <w:highlight w:val="none"/>
          <w:lang w:val="en-US" w:eastAsia="zh-CN"/>
        </w:rPr>
        <w:t>（四）</w:t>
      </w:r>
      <w:r>
        <w:rPr>
          <w:rFonts w:hint="eastAsia" w:ascii="楷体_GB2312" w:hAnsi="楷体_GB2312" w:eastAsia="楷体_GB2312" w:cs="楷体_GB2312"/>
          <w:b w:val="0"/>
          <w:bCs w:val="0"/>
          <w:highlight w:val="none"/>
          <w:lang w:val="en-US"/>
        </w:rPr>
        <w:t>项目效益情况</w:t>
      </w:r>
      <w:bookmarkEnd w:id="21"/>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rPr>
        <w:t>效益</w:t>
      </w:r>
      <w:r>
        <w:rPr>
          <w:rFonts w:hint="eastAsia" w:ascii="仿宋_GB2312" w:hAnsi="仿宋_GB2312" w:cs="仿宋_GB2312"/>
          <w:highlight w:val="none"/>
        </w:rPr>
        <w:t>指标考察</w:t>
      </w:r>
      <w:r>
        <w:rPr>
          <w:rFonts w:hint="eastAsia" w:ascii="仿宋_GB2312" w:hAnsi="仿宋_GB2312" w:cs="仿宋_GB2312"/>
          <w:highlight w:val="none"/>
          <w:lang w:val="en-US"/>
        </w:rPr>
        <w:t>项目效益</w:t>
      </w:r>
      <w:r>
        <w:rPr>
          <w:rFonts w:hint="eastAsia" w:ascii="仿宋_GB2312" w:hAnsi="仿宋_GB2312" w:cs="仿宋_GB2312"/>
          <w:highlight w:val="none"/>
        </w:rPr>
        <w:t>，满分</w:t>
      </w:r>
      <w:r>
        <w:rPr>
          <w:rFonts w:hint="eastAsia" w:ascii="仿宋_GB2312" w:hAnsi="仿宋_GB2312" w:cs="仿宋_GB2312"/>
          <w:highlight w:val="none"/>
          <w:lang w:val="en-US"/>
        </w:rPr>
        <w:t>30</w:t>
      </w:r>
      <w:r>
        <w:rPr>
          <w:rFonts w:hint="eastAsia" w:ascii="仿宋_GB2312" w:hAnsi="仿宋_GB2312" w:cs="仿宋_GB2312"/>
          <w:highlight w:val="none"/>
        </w:rPr>
        <w:t>分，得分</w:t>
      </w:r>
      <w:r>
        <w:rPr>
          <w:rFonts w:hint="eastAsia" w:ascii="仿宋_GB2312" w:hAnsi="仿宋_GB2312" w:cs="仿宋_GB2312"/>
          <w:highlight w:val="none"/>
          <w:lang w:val="en-US" w:eastAsia="zh-CN"/>
        </w:rPr>
        <w:t>29</w:t>
      </w:r>
      <w:r>
        <w:rPr>
          <w:rFonts w:hint="eastAsia" w:ascii="仿宋_GB2312" w:hAnsi="仿宋_GB2312" w:cs="仿宋_GB2312"/>
          <w:highlight w:val="none"/>
        </w:rPr>
        <w:t>分，得分率为</w:t>
      </w:r>
      <w:r>
        <w:rPr>
          <w:rFonts w:hint="eastAsia" w:ascii="仿宋_GB2312" w:hAnsi="仿宋_GB2312" w:cs="仿宋_GB2312"/>
          <w:highlight w:val="none"/>
          <w:lang w:val="en-US"/>
        </w:rPr>
        <w:t>9</w:t>
      </w:r>
      <w:r>
        <w:rPr>
          <w:rFonts w:hint="eastAsia" w:ascii="仿宋_GB2312" w:hAnsi="仿宋_GB2312" w:cs="仿宋_GB2312"/>
          <w:highlight w:val="none"/>
          <w:lang w:val="en-US" w:eastAsia="zh-CN"/>
        </w:rPr>
        <w:t>6.67</w:t>
      </w:r>
      <w:r>
        <w:rPr>
          <w:rFonts w:hint="eastAsia" w:ascii="仿宋_GB2312" w:hAnsi="仿宋_GB2312" w:cs="仿宋_GB2312"/>
          <w:highlight w:val="none"/>
          <w:lang w:val="en-US"/>
        </w:rPr>
        <w:t>%</w:t>
      </w:r>
      <w:r>
        <w:rPr>
          <w:rFonts w:hint="eastAsia" w:ascii="仿宋_GB2312" w:hAnsi="仿宋_GB2312" w:cs="仿宋_GB2312"/>
          <w:highlight w:val="none"/>
        </w:rPr>
        <w:t>。</w:t>
      </w:r>
    </w:p>
    <w:p>
      <w:pPr>
        <w:pStyle w:val="4"/>
        <w:spacing w:line="579" w:lineRule="exact"/>
        <w:ind w:firstLine="643"/>
        <w:rPr>
          <w:rFonts w:ascii="仿宋_GB2312" w:hAnsi="仿宋_GB2312" w:cs="仿宋_GB2312"/>
          <w:b/>
          <w:bCs/>
          <w:highlight w:val="none"/>
        </w:rPr>
      </w:pPr>
      <w:r>
        <w:rPr>
          <w:rFonts w:hint="eastAsia" w:ascii="仿宋_GB2312" w:hAnsi="仿宋_GB2312" w:cs="仿宋_GB2312"/>
          <w:b/>
          <w:bCs/>
          <w:highlight w:val="none"/>
          <w:lang w:val="en-US"/>
        </w:rPr>
        <w:t>1.项目</w:t>
      </w:r>
      <w:r>
        <w:rPr>
          <w:rFonts w:hint="eastAsia" w:ascii="仿宋_GB2312" w:hAnsi="仿宋_GB2312" w:cs="仿宋_GB2312"/>
          <w:b/>
          <w:bCs/>
          <w:highlight w:val="none"/>
        </w:rPr>
        <w:t>效益</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rPr>
        <w:t>（</w:t>
      </w:r>
      <w:r>
        <w:rPr>
          <w:rFonts w:hint="eastAsia" w:ascii="仿宋_GB2312" w:hAnsi="仿宋_GB2312" w:cs="仿宋_GB2312"/>
          <w:highlight w:val="none"/>
          <w:lang w:val="en-US"/>
        </w:rPr>
        <w:t>1</w:t>
      </w:r>
      <w:r>
        <w:rPr>
          <w:rFonts w:hint="eastAsia" w:ascii="仿宋_GB2312" w:hAnsi="仿宋_GB2312" w:cs="仿宋_GB2312"/>
          <w:highlight w:val="none"/>
        </w:rPr>
        <w:t>）</w:t>
      </w:r>
      <w:r>
        <w:rPr>
          <w:rFonts w:hint="eastAsia" w:ascii="仿宋_GB2312" w:hAnsi="仿宋_GB2312" w:cs="仿宋_GB2312"/>
          <w:highlight w:val="none"/>
          <w:lang w:val="en-US"/>
        </w:rPr>
        <w:t>实施效益</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社会效益方面，</w:t>
      </w:r>
      <w:r>
        <w:rPr>
          <w:rFonts w:hint="eastAsia" w:ascii="仿宋_GB2312" w:hAnsi="仿宋_GB2312" w:cs="仿宋_GB2312"/>
          <w:highlight w:val="none"/>
          <w:lang w:val="en-US" w:eastAsia="zh-CN"/>
        </w:rPr>
        <w:t>实施</w:t>
      </w:r>
      <w:r>
        <w:rPr>
          <w:rFonts w:hint="eastAsia" w:ascii="仿宋_GB2312" w:hAnsi="仿宋_GB2312" w:cs="仿宋_GB2312"/>
          <w:highlight w:val="none"/>
          <w:lang w:val="en-US"/>
        </w:rPr>
        <w:t>本项目有效推动深圳市建筑施工专用机动车辆安全的监督管理，有效督促施工项目整改安全隐患</w:t>
      </w:r>
      <w:r>
        <w:rPr>
          <w:rFonts w:hint="eastAsia" w:ascii="仿宋_GB2312" w:hAnsi="仿宋_GB2312" w:cs="仿宋_GB2312"/>
          <w:highlight w:val="none"/>
          <w:lang w:val="en-US" w:eastAsia="zh-CN"/>
        </w:rPr>
        <w:t>，有效提高工人安全防范意识，有效提升房建工程质量水平，有效预防重特大事故发生，有效遏制重特大质量安全事故发生，保障人民生命安全。因实际完成值无法量化，</w:t>
      </w:r>
      <w:r>
        <w:rPr>
          <w:rFonts w:hint="eastAsia" w:ascii="仿宋_GB2312" w:hAnsi="仿宋_GB2312" w:cs="仿宋_GB2312"/>
          <w:highlight w:val="none"/>
          <w:lang w:val="en-US"/>
        </w:rPr>
        <w:t>本指标酌情扣</w:t>
      </w:r>
      <w:r>
        <w:rPr>
          <w:rFonts w:hint="eastAsia" w:ascii="仿宋_GB2312" w:hAnsi="仿宋_GB2312" w:cs="仿宋_GB2312"/>
          <w:highlight w:val="none"/>
          <w:lang w:val="en-US" w:eastAsia="zh-CN"/>
        </w:rPr>
        <w:t>1</w:t>
      </w:r>
      <w:r>
        <w:rPr>
          <w:rFonts w:hint="eastAsia" w:ascii="仿宋_GB2312" w:hAnsi="仿宋_GB2312" w:cs="仿宋_GB2312"/>
          <w:highlight w:val="none"/>
          <w:lang w:val="en-US"/>
        </w:rPr>
        <w:t>分。</w:t>
      </w:r>
    </w:p>
    <w:p>
      <w:pPr>
        <w:pStyle w:val="4"/>
        <w:spacing w:line="579" w:lineRule="exact"/>
        <w:ind w:firstLine="640"/>
        <w:rPr>
          <w:rFonts w:ascii="仿宋_GB2312" w:hAnsi="仿宋_GB2312" w:cs="仿宋_GB2312"/>
          <w:highlight w:val="none"/>
          <w:lang w:val="en-US"/>
        </w:rPr>
      </w:pPr>
      <w:r>
        <w:rPr>
          <w:rFonts w:hint="eastAsia" w:ascii="仿宋_GB2312" w:hAnsi="仿宋_GB2312" w:cs="仿宋_GB2312"/>
          <w:highlight w:val="none"/>
          <w:lang w:val="en-US"/>
        </w:rPr>
        <w:t>（2）满意度</w:t>
      </w:r>
    </w:p>
    <w:p>
      <w:pPr>
        <w:pStyle w:val="4"/>
        <w:spacing w:line="579" w:lineRule="exact"/>
        <w:ind w:firstLine="640"/>
        <w:rPr>
          <w:rFonts w:ascii="仿宋_GB2312" w:hAnsi="仿宋_GB2312" w:cs="仿宋_GB2312"/>
          <w:highlight w:val="none"/>
        </w:rPr>
      </w:pPr>
      <w:r>
        <w:rPr>
          <w:rFonts w:hint="eastAsia" w:ascii="仿宋_GB2312" w:hAnsi="仿宋_GB2312" w:cs="仿宋_GB2312"/>
          <w:highlight w:val="none"/>
          <w:lang w:val="en-US" w:eastAsia="zh-CN"/>
        </w:rPr>
        <w:t>本项目满意度指标“</w:t>
      </w:r>
      <w:r>
        <w:rPr>
          <w:rFonts w:hint="eastAsia" w:ascii="仿宋_GB2312" w:hAnsi="仿宋_GB2312" w:cs="仿宋_GB2312"/>
          <w:highlight w:val="none"/>
          <w:lang w:val="en-US"/>
        </w:rPr>
        <w:t>服务委托方满意度</w:t>
      </w:r>
      <w:r>
        <w:rPr>
          <w:rFonts w:hint="eastAsia" w:ascii="仿宋_GB2312" w:hAnsi="仿宋_GB2312" w:cs="仿宋_GB2312"/>
          <w:highlight w:val="none"/>
          <w:lang w:val="en-US" w:eastAsia="zh-CN"/>
        </w:rPr>
        <w:t>”，计划指标值为“良好及以上”，实际完成值“</w:t>
      </w:r>
      <w:r>
        <w:rPr>
          <w:rFonts w:hint="eastAsia" w:ascii="仿宋_GB2312" w:hAnsi="仿宋_GB2312" w:cs="仿宋_GB2312"/>
          <w:highlight w:val="none"/>
          <w:lang w:val="en-US"/>
        </w:rPr>
        <w:t>良好</w:t>
      </w:r>
      <w:r>
        <w:rPr>
          <w:rFonts w:hint="eastAsia" w:ascii="仿宋_GB2312" w:hAnsi="仿宋_GB2312" w:cs="仿宋_GB2312"/>
          <w:highlight w:val="none"/>
          <w:lang w:val="en-US" w:eastAsia="zh-CN"/>
        </w:rPr>
        <w:t>”，已完成绩效目标</w:t>
      </w:r>
      <w:r>
        <w:rPr>
          <w:rFonts w:hint="eastAsia" w:ascii="仿宋_GB2312" w:hAnsi="仿宋_GB2312" w:cs="仿宋_GB2312"/>
          <w:highlight w:val="none"/>
          <w:lang w:val="en-US"/>
        </w:rPr>
        <w:t>。</w:t>
      </w:r>
    </w:p>
    <w:p>
      <w:pPr>
        <w:pStyle w:val="3"/>
        <w:spacing w:before="0" w:after="0" w:line="579" w:lineRule="exact"/>
        <w:ind w:firstLine="640"/>
        <w:rPr>
          <w:szCs w:val="32"/>
          <w:highlight w:val="none"/>
        </w:rPr>
      </w:pPr>
      <w:bookmarkStart w:id="22" w:name="_Toc64647751"/>
      <w:bookmarkStart w:id="23" w:name="_Toc24676"/>
      <w:r>
        <w:rPr>
          <w:rFonts w:hint="eastAsia"/>
          <w:highlight w:val="none"/>
          <w:lang w:val="en-US"/>
        </w:rPr>
        <w:t>主要</w:t>
      </w:r>
      <w:r>
        <w:rPr>
          <w:rFonts w:hint="eastAsia"/>
          <w:highlight w:val="none"/>
        </w:rPr>
        <w:t>经验</w:t>
      </w:r>
      <w:r>
        <w:rPr>
          <w:rFonts w:hint="eastAsia"/>
          <w:highlight w:val="none"/>
          <w:lang w:val="en-US"/>
        </w:rPr>
        <w:t>及</w:t>
      </w:r>
      <w:r>
        <w:rPr>
          <w:rFonts w:hint="eastAsia"/>
          <w:highlight w:val="none"/>
        </w:rPr>
        <w:t>做法</w:t>
      </w:r>
      <w:bookmarkEnd w:id="22"/>
      <w:r>
        <w:rPr>
          <w:rFonts w:hint="eastAsia"/>
          <w:highlight w:val="none"/>
          <w:lang w:eastAsia="zh-CN"/>
        </w:rPr>
        <w:t>、</w:t>
      </w:r>
      <w:r>
        <w:rPr>
          <w:rFonts w:hint="eastAsia"/>
          <w:highlight w:val="none"/>
        </w:rPr>
        <w:t>存在的问题及原因分析</w:t>
      </w:r>
      <w:bookmarkEnd w:id="23"/>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4" w:name="_Toc21681"/>
      <w:r>
        <w:rPr>
          <w:rFonts w:hint="eastAsia" w:ascii="楷体_GB2312" w:hAnsi="楷体_GB2312" w:eastAsia="楷体_GB2312" w:cs="楷体_GB2312"/>
          <w:b w:val="0"/>
          <w:bCs w:val="0"/>
          <w:highlight w:val="none"/>
          <w:lang w:val="en-US" w:eastAsia="zh-CN"/>
        </w:rPr>
        <w:t>（一）主要经验及做法</w:t>
      </w:r>
      <w:bookmarkEnd w:id="24"/>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1.多台账管理，实施安全风险分级管控</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一是梳理更新各类风险管控台账。</w:t>
      </w:r>
      <w:r>
        <w:rPr>
          <w:rFonts w:hint="eastAsia" w:ascii="仿宋_GB2312" w:hAnsi="仿宋_GB2312" w:cs="仿宋_GB2312"/>
          <w:szCs w:val="32"/>
          <w:highlight w:val="none"/>
          <w:lang w:val="en-US" w:eastAsia="zh-CN"/>
        </w:rPr>
        <w:t>建立在监工程危大工程台账、“五类穿越”风险源台账、起重机械防风及人员疏散台账、非道路移动机械及油品直配管理台账等，及时更新数据、分析安全风险，根据风险变化情况，调整并落实安全风险防范及管控措施。</w:t>
      </w:r>
      <w:r>
        <w:rPr>
          <w:rFonts w:hint="eastAsia" w:ascii="仿宋_GB2312" w:hAnsi="仿宋_GB2312" w:cs="仿宋_GB2312"/>
          <w:b/>
          <w:bCs/>
          <w:szCs w:val="32"/>
          <w:highlight w:val="none"/>
          <w:lang w:val="en-US" w:eastAsia="zh-CN"/>
        </w:rPr>
        <w:t>二是落实风险分级分类管控措施。</w:t>
      </w:r>
      <w:r>
        <w:rPr>
          <w:rFonts w:hint="eastAsia" w:ascii="仿宋_GB2312" w:hAnsi="仿宋_GB2312" w:cs="仿宋_GB2312"/>
          <w:szCs w:val="32"/>
          <w:highlight w:val="none"/>
          <w:lang w:val="en-US" w:eastAsia="zh-CN"/>
        </w:rPr>
        <w:t>结合工程施工工艺、施工进度、周边环境风险，落实分级分类管控措施，对超规模危大工程、涉水及岩溶发育区域地下工程等实施差异化监管。</w:t>
      </w:r>
      <w:r>
        <w:rPr>
          <w:rFonts w:hint="eastAsia" w:ascii="仿宋_GB2312" w:hAnsi="仿宋_GB2312" w:cs="仿宋_GB2312"/>
          <w:b/>
          <w:bCs/>
          <w:szCs w:val="32"/>
          <w:highlight w:val="none"/>
          <w:lang w:val="en-US" w:eastAsia="zh-CN"/>
        </w:rPr>
        <w:t>三是加强危大工程施工安全管控。</w:t>
      </w:r>
      <w:r>
        <w:rPr>
          <w:rFonts w:hint="eastAsia" w:ascii="仿宋_GB2312" w:hAnsi="仿宋_GB2312" w:cs="仿宋_GB2312"/>
          <w:szCs w:val="32"/>
          <w:highlight w:val="none"/>
          <w:lang w:val="en-US" w:eastAsia="zh-CN"/>
        </w:rPr>
        <w:t>常态化组织专家开展对深基坑、暗挖工程设计及施工方案及其它危大工程专项施工方案抽查185项次，对设计及专项施工方案不完善的，施工方案未按危大工程管理要求进行编制、审批、论证闭合的，一律不得施工。</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2.多类型整治，保持严管重罚执法态势</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一是认真做好规定动作。</w:t>
      </w:r>
      <w:r>
        <w:rPr>
          <w:rFonts w:hint="eastAsia" w:ascii="仿宋_GB2312" w:hAnsi="仿宋_GB2312" w:cs="仿宋_GB2312"/>
          <w:szCs w:val="32"/>
          <w:highlight w:val="none"/>
          <w:lang w:val="en-US" w:eastAsia="zh-CN"/>
        </w:rPr>
        <w:t>不折不扣落实有关文件要求，狠抓工程质量安全隐患排查治理。在元旦、春节及全国“两会”期间、汛期等重要时间节点，认真开展安全生产专项整治三年行动、特别防护期、工程结构质量、安全生产百日攻坚、防风防汛等系列专项整治行动。认真吸取湖北十堰“6·13”燃气事故、珠海“7·15”透水事故教训，先后部署开展涉水地下工程及岩溶发育区地下工程、燃气工程等12项专项检查。</w:t>
      </w:r>
      <w:r>
        <w:rPr>
          <w:rFonts w:hint="eastAsia" w:ascii="仿宋_GB2312" w:hAnsi="仿宋_GB2312" w:cs="仿宋_GB2312"/>
          <w:b/>
          <w:bCs/>
          <w:szCs w:val="32"/>
          <w:highlight w:val="none"/>
          <w:lang w:val="en-US" w:eastAsia="zh-CN"/>
        </w:rPr>
        <w:t>二是创新开展自选动作。</w:t>
      </w:r>
      <w:r>
        <w:rPr>
          <w:rFonts w:hint="eastAsia" w:ascii="仿宋_GB2312" w:hAnsi="仿宋_GB2312" w:cs="仿宋_GB2312"/>
          <w:szCs w:val="32"/>
          <w:highlight w:val="none"/>
          <w:lang w:val="en-US" w:eastAsia="zh-CN"/>
        </w:rPr>
        <w:t>根据行业和事故特点，结合在监工程实际，部署开展央企施工安全专项整治交叉检查、轨道交通重点部位防洪措施、站后工程施工、流动式起重机械、轨道作业车等9项系列整治行动。</w:t>
      </w:r>
      <w:r>
        <w:rPr>
          <w:rFonts w:hint="eastAsia" w:ascii="仿宋_GB2312" w:hAnsi="仿宋_GB2312" w:cs="仿宋_GB2312"/>
          <w:b/>
          <w:bCs/>
          <w:szCs w:val="32"/>
          <w:highlight w:val="none"/>
          <w:lang w:val="en-US" w:eastAsia="zh-CN"/>
        </w:rPr>
        <w:t>三是消除了一大批隐患问题。</w:t>
      </w:r>
      <w:r>
        <w:rPr>
          <w:rFonts w:hint="eastAsia" w:ascii="仿宋_GB2312" w:hAnsi="仿宋_GB2312" w:cs="仿宋_GB2312"/>
          <w:szCs w:val="32"/>
          <w:highlight w:val="none"/>
          <w:lang w:val="en-US" w:eastAsia="zh-CN"/>
        </w:rPr>
        <w:t>认真开展隐患排查整治，针对排查出的4.3万余项施工质量安全隐患，按照严格整改内容、标准、措施、时间进度、责任人“五个落实”要求，督促企业进行闭合整改。</w:t>
      </w:r>
      <w:r>
        <w:rPr>
          <w:rFonts w:hint="eastAsia" w:ascii="仿宋_GB2312" w:hAnsi="仿宋_GB2312" w:cs="仿宋_GB2312"/>
          <w:b/>
          <w:bCs/>
          <w:szCs w:val="32"/>
          <w:highlight w:val="none"/>
          <w:lang w:val="en-US" w:eastAsia="zh-CN"/>
        </w:rPr>
        <w:t>四是处理了相关责任主体。</w:t>
      </w:r>
      <w:r>
        <w:rPr>
          <w:rFonts w:hint="eastAsia" w:ascii="仿宋_GB2312" w:hAnsi="仿宋_GB2312" w:cs="仿宋_GB2312"/>
          <w:szCs w:val="32"/>
          <w:highlight w:val="none"/>
          <w:lang w:val="en-US" w:eastAsia="zh-CN"/>
        </w:rPr>
        <w:t>对违法违规行为，依法依规严肃查处。全年共出动16795人次，检查项目5521项次，对责任单位及责任人，发出责令整改4302份、责令停工413份、不良行为扣分2106份，黄色警示125份，红色警示13份，挂牌督办26项，警示约谈企业124家、492人次，立案查处117起，罚款总金额119.15万元。</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3.多环节管控，提升全链条管理水平</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一是出台各类强化管理文件。</w:t>
      </w:r>
      <w:r>
        <w:rPr>
          <w:rFonts w:hint="eastAsia" w:ascii="仿宋_GB2312" w:hAnsi="仿宋_GB2312" w:cs="仿宋_GB2312"/>
          <w:szCs w:val="32"/>
          <w:highlight w:val="none"/>
          <w:lang w:val="en-US" w:eastAsia="zh-CN"/>
        </w:rPr>
        <w:t>针对不同施工阶段、不同工艺及工法风险以及多发易发事故类型，进一步完善质量安全技术措施，先后出台关于加强岩溶地区、站后工程、门式起重机、流动式起重机等系列文件，提升施工质量安全管理水平。</w:t>
      </w:r>
      <w:r>
        <w:rPr>
          <w:rFonts w:hint="eastAsia" w:ascii="仿宋_GB2312" w:hAnsi="仿宋_GB2312" w:cs="仿宋_GB2312"/>
          <w:b/>
          <w:bCs/>
          <w:szCs w:val="32"/>
          <w:highlight w:val="none"/>
          <w:lang w:val="en-US" w:eastAsia="zh-CN"/>
        </w:rPr>
        <w:t>二是源头把控提高安全可靠度。</w:t>
      </w:r>
      <w:r>
        <w:rPr>
          <w:rFonts w:hint="eastAsia" w:ascii="仿宋_GB2312" w:hAnsi="仿宋_GB2312" w:cs="仿宋_GB2312"/>
          <w:szCs w:val="32"/>
          <w:highlight w:val="none"/>
          <w:lang w:val="en-US" w:eastAsia="zh-CN"/>
        </w:rPr>
        <w:t>加强设计源头管理，优化设计阶段工法选择，提高安全可靠度，明确深基坑工程第一道内支撑一律选用钢筋混凝土支撑，暗挖工程优先选用盾构掘进工法，具备条件的富水区域优先选用泥水平衡盾构机掘进工法，为施工质量安全管理工作提供技术支撑。</w:t>
      </w:r>
      <w:r>
        <w:rPr>
          <w:rFonts w:hint="eastAsia" w:ascii="仿宋_GB2312" w:hAnsi="仿宋_GB2312" w:cs="仿宋_GB2312"/>
          <w:b/>
          <w:bCs/>
          <w:szCs w:val="32"/>
          <w:highlight w:val="none"/>
          <w:lang w:val="en-US" w:eastAsia="zh-CN"/>
        </w:rPr>
        <w:t>三是加强全过程质量安全监督抽检。</w:t>
      </w:r>
      <w:r>
        <w:rPr>
          <w:rFonts w:hint="eastAsia" w:ascii="仿宋_GB2312" w:hAnsi="仿宋_GB2312" w:cs="仿宋_GB2312"/>
          <w:szCs w:val="32"/>
          <w:highlight w:val="none"/>
          <w:lang w:val="en-US" w:eastAsia="zh-CN"/>
        </w:rPr>
        <w:t>注重工程建设质量及安全防护用品的监督抽查，根据施工进度，委托市检测鉴定中心开展建筑材料及构配件、实体结构质量及安全防护用品抽检，高标准完成工程质量委托检测任务。</w:t>
      </w:r>
      <w:r>
        <w:rPr>
          <w:rFonts w:hint="eastAsia" w:ascii="仿宋_GB2312" w:hAnsi="仿宋_GB2312" w:cs="仿宋_GB2312"/>
          <w:b/>
          <w:bCs/>
          <w:szCs w:val="32"/>
          <w:highlight w:val="none"/>
          <w:lang w:val="en-US" w:eastAsia="zh-CN"/>
        </w:rPr>
        <w:t>四是加强重要环节、节点验收监督。</w:t>
      </w:r>
      <w:r>
        <w:rPr>
          <w:rFonts w:hint="eastAsia" w:ascii="仿宋_GB2312" w:hAnsi="仿宋_GB2312" w:cs="仿宋_GB2312"/>
          <w:szCs w:val="32"/>
          <w:highlight w:val="none"/>
          <w:lang w:val="en-US" w:eastAsia="zh-CN"/>
        </w:rPr>
        <w:t>重点对中间验收、竣工验收的组织形式及验收程序，工程建设验收标准执行等方面情况进行监督检查，先后组织并参与地铁20号线一期工程竣工验收监督、其他市政工程竣工验收监督20项。</w:t>
      </w:r>
    </w:p>
    <w:p>
      <w:pPr>
        <w:pStyle w:val="4"/>
        <w:spacing w:line="579" w:lineRule="exact"/>
        <w:ind w:firstLine="643"/>
        <w:outlineLvl w:val="2"/>
        <w:rPr>
          <w:rFonts w:hint="eastAsia" w:ascii="仿宋_GB2312" w:hAnsi="仿宋_GB2312" w:cs="仿宋_GB2312"/>
          <w:b/>
          <w:bCs/>
          <w:highlight w:val="none"/>
          <w:lang w:val="en-US" w:eastAsia="zh-CN"/>
        </w:rPr>
      </w:pPr>
      <w:r>
        <w:rPr>
          <w:rFonts w:hint="eastAsia" w:ascii="仿宋_GB2312" w:hAnsi="仿宋_GB2312" w:cs="仿宋_GB2312"/>
          <w:b/>
          <w:bCs/>
          <w:highlight w:val="none"/>
          <w:lang w:val="en-US" w:eastAsia="zh-CN"/>
        </w:rPr>
        <w:t>4.多层级覆盖，强化教育培训工作</w:t>
      </w:r>
    </w:p>
    <w:p>
      <w:pPr>
        <w:pStyle w:val="4"/>
        <w:spacing w:line="579" w:lineRule="exact"/>
        <w:ind w:firstLine="640"/>
        <w:rPr>
          <w:rFonts w:hint="eastAsia" w:ascii="仿宋_GB2312" w:hAnsi="仿宋_GB2312" w:cs="仿宋_GB2312"/>
          <w:szCs w:val="32"/>
          <w:highlight w:val="none"/>
          <w:lang w:val="en-US" w:eastAsia="zh-CN"/>
        </w:rPr>
      </w:pPr>
      <w:r>
        <w:rPr>
          <w:rFonts w:hint="eastAsia" w:ascii="仿宋_GB2312" w:hAnsi="仿宋_GB2312" w:cs="仿宋_GB2312"/>
          <w:b/>
          <w:bCs/>
          <w:szCs w:val="32"/>
          <w:highlight w:val="none"/>
          <w:lang w:val="en-US" w:eastAsia="zh-CN"/>
        </w:rPr>
        <w:t>一是严格落实参建人员全员培训。</w:t>
      </w:r>
      <w:r>
        <w:rPr>
          <w:rFonts w:hint="eastAsia" w:ascii="仿宋_GB2312" w:hAnsi="仿宋_GB2312" w:cs="仿宋_GB2312"/>
          <w:szCs w:val="32"/>
          <w:highlight w:val="none"/>
          <w:lang w:val="en-US" w:eastAsia="zh-CN"/>
        </w:rPr>
        <w:t>针对新开工工地，督促总包单位按要求组织工人到训练基地参加入门级培训，未经培训考核合格的工人，一律不得进入施工现场从事施工作业。针对事故工程，重点核查施工单位组织工人全员参加训练基地“回炉”培训情况。</w:t>
      </w:r>
      <w:r>
        <w:rPr>
          <w:rFonts w:hint="eastAsia" w:ascii="仿宋_GB2312" w:hAnsi="仿宋_GB2312" w:cs="仿宋_GB2312"/>
          <w:b/>
          <w:bCs/>
          <w:szCs w:val="32"/>
          <w:highlight w:val="none"/>
          <w:lang w:val="en-US" w:eastAsia="zh-CN"/>
        </w:rPr>
        <w:t>二是加强项目管理人员教育培训。</w:t>
      </w:r>
      <w:r>
        <w:rPr>
          <w:rFonts w:hint="eastAsia" w:ascii="仿宋_GB2312" w:hAnsi="仿宋_GB2312" w:cs="仿宋_GB2312"/>
          <w:szCs w:val="32"/>
          <w:highlight w:val="none"/>
          <w:lang w:val="en-US" w:eastAsia="zh-CN"/>
        </w:rPr>
        <w:t>以“安全生产月”“质量月”活动为契机，针对一线管理人员，举办《岩溶地区地质勘察分析管控要点》《深基坑及土方开挖监督要点》等系列讲座和建设工程塌陷防治技术网络直播答疑活动，提升现场管理水平。</w:t>
      </w:r>
      <w:r>
        <w:rPr>
          <w:rFonts w:hint="eastAsia" w:ascii="仿宋_GB2312" w:hAnsi="仿宋_GB2312" w:cs="仿宋_GB2312"/>
          <w:b/>
          <w:bCs/>
          <w:szCs w:val="32"/>
          <w:highlight w:val="none"/>
          <w:lang w:val="en-US" w:eastAsia="zh-CN"/>
        </w:rPr>
        <w:t>三是加强一线作业人员教育培训。</w:t>
      </w:r>
      <w:r>
        <w:rPr>
          <w:rFonts w:hint="eastAsia" w:ascii="仿宋_GB2312" w:hAnsi="仿宋_GB2312" w:cs="仿宋_GB2312"/>
          <w:szCs w:val="32"/>
          <w:highlight w:val="none"/>
          <w:lang w:val="en-US" w:eastAsia="zh-CN"/>
        </w:rPr>
        <w:t>针对在监工程一线作业人员，开展“安全大讲堂”教育培训活动，联合深圳地铁集团、各大央企，开展挖掘机司机、电工、电焊工、起重司机、信号司索工等安全教育培训活动。累计发放安全宣传资料3660余册，活动场次34期，讲座、答疑、培训人员9.2余万人次。</w:t>
      </w:r>
      <w:r>
        <w:rPr>
          <w:rFonts w:hint="eastAsia" w:ascii="仿宋_GB2312" w:hAnsi="仿宋_GB2312" w:cs="仿宋_GB2312"/>
          <w:b/>
          <w:bCs/>
          <w:szCs w:val="32"/>
          <w:highlight w:val="none"/>
          <w:lang w:val="en-US" w:eastAsia="zh-CN"/>
        </w:rPr>
        <w:t>四是制作工地事故警示教育视频。</w:t>
      </w:r>
      <w:r>
        <w:rPr>
          <w:rFonts w:hint="eastAsia" w:ascii="仿宋_GB2312" w:hAnsi="仿宋_GB2312" w:cs="仿宋_GB2312"/>
          <w:szCs w:val="32"/>
          <w:highlight w:val="none"/>
          <w:lang w:val="en-US" w:eastAsia="zh-CN"/>
        </w:rPr>
        <w:t>针对近年来全市房屋市政工程事故发生情况及事故原因分析，对容易造成群死群伤事故尤其是坍塌、起重伤害、车辆伤害、物体打击、有限空间等易发多发事故类型制作工地事故警示教育视频。</w:t>
      </w:r>
    </w:p>
    <w:p>
      <w:pPr>
        <w:pStyle w:val="5"/>
        <w:numPr>
          <w:ilvl w:val="1"/>
          <w:numId w:val="0"/>
        </w:numPr>
        <w:spacing w:before="0" w:after="0" w:line="579" w:lineRule="exact"/>
        <w:ind w:leftChars="200"/>
        <w:rPr>
          <w:rFonts w:hint="eastAsia" w:ascii="楷体_GB2312" w:hAnsi="楷体_GB2312" w:eastAsia="楷体_GB2312" w:cs="楷体_GB2312"/>
          <w:b w:val="0"/>
          <w:bCs w:val="0"/>
          <w:highlight w:val="none"/>
          <w:lang w:val="en-US" w:eastAsia="zh-CN"/>
        </w:rPr>
      </w:pPr>
      <w:bookmarkStart w:id="25" w:name="_Toc5345"/>
      <w:r>
        <w:rPr>
          <w:rFonts w:hint="eastAsia" w:ascii="楷体_GB2312" w:hAnsi="楷体_GB2312" w:eastAsia="楷体_GB2312" w:cs="楷体_GB2312"/>
          <w:b w:val="0"/>
          <w:bCs w:val="0"/>
          <w:highlight w:val="none"/>
          <w:lang w:val="en-US" w:eastAsia="zh-CN"/>
        </w:rPr>
        <w:t>（二）存在的问题及原因分析</w:t>
      </w:r>
      <w:bookmarkEnd w:id="25"/>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1.部分指标值设置不够量化，无法衡量</w:t>
      </w:r>
    </w:p>
    <w:p>
      <w:pPr>
        <w:pStyle w:val="4"/>
        <w:spacing w:line="579" w:lineRule="exact"/>
        <w:ind w:firstLine="640"/>
        <w:rPr>
          <w:rFonts w:ascii="仿宋_GB2312" w:hAnsi="仿宋_GB2312" w:cs="仿宋_GB2312"/>
          <w:szCs w:val="32"/>
          <w:highlight w:val="none"/>
          <w:lang w:val="en-US"/>
        </w:rPr>
      </w:pPr>
      <w:r>
        <w:rPr>
          <w:rFonts w:hint="eastAsia" w:ascii="仿宋_GB2312" w:hAnsi="仿宋_GB2312" w:cs="仿宋_GB2312"/>
          <w:szCs w:val="32"/>
          <w:highlight w:val="none"/>
          <w:lang w:val="en-US"/>
        </w:rPr>
        <w:t>根据</w:t>
      </w:r>
      <w:r>
        <w:rPr>
          <w:rFonts w:hint="eastAsia" w:ascii="仿宋_GB2312" w:hAnsi="仿宋_GB2312" w:cs="仿宋_GB2312"/>
          <w:szCs w:val="32"/>
          <w:highlight w:val="none"/>
          <w:lang w:val="en-US" w:eastAsia="zh-CN"/>
        </w:rPr>
        <w:t>绩效目标表</w:t>
      </w:r>
      <w:r>
        <w:rPr>
          <w:rFonts w:hint="eastAsia" w:ascii="仿宋_GB2312" w:hAnsi="仿宋_GB2312" w:cs="仿宋_GB2312"/>
          <w:szCs w:val="32"/>
          <w:highlight w:val="none"/>
          <w:lang w:val="en-US"/>
        </w:rPr>
        <w:t>，</w:t>
      </w:r>
      <w:r>
        <w:rPr>
          <w:rFonts w:hint="eastAsia" w:ascii="仿宋_GB2312" w:hAnsi="仿宋_GB2312" w:cs="仿宋_GB2312"/>
          <w:szCs w:val="32"/>
          <w:highlight w:val="none"/>
          <w:lang w:val="en-US" w:eastAsia="zh-CN"/>
        </w:rPr>
        <w:t>本项目</w:t>
      </w:r>
      <w:r>
        <w:rPr>
          <w:rFonts w:hint="eastAsia" w:ascii="仿宋_GB2312" w:hAnsi="仿宋_GB2312" w:cs="仿宋_GB2312"/>
          <w:szCs w:val="32"/>
          <w:highlight w:val="none"/>
          <w:lang w:val="en-US"/>
        </w:rPr>
        <w:t>社会效益指标</w:t>
      </w:r>
      <w:r>
        <w:rPr>
          <w:rFonts w:hint="eastAsia" w:ascii="仿宋_GB2312" w:hAnsi="仿宋_GB2312" w:cs="仿宋_GB2312"/>
          <w:szCs w:val="32"/>
          <w:highlight w:val="none"/>
          <w:lang w:val="en-US" w:eastAsia="zh-CN"/>
        </w:rPr>
        <w:t>均</w:t>
      </w:r>
      <w:r>
        <w:rPr>
          <w:rFonts w:hint="eastAsia" w:ascii="仿宋_GB2312" w:hAnsi="仿宋_GB2312" w:cs="仿宋_GB2312"/>
          <w:szCs w:val="32"/>
          <w:highlight w:val="none"/>
          <w:lang w:val="en-US"/>
        </w:rPr>
        <w:t>存在指标值设置不够清晰</w:t>
      </w:r>
      <w:r>
        <w:rPr>
          <w:rFonts w:hint="eastAsia" w:ascii="仿宋_GB2312" w:hAnsi="仿宋_GB2312" w:cs="仿宋_GB2312"/>
          <w:szCs w:val="32"/>
          <w:highlight w:val="none"/>
          <w:lang w:val="en-US" w:eastAsia="zh-CN"/>
        </w:rPr>
        <w:t>、无法量化</w:t>
      </w:r>
      <w:r>
        <w:rPr>
          <w:rFonts w:hint="eastAsia" w:ascii="仿宋_GB2312" w:hAnsi="仿宋_GB2312" w:cs="仿宋_GB2312"/>
          <w:szCs w:val="32"/>
          <w:highlight w:val="none"/>
          <w:lang w:val="en-US"/>
        </w:rPr>
        <w:t>的问题，如“有效推动”“有效督促”“有效提高”</w:t>
      </w:r>
      <w:r>
        <w:rPr>
          <w:rFonts w:hint="eastAsia" w:ascii="仿宋_GB2312" w:hAnsi="仿宋_GB2312" w:cs="仿宋_GB2312"/>
          <w:szCs w:val="32"/>
          <w:highlight w:val="none"/>
          <w:lang w:val="en-US" w:eastAsia="zh-CN"/>
        </w:rPr>
        <w:t>“有效预防”</w:t>
      </w:r>
      <w:r>
        <w:rPr>
          <w:rFonts w:hint="eastAsia" w:ascii="仿宋_GB2312" w:hAnsi="仿宋_GB2312" w:cs="仿宋_GB2312"/>
          <w:szCs w:val="32"/>
          <w:highlight w:val="none"/>
          <w:lang w:val="en-US"/>
        </w:rPr>
        <w:t>等。通过概括性词语设置指标值，导致指标值不可衡量，无法</w:t>
      </w:r>
      <w:r>
        <w:rPr>
          <w:rFonts w:hint="eastAsia" w:ascii="仿宋_GB2312" w:hAnsi="仿宋_GB2312" w:cs="仿宋_GB2312"/>
          <w:szCs w:val="32"/>
          <w:highlight w:val="none"/>
          <w:lang w:val="en-US" w:eastAsia="zh-CN"/>
        </w:rPr>
        <w:t>明确</w:t>
      </w:r>
      <w:r>
        <w:rPr>
          <w:rFonts w:hint="eastAsia" w:ascii="仿宋_GB2312" w:hAnsi="仿宋_GB2312" w:cs="仿宋_GB2312"/>
          <w:szCs w:val="32"/>
          <w:highlight w:val="none"/>
          <w:lang w:val="en-US"/>
        </w:rPr>
        <w:t>考核。同时，对指标的深入性考核无法实现。</w:t>
      </w:r>
    </w:p>
    <w:p>
      <w:pPr>
        <w:pStyle w:val="4"/>
        <w:spacing w:line="579" w:lineRule="exact"/>
        <w:ind w:firstLine="643"/>
        <w:outlineLvl w:val="2"/>
        <w:rPr>
          <w:rFonts w:hint="default" w:ascii="仿宋_GB2312" w:hAnsi="仿宋_GB2312" w:cs="仿宋_GB2312"/>
          <w:b/>
          <w:bCs/>
          <w:highlight w:val="none"/>
          <w:lang w:val="en-US" w:eastAsia="zh-CN"/>
        </w:rPr>
      </w:pPr>
      <w:r>
        <w:rPr>
          <w:rFonts w:hint="eastAsia" w:ascii="仿宋_GB2312" w:hAnsi="仿宋_GB2312" w:cs="仿宋_GB2312"/>
          <w:b/>
          <w:bCs/>
          <w:highlight w:val="none"/>
          <w:lang w:val="en-US" w:eastAsia="zh-CN"/>
        </w:rPr>
        <w:t>2.个别二级项目招标文件和合同的支付条款不一致</w:t>
      </w:r>
    </w:p>
    <w:p>
      <w:pPr>
        <w:pStyle w:val="4"/>
        <w:spacing w:line="579" w:lineRule="exact"/>
        <w:ind w:firstLine="640"/>
        <w:rPr>
          <w:rFonts w:hint="eastAsia" w:ascii="仿宋_GB2312" w:hAnsi="仿宋_GB2312" w:eastAsia="仿宋_GB2312" w:cs="仿宋_GB2312"/>
          <w:szCs w:val="32"/>
          <w:highlight w:val="none"/>
          <w:lang w:val="en-US" w:eastAsia="zh-CN"/>
        </w:rPr>
      </w:pPr>
      <w:r>
        <w:rPr>
          <w:rFonts w:hint="eastAsia" w:ascii="仿宋_GB2312" w:hAnsi="仿宋_GB2312" w:cs="仿宋_GB2312"/>
          <w:szCs w:val="32"/>
          <w:highlight w:val="none"/>
          <w:lang w:val="en-US" w:eastAsia="zh-CN"/>
        </w:rPr>
        <w:t>本项目所包含的二级项目中，有个别项目存在招标文件中的部分支付条款与合同约定支付条款不一致，项目执行时产生偏差</w:t>
      </w:r>
      <w:r>
        <w:rPr>
          <w:rFonts w:hint="eastAsia" w:ascii="仿宋_GB2312" w:hAnsi="仿宋_GB2312" w:cs="仿宋_GB2312"/>
          <w:highlight w:val="none"/>
          <w:lang w:val="en-US" w:eastAsia="zh-CN"/>
        </w:rPr>
        <w:t>。</w:t>
      </w:r>
    </w:p>
    <w:p>
      <w:pPr>
        <w:pStyle w:val="3"/>
        <w:spacing w:before="0" w:after="0" w:line="579" w:lineRule="exact"/>
        <w:ind w:firstLine="640"/>
        <w:rPr>
          <w:highlight w:val="none"/>
        </w:rPr>
      </w:pPr>
      <w:bookmarkStart w:id="26" w:name="_Toc4410"/>
      <w:bookmarkStart w:id="27" w:name="_Toc64647758"/>
      <w:r>
        <w:rPr>
          <w:rFonts w:hint="eastAsia"/>
          <w:highlight w:val="none"/>
          <w:lang w:val="en-US"/>
        </w:rPr>
        <w:t>有关</w:t>
      </w:r>
      <w:r>
        <w:rPr>
          <w:rFonts w:hint="eastAsia"/>
          <w:highlight w:val="none"/>
        </w:rPr>
        <w:t>建议</w:t>
      </w:r>
      <w:bookmarkEnd w:id="26"/>
      <w:bookmarkEnd w:id="27"/>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bookmarkStart w:id="28" w:name="_Toc26850"/>
      <w:r>
        <w:rPr>
          <w:rFonts w:hint="eastAsia" w:ascii="楷体_GB2312" w:hAnsi="楷体_GB2312" w:eastAsia="楷体_GB2312" w:cs="楷体_GB2312"/>
          <w:b w:val="0"/>
          <w:bCs w:val="0"/>
          <w:highlight w:val="none"/>
          <w:lang w:val="en-US" w:eastAsia="zh-CN"/>
        </w:rPr>
        <w:t>（一）深入考量</w:t>
      </w:r>
      <w:r>
        <w:rPr>
          <w:rFonts w:hint="eastAsia" w:ascii="楷体_GB2312" w:hAnsi="楷体_GB2312" w:eastAsia="楷体_GB2312" w:cs="楷体_GB2312"/>
          <w:b w:val="0"/>
          <w:bCs w:val="0"/>
          <w:highlight w:val="none"/>
          <w:lang w:val="en-US"/>
        </w:rPr>
        <w:t>指标值</w:t>
      </w:r>
      <w:r>
        <w:rPr>
          <w:rFonts w:hint="eastAsia" w:ascii="楷体_GB2312" w:hAnsi="楷体_GB2312" w:eastAsia="楷体_GB2312" w:cs="楷体_GB2312"/>
          <w:b w:val="0"/>
          <w:bCs w:val="0"/>
          <w:highlight w:val="none"/>
          <w:lang w:val="en-US" w:eastAsia="zh-CN"/>
        </w:rPr>
        <w:t>设置</w:t>
      </w:r>
      <w:r>
        <w:rPr>
          <w:rFonts w:hint="eastAsia" w:ascii="楷体_GB2312" w:hAnsi="楷体_GB2312" w:eastAsia="楷体_GB2312" w:cs="楷体_GB2312"/>
          <w:b w:val="0"/>
          <w:bCs w:val="0"/>
          <w:highlight w:val="none"/>
          <w:lang w:val="en-US"/>
        </w:rPr>
        <w:t>，提高</w:t>
      </w:r>
      <w:bookmarkEnd w:id="28"/>
      <w:r>
        <w:rPr>
          <w:rFonts w:hint="eastAsia" w:ascii="楷体_GB2312" w:hAnsi="楷体_GB2312" w:eastAsia="楷体_GB2312" w:cs="楷体_GB2312"/>
          <w:b w:val="0"/>
          <w:bCs w:val="0"/>
          <w:highlight w:val="none"/>
          <w:lang w:val="en-US" w:eastAsia="zh-CN"/>
        </w:rPr>
        <w:t>目标值可衡量性</w:t>
      </w:r>
    </w:p>
    <w:p>
      <w:pPr>
        <w:pStyle w:val="4"/>
        <w:spacing w:line="579" w:lineRule="exact"/>
        <w:ind w:firstLine="640"/>
        <w:rPr>
          <w:rFonts w:ascii="仿宋_GB2312" w:hAnsi="宋体" w:cs="宋体"/>
          <w:color w:val="000000" w:themeColor="text1"/>
          <w:szCs w:val="32"/>
          <w:highlight w:val="none"/>
          <w:lang w:val="en-US"/>
          <w14:textFill>
            <w14:solidFill>
              <w14:schemeClr w14:val="tx1"/>
            </w14:solidFill>
          </w14:textFill>
        </w:rPr>
      </w:pPr>
      <w:r>
        <w:rPr>
          <w:rFonts w:hint="eastAsia" w:ascii="仿宋_GB2312" w:hAnsi="宋体" w:cs="宋体"/>
          <w:color w:val="000000" w:themeColor="text1"/>
          <w:szCs w:val="32"/>
          <w:highlight w:val="none"/>
          <w:lang w:val="en-US"/>
          <w14:textFill>
            <w14:solidFill>
              <w14:schemeClr w14:val="tx1"/>
            </w14:solidFill>
          </w14:textFill>
        </w:rPr>
        <w:t>根据《深圳市本级预算绩效目标管理工作规程》（深财绩〔2020〕13号）规定，绩效目标需符合“细化量化”要求，“尽量进行定量表述”。以社会效益指标“通过建筑工程施工安全风险管控，预防重特大事故发生”为例，</w:t>
      </w:r>
      <w:r>
        <w:rPr>
          <w:rFonts w:hint="eastAsia" w:ascii="仿宋_GB2312" w:hAnsi="宋体" w:cs="宋体"/>
          <w:color w:val="000000" w:themeColor="text1"/>
          <w:szCs w:val="32"/>
          <w:highlight w:val="none"/>
          <w:lang w:val="en-US" w:eastAsia="zh-CN"/>
          <w14:textFill>
            <w14:solidFill>
              <w14:schemeClr w14:val="tx1"/>
            </w14:solidFill>
          </w14:textFill>
        </w:rPr>
        <w:t>其</w:t>
      </w:r>
      <w:r>
        <w:rPr>
          <w:rFonts w:hint="eastAsia" w:ascii="仿宋_GB2312" w:hAnsi="宋体" w:cs="宋体"/>
          <w:color w:val="000000" w:themeColor="text1"/>
          <w:szCs w:val="32"/>
          <w:highlight w:val="none"/>
          <w:lang w:val="en-US"/>
          <w14:textFill>
            <w14:solidFill>
              <w14:schemeClr w14:val="tx1"/>
            </w14:solidFill>
          </w14:textFill>
        </w:rPr>
        <w:t>指标值设置为“</w:t>
      </w:r>
      <w:r>
        <w:rPr>
          <w:rFonts w:hint="eastAsia" w:ascii="仿宋_GB2312" w:hAnsi="宋体" w:cs="宋体"/>
          <w:color w:val="000000" w:themeColor="text1"/>
          <w:szCs w:val="32"/>
          <w:highlight w:val="none"/>
          <w:lang w:val="en-US" w:eastAsia="zh-CN"/>
          <w14:textFill>
            <w14:solidFill>
              <w14:schemeClr w14:val="tx1"/>
            </w14:solidFill>
          </w14:textFill>
        </w:rPr>
        <w:t>零发生</w:t>
      </w:r>
      <w:r>
        <w:rPr>
          <w:rFonts w:hint="eastAsia" w:ascii="仿宋_GB2312" w:hAnsi="宋体" w:cs="宋体"/>
          <w:color w:val="000000" w:themeColor="text1"/>
          <w:szCs w:val="32"/>
          <w:highlight w:val="none"/>
          <w:lang w:val="en-US"/>
          <w14:textFill>
            <w14:solidFill>
              <w14:schemeClr w14:val="tx1"/>
            </w14:solidFill>
          </w14:textFill>
        </w:rPr>
        <w:t>”。设定标准可以采用行业标准、历史标准、计划标准等。通过细化量化指标值，提高目标明确性和考核深入性。</w:t>
      </w:r>
    </w:p>
    <w:p>
      <w:pPr>
        <w:pStyle w:val="5"/>
        <w:numPr>
          <w:ilvl w:val="1"/>
          <w:numId w:val="0"/>
        </w:numPr>
        <w:spacing w:before="0" w:after="0" w:line="579" w:lineRule="exact"/>
        <w:ind w:leftChars="200"/>
        <w:rPr>
          <w:rFonts w:ascii="楷体_GB2312" w:hAnsi="楷体_GB2312" w:eastAsia="楷体_GB2312" w:cs="楷体_GB2312"/>
          <w:b w:val="0"/>
          <w:bCs w:val="0"/>
          <w:highlight w:val="none"/>
          <w:lang w:val="en-US"/>
        </w:rPr>
      </w:pPr>
      <w:r>
        <w:rPr>
          <w:rFonts w:hint="eastAsia" w:ascii="楷体_GB2312" w:hAnsi="楷体_GB2312" w:eastAsia="楷体_GB2312" w:cs="楷体_GB2312"/>
          <w:b w:val="0"/>
          <w:bCs w:val="0"/>
          <w:highlight w:val="none"/>
          <w:lang w:val="en-US" w:eastAsia="zh-CN"/>
        </w:rPr>
        <w:t>（二）加强项目招投标流程管理</w:t>
      </w:r>
    </w:p>
    <w:p>
      <w:pPr>
        <w:pStyle w:val="4"/>
        <w:ind w:firstLine="640"/>
        <w:rPr>
          <w:rFonts w:hint="eastAsia" w:ascii="仿宋_GB2312" w:hAnsi="仿宋_GB2312" w:cs="仿宋_GB2312"/>
          <w:color w:val="000000" w:themeColor="text1"/>
          <w:szCs w:val="32"/>
          <w:highlight w:val="none"/>
          <w14:textFill>
            <w14:solidFill>
              <w14:schemeClr w14:val="tx1"/>
            </w14:solidFill>
          </w14:textFill>
        </w:rPr>
      </w:pPr>
      <w:r>
        <w:rPr>
          <w:rFonts w:hint="eastAsia" w:ascii="仿宋_GB2312" w:hAnsi="仿宋_GB2312" w:cs="仿宋_GB2312"/>
          <w:color w:val="000000" w:themeColor="text1"/>
          <w:szCs w:val="32"/>
          <w:highlight w:val="none"/>
          <w:lang w:val="en-US" w:eastAsia="zh-CN"/>
          <w14:textFill>
            <w14:solidFill>
              <w14:schemeClr w14:val="tx1"/>
            </w14:solidFill>
          </w14:textFill>
        </w:rPr>
        <w:t>在项目进行招投标时，结合项目实际，加强规范招标文件审核流程，并在签订项目合同时，保持项目实施过程中各类文件各项条款前后一致，同时，督促各业务部门相关工作人员认真执行</w:t>
      </w:r>
      <w:r>
        <w:rPr>
          <w:rFonts w:hint="eastAsia" w:ascii="仿宋_GB2312" w:hAnsi="仿宋_GB2312" w:cs="仿宋_GB2312"/>
          <w:color w:val="000000" w:themeColor="text1"/>
          <w:szCs w:val="32"/>
          <w:highlight w:val="none"/>
          <w14:textFill>
            <w14:solidFill>
              <w14:schemeClr w14:val="tx1"/>
            </w14:solidFill>
          </w14:textFill>
        </w:rPr>
        <w:t>。</w:t>
      </w:r>
    </w:p>
    <w:p>
      <w:pPr>
        <w:pStyle w:val="3"/>
        <w:spacing w:before="0" w:after="0" w:line="579" w:lineRule="exact"/>
        <w:ind w:firstLine="640"/>
        <w:rPr>
          <w:rFonts w:hint="eastAsia" w:ascii="Times New Roman" w:hAnsi="Times New Roman" w:cs="Times New Roman"/>
          <w:szCs w:val="32"/>
          <w:highlight w:val="none"/>
          <w:lang w:val="en-US"/>
        </w:rPr>
      </w:pPr>
      <w:bookmarkStart w:id="29" w:name="_Toc1984"/>
      <w:r>
        <w:rPr>
          <w:rFonts w:hint="eastAsia" w:ascii="Times New Roman" w:hAnsi="Times New Roman" w:cs="Times New Roman"/>
          <w:szCs w:val="32"/>
          <w:highlight w:val="none"/>
          <w:lang w:val="en-US" w:eastAsia="zh-CN"/>
        </w:rPr>
        <w:t>其他需要说明的问题</w:t>
      </w:r>
      <w:bookmarkEnd w:id="29"/>
    </w:p>
    <w:p>
      <w:pPr>
        <w:pStyle w:val="4"/>
        <w:rPr>
          <w:rFonts w:hint="eastAsia" w:ascii="Times New Roman" w:hAnsi="Times New Roman" w:cs="Times New Roman"/>
          <w:szCs w:val="32"/>
          <w:highlight w:val="none"/>
          <w:lang w:val="en-US" w:eastAsia="zh-CN"/>
        </w:rPr>
      </w:pPr>
      <w:r>
        <w:rPr>
          <w:rFonts w:hint="eastAsia" w:ascii="Times New Roman" w:hAnsi="Times New Roman" w:cs="Times New Roman"/>
          <w:szCs w:val="32"/>
          <w:highlight w:val="none"/>
          <w:lang w:val="en-US" w:eastAsia="zh-CN"/>
        </w:rPr>
        <w:t>无。</w:t>
      </w:r>
    </w:p>
    <w:p>
      <w:pPr>
        <w:pStyle w:val="4"/>
        <w:rPr>
          <w:rFonts w:hint="eastAsia" w:ascii="Times New Roman" w:hAnsi="Times New Roman" w:cs="Times New Roman"/>
          <w:szCs w:val="32"/>
          <w:highlight w:val="yellow"/>
          <w:lang w:val="en-US" w:eastAsia="zh-CN"/>
        </w:rPr>
      </w:pPr>
    </w:p>
    <w:p>
      <w:pPr>
        <w:pStyle w:val="4"/>
        <w:keepNext w:val="0"/>
        <w:keepLines w:val="0"/>
        <w:pageBreakBefore w:val="0"/>
        <w:widowControl w:val="0"/>
        <w:kinsoku/>
        <w:wordWrap/>
        <w:overflowPunct/>
        <w:topLinePunct w:val="0"/>
        <w:autoSpaceDE/>
        <w:autoSpaceDN/>
        <w:bidi w:val="0"/>
        <w:adjustRightInd w:val="0"/>
        <w:snapToGrid w:val="0"/>
        <w:ind w:left="0" w:leftChars="0" w:firstLine="640" w:firstLineChars="200"/>
        <w:textAlignment w:val="auto"/>
        <w:rPr>
          <w:highlight w:val="yellow"/>
        </w:rPr>
      </w:pPr>
      <w:bookmarkStart w:id="30" w:name="_Toc22491"/>
      <w:r>
        <w:rPr>
          <w:rFonts w:hint="eastAsia" w:ascii="Times New Roman" w:hAnsi="Times New Roman" w:cs="Times New Roman"/>
          <w:szCs w:val="32"/>
          <w:highlight w:val="none"/>
          <w:lang w:val="en-US" w:eastAsia="zh-CN"/>
        </w:rPr>
        <w:t>附件</w:t>
      </w:r>
      <w:r>
        <w:rPr>
          <w:rFonts w:hint="eastAsia" w:ascii="仿宋_GB2312" w:hAnsi="仿宋_GB2312" w:eastAsia="仿宋_GB2312" w:cs="仿宋_GB2312"/>
          <w:szCs w:val="32"/>
          <w:highlight w:val="none"/>
          <w:lang w:val="en-US" w:eastAsia="zh-CN"/>
        </w:rPr>
        <w:t>1</w:t>
      </w:r>
      <w:bookmarkEnd w:id="30"/>
      <w:r>
        <w:rPr>
          <w:rFonts w:hint="eastAsia" w:ascii="仿宋_GB2312" w:hAnsi="仿宋_GB2312" w:cs="仿宋_GB2312"/>
          <w:szCs w:val="32"/>
          <w:highlight w:val="none"/>
          <w:lang w:val="en-US" w:eastAsia="zh-CN"/>
        </w:rPr>
        <w:t>：2021年度建设工程质量安全监督</w:t>
      </w:r>
      <w:r>
        <w:rPr>
          <w:rFonts w:hint="eastAsia" w:ascii="仿宋_GB2312" w:hAnsi="仿宋_GB2312" w:eastAsia="仿宋_GB2312" w:cs="仿宋_GB2312"/>
          <w:szCs w:val="32"/>
          <w:highlight w:val="none"/>
          <w:lang w:val="en-US" w:eastAsia="zh-CN"/>
        </w:rPr>
        <w:t>项目绩效评价指标评分表</w:t>
      </w:r>
    </w:p>
    <w:p>
      <w:pPr>
        <w:pStyle w:val="4"/>
        <w:ind w:firstLine="198" w:firstLineChars="62"/>
        <w:rPr>
          <w:highlight w:val="yellow"/>
        </w:rPr>
        <w:sectPr>
          <w:footerReference r:id="rId4" w:type="default"/>
          <w:footerReference r:id="rId5" w:type="even"/>
          <w:pgSz w:w="11906" w:h="16838"/>
          <w:pgMar w:top="1440" w:right="1800" w:bottom="1440" w:left="1800" w:header="964" w:footer="850" w:gutter="0"/>
          <w:pgBorders>
            <w:top w:val="none" w:sz="0" w:space="0"/>
            <w:left w:val="none" w:sz="0" w:space="0"/>
            <w:bottom w:val="none" w:sz="0" w:space="0"/>
            <w:right w:val="none" w:sz="0" w:space="0"/>
          </w:pgBorders>
          <w:pgNumType w:fmt="numberInDash" w:start="1"/>
          <w:cols w:space="425" w:num="1"/>
          <w:docGrid w:type="lines" w:linePitch="312" w:charSpace="0"/>
        </w:sectPr>
      </w:pPr>
    </w:p>
    <w:p>
      <w:pPr>
        <w:pStyle w:val="43"/>
        <w:numPr>
          <w:ilvl w:val="5"/>
          <w:numId w:val="0"/>
        </w:numPr>
        <w:spacing w:before="0" w:after="0"/>
        <w:ind w:leftChars="0"/>
        <w:rPr>
          <w:highlight w:val="none"/>
        </w:rPr>
      </w:pPr>
      <w:bookmarkStart w:id="31" w:name="_Toc1411"/>
      <w:bookmarkStart w:id="32" w:name="_Toc64647762"/>
      <w:r>
        <w:rPr>
          <w:rFonts w:hint="eastAsia" w:ascii="仿宋_GB2312" w:hAnsi="仿宋_GB2312" w:eastAsia="仿宋_GB2312" w:cs="仿宋_GB2312"/>
          <w:lang w:val="en-US" w:eastAsia="zh-CN"/>
        </w:rPr>
        <w:t>附件1</w:t>
      </w:r>
      <w:r>
        <w:rPr>
          <w:rFonts w:hint="eastAsia" w:ascii="仿宋_GB2312" w:hAnsi="仿宋_GB2312" w:eastAsia="仿宋_GB2312" w:cs="仿宋_GB2312"/>
        </w:rPr>
        <w:t>：</w:t>
      </w:r>
      <w:bookmarkEnd w:id="31"/>
      <w:bookmarkEnd w:id="32"/>
      <w:r>
        <w:rPr>
          <w:rFonts w:hint="eastAsia" w:ascii="仿宋_GB2312" w:hAnsi="仿宋_GB2312" w:eastAsia="仿宋_GB2312" w:cs="仿宋_GB2312"/>
          <w:highlight w:val="none"/>
        </w:rPr>
        <w:t>2021年度建设工程质量安全监督</w:t>
      </w:r>
      <w:r>
        <w:rPr>
          <w:rFonts w:hint="eastAsia" w:ascii="仿宋_GB2312" w:hAnsi="仿宋_GB2312" w:eastAsia="仿宋_GB2312" w:cs="仿宋_GB2312"/>
          <w:szCs w:val="32"/>
          <w:highlight w:val="none"/>
          <w:lang w:val="en-US" w:eastAsia="zh-CN"/>
        </w:rPr>
        <w:t>项目绩效评价指标评分表</w:t>
      </w:r>
    </w:p>
    <w:tbl>
      <w:tblPr>
        <w:tblStyle w:val="20"/>
        <w:tblW w:w="14168" w:type="dxa"/>
        <w:tblInd w:w="0" w:type="dxa"/>
        <w:shd w:val="clear" w:color="auto" w:fill="auto"/>
        <w:tblLayout w:type="fixed"/>
        <w:tblCellMar>
          <w:top w:w="0" w:type="dxa"/>
          <w:left w:w="108" w:type="dxa"/>
          <w:bottom w:w="0" w:type="dxa"/>
          <w:right w:w="108" w:type="dxa"/>
        </w:tblCellMar>
      </w:tblPr>
      <w:tblGrid>
        <w:gridCol w:w="804"/>
        <w:gridCol w:w="712"/>
        <w:gridCol w:w="828"/>
        <w:gridCol w:w="581"/>
        <w:gridCol w:w="4418"/>
        <w:gridCol w:w="3590"/>
        <w:gridCol w:w="2464"/>
        <w:gridCol w:w="771"/>
      </w:tblGrid>
      <w:tr>
        <w:tblPrEx>
          <w:shd w:val="clear" w:color="auto" w:fill="auto"/>
          <w:tblCellMar>
            <w:top w:w="0" w:type="dxa"/>
            <w:left w:w="108" w:type="dxa"/>
            <w:bottom w:w="0" w:type="dxa"/>
            <w:right w:w="108" w:type="dxa"/>
          </w:tblCellMar>
        </w:tblPrEx>
        <w:trPr>
          <w:trHeight w:val="300" w:hRule="atLeast"/>
          <w:tblHeader/>
        </w:trPr>
        <w:tc>
          <w:tcPr>
            <w:tcW w:w="80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一级指标</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二级指标</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三级指标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分值</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指标解释</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指标说明</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扣分点描述</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评分</w:t>
            </w:r>
          </w:p>
        </w:tc>
      </w:tr>
      <w:tr>
        <w:tblPrEx>
          <w:shd w:val="clear" w:color="auto" w:fill="auto"/>
          <w:tblCellMar>
            <w:top w:w="0" w:type="dxa"/>
            <w:left w:w="108" w:type="dxa"/>
            <w:bottom w:w="0" w:type="dxa"/>
            <w:right w:w="108" w:type="dxa"/>
          </w:tblCellMar>
        </w:tblPrEx>
        <w:trPr>
          <w:trHeight w:val="15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决策</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(20分)</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项目立项</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立项依据充分性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项目立项是否符合法律法规、相关政策、发展规划以及部门职责，用以反映和考核项目立项依据情况。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①项目立项符合国家法律法规、国民经济发展规划和相关政策（1分）；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②项目立项符合行业发展规划和政策要求（1分）；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③项目立项与部门职责范围相符，属于部门履职所需（0.5分）；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④项目未与相关部门同类项目或部门内部相关项目重复（0.5分）。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2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立项程序规范性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项目申请、设立过程是否符合相关要求，用以反映和考核项目立项的规范情况。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①项目按照规定的程序申请设立（1分）；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②审批文件、材料符合相关要求（1分）；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③事前已经过必要的可行性研究、专家论证、风险评估、绩效评估、集体决策（1分）。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绩效目标</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绩效目标合理性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项目所设定的绩效目标是否依据充分，是否符合客观实际，用以反映和考核项目绩效目标与项目实施的相符情况。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①项目有绩效目标(1分）；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②项目绩效目标与实际工作内容具有相关性(1分）；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③项目预期产出效益和效果符合正常的业绩水平(1分）；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④项目绩效目标与预算确定的项目投资额或资金量相匹配(1分）。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绩效指标明确性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依据绩效目标设定的绩效指标是否清晰、细化、可衡量等，用以反映和考核项目绩效目标的明细化情况。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①将项目绩效目标细化分解为具体的绩效指标(1.5分）；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②项目绩效目标通过清晰、可衡量的指标值予以体现(1.5分）；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③项目绩效目标与项目目标任务数或计划数相对应(1分）。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社会效益指标未通过可衡量的指标值予以体现，扣1分。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资金投入</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(6分)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预算编制科学性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项目预算编制是否经过科学论证、有明确标准，资金额度与年度目标是否相适应，用以反映和考核项目预算编制的科学性、合理性情况。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①预算编制经过科学论证(1分）；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②预算内容与项目内容匹配(1分）；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③预算额度测算依据充分，按照标准编制(0.5分）；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④预算确定的项目投资额或资金量与工作任务相匹配(0.5分）。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资金分配合理性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项目预算资金分配是否有测算依据，与补助单位或地方实际是否相适应，用以反映和考核项目预算资金分配的科学性、合理性情况。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①预算资金分配依据充分，体现厉行节约从严从紧安排的导向(1.5分）；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②资金分配额度合理，与项目单位或地方实际相适应(1.5分）。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3</w:t>
            </w:r>
          </w:p>
        </w:tc>
      </w:tr>
      <w:tr>
        <w:tblPrEx>
          <w:shd w:val="clear" w:color="auto" w:fill="auto"/>
          <w:tblCellMar>
            <w:top w:w="0" w:type="dxa"/>
            <w:left w:w="108" w:type="dxa"/>
            <w:bottom w:w="0" w:type="dxa"/>
            <w:right w:w="108" w:type="dxa"/>
          </w:tblCellMar>
        </w:tblPrEx>
        <w:trPr>
          <w:trHeight w:val="1200" w:hRule="atLeast"/>
        </w:trPr>
        <w:tc>
          <w:tcPr>
            <w:tcW w:w="804"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过程</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（20分）</w:t>
            </w:r>
          </w:p>
        </w:tc>
        <w:tc>
          <w:tcPr>
            <w:tcW w:w="712" w:type="dxa"/>
            <w:vMerge w:val="restart"/>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资金管理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(12分)</w:t>
            </w:r>
          </w:p>
        </w:tc>
        <w:tc>
          <w:tcPr>
            <w:tcW w:w="828" w:type="dxa"/>
            <w:tcBorders>
              <w:top w:val="single" w:color="000000" w:sz="4" w:space="0"/>
              <w:left w:val="single" w:color="000000" w:sz="4" w:space="0"/>
              <w:bottom w:val="single" w:color="auto"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资金到位率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实际到位资金与预算资金的比率，用以反映和考核资金落实情况对项目实施的总体保障程度。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指标得分=资金到位率×4分。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资金到位率=（实际到位资金/预算资金）×100%。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实际到位资金：一定时期（本年度或项目期）内落实到具体项目的资金。</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预算资金：一定时期（本年度或项目期）内预算安排到具体项目的资金。</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900" w:hRule="atLeast"/>
        </w:trPr>
        <w:tc>
          <w:tcPr>
            <w:tcW w:w="804" w:type="dxa"/>
            <w:vMerge w:val="continue"/>
            <w:tcBorders>
              <w:top w:val="single" w:color="auto"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auto"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auto"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预算执行率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项目预算资金是否按照计划执行，用以反映或考核项目预算执行情况。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指标得分=预算执行率×4分。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预算执行率=（实际支出资金/实际到位资金）×100%。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实际支出资金：一定时期（本年度或项目期）内项目实际拨付的资金。</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预算执行率为9</w:t>
            </w:r>
            <w:r>
              <w:rPr>
                <w:rFonts w:hint="eastAsia" w:ascii="仿宋_GB2312" w:hAnsi="仿宋_GB2312" w:eastAsia="仿宋_GB2312" w:cs="仿宋_GB2312"/>
                <w:color w:val="000000"/>
                <w:kern w:val="0"/>
                <w:sz w:val="22"/>
                <w:szCs w:val="22"/>
                <w:lang w:val="en-US" w:eastAsia="zh-CN" w:bidi="ar"/>
              </w:rPr>
              <w:t>7.8</w:t>
            </w:r>
            <w:r>
              <w:rPr>
                <w:rFonts w:hint="eastAsia" w:ascii="仿宋_GB2312" w:hAnsi="仿宋_GB2312" w:eastAsia="仿宋_GB2312" w:cs="仿宋_GB2312"/>
                <w:color w:val="000000"/>
                <w:kern w:val="0"/>
                <w:sz w:val="22"/>
                <w:szCs w:val="22"/>
                <w:lang w:bidi="ar"/>
              </w:rPr>
              <w:t>5%，扣0.0</w:t>
            </w:r>
            <w:r>
              <w:rPr>
                <w:rFonts w:hint="eastAsia" w:ascii="仿宋_GB2312" w:hAnsi="仿宋_GB2312" w:eastAsia="仿宋_GB2312" w:cs="仿宋_GB2312"/>
                <w:color w:val="000000"/>
                <w:kern w:val="0"/>
                <w:sz w:val="22"/>
                <w:szCs w:val="22"/>
                <w:lang w:val="en-US" w:eastAsia="zh-CN" w:bidi="ar"/>
              </w:rPr>
              <w:t>9</w:t>
            </w:r>
            <w:r>
              <w:rPr>
                <w:rFonts w:hint="eastAsia" w:ascii="仿宋_GB2312" w:hAnsi="仿宋_GB2312" w:eastAsia="仿宋_GB2312" w:cs="仿宋_GB2312"/>
                <w:color w:val="000000"/>
                <w:kern w:val="0"/>
                <w:sz w:val="22"/>
                <w:szCs w:val="22"/>
                <w:lang w:bidi="ar"/>
              </w:rPr>
              <w:t>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bidi="ar"/>
              </w:rPr>
              <w:t>3.9</w:t>
            </w:r>
            <w:r>
              <w:rPr>
                <w:rFonts w:hint="eastAsia" w:ascii="仿宋_GB2312" w:hAnsi="仿宋_GB2312" w:eastAsia="仿宋_GB2312" w:cs="仿宋_GB2312"/>
                <w:color w:val="000000"/>
                <w:kern w:val="0"/>
                <w:sz w:val="22"/>
                <w:szCs w:val="22"/>
                <w:lang w:val="en-US" w:eastAsia="zh-CN" w:bidi="ar"/>
              </w:rPr>
              <w:t>1</w:t>
            </w:r>
          </w:p>
        </w:tc>
      </w:tr>
      <w:tr>
        <w:tblPrEx>
          <w:shd w:val="clear" w:color="auto" w:fill="auto"/>
          <w:tblCellMar>
            <w:top w:w="0" w:type="dxa"/>
            <w:left w:w="108" w:type="dxa"/>
            <w:bottom w:w="0" w:type="dxa"/>
            <w:right w:w="108" w:type="dxa"/>
          </w:tblCellMar>
        </w:tblPrEx>
        <w:trPr>
          <w:trHeight w:val="17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nil"/>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资金使用合规性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项目资金使用是否符合相关的财务管理制度规定，用以反映和考核项目资金的规范运行情况。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①符合国家财经法规和财务管理制度以及有关专项资金管理规程的规定(1分）；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②资金的拨付有完整的审批程序和手续(1分）；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③符合项目预算批复或合同规定的用途(1分）；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④不存在截留、挤占、挪用、虚列支出等情况(1分）。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组织实施</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管理制度健全性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项目实施单位的财务和业务管理制度是否健全，用以反映和考核财务和业务管理制度对项目顺利实施的保障情况。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①已制定或具有相应的财务和业务管理制度(2分）；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②财务和业务管理制度合法、合规、完整(2分）。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4</w:t>
            </w:r>
          </w:p>
        </w:tc>
      </w:tr>
      <w:tr>
        <w:tblPrEx>
          <w:shd w:val="clear" w:color="auto" w:fill="auto"/>
          <w:tblCellMar>
            <w:top w:w="0" w:type="dxa"/>
            <w:left w:w="108" w:type="dxa"/>
            <w:bottom w:w="0" w:type="dxa"/>
            <w:right w:w="108" w:type="dxa"/>
          </w:tblCellMar>
        </w:tblPrEx>
        <w:trPr>
          <w:trHeight w:val="134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制度执行有效性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项目实施是否符合相关管理规定，用以反映和考核相关管理制度的有效执行情况。</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①遵守相关法律法规和相关管理规定(1分）；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②项目调整及支出调整手续完备(1分）；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③项目合同书、验收报告、技术鉴定等资料齐全并及时归档(1分）；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④项目实施的人员条件、场地设备、信息支撑等落实到位(1分）。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r>
      <w:tr>
        <w:tblPrEx>
          <w:shd w:val="clear" w:color="auto" w:fill="auto"/>
          <w:tblCellMar>
            <w:top w:w="0" w:type="dxa"/>
            <w:left w:w="108" w:type="dxa"/>
            <w:bottom w:w="0" w:type="dxa"/>
            <w:right w:w="108" w:type="dxa"/>
          </w:tblCellMar>
        </w:tblPrEx>
        <w:trPr>
          <w:trHeight w:val="266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产出数量</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(9分)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实际完成率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项目实施的实际产出数与计划产出数的比率，用以反映和考核项目产出数量目标的实现程度。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①完成《深圳市建筑施工专用机动车辆安全监督管理办法》编制工作（0.69分）；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②</w:t>
            </w:r>
            <w:r>
              <w:rPr>
                <w:rFonts w:hint="eastAsia" w:ascii="仿宋_GB2312" w:hAnsi="仿宋_GB2312" w:eastAsia="仿宋_GB2312" w:cs="仿宋_GB2312"/>
                <w:color w:val="000000"/>
                <w:kern w:val="0"/>
                <w:sz w:val="22"/>
                <w:szCs w:val="22"/>
                <w:lang w:bidi="ar"/>
              </w:rPr>
              <w:t>巡查全市在建工地次数（次）（0.69分）；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③</w:t>
            </w:r>
            <w:r>
              <w:rPr>
                <w:rFonts w:hint="eastAsia" w:ascii="仿宋_GB2312" w:hAnsi="仿宋_GB2312" w:eastAsia="仿宋_GB2312" w:cs="仿宋_GB2312"/>
                <w:color w:val="000000"/>
                <w:kern w:val="0"/>
                <w:sz w:val="22"/>
                <w:szCs w:val="22"/>
                <w:lang w:bidi="ar"/>
              </w:rPr>
              <w:t>在建项目进行安全巡查次（次）（0.69分）；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④</w:t>
            </w:r>
            <w:r>
              <w:rPr>
                <w:rFonts w:hint="eastAsia" w:ascii="仿宋_GB2312" w:hAnsi="仿宋_GB2312" w:eastAsia="仿宋_GB2312" w:cs="仿宋_GB2312"/>
                <w:color w:val="000000"/>
                <w:kern w:val="0"/>
                <w:sz w:val="22"/>
                <w:szCs w:val="22"/>
                <w:lang w:bidi="ar"/>
              </w:rPr>
              <w:t>抽检主要建筑材料组数量（组）（0.69分）；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⑤</w:t>
            </w:r>
            <w:r>
              <w:rPr>
                <w:rFonts w:hint="eastAsia" w:ascii="仿宋_GB2312" w:hAnsi="仿宋_GB2312" w:eastAsia="仿宋_GB2312" w:cs="仿宋_GB2312"/>
                <w:color w:val="000000"/>
                <w:kern w:val="0"/>
                <w:sz w:val="22"/>
                <w:szCs w:val="22"/>
                <w:lang w:bidi="ar"/>
              </w:rPr>
              <w:t>抽检工程结构实体组数量（组）（0.69分）；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⑥</w:t>
            </w:r>
            <w:r>
              <w:rPr>
                <w:rFonts w:hint="eastAsia" w:ascii="仿宋_GB2312" w:hAnsi="仿宋_GB2312" w:eastAsia="仿宋_GB2312" w:cs="仿宋_GB2312"/>
                <w:color w:val="000000"/>
                <w:kern w:val="0"/>
                <w:sz w:val="22"/>
                <w:szCs w:val="22"/>
                <w:lang w:bidi="ar"/>
              </w:rPr>
              <w:t>抽检工程桩基根数量（根）（0.69分）；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⑦</w:t>
            </w:r>
            <w:r>
              <w:rPr>
                <w:rFonts w:hint="eastAsia" w:ascii="仿宋_GB2312" w:hAnsi="仿宋_GB2312" w:eastAsia="仿宋_GB2312" w:cs="仿宋_GB2312"/>
                <w:color w:val="000000"/>
                <w:kern w:val="0"/>
                <w:sz w:val="22"/>
                <w:szCs w:val="22"/>
                <w:lang w:bidi="ar"/>
              </w:rPr>
              <w:t>抽检建筑起重机械实体数量（台）（0.69分）；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⑧</w:t>
            </w:r>
            <w:r>
              <w:rPr>
                <w:rFonts w:hint="eastAsia" w:ascii="仿宋_GB2312" w:hAnsi="仿宋_GB2312" w:eastAsia="仿宋_GB2312" w:cs="仿宋_GB2312"/>
                <w:color w:val="000000"/>
                <w:kern w:val="0"/>
                <w:sz w:val="22"/>
                <w:szCs w:val="22"/>
                <w:lang w:bidi="ar"/>
              </w:rPr>
              <w:t>深基坑、高边坡项目现场专项抽查次数（次）（0.69分）；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⑨</w:t>
            </w:r>
            <w:r>
              <w:rPr>
                <w:rFonts w:hint="eastAsia" w:ascii="仿宋_GB2312" w:hAnsi="仿宋_GB2312" w:eastAsia="仿宋_GB2312" w:cs="仿宋_GB2312"/>
                <w:color w:val="000000"/>
                <w:kern w:val="0"/>
                <w:sz w:val="22"/>
                <w:szCs w:val="22"/>
                <w:lang w:bidi="ar"/>
              </w:rPr>
              <w:t>平均每月专项巡查危大工程项次（次）（0.69分）；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⑩</w:t>
            </w:r>
            <w:r>
              <w:rPr>
                <w:rFonts w:hint="eastAsia" w:ascii="仿宋_GB2312" w:hAnsi="仿宋_GB2312" w:eastAsia="仿宋_GB2312" w:cs="仿宋_GB2312"/>
                <w:color w:val="000000"/>
                <w:kern w:val="0"/>
                <w:sz w:val="22"/>
                <w:szCs w:val="22"/>
                <w:lang w:bidi="ar"/>
              </w:rPr>
              <w:t>培训建筑特种作业人员数（人）（0.69分）；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⑪开展施工安全宣传培训教育次数（0.69分）；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⑫监督员平均每人每月巡查项目数（个）（0.69分）；</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⑬第三方出具市政工程质量安全巡查评估报告次数（次）（0.</w:t>
            </w:r>
            <w:r>
              <w:rPr>
                <w:rFonts w:hint="eastAsia" w:ascii="仿宋_GB2312" w:hAnsi="仿宋_GB2312" w:eastAsia="仿宋_GB2312" w:cs="仿宋_GB2312"/>
                <w:color w:val="000000"/>
                <w:kern w:val="0"/>
                <w:sz w:val="22"/>
                <w:szCs w:val="22"/>
                <w:lang w:val="en-US" w:eastAsia="zh-CN" w:bidi="ar"/>
              </w:rPr>
              <w:t>72</w:t>
            </w:r>
            <w:r>
              <w:rPr>
                <w:rFonts w:hint="eastAsia" w:ascii="仿宋_GB2312" w:hAnsi="仿宋_GB2312" w:eastAsia="仿宋_GB2312" w:cs="仿宋_GB2312"/>
                <w:color w:val="000000"/>
                <w:kern w:val="0"/>
                <w:sz w:val="22"/>
                <w:szCs w:val="22"/>
                <w:lang w:bidi="ar"/>
              </w:rPr>
              <w:t>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sz w:val="22"/>
                <w:szCs w:val="22"/>
                <w:lang w:val="en-US" w:eastAsia="zh-CN"/>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val="en-US" w:eastAsia="zh-CN" w:bidi="ar"/>
              </w:rPr>
              <w:t>9</w:t>
            </w:r>
          </w:p>
        </w:tc>
      </w:tr>
      <w:tr>
        <w:tblPrEx>
          <w:shd w:val="clear" w:color="auto" w:fill="auto"/>
          <w:tblCellMar>
            <w:top w:w="0" w:type="dxa"/>
            <w:left w:w="108" w:type="dxa"/>
            <w:bottom w:w="0" w:type="dxa"/>
            <w:right w:w="108" w:type="dxa"/>
          </w:tblCellMar>
        </w:tblPrEx>
        <w:trPr>
          <w:trHeight w:val="18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产出质量</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(9分)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质量达标率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项目完成的质量达标产出数与实际产出数的比率，用以反映和考核项目产出质量目标的实现程度。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eastAsia="zh-CN" w:bidi="ar"/>
              </w:rPr>
            </w:pPr>
            <w:r>
              <w:rPr>
                <w:rFonts w:hint="eastAsia" w:ascii="仿宋_GB2312" w:hAnsi="仿宋_GB2312" w:eastAsia="仿宋_GB2312" w:cs="仿宋_GB2312"/>
                <w:color w:val="000000"/>
                <w:kern w:val="0"/>
                <w:sz w:val="22"/>
                <w:szCs w:val="22"/>
                <w:lang w:bidi="ar"/>
              </w:rPr>
              <w:t>①审批工作完成率（0.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②</w:t>
            </w:r>
            <w:r>
              <w:rPr>
                <w:rFonts w:hint="eastAsia" w:ascii="仿宋_GB2312" w:hAnsi="仿宋_GB2312" w:eastAsia="仿宋_GB2312" w:cs="仿宋_GB2312"/>
                <w:color w:val="000000"/>
                <w:kern w:val="0"/>
                <w:sz w:val="22"/>
                <w:szCs w:val="22"/>
                <w:lang w:bidi="ar"/>
              </w:rPr>
              <w:t>第三方提交巡查报告达标率（0.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③</w:t>
            </w:r>
            <w:r>
              <w:rPr>
                <w:rFonts w:hint="eastAsia" w:ascii="仿宋_GB2312" w:hAnsi="仿宋_GB2312" w:eastAsia="仿宋_GB2312" w:cs="仿宋_GB2312"/>
                <w:color w:val="000000"/>
                <w:kern w:val="0"/>
                <w:sz w:val="22"/>
                <w:szCs w:val="22"/>
                <w:lang w:bidi="ar"/>
              </w:rPr>
              <w:t>在建项目安全问题整改率（0.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④</w:t>
            </w:r>
            <w:r>
              <w:rPr>
                <w:rFonts w:hint="eastAsia" w:ascii="仿宋_GB2312" w:hAnsi="仿宋_GB2312" w:eastAsia="仿宋_GB2312" w:cs="仿宋_GB2312"/>
                <w:color w:val="000000"/>
                <w:kern w:val="0"/>
                <w:sz w:val="22"/>
                <w:szCs w:val="22"/>
                <w:lang w:bidi="ar"/>
              </w:rPr>
              <w:t>发现不合格建材责令整改率（0.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⑤</w:t>
            </w:r>
            <w:r>
              <w:rPr>
                <w:rFonts w:hint="eastAsia" w:ascii="仿宋_GB2312" w:hAnsi="仿宋_GB2312" w:eastAsia="仿宋_GB2312" w:cs="仿宋_GB2312"/>
                <w:color w:val="000000"/>
                <w:kern w:val="0"/>
                <w:sz w:val="22"/>
                <w:szCs w:val="22"/>
                <w:lang w:bidi="ar"/>
              </w:rPr>
              <w:t>发现建筑起重机械实体缺陷和隐患责令整改率（0.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⑥</w:t>
            </w:r>
            <w:r>
              <w:rPr>
                <w:rFonts w:hint="eastAsia" w:ascii="仿宋_GB2312" w:hAnsi="仿宋_GB2312" w:eastAsia="仿宋_GB2312" w:cs="仿宋_GB2312"/>
                <w:color w:val="000000"/>
                <w:kern w:val="0"/>
                <w:sz w:val="22"/>
                <w:szCs w:val="22"/>
                <w:lang w:bidi="ar"/>
              </w:rPr>
              <w:t>发现深基坑、高边坡隐匿风险点责令整改率（0.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⑦</w:t>
            </w:r>
            <w:r>
              <w:rPr>
                <w:rFonts w:hint="eastAsia" w:ascii="仿宋_GB2312" w:hAnsi="仿宋_GB2312" w:eastAsia="仿宋_GB2312" w:cs="仿宋_GB2312"/>
                <w:color w:val="000000"/>
                <w:kern w:val="0"/>
                <w:sz w:val="22"/>
                <w:szCs w:val="22"/>
                <w:lang w:bidi="ar"/>
              </w:rPr>
              <w:t>专项巡查识别危大工程的日常隐患责令整改率（0.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⑧</w:t>
            </w:r>
            <w:r>
              <w:rPr>
                <w:rFonts w:hint="eastAsia" w:ascii="仿宋_GB2312" w:hAnsi="仿宋_GB2312" w:eastAsia="仿宋_GB2312" w:cs="仿宋_GB2312"/>
                <w:color w:val="000000"/>
                <w:kern w:val="0"/>
                <w:sz w:val="22"/>
                <w:szCs w:val="22"/>
                <w:lang w:bidi="ar"/>
              </w:rPr>
              <w:t>建筑特种作业人员培训考核不合格责令离岗率（0.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⑨</w:t>
            </w:r>
            <w:r>
              <w:rPr>
                <w:rFonts w:hint="eastAsia" w:ascii="仿宋_GB2312" w:hAnsi="仿宋_GB2312" w:eastAsia="仿宋_GB2312" w:cs="仿宋_GB2312"/>
                <w:color w:val="000000"/>
                <w:kern w:val="0"/>
                <w:sz w:val="22"/>
                <w:szCs w:val="22"/>
                <w:lang w:bidi="ar"/>
              </w:rPr>
              <w:t>施工现场发现质量安全问题督促整改率（0.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⑩</w:t>
            </w:r>
            <w:r>
              <w:rPr>
                <w:rFonts w:hint="eastAsia" w:ascii="仿宋_GB2312" w:hAnsi="仿宋_GB2312" w:eastAsia="仿宋_GB2312" w:cs="仿宋_GB2312"/>
                <w:color w:val="000000"/>
                <w:kern w:val="0"/>
                <w:sz w:val="22"/>
                <w:szCs w:val="22"/>
                <w:lang w:bidi="ar"/>
              </w:rPr>
              <w:t>在监市政项目质量安全监督覆盖率（0.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⑪举办安全培训活动培训讲师资质（0.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⑫建筑起重机械抽查覆盖率（0.</w:t>
            </w:r>
            <w:r>
              <w:rPr>
                <w:rFonts w:hint="eastAsia" w:ascii="仿宋_GB2312" w:hAnsi="仿宋_GB2312" w:eastAsia="仿宋_GB2312" w:cs="仿宋_GB2312"/>
                <w:color w:val="000000"/>
                <w:kern w:val="0"/>
                <w:sz w:val="22"/>
                <w:szCs w:val="22"/>
                <w:lang w:val="en-US" w:eastAsia="zh-CN" w:bidi="ar"/>
              </w:rPr>
              <w:t>75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9</w:t>
            </w:r>
          </w:p>
        </w:tc>
      </w:tr>
      <w:tr>
        <w:tblPrEx>
          <w:shd w:val="clear" w:color="auto" w:fill="auto"/>
          <w:tblCellMar>
            <w:top w:w="0" w:type="dxa"/>
            <w:left w:w="108" w:type="dxa"/>
            <w:bottom w:w="0" w:type="dxa"/>
            <w:right w:w="108" w:type="dxa"/>
          </w:tblCellMar>
        </w:tblPrEx>
        <w:trPr>
          <w:trHeight w:val="12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产出时效</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(8分)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完成及时性</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8</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项目实际完成时间与计划完成时间的比较，用以反映和考核项目产出时效目标的实现程度。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①及时性绩效目标达成（4分）；</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②项目进度按计划进行，无明显滞后（4分）</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sz w:val="22"/>
                <w:szCs w:val="22"/>
              </w:rPr>
              <w:t>本项目共设有11个时效指标，其中10个指标及时性绩效目标已达成，剩余1个指标“每季度工程“红黑榜”刊登及时性”未能完成，扣0.73分。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default" w:ascii="仿宋_GB2312" w:hAnsi="仿宋_GB2312" w:eastAsia="仿宋_GB2312" w:cs="仿宋_GB2312"/>
                <w:color w:val="000000"/>
                <w:sz w:val="22"/>
                <w:szCs w:val="22"/>
                <w:lang w:val="en-US" w:eastAsia="zh-CN"/>
              </w:rPr>
            </w:pPr>
            <w:r>
              <w:rPr>
                <w:rFonts w:hint="eastAsia" w:ascii="仿宋_GB2312" w:hAnsi="仿宋_GB2312" w:eastAsia="仿宋_GB2312" w:cs="仿宋_GB2312"/>
                <w:color w:val="000000"/>
                <w:kern w:val="0"/>
                <w:sz w:val="22"/>
                <w:szCs w:val="22"/>
                <w:lang w:val="en-US" w:eastAsia="zh-CN" w:bidi="ar"/>
              </w:rPr>
              <w:t>7.27</w:t>
            </w:r>
          </w:p>
        </w:tc>
      </w:tr>
      <w:tr>
        <w:tblPrEx>
          <w:shd w:val="clear" w:color="auto" w:fill="auto"/>
          <w:tblCellMar>
            <w:top w:w="0" w:type="dxa"/>
            <w:left w:w="108" w:type="dxa"/>
            <w:bottom w:w="0" w:type="dxa"/>
            <w:right w:w="108" w:type="dxa"/>
          </w:tblCellMar>
        </w:tblPrEx>
        <w:trPr>
          <w:trHeight w:val="15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产出成本</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(4分)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成本节约情率</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4</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项目成本情况，以及完成项目计划工作目标的实际节约成本与计划成本的比率，用以反映和考核项目的成本节约程度。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成本节约率=[（计划成本-实际成本）/计划成本]×100%。</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实际成本：项目实施单位如期、保质、保量完成既定工作目标实际所耗费的支出。</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计划成本：项目实施单位为完成工作目标计划安排的支出，一般以项目预算为参考。</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ascii="仿宋_GB2312" w:hAnsi="仿宋_GB2312" w:eastAsia="仿宋_GB2312" w:cs="仿宋_GB2312"/>
                <w:color w:val="000000"/>
                <w:sz w:val="22"/>
                <w:szCs w:val="22"/>
              </w:rPr>
            </w:pPr>
            <w:r>
              <w:rPr>
                <w:rFonts w:hint="eastAsia" w:ascii="仿宋_GB2312" w:hAnsi="宋体" w:eastAsia="仿宋_GB2312" w:cs="仿宋_GB2312"/>
                <w:i w:val="0"/>
                <w:iCs w:val="0"/>
                <w:color w:val="000000"/>
                <w:kern w:val="0"/>
                <w:sz w:val="22"/>
                <w:szCs w:val="22"/>
                <w:u w:val="none"/>
                <w:lang w:val="en-US" w:eastAsia="zh-CN" w:bidi="ar"/>
              </w:rPr>
              <w:t>成本节约率为2.15%，扣2.28分。</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widowControl/>
              <w:suppressLineNumbers w:val="0"/>
              <w:jc w:val="center"/>
              <w:textAlignment w:val="center"/>
              <w:rPr>
                <w:rFonts w:hint="default" w:ascii="仿宋_GB2312" w:hAnsi="仿宋_GB2312" w:eastAsia="仿宋_GB2312" w:cs="仿宋_GB2312"/>
                <w:color w:val="000000"/>
                <w:sz w:val="22"/>
                <w:szCs w:val="22"/>
                <w:lang w:val="en-US"/>
              </w:rPr>
            </w:pPr>
            <w:r>
              <w:rPr>
                <w:rFonts w:hint="eastAsia" w:ascii="仿宋_GB2312" w:hAnsi="宋体" w:eastAsia="仿宋_GB2312" w:cs="仿宋_GB2312"/>
                <w:i w:val="0"/>
                <w:iCs w:val="0"/>
                <w:color w:val="000000"/>
                <w:kern w:val="0"/>
                <w:sz w:val="22"/>
                <w:szCs w:val="22"/>
                <w:u w:val="none"/>
                <w:lang w:val="en-US" w:eastAsia="zh-CN" w:bidi="ar"/>
              </w:rPr>
              <w:t>1.72</w:t>
            </w:r>
          </w:p>
        </w:tc>
      </w:tr>
      <w:tr>
        <w:tblPrEx>
          <w:shd w:val="clear" w:color="auto" w:fill="auto"/>
          <w:tblCellMar>
            <w:top w:w="0" w:type="dxa"/>
            <w:left w:w="108" w:type="dxa"/>
            <w:bottom w:w="0" w:type="dxa"/>
            <w:right w:w="108" w:type="dxa"/>
          </w:tblCellMar>
        </w:tblPrEx>
        <w:trPr>
          <w:trHeight w:val="1500" w:hRule="atLeast"/>
        </w:trPr>
        <w:tc>
          <w:tcPr>
            <w:tcW w:w="804"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效益</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712" w:type="dxa"/>
            <w:vMerge w:val="restart"/>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项目效益</w:t>
            </w:r>
            <w:r>
              <w:rPr>
                <w:rFonts w:hint="eastAsia" w:ascii="仿宋_GB2312" w:hAnsi="仿宋_GB2312" w:eastAsia="仿宋_GB2312" w:cs="仿宋_GB2312"/>
                <w:color w:val="000000"/>
                <w:kern w:val="0"/>
                <w:sz w:val="22"/>
                <w:szCs w:val="22"/>
                <w:lang w:bidi="ar"/>
              </w:rPr>
              <w:br w:type="textWrapping"/>
            </w:r>
            <w:r>
              <w:rPr>
                <w:rFonts w:hint="eastAsia" w:ascii="仿宋_GB2312" w:hAnsi="仿宋_GB2312" w:eastAsia="仿宋_GB2312" w:cs="仿宋_GB2312"/>
                <w:color w:val="000000"/>
                <w:kern w:val="0"/>
                <w:sz w:val="22"/>
                <w:szCs w:val="22"/>
                <w:lang w:bidi="ar"/>
              </w:rPr>
              <w:t>(30分)</w:t>
            </w: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实施效益</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20</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项目实施所产生的效益</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bidi="ar"/>
              </w:rPr>
              <w:t>①社会效益：推动深圳市建筑施工专用机动车辆安全的监督管理（</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②</w:t>
            </w:r>
            <w:r>
              <w:rPr>
                <w:rFonts w:hint="eastAsia" w:ascii="仿宋_GB2312" w:hAnsi="仿宋_GB2312" w:eastAsia="仿宋_GB2312" w:cs="仿宋_GB2312"/>
                <w:color w:val="000000"/>
                <w:kern w:val="0"/>
                <w:sz w:val="22"/>
                <w:szCs w:val="22"/>
                <w:lang w:bidi="ar"/>
              </w:rPr>
              <w:t>社会效益：督促施工项目整改安全隐患（</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③</w:t>
            </w:r>
            <w:r>
              <w:rPr>
                <w:rFonts w:hint="eastAsia" w:ascii="仿宋_GB2312" w:hAnsi="仿宋_GB2312" w:eastAsia="仿宋_GB2312" w:cs="仿宋_GB2312"/>
                <w:color w:val="000000"/>
                <w:kern w:val="0"/>
                <w:sz w:val="22"/>
                <w:szCs w:val="22"/>
                <w:lang w:bidi="ar"/>
              </w:rPr>
              <w:t>社会效益：提高工人安全防范意识（</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④</w:t>
            </w:r>
            <w:r>
              <w:rPr>
                <w:rFonts w:hint="eastAsia" w:ascii="仿宋_GB2312" w:hAnsi="仿宋_GB2312" w:eastAsia="仿宋_GB2312" w:cs="仿宋_GB2312"/>
                <w:color w:val="000000"/>
                <w:kern w:val="0"/>
                <w:sz w:val="22"/>
                <w:szCs w:val="22"/>
                <w:lang w:bidi="ar"/>
              </w:rPr>
              <w:t>社会效益：通过建筑工程施工质量监督管控，提升房建工程质量水平（</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hint="eastAsia" w:ascii="仿宋_GB2312" w:hAnsi="仿宋_GB2312" w:eastAsia="仿宋_GB2312" w:cs="仿宋_GB2312"/>
                <w:color w:val="000000"/>
                <w:kern w:val="0"/>
                <w:sz w:val="22"/>
                <w:szCs w:val="22"/>
                <w:lang w:bidi="ar"/>
              </w:rPr>
            </w:pPr>
            <w:r>
              <w:rPr>
                <w:rFonts w:hint="eastAsia" w:ascii="仿宋_GB2312" w:hAnsi="仿宋_GB2312" w:eastAsia="仿宋_GB2312" w:cs="仿宋_GB2312"/>
                <w:color w:val="000000"/>
                <w:kern w:val="0"/>
                <w:sz w:val="22"/>
                <w:szCs w:val="22"/>
                <w:lang w:val="en-US" w:eastAsia="zh-CN" w:bidi="ar"/>
              </w:rPr>
              <w:t>⑤</w:t>
            </w:r>
            <w:r>
              <w:rPr>
                <w:rFonts w:hint="eastAsia" w:ascii="仿宋_GB2312" w:hAnsi="仿宋_GB2312" w:eastAsia="仿宋_GB2312" w:cs="仿宋_GB2312"/>
                <w:color w:val="000000"/>
                <w:kern w:val="0"/>
                <w:sz w:val="22"/>
                <w:szCs w:val="22"/>
                <w:lang w:bidi="ar"/>
              </w:rPr>
              <w:t>社会效益：通过建筑工程施工安全风险管控，预防重特大事故发生（</w:t>
            </w:r>
            <w:r>
              <w:rPr>
                <w:rFonts w:hint="eastAsia" w:ascii="仿宋_GB2312" w:hAnsi="仿宋_GB2312" w:eastAsia="仿宋_GB2312" w:cs="仿宋_GB2312"/>
                <w:color w:val="000000"/>
                <w:kern w:val="0"/>
                <w:sz w:val="22"/>
                <w:szCs w:val="22"/>
                <w:lang w:val="en-US" w:eastAsia="zh-CN" w:bidi="ar"/>
              </w:rPr>
              <w:t>3.33</w:t>
            </w:r>
            <w:r>
              <w:rPr>
                <w:rFonts w:hint="eastAsia" w:ascii="仿宋_GB2312" w:hAnsi="仿宋_GB2312" w:eastAsia="仿宋_GB2312" w:cs="仿宋_GB2312"/>
                <w:color w:val="000000"/>
                <w:kern w:val="0"/>
                <w:sz w:val="22"/>
                <w:szCs w:val="22"/>
                <w:lang w:bidi="ar"/>
              </w:rPr>
              <w:t>分）；</w:t>
            </w:r>
          </w:p>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val="en-US" w:eastAsia="zh-CN" w:bidi="ar"/>
              </w:rPr>
              <w:t>⑥</w:t>
            </w:r>
            <w:r>
              <w:rPr>
                <w:rFonts w:hint="eastAsia" w:ascii="仿宋_GB2312" w:hAnsi="仿宋_GB2312" w:eastAsia="仿宋_GB2312" w:cs="仿宋_GB2312"/>
                <w:color w:val="000000"/>
                <w:kern w:val="0"/>
                <w:sz w:val="22"/>
                <w:szCs w:val="22"/>
                <w:lang w:bidi="ar"/>
              </w:rPr>
              <w:t>社会效益：提高监督水平，遏制重特大质量安全事故发生，保障人民生命安全（</w:t>
            </w:r>
            <w:r>
              <w:rPr>
                <w:rFonts w:hint="eastAsia" w:ascii="仿宋_GB2312" w:hAnsi="仿宋_GB2312" w:eastAsia="仿宋_GB2312" w:cs="仿宋_GB2312"/>
                <w:color w:val="000000"/>
                <w:kern w:val="0"/>
                <w:sz w:val="22"/>
                <w:szCs w:val="22"/>
                <w:lang w:val="en-US" w:eastAsia="zh-CN" w:bidi="ar"/>
              </w:rPr>
              <w:t>3.35</w:t>
            </w:r>
            <w:r>
              <w:rPr>
                <w:rFonts w:hint="eastAsia" w:ascii="仿宋_GB2312" w:hAnsi="仿宋_GB2312" w:eastAsia="仿宋_GB2312" w:cs="仿宋_GB2312"/>
                <w:color w:val="000000"/>
                <w:kern w:val="0"/>
                <w:sz w:val="22"/>
                <w:szCs w:val="22"/>
                <w:lang w:bidi="ar"/>
              </w:rPr>
              <w:t>分）</w:t>
            </w:r>
            <w:r>
              <w:rPr>
                <w:rFonts w:hint="eastAsia" w:ascii="仿宋_GB2312" w:hAnsi="仿宋_GB2312" w:eastAsia="仿宋_GB2312" w:cs="仿宋_GB2312"/>
                <w:color w:val="000000"/>
                <w:kern w:val="0"/>
                <w:sz w:val="22"/>
                <w:szCs w:val="22"/>
                <w:lang w:eastAsia="zh-CN"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hint="eastAsia" w:ascii="仿宋_GB2312" w:hAnsi="仿宋_GB2312" w:eastAsia="仿宋_GB2312" w:cs="仿宋_GB2312"/>
                <w:color w:val="000000"/>
                <w:sz w:val="22"/>
                <w:szCs w:val="22"/>
                <w:lang w:eastAsia="zh-CN"/>
              </w:rPr>
            </w:pPr>
            <w:r>
              <w:rPr>
                <w:rFonts w:hint="eastAsia" w:ascii="仿宋_GB2312" w:hAnsi="仿宋_GB2312" w:eastAsia="仿宋_GB2312" w:cs="仿宋_GB2312"/>
                <w:color w:val="000000"/>
                <w:kern w:val="0"/>
                <w:sz w:val="22"/>
                <w:szCs w:val="22"/>
                <w:lang w:bidi="ar"/>
              </w:rPr>
              <w:t>酌情扣1分</w:t>
            </w:r>
            <w:r>
              <w:rPr>
                <w:rFonts w:hint="eastAsia" w:ascii="仿宋_GB2312" w:hAnsi="仿宋_GB2312" w:eastAsia="仿宋_GB2312" w:cs="仿宋_GB2312"/>
                <w:color w:val="000000"/>
                <w:kern w:val="0"/>
                <w:sz w:val="22"/>
                <w:szCs w:val="22"/>
                <w:lang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19</w:t>
            </w:r>
          </w:p>
        </w:tc>
      </w:tr>
      <w:tr>
        <w:tblPrEx>
          <w:shd w:val="clear" w:color="auto" w:fill="auto"/>
          <w:tblCellMar>
            <w:top w:w="0" w:type="dxa"/>
            <w:left w:w="108" w:type="dxa"/>
            <w:bottom w:w="0" w:type="dxa"/>
            <w:right w:w="108" w:type="dxa"/>
          </w:tblCellMar>
        </w:tblPrEx>
        <w:trPr>
          <w:trHeight w:val="600" w:hRule="atLeast"/>
        </w:trPr>
        <w:tc>
          <w:tcPr>
            <w:tcW w:w="804"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712" w:type="dxa"/>
            <w:vMerge w:val="continue"/>
            <w:tcBorders>
              <w:top w:val="single" w:color="000000" w:sz="4" w:space="0"/>
              <w:left w:val="single" w:color="000000" w:sz="4" w:space="0"/>
              <w:bottom w:val="single" w:color="000000" w:sz="4" w:space="0"/>
              <w:right w:val="single" w:color="000000" w:sz="4" w:space="0"/>
            </w:tcBorders>
            <w:shd w:val="clear" w:color="auto" w:fill="auto"/>
            <w:vAlign w:val="center"/>
          </w:tcPr>
          <w:p>
            <w:pPr>
              <w:jc w:val="center"/>
              <w:rPr>
                <w:rFonts w:ascii="仿宋_GB2312" w:hAnsi="仿宋_GB2312" w:eastAsia="仿宋_GB2312" w:cs="仿宋_GB2312"/>
                <w:color w:val="000000"/>
                <w:sz w:val="22"/>
                <w:szCs w:val="22"/>
              </w:rPr>
            </w:pPr>
          </w:p>
        </w:tc>
        <w:tc>
          <w:tcPr>
            <w:tcW w:w="82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满意度</w:t>
            </w:r>
          </w:p>
        </w:tc>
        <w:tc>
          <w:tcPr>
            <w:tcW w:w="58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10</w:t>
            </w:r>
          </w:p>
        </w:tc>
        <w:tc>
          <w:tcPr>
            <w:tcW w:w="4418"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社会公众或服务对象对项目实施效果的满意度</w:t>
            </w:r>
          </w:p>
        </w:tc>
        <w:tc>
          <w:tcPr>
            <w:tcW w:w="3590"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left"/>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i w:val="0"/>
                <w:iCs w:val="0"/>
                <w:color w:val="000000"/>
                <w:kern w:val="0"/>
                <w:sz w:val="21"/>
                <w:szCs w:val="21"/>
                <w:highlight w:val="none"/>
                <w:u w:val="none"/>
                <w:lang w:val="en-US" w:eastAsia="zh-CN" w:bidi="ar"/>
              </w:rPr>
              <w:t>服务委托方满意度（10分）</w:t>
            </w:r>
            <w:r>
              <w:rPr>
                <w:rFonts w:hint="eastAsia" w:ascii="仿宋_GB2312" w:hAnsi="仿宋_GB2312" w:eastAsia="仿宋_GB2312" w:cs="仿宋_GB2312"/>
                <w:color w:val="000000"/>
                <w:kern w:val="0"/>
                <w:sz w:val="22"/>
                <w:szCs w:val="22"/>
                <w:lang w:bidi="ar"/>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vAlign w:val="center"/>
          </w:tcPr>
          <w:p>
            <w:pPr>
              <w:widowControl/>
              <w:jc w:val="center"/>
              <w:textAlignment w:val="center"/>
              <w:rPr>
                <w:rFonts w:ascii="仿宋_GB2312" w:hAnsi="仿宋_GB2312" w:eastAsia="仿宋_GB2312" w:cs="仿宋_GB2312"/>
                <w:color w:val="000000"/>
                <w:sz w:val="22"/>
                <w:szCs w:val="22"/>
              </w:rPr>
            </w:pPr>
            <w:r>
              <w:rPr>
                <w:rFonts w:hint="eastAsia" w:ascii="仿宋_GB2312" w:hAnsi="仿宋_GB2312" w:eastAsia="仿宋_GB2312" w:cs="仿宋_GB2312"/>
                <w:color w:val="000000"/>
                <w:kern w:val="0"/>
                <w:sz w:val="22"/>
                <w:szCs w:val="22"/>
                <w:lang w:bidi="ar"/>
              </w:rPr>
              <w:t>10</w:t>
            </w:r>
          </w:p>
        </w:tc>
      </w:tr>
      <w:tr>
        <w:tblPrEx>
          <w:shd w:val="clear" w:color="auto" w:fill="auto"/>
          <w:tblCellMar>
            <w:top w:w="0" w:type="dxa"/>
            <w:left w:w="108" w:type="dxa"/>
            <w:bottom w:w="0" w:type="dxa"/>
            <w:right w:w="108" w:type="dxa"/>
          </w:tblCellMar>
        </w:tblPrEx>
        <w:trPr>
          <w:trHeight w:val="280" w:hRule="atLeast"/>
        </w:trPr>
        <w:tc>
          <w:tcPr>
            <w:tcW w:w="2344" w:type="dxa"/>
            <w:gridSpan w:val="3"/>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总分</w:t>
            </w:r>
          </w:p>
        </w:tc>
        <w:tc>
          <w:tcPr>
            <w:tcW w:w="58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ascii="仿宋_GB2312" w:hAnsi="仿宋_GB2312" w:eastAsia="仿宋_GB2312" w:cs="仿宋_GB2312"/>
                <w:b/>
                <w:bCs/>
                <w:color w:val="000000"/>
                <w:sz w:val="22"/>
                <w:szCs w:val="22"/>
              </w:rPr>
            </w:pPr>
            <w:r>
              <w:rPr>
                <w:rFonts w:hint="eastAsia" w:ascii="仿宋_GB2312" w:hAnsi="仿宋_GB2312" w:eastAsia="仿宋_GB2312" w:cs="仿宋_GB2312"/>
                <w:b/>
                <w:bCs/>
                <w:color w:val="000000"/>
                <w:kern w:val="0"/>
                <w:sz w:val="22"/>
                <w:szCs w:val="22"/>
                <w:lang w:bidi="ar"/>
              </w:rPr>
              <w:t>100</w:t>
            </w:r>
          </w:p>
        </w:tc>
        <w:tc>
          <w:tcPr>
            <w:tcW w:w="4418"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仿宋_GB2312" w:hAnsi="仿宋_GB2312" w:eastAsia="仿宋_GB2312" w:cs="仿宋_GB2312"/>
                <w:b/>
                <w:bCs/>
                <w:color w:val="000000"/>
                <w:sz w:val="22"/>
                <w:szCs w:val="22"/>
                <w:lang w:val="en-US" w:eastAsia="zh-CN"/>
              </w:rPr>
            </w:pPr>
            <w:r>
              <w:rPr>
                <w:rFonts w:hint="eastAsia" w:ascii="仿宋_GB2312" w:hAnsi="仿宋_GB2312" w:eastAsia="仿宋_GB2312" w:cs="仿宋_GB2312"/>
                <w:b/>
                <w:bCs/>
                <w:color w:val="000000"/>
                <w:kern w:val="0"/>
                <w:sz w:val="22"/>
                <w:szCs w:val="22"/>
                <w:lang w:val="en-US" w:eastAsia="zh-CN" w:bidi="ar"/>
              </w:rPr>
              <w:t>-</w:t>
            </w:r>
          </w:p>
        </w:tc>
        <w:tc>
          <w:tcPr>
            <w:tcW w:w="3590"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left"/>
              <w:textAlignment w:val="center"/>
              <w:rPr>
                <w:rFonts w:hint="eastAsia" w:ascii="仿宋_GB2312" w:hAnsi="仿宋_GB2312" w:eastAsia="仿宋_GB2312" w:cs="仿宋_GB2312"/>
                <w:b/>
                <w:bCs/>
                <w:color w:val="000000"/>
                <w:sz w:val="22"/>
                <w:szCs w:val="22"/>
                <w:lang w:val="en-US" w:eastAsia="zh-CN"/>
              </w:rPr>
            </w:pPr>
            <w:r>
              <w:rPr>
                <w:rFonts w:hint="eastAsia" w:ascii="仿宋_GB2312" w:hAnsi="仿宋_GB2312" w:eastAsia="仿宋_GB2312" w:cs="仿宋_GB2312"/>
                <w:b/>
                <w:bCs/>
                <w:color w:val="000000"/>
                <w:sz w:val="22"/>
                <w:szCs w:val="22"/>
                <w:lang w:val="en-US" w:eastAsia="zh-CN"/>
              </w:rPr>
              <w:t>-</w:t>
            </w:r>
          </w:p>
        </w:tc>
        <w:tc>
          <w:tcPr>
            <w:tcW w:w="2464"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eastAsia" w:ascii="仿宋_GB2312" w:hAnsi="仿宋_GB2312" w:eastAsia="仿宋_GB2312" w:cs="仿宋_GB2312"/>
                <w:b/>
                <w:bCs/>
                <w:color w:val="000000"/>
                <w:kern w:val="0"/>
                <w:sz w:val="22"/>
                <w:szCs w:val="22"/>
                <w:lang w:val="en-US" w:eastAsia="zh-CN" w:bidi="ar"/>
              </w:rPr>
            </w:pPr>
            <w:r>
              <w:rPr>
                <w:rFonts w:hint="eastAsia" w:ascii="仿宋_GB2312" w:hAnsi="仿宋_GB2312" w:eastAsia="仿宋_GB2312" w:cs="仿宋_GB2312"/>
                <w:b/>
                <w:bCs/>
                <w:color w:val="000000"/>
                <w:kern w:val="0"/>
                <w:sz w:val="22"/>
                <w:szCs w:val="22"/>
                <w:lang w:val="en-US" w:eastAsia="zh-CN" w:bidi="ar"/>
              </w:rPr>
              <w:t>-</w:t>
            </w:r>
          </w:p>
        </w:tc>
        <w:tc>
          <w:tcPr>
            <w:tcW w:w="771" w:type="dxa"/>
            <w:tcBorders>
              <w:top w:val="single" w:color="000000" w:sz="4" w:space="0"/>
              <w:left w:val="single" w:color="000000" w:sz="4" w:space="0"/>
              <w:bottom w:val="single" w:color="000000" w:sz="4" w:space="0"/>
              <w:right w:val="single" w:color="000000" w:sz="4" w:space="0"/>
            </w:tcBorders>
            <w:shd w:val="clear" w:color="auto" w:fill="auto"/>
            <w:noWrap/>
            <w:vAlign w:val="center"/>
          </w:tcPr>
          <w:p>
            <w:pPr>
              <w:widowControl/>
              <w:jc w:val="center"/>
              <w:textAlignment w:val="center"/>
              <w:rPr>
                <w:rFonts w:hint="default" w:ascii="仿宋_GB2312" w:hAnsi="仿宋_GB2312" w:eastAsia="仿宋_GB2312" w:cs="仿宋_GB2312"/>
                <w:b/>
                <w:bCs/>
                <w:color w:val="000000"/>
                <w:kern w:val="0"/>
                <w:sz w:val="22"/>
                <w:szCs w:val="22"/>
                <w:lang w:val="en-US" w:eastAsia="zh-CN" w:bidi="ar"/>
              </w:rPr>
            </w:pPr>
            <w:r>
              <w:rPr>
                <w:rFonts w:hint="eastAsia" w:ascii="仿宋_GB2312" w:hAnsi="仿宋_GB2312" w:eastAsia="仿宋_GB2312" w:cs="仿宋_GB2312"/>
                <w:b/>
                <w:bCs/>
                <w:color w:val="000000"/>
                <w:kern w:val="0"/>
                <w:sz w:val="22"/>
                <w:szCs w:val="22"/>
                <w:lang w:val="en-US" w:eastAsia="zh-CN" w:bidi="ar"/>
              </w:rPr>
              <w:t>94.9</w:t>
            </w:r>
          </w:p>
        </w:tc>
      </w:tr>
    </w:tbl>
    <w:p>
      <w:pPr>
        <w:pStyle w:val="4"/>
        <w:ind w:firstLine="0" w:firstLineChars="0"/>
      </w:pPr>
    </w:p>
    <w:sectPr>
      <w:footerReference r:id="rId6" w:type="default"/>
      <w:pgSz w:w="16838" w:h="11906" w:orient="landscape"/>
      <w:pgMar w:top="1800" w:right="1440" w:bottom="1800" w:left="1440" w:header="1020" w:footer="1191" w:gutter="0"/>
      <w:pgBorders>
        <w:top w:val="none" w:sz="0" w:space="0"/>
        <w:left w:val="none" w:sz="0" w:space="0"/>
        <w:bottom w:val="none" w:sz="0" w:space="0"/>
        <w:right w:val="none" w:sz="0" w:space="0"/>
      </w:pgBorders>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楷体_GB2312">
    <w:panose1 w:val="02010609030101010101"/>
    <w:charset w:val="86"/>
    <w:family w:val="auto"/>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 w:name="等线 Light">
    <w:panose1 w:val="02010600030101010101"/>
    <w:charset w:val="86"/>
    <w:family w:val="auto"/>
    <w:pitch w:val="default"/>
    <w:sig w:usb0="A00002BF" w:usb1="38CF7CFA" w:usb2="00000016" w:usb3="00000000" w:csb0="0004000F" w:csb1="00000000"/>
  </w:font>
  <w:font w:name="仿宋">
    <w:panose1 w:val="02010609060101010101"/>
    <w:charset w:val="86"/>
    <w:family w:val="modern"/>
    <w:pitch w:val="default"/>
    <w:sig w:usb0="800002BF" w:usb1="38CF7CFA" w:usb2="00000016" w:usb3="00000000" w:csb0="00040001" w:csb1="00000000"/>
  </w:font>
  <w:font w:name="方正小标宋简体">
    <w:panose1 w:val="03000509000000000000"/>
    <w:charset w:val="86"/>
    <w:family w:val="script"/>
    <w:pitch w:val="default"/>
    <w:sig w:usb0="00000001" w:usb1="080E0000" w:usb2="00000000" w:usb3="00000000" w:csb0="00040000" w:csb1="00000000"/>
  </w:font>
  <w:font w:name="MS PGothic">
    <w:panose1 w:val="020B0600070205080204"/>
    <w:charset w:val="80"/>
    <w:family w:val="auto"/>
    <w:pitch w:val="default"/>
    <w:sig w:usb0="E00002FF" w:usb1="6AC7FDFB" w:usb2="08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460025151"/>
    </w:sdtPr>
    <w:sdtEndPr>
      <w:rPr>
        <w:rFonts w:ascii="宋体" w:hAnsi="宋体"/>
        <w:sz w:val="28"/>
        <w:szCs w:val="28"/>
      </w:rPr>
    </w:sdtEndPr>
    <w:sdtContent>
      <w:p>
        <w:pPr>
          <w:pStyle w:val="14"/>
          <w:jc w:val="right"/>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50979640"/>
    </w:sdtPr>
    <w:sdtEndPr>
      <w:rPr>
        <w:rFonts w:ascii="宋体" w:hAnsi="宋体"/>
        <w:sz w:val="28"/>
        <w:szCs w:val="28"/>
      </w:rPr>
    </w:sdtEndPr>
    <w:sdtContent>
      <w:p>
        <w:pPr>
          <w:pStyle w:val="14"/>
          <w:rPr>
            <w:rFonts w:ascii="宋体" w:hAnsi="宋体"/>
            <w:sz w:val="28"/>
            <w:szCs w:val="28"/>
          </w:rPr>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pPr>
      <w:pStyle w:val="1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1926452400"/>
    </w:sdtPr>
    <w:sdtContent>
      <w:p>
        <w:pPr>
          <w:pStyle w:val="14"/>
          <w:jc w:val="right"/>
        </w:pPr>
        <w:r>
          <w:rPr>
            <w:rFonts w:ascii="宋体" w:hAnsi="宋体"/>
            <w:sz w:val="28"/>
            <w:szCs w:val="28"/>
          </w:rPr>
          <w:fldChar w:fldCharType="begin"/>
        </w:r>
        <w:r>
          <w:rPr>
            <w:rFonts w:ascii="宋体" w:hAnsi="宋体"/>
            <w:sz w:val="28"/>
            <w:szCs w:val="28"/>
          </w:rPr>
          <w:instrText xml:space="preserve">PAGE   \* MERGEFORMAT</w:instrText>
        </w:r>
        <w:r>
          <w:rPr>
            <w:rFonts w:ascii="宋体" w:hAnsi="宋体"/>
            <w:sz w:val="28"/>
            <w:szCs w:val="28"/>
          </w:rPr>
          <w:fldChar w:fldCharType="separate"/>
        </w:r>
        <w:r>
          <w:rPr>
            <w:rFonts w:ascii="宋体" w:hAnsi="宋体"/>
            <w:sz w:val="28"/>
            <w:szCs w:val="28"/>
            <w:lang w:val="zh-CN"/>
          </w:rPr>
          <w:t>2</w:t>
        </w:r>
        <w:r>
          <w:rPr>
            <w:rFonts w:ascii="宋体" w:hAnsi="宋体"/>
            <w:sz w:val="28"/>
            <w:szCs w:val="28"/>
          </w:rPr>
          <w:fldChar w:fldCharType="end"/>
        </w:r>
      </w:p>
    </w:sdtContent>
  </w:sdt>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8">
    <w:p>
      <w:r>
        <w:separator/>
      </w:r>
    </w:p>
  </w:footnote>
  <w:footnote w:type="continuationSeparator" w:id="9">
    <w:p>
      <w:r>
        <w:continuationSeparator/>
      </w:r>
    </w:p>
  </w:footnote>
  <w:footnote w:id="0">
    <w:p>
      <w:pPr>
        <w:pStyle w:val="17"/>
        <w:keepNext w:val="0"/>
        <w:keepLines w:val="0"/>
        <w:pageBreakBefore w:val="0"/>
        <w:widowControl w:val="0"/>
        <w:kinsoku/>
        <w:wordWrap/>
        <w:overflowPunct/>
        <w:topLinePunct w:val="0"/>
        <w:autoSpaceDE/>
        <w:autoSpaceDN/>
        <w:bidi w:val="0"/>
        <w:adjustRightInd w:val="0"/>
        <w:snapToGrid w:val="0"/>
        <w:textAlignment w:val="auto"/>
        <w:rPr>
          <w:rFonts w:hint="eastAsia" w:ascii="宋体" w:hAnsi="宋体" w:eastAsia="宋体" w:cs="宋体"/>
          <w:lang w:val="en-US" w:eastAsia="zh-CN"/>
        </w:rPr>
      </w:pPr>
      <w:r>
        <w:rPr>
          <w:rStyle w:val="25"/>
          <w:rFonts w:hint="eastAsia" w:ascii="宋体" w:hAnsi="宋体" w:eastAsia="宋体" w:cs="宋体"/>
        </w:rPr>
        <w:footnoteRef/>
      </w:r>
      <w:r>
        <w:rPr>
          <w:rFonts w:hint="eastAsia" w:ascii="宋体" w:hAnsi="宋体" w:eastAsia="宋体" w:cs="宋体"/>
        </w:rPr>
        <w:t xml:space="preserve"> </w:t>
      </w:r>
      <w:r>
        <w:rPr>
          <w:rFonts w:hint="eastAsia" w:ascii="宋体" w:hAnsi="宋体" w:eastAsia="宋体" w:cs="宋体"/>
          <w:lang w:val="en-US" w:eastAsia="zh-CN"/>
        </w:rPr>
        <w:t>33个项目详见本报告第一部分“（一）项目概况 2.主要内容及实施情况”。</w:t>
      </w:r>
    </w:p>
  </w:footnote>
  <w:footnote w:id="1">
    <w:p>
      <w:pPr>
        <w:pStyle w:val="17"/>
        <w:snapToGrid w:val="0"/>
      </w:pPr>
      <w:r>
        <w:rPr>
          <w:rStyle w:val="25"/>
        </w:rPr>
        <w:footnoteRef/>
      </w:r>
      <w:r>
        <w:t xml:space="preserve"> </w:t>
      </w:r>
      <w:r>
        <w:rPr>
          <w:rFonts w:hint="eastAsia"/>
          <w:lang w:val="en-US" w:eastAsia="zh-CN"/>
        </w:rPr>
        <w:t>建筑站除“办公设备购置”外的所有二级项目均属于</w:t>
      </w:r>
      <w:r>
        <w:rPr>
          <w:rFonts w:hint="eastAsia"/>
        </w:rPr>
        <w:t>本项目，包括</w:t>
      </w:r>
      <w:r>
        <w:rPr>
          <w:rFonts w:hint="eastAsia"/>
          <w:lang w:val="en-US" w:eastAsia="zh-CN"/>
        </w:rPr>
        <w:t>1</w:t>
      </w:r>
      <w:r>
        <w:rPr>
          <w:rFonts w:hint="eastAsia"/>
        </w:rPr>
        <w:t>个</w:t>
      </w:r>
      <w:r>
        <w:rPr>
          <w:rFonts w:hint="eastAsia"/>
          <w:lang w:val="en-US" w:eastAsia="zh-CN"/>
        </w:rPr>
        <w:t>基层党建</w:t>
      </w:r>
      <w:r>
        <w:rPr>
          <w:rFonts w:hint="eastAsia"/>
        </w:rPr>
        <w:t>工作项目，</w:t>
      </w:r>
      <w:r>
        <w:rPr>
          <w:rFonts w:hint="eastAsia"/>
          <w:lang w:val="en-US" w:eastAsia="zh-CN"/>
        </w:rPr>
        <w:t>名称</w:t>
      </w:r>
      <w:r>
        <w:rPr>
          <w:rFonts w:hint="eastAsia"/>
        </w:rPr>
        <w:t>为“基层党组织活动经费”</w:t>
      </w:r>
      <w:r>
        <w:rPr>
          <w:rFonts w:hint="eastAsia"/>
          <w:lang w:eastAsia="zh-CN"/>
        </w:rPr>
        <w:t>，</w:t>
      </w:r>
      <w:r>
        <w:rPr>
          <w:rFonts w:hint="eastAsia"/>
          <w:lang w:val="en-US" w:eastAsia="zh-CN"/>
        </w:rPr>
        <w:t>主要目标</w:t>
      </w:r>
      <w:r>
        <w:rPr>
          <w:rFonts w:hint="eastAsia"/>
        </w:rPr>
        <w:t>为提高建筑站党员队伍的整体素质</w:t>
      </w:r>
      <w:r>
        <w:rPr>
          <w:rFonts w:hint="eastAsia"/>
          <w:lang w:eastAsia="zh-CN"/>
        </w:rPr>
        <w:t>，</w:t>
      </w:r>
      <w:r>
        <w:rPr>
          <w:rFonts w:hint="eastAsia"/>
        </w:rPr>
        <w:t>有效保障建筑站履职工作正常运转。鉴于其项目内容的特殊性，报告主体部分不予赘述。</w:t>
      </w:r>
    </w:p>
  </w:footnote>
  <w:footnote w:id="2">
    <w:p>
      <w:pPr>
        <w:pStyle w:val="17"/>
        <w:keepNext w:val="0"/>
        <w:keepLines w:val="0"/>
        <w:pageBreakBefore w:val="0"/>
        <w:widowControl w:val="0"/>
        <w:kinsoku/>
        <w:wordWrap/>
        <w:overflowPunct/>
        <w:topLinePunct w:val="0"/>
        <w:autoSpaceDE/>
        <w:autoSpaceDN/>
        <w:bidi w:val="0"/>
        <w:adjustRightInd w:val="0"/>
        <w:snapToGrid w:val="0"/>
        <w:textAlignment w:val="auto"/>
        <w:rPr>
          <w:rFonts w:hint="default" w:ascii="宋体" w:hAnsi="宋体" w:eastAsia="宋体" w:cs="宋体"/>
          <w:lang w:val="en-US" w:eastAsia="zh-CN"/>
        </w:rPr>
      </w:pPr>
      <w:r>
        <w:rPr>
          <w:rStyle w:val="25"/>
          <w:rFonts w:hint="eastAsia" w:ascii="宋体" w:hAnsi="宋体" w:eastAsia="宋体" w:cs="宋体"/>
        </w:rPr>
        <w:footnoteRef/>
      </w:r>
      <w:r>
        <w:rPr>
          <w:rFonts w:hint="eastAsia" w:ascii="宋体" w:hAnsi="宋体" w:eastAsia="宋体" w:cs="宋体"/>
        </w:rPr>
        <w:t xml:space="preserve"> </w:t>
      </w:r>
      <w:r>
        <w:rPr>
          <w:rFonts w:hint="eastAsia" w:ascii="宋体" w:hAnsi="宋体" w:eastAsia="宋体" w:cs="宋体"/>
          <w:lang w:val="en-US" w:eastAsia="zh-CN"/>
        </w:rPr>
        <w:t>市政站所有二级项目均在</w:t>
      </w:r>
      <w:r>
        <w:rPr>
          <w:rFonts w:hint="eastAsia" w:ascii="宋体" w:hAnsi="宋体" w:cs="宋体"/>
          <w:lang w:val="en-US" w:eastAsia="zh-CN"/>
        </w:rPr>
        <w:t>本项目下，包括</w:t>
      </w:r>
      <w:r>
        <w:rPr>
          <w:rFonts w:hint="eastAsia" w:ascii="宋体" w:hAnsi="宋体" w:eastAsia="宋体" w:cs="宋体"/>
          <w:lang w:val="en-US" w:eastAsia="zh-CN"/>
        </w:rPr>
        <w:t>3个保障日常工作项目，分别为“办公设备购置”“税金及附加费用”和“信息网络及软件购置更新”，上述项目目标为为市政站办公提供及时、可靠的硬件支撑和软件支撑，提高市政站办公效率，有效保证建设工程质量安全监督工作正常、规范开展。鉴于其项目内容的特殊性，报告主体部分不予赘述。</w:t>
      </w:r>
    </w:p>
  </w:footnote>
  <w:footnote w:id="3">
    <w:p>
      <w:pPr>
        <w:pStyle w:val="17"/>
      </w:pPr>
      <w:r>
        <w:rPr>
          <w:rStyle w:val="25"/>
        </w:rPr>
        <w:footnoteRef/>
      </w:r>
      <w:r>
        <w:rPr>
          <w:rFonts w:hint="eastAsia"/>
        </w:rPr>
        <w:t>《深圳市财政局关于印发&lt;深圳市市级项目支出绩效评价工作规程&gt;的通知</w:t>
      </w:r>
      <w:r>
        <w:t>》（</w:t>
      </w:r>
      <w:r>
        <w:rPr>
          <w:rFonts w:hint="eastAsia"/>
        </w:rPr>
        <w:t>深财绩〔2020〕14号</w:t>
      </w:r>
      <w:r>
        <w:t>），</w:t>
      </w:r>
      <w:r>
        <w:rPr>
          <w:rFonts w:hint="eastAsia"/>
        </w:rPr>
        <w:t>总分一般设置为100分，等级一般划分为四档：90（含）-100分为优、80（含）-90分为良、60（含）-80分为中、60分以下为差。</w:t>
      </w:r>
    </w:p>
    <w:p>
      <w:pPr>
        <w:pStyle w:val="17"/>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610671B8"/>
    <w:multiLevelType w:val="multilevel"/>
    <w:tmpl w:val="610671B8"/>
    <w:lvl w:ilvl="0" w:tentative="0">
      <w:start w:val="1"/>
      <w:numFmt w:val="chineseCountingThousand"/>
      <w:pStyle w:val="3"/>
      <w:suff w:val="nothing"/>
      <w:lvlText w:val="%1、"/>
      <w:lvlJc w:val="left"/>
      <w:pPr>
        <w:ind w:left="425" w:hanging="425"/>
      </w:pPr>
      <w:rPr>
        <w:rFonts w:hint="eastAsia"/>
      </w:rPr>
    </w:lvl>
    <w:lvl w:ilvl="1" w:tentative="0">
      <w:start w:val="1"/>
      <w:numFmt w:val="chineseCountingThousand"/>
      <w:pStyle w:val="5"/>
      <w:suff w:val="nothing"/>
      <w:lvlText w:val="（%2）"/>
      <w:lvlJc w:val="left"/>
      <w:pPr>
        <w:ind w:left="5388" w:hanging="567"/>
      </w:pPr>
      <w:rPr>
        <w:rFonts w:hint="eastAsia" w:ascii="楷体_GB2312" w:hAnsi="楷体_GB2312" w:eastAsia="楷体_GB2312" w:cs="楷体_GB2312"/>
        <w:b w:val="0"/>
        <w:bCs w:val="0"/>
        <w:i w:val="0"/>
        <w:iCs w:val="0"/>
        <w:caps w:val="0"/>
        <w:smallCaps w:val="0"/>
        <w:strike w:val="0"/>
        <w:dstrike w:val="0"/>
        <w:outline w:val="0"/>
        <w:shadow w:val="0"/>
        <w:emboss w:val="0"/>
        <w:imprint w:val="0"/>
        <w:vanish w:val="0"/>
        <w:spacing w:val="0"/>
        <w:position w:val="0"/>
        <w:sz w:val="32"/>
        <w:szCs w:val="32"/>
        <w:u w:val="none"/>
        <w:vertAlign w:val="baseline"/>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props3d w14:extrusionH="0" w14:contourW="0" w14:prstMaterial="none"/>
        <w14:scene3d>
          <w14:lightRig w14:rig="threePt" w14:dir="t">
            <w14:rot w14:lat="0" w14:lon="0" w14:rev="0"/>
          </w14:lightRig>
        </w14:scene3d>
        <w14:ligatures w14:val="none"/>
        <w14:numForm w14:val="default"/>
        <w14:numSpacing w14:val="default"/>
      </w:rPr>
    </w:lvl>
    <w:lvl w:ilvl="2" w:tentative="0">
      <w:start w:val="1"/>
      <w:numFmt w:val="decimal"/>
      <w:pStyle w:val="6"/>
      <w:suff w:val="nothing"/>
      <w:lvlText w:val="%3. "/>
      <w:lvlJc w:val="left"/>
      <w:pPr>
        <w:ind w:left="992" w:hanging="567"/>
      </w:pPr>
      <w:rPr>
        <w:rFonts w:hint="eastAsia"/>
      </w:rPr>
    </w:lvl>
    <w:lvl w:ilvl="3" w:tentative="0">
      <w:start w:val="1"/>
      <w:numFmt w:val="decimal"/>
      <w:pStyle w:val="7"/>
      <w:suff w:val="nothing"/>
      <w:lvlText w:val="（%4）"/>
      <w:lvlJc w:val="left"/>
      <w:pPr>
        <w:ind w:left="992" w:hanging="425"/>
      </w:pPr>
      <w:rPr>
        <w:rFonts w:hint="eastAsia"/>
      </w:rPr>
    </w:lvl>
    <w:lvl w:ilvl="4" w:tentative="0">
      <w:start w:val="1"/>
      <w:numFmt w:val="decimal"/>
      <w:pStyle w:val="8"/>
      <w:suff w:val="nothing"/>
      <w:lvlText w:val="%5）"/>
      <w:lvlJc w:val="left"/>
      <w:pPr>
        <w:ind w:left="992" w:hanging="113"/>
      </w:pPr>
      <w:rPr>
        <w:rFonts w:hint="eastAsia"/>
      </w:rPr>
    </w:lvl>
    <w:lvl w:ilvl="5" w:tentative="0">
      <w:start w:val="1"/>
      <w:numFmt w:val="decimal"/>
      <w:pStyle w:val="43"/>
      <w:suff w:val="nothing"/>
      <w:lvlText w:val="附件%6 "/>
      <w:lvlJc w:val="left"/>
      <w:pPr>
        <w:ind w:left="0" w:firstLine="0"/>
      </w:pPr>
      <w:rPr>
        <w:rFonts w:hint="eastAsia"/>
      </w:rPr>
    </w:lvl>
    <w:lvl w:ilvl="6" w:tentative="0">
      <w:start w:val="1"/>
      <w:numFmt w:val="chineseCountingThousand"/>
      <w:suff w:val="nothing"/>
      <w:lvlText w:val="%7、"/>
      <w:lvlJc w:val="left"/>
      <w:pPr>
        <w:ind w:left="992" w:hanging="567"/>
      </w:pPr>
      <w:rPr>
        <w:rFonts w:hint="eastAsia"/>
      </w:rPr>
    </w:lvl>
    <w:lvl w:ilvl="7" w:tentative="0">
      <w:start w:val="1"/>
      <w:numFmt w:val="chineseCountingThousand"/>
      <w:suff w:val="nothing"/>
      <w:lvlText w:val="（%8）"/>
      <w:lvlJc w:val="left"/>
      <w:pPr>
        <w:ind w:left="992" w:hanging="567"/>
      </w:pPr>
      <w:rPr>
        <w:rFonts w:hint="eastAsia"/>
      </w:rPr>
    </w:lvl>
    <w:lvl w:ilvl="8" w:tentative="0">
      <w:start w:val="1"/>
      <w:numFmt w:val="decimal"/>
      <w:suff w:val="nothing"/>
      <w:lvlText w:val="%9. "/>
      <w:lvlJc w:val="left"/>
      <w:pPr>
        <w:ind w:left="992" w:hanging="567"/>
      </w:pPr>
      <w:rPr>
        <w:rFonts w:hint="eastAsia"/>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0"/>
  <w:bordersDoNotSurroundFooter w:val="0"/>
  <w:documentProtection w:enforcement="0"/>
  <w:defaultTabStop w:val="420"/>
  <w:evenAndOddHeaders w:val="1"/>
  <w:drawingGridHorizontalSpacing w:val="105"/>
  <w:drawingGridVerticalSpacing w:val="156"/>
  <w:displayHorizontalDrawingGridEvery w:val="1"/>
  <w:displayVerticalDrawingGridEvery w:val="1"/>
  <w:noPunctuationKerning w:val="1"/>
  <w:characterSpacingControl w:val="compressPunctuation"/>
  <w:footnotePr>
    <w:footnote w:id="8"/>
    <w:footnote w:id="9"/>
  </w:footnotePr>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MjBmNzFhNTE2ODA4NWNjMzY3MDUyM2Q1MGJjODVmODYifQ=="/>
  </w:docVars>
  <w:rsids>
    <w:rsidRoot w:val="35747EEC"/>
    <w:rsid w:val="0000372D"/>
    <w:rsid w:val="00006500"/>
    <w:rsid w:val="00006878"/>
    <w:rsid w:val="00006D0C"/>
    <w:rsid w:val="0001274E"/>
    <w:rsid w:val="000140D8"/>
    <w:rsid w:val="000151FD"/>
    <w:rsid w:val="00015FD7"/>
    <w:rsid w:val="00017DAD"/>
    <w:rsid w:val="000272B8"/>
    <w:rsid w:val="0003406E"/>
    <w:rsid w:val="00035C58"/>
    <w:rsid w:val="0004194F"/>
    <w:rsid w:val="00042277"/>
    <w:rsid w:val="00042F15"/>
    <w:rsid w:val="00044534"/>
    <w:rsid w:val="0005304B"/>
    <w:rsid w:val="000540C9"/>
    <w:rsid w:val="0005634B"/>
    <w:rsid w:val="00057D23"/>
    <w:rsid w:val="00066C9A"/>
    <w:rsid w:val="00071965"/>
    <w:rsid w:val="00076E6D"/>
    <w:rsid w:val="00083FCC"/>
    <w:rsid w:val="00087F3A"/>
    <w:rsid w:val="000A06A8"/>
    <w:rsid w:val="000A2586"/>
    <w:rsid w:val="000A54DC"/>
    <w:rsid w:val="000B61E9"/>
    <w:rsid w:val="000C0DDB"/>
    <w:rsid w:val="000C748F"/>
    <w:rsid w:val="000C796B"/>
    <w:rsid w:val="000E7518"/>
    <w:rsid w:val="000E7F1A"/>
    <w:rsid w:val="000F099B"/>
    <w:rsid w:val="000F2B10"/>
    <w:rsid w:val="00102E6B"/>
    <w:rsid w:val="001129DA"/>
    <w:rsid w:val="00114DEE"/>
    <w:rsid w:val="00121E22"/>
    <w:rsid w:val="0013021A"/>
    <w:rsid w:val="00134901"/>
    <w:rsid w:val="00146A17"/>
    <w:rsid w:val="00147A7E"/>
    <w:rsid w:val="00153E1C"/>
    <w:rsid w:val="00162AE4"/>
    <w:rsid w:val="00172053"/>
    <w:rsid w:val="001804FE"/>
    <w:rsid w:val="001807D4"/>
    <w:rsid w:val="00182C86"/>
    <w:rsid w:val="0019568B"/>
    <w:rsid w:val="0019781C"/>
    <w:rsid w:val="001A114C"/>
    <w:rsid w:val="001A11C6"/>
    <w:rsid w:val="001B24EE"/>
    <w:rsid w:val="001B3487"/>
    <w:rsid w:val="001B486E"/>
    <w:rsid w:val="001B5EC6"/>
    <w:rsid w:val="001D08B5"/>
    <w:rsid w:val="001D0A7E"/>
    <w:rsid w:val="001E4440"/>
    <w:rsid w:val="00205845"/>
    <w:rsid w:val="0020720F"/>
    <w:rsid w:val="002077E2"/>
    <w:rsid w:val="0021302C"/>
    <w:rsid w:val="002133E7"/>
    <w:rsid w:val="00213B66"/>
    <w:rsid w:val="00217A62"/>
    <w:rsid w:val="00220818"/>
    <w:rsid w:val="0022213C"/>
    <w:rsid w:val="00222A88"/>
    <w:rsid w:val="0023442A"/>
    <w:rsid w:val="00237C0D"/>
    <w:rsid w:val="0024330C"/>
    <w:rsid w:val="00254549"/>
    <w:rsid w:val="002616C2"/>
    <w:rsid w:val="00270F7F"/>
    <w:rsid w:val="00272D30"/>
    <w:rsid w:val="00277770"/>
    <w:rsid w:val="00280DA2"/>
    <w:rsid w:val="00281BB1"/>
    <w:rsid w:val="00291D2F"/>
    <w:rsid w:val="002A25E0"/>
    <w:rsid w:val="002A4B8C"/>
    <w:rsid w:val="002A706D"/>
    <w:rsid w:val="002A70CE"/>
    <w:rsid w:val="002B01E4"/>
    <w:rsid w:val="002B1BDA"/>
    <w:rsid w:val="002B41A0"/>
    <w:rsid w:val="002B4447"/>
    <w:rsid w:val="002C573F"/>
    <w:rsid w:val="002C62F6"/>
    <w:rsid w:val="002D0190"/>
    <w:rsid w:val="002D20F7"/>
    <w:rsid w:val="002D24DE"/>
    <w:rsid w:val="002D35B0"/>
    <w:rsid w:val="002E12DF"/>
    <w:rsid w:val="002E1CAE"/>
    <w:rsid w:val="002E396A"/>
    <w:rsid w:val="002E777C"/>
    <w:rsid w:val="002F2114"/>
    <w:rsid w:val="002F3B1A"/>
    <w:rsid w:val="002F5C0C"/>
    <w:rsid w:val="003002D8"/>
    <w:rsid w:val="00303D21"/>
    <w:rsid w:val="00306E74"/>
    <w:rsid w:val="00325501"/>
    <w:rsid w:val="00327A69"/>
    <w:rsid w:val="003310EB"/>
    <w:rsid w:val="00332F36"/>
    <w:rsid w:val="00335DAF"/>
    <w:rsid w:val="00337CD7"/>
    <w:rsid w:val="0034355A"/>
    <w:rsid w:val="00345744"/>
    <w:rsid w:val="00345DA4"/>
    <w:rsid w:val="00345EF3"/>
    <w:rsid w:val="00351421"/>
    <w:rsid w:val="00356990"/>
    <w:rsid w:val="00356FCE"/>
    <w:rsid w:val="003610C4"/>
    <w:rsid w:val="00364793"/>
    <w:rsid w:val="003675EB"/>
    <w:rsid w:val="0037780A"/>
    <w:rsid w:val="003828E5"/>
    <w:rsid w:val="0039002F"/>
    <w:rsid w:val="00390FDC"/>
    <w:rsid w:val="00394649"/>
    <w:rsid w:val="0039624B"/>
    <w:rsid w:val="00396FAE"/>
    <w:rsid w:val="00397DBF"/>
    <w:rsid w:val="003A1144"/>
    <w:rsid w:val="003A3494"/>
    <w:rsid w:val="003B06BC"/>
    <w:rsid w:val="003B44D3"/>
    <w:rsid w:val="003B45AE"/>
    <w:rsid w:val="003B5622"/>
    <w:rsid w:val="003C5AB2"/>
    <w:rsid w:val="003D3060"/>
    <w:rsid w:val="003D5E34"/>
    <w:rsid w:val="003E3FCA"/>
    <w:rsid w:val="003E5E49"/>
    <w:rsid w:val="003E67AE"/>
    <w:rsid w:val="003F0176"/>
    <w:rsid w:val="003F3495"/>
    <w:rsid w:val="003F6588"/>
    <w:rsid w:val="0041161A"/>
    <w:rsid w:val="00412277"/>
    <w:rsid w:val="00416147"/>
    <w:rsid w:val="00420116"/>
    <w:rsid w:val="004266F1"/>
    <w:rsid w:val="004408E8"/>
    <w:rsid w:val="004531F9"/>
    <w:rsid w:val="004605C1"/>
    <w:rsid w:val="00461EC2"/>
    <w:rsid w:val="00474E96"/>
    <w:rsid w:val="00475C42"/>
    <w:rsid w:val="00477F73"/>
    <w:rsid w:val="00486DBC"/>
    <w:rsid w:val="0048764E"/>
    <w:rsid w:val="00491525"/>
    <w:rsid w:val="00493F68"/>
    <w:rsid w:val="00496E3A"/>
    <w:rsid w:val="004A1269"/>
    <w:rsid w:val="004A5E40"/>
    <w:rsid w:val="004A7453"/>
    <w:rsid w:val="004B1DB1"/>
    <w:rsid w:val="004C1572"/>
    <w:rsid w:val="004C23FA"/>
    <w:rsid w:val="004C4555"/>
    <w:rsid w:val="004D515D"/>
    <w:rsid w:val="004D5BB2"/>
    <w:rsid w:val="004E294C"/>
    <w:rsid w:val="004E5422"/>
    <w:rsid w:val="004F1170"/>
    <w:rsid w:val="00510791"/>
    <w:rsid w:val="00516F0E"/>
    <w:rsid w:val="005172DD"/>
    <w:rsid w:val="005176AA"/>
    <w:rsid w:val="00522C62"/>
    <w:rsid w:val="0052613F"/>
    <w:rsid w:val="005261D8"/>
    <w:rsid w:val="0053230A"/>
    <w:rsid w:val="00534D4B"/>
    <w:rsid w:val="00535B45"/>
    <w:rsid w:val="00546D71"/>
    <w:rsid w:val="00546E78"/>
    <w:rsid w:val="00547F0E"/>
    <w:rsid w:val="00550593"/>
    <w:rsid w:val="00550DBC"/>
    <w:rsid w:val="00551552"/>
    <w:rsid w:val="00560DED"/>
    <w:rsid w:val="00562AB9"/>
    <w:rsid w:val="00562BBE"/>
    <w:rsid w:val="00563D91"/>
    <w:rsid w:val="00585352"/>
    <w:rsid w:val="005865EA"/>
    <w:rsid w:val="00594876"/>
    <w:rsid w:val="00595F34"/>
    <w:rsid w:val="005A67F5"/>
    <w:rsid w:val="005B11C8"/>
    <w:rsid w:val="005B3D96"/>
    <w:rsid w:val="005C0526"/>
    <w:rsid w:val="005C4184"/>
    <w:rsid w:val="005C7243"/>
    <w:rsid w:val="005C7953"/>
    <w:rsid w:val="005D2D9A"/>
    <w:rsid w:val="005D3B5F"/>
    <w:rsid w:val="005D6FA3"/>
    <w:rsid w:val="005E16C6"/>
    <w:rsid w:val="005E2149"/>
    <w:rsid w:val="005F2B69"/>
    <w:rsid w:val="005F363F"/>
    <w:rsid w:val="005F4C42"/>
    <w:rsid w:val="00604B75"/>
    <w:rsid w:val="00607F4F"/>
    <w:rsid w:val="00610C44"/>
    <w:rsid w:val="00615CB0"/>
    <w:rsid w:val="006161C5"/>
    <w:rsid w:val="0062031A"/>
    <w:rsid w:val="0062793E"/>
    <w:rsid w:val="006468EC"/>
    <w:rsid w:val="00651F02"/>
    <w:rsid w:val="006612A1"/>
    <w:rsid w:val="00670309"/>
    <w:rsid w:val="00672BF2"/>
    <w:rsid w:val="00681991"/>
    <w:rsid w:val="006852C1"/>
    <w:rsid w:val="00687549"/>
    <w:rsid w:val="006916EB"/>
    <w:rsid w:val="00692BE5"/>
    <w:rsid w:val="00696363"/>
    <w:rsid w:val="006A515F"/>
    <w:rsid w:val="006B06E6"/>
    <w:rsid w:val="006B1DEF"/>
    <w:rsid w:val="006B5747"/>
    <w:rsid w:val="006B6D34"/>
    <w:rsid w:val="006C0552"/>
    <w:rsid w:val="006D38B2"/>
    <w:rsid w:val="006D6D05"/>
    <w:rsid w:val="006E1680"/>
    <w:rsid w:val="006E3C10"/>
    <w:rsid w:val="006F0784"/>
    <w:rsid w:val="006F0874"/>
    <w:rsid w:val="006F117D"/>
    <w:rsid w:val="0073585A"/>
    <w:rsid w:val="00744BAE"/>
    <w:rsid w:val="0075187C"/>
    <w:rsid w:val="007527A3"/>
    <w:rsid w:val="00753AE2"/>
    <w:rsid w:val="00762975"/>
    <w:rsid w:val="0076568F"/>
    <w:rsid w:val="0076762C"/>
    <w:rsid w:val="007810D1"/>
    <w:rsid w:val="0078337F"/>
    <w:rsid w:val="00790042"/>
    <w:rsid w:val="007A4A13"/>
    <w:rsid w:val="007B64E2"/>
    <w:rsid w:val="007C1028"/>
    <w:rsid w:val="007C46E2"/>
    <w:rsid w:val="007C5DBA"/>
    <w:rsid w:val="007D2BF8"/>
    <w:rsid w:val="007D34AD"/>
    <w:rsid w:val="007E42B8"/>
    <w:rsid w:val="007E44F0"/>
    <w:rsid w:val="007E4D59"/>
    <w:rsid w:val="0080270A"/>
    <w:rsid w:val="00811E62"/>
    <w:rsid w:val="00814CB2"/>
    <w:rsid w:val="008301E8"/>
    <w:rsid w:val="0084030D"/>
    <w:rsid w:val="00843E70"/>
    <w:rsid w:val="008451DF"/>
    <w:rsid w:val="008454A4"/>
    <w:rsid w:val="0084599A"/>
    <w:rsid w:val="008461D5"/>
    <w:rsid w:val="00851BE1"/>
    <w:rsid w:val="00854CC0"/>
    <w:rsid w:val="00864B0D"/>
    <w:rsid w:val="008656D4"/>
    <w:rsid w:val="00865A64"/>
    <w:rsid w:val="00866B8A"/>
    <w:rsid w:val="00870FCE"/>
    <w:rsid w:val="00875970"/>
    <w:rsid w:val="00876C42"/>
    <w:rsid w:val="008822AB"/>
    <w:rsid w:val="008909AF"/>
    <w:rsid w:val="008928C4"/>
    <w:rsid w:val="008A384D"/>
    <w:rsid w:val="008A4DAC"/>
    <w:rsid w:val="008A5D44"/>
    <w:rsid w:val="008A7CA7"/>
    <w:rsid w:val="008C1C4A"/>
    <w:rsid w:val="008C56C4"/>
    <w:rsid w:val="008F14EB"/>
    <w:rsid w:val="008F3407"/>
    <w:rsid w:val="008F3C77"/>
    <w:rsid w:val="008F3F0C"/>
    <w:rsid w:val="008F51FF"/>
    <w:rsid w:val="00910FBE"/>
    <w:rsid w:val="00911590"/>
    <w:rsid w:val="0091217C"/>
    <w:rsid w:val="00912511"/>
    <w:rsid w:val="00932EA2"/>
    <w:rsid w:val="00934749"/>
    <w:rsid w:val="00936529"/>
    <w:rsid w:val="00944FA3"/>
    <w:rsid w:val="00945CB2"/>
    <w:rsid w:val="00946953"/>
    <w:rsid w:val="009535A2"/>
    <w:rsid w:val="00955D3D"/>
    <w:rsid w:val="0096155B"/>
    <w:rsid w:val="009616F6"/>
    <w:rsid w:val="00970C82"/>
    <w:rsid w:val="009740A2"/>
    <w:rsid w:val="00977054"/>
    <w:rsid w:val="00987A81"/>
    <w:rsid w:val="00993EFB"/>
    <w:rsid w:val="00994DD9"/>
    <w:rsid w:val="00996D8B"/>
    <w:rsid w:val="009A45A0"/>
    <w:rsid w:val="009A6EC2"/>
    <w:rsid w:val="009B506F"/>
    <w:rsid w:val="009B5C0F"/>
    <w:rsid w:val="009B6DDE"/>
    <w:rsid w:val="009C2455"/>
    <w:rsid w:val="009C3E17"/>
    <w:rsid w:val="009C456A"/>
    <w:rsid w:val="009E5B2A"/>
    <w:rsid w:val="009F31E9"/>
    <w:rsid w:val="009F536F"/>
    <w:rsid w:val="009F5961"/>
    <w:rsid w:val="00A04CEC"/>
    <w:rsid w:val="00A05231"/>
    <w:rsid w:val="00A05699"/>
    <w:rsid w:val="00A134E9"/>
    <w:rsid w:val="00A14591"/>
    <w:rsid w:val="00A15EBF"/>
    <w:rsid w:val="00A16EF8"/>
    <w:rsid w:val="00A231F7"/>
    <w:rsid w:val="00A264BB"/>
    <w:rsid w:val="00A313CE"/>
    <w:rsid w:val="00A315AF"/>
    <w:rsid w:val="00A31E86"/>
    <w:rsid w:val="00A36967"/>
    <w:rsid w:val="00A4228C"/>
    <w:rsid w:val="00A42809"/>
    <w:rsid w:val="00A45EB3"/>
    <w:rsid w:val="00A47F5F"/>
    <w:rsid w:val="00A52399"/>
    <w:rsid w:val="00A53AB1"/>
    <w:rsid w:val="00A64AFB"/>
    <w:rsid w:val="00A6677A"/>
    <w:rsid w:val="00A670C7"/>
    <w:rsid w:val="00A724DF"/>
    <w:rsid w:val="00A735D6"/>
    <w:rsid w:val="00A81B30"/>
    <w:rsid w:val="00A8283F"/>
    <w:rsid w:val="00A90A48"/>
    <w:rsid w:val="00A91A1E"/>
    <w:rsid w:val="00AA0205"/>
    <w:rsid w:val="00AA4DC5"/>
    <w:rsid w:val="00AA6DFA"/>
    <w:rsid w:val="00AB308A"/>
    <w:rsid w:val="00AB339C"/>
    <w:rsid w:val="00AB35FD"/>
    <w:rsid w:val="00AB4A8D"/>
    <w:rsid w:val="00AC0039"/>
    <w:rsid w:val="00AC77DC"/>
    <w:rsid w:val="00AD3D90"/>
    <w:rsid w:val="00AD47F0"/>
    <w:rsid w:val="00AE1035"/>
    <w:rsid w:val="00AF2E37"/>
    <w:rsid w:val="00B02376"/>
    <w:rsid w:val="00B030FC"/>
    <w:rsid w:val="00B14B55"/>
    <w:rsid w:val="00B2050E"/>
    <w:rsid w:val="00B22A7E"/>
    <w:rsid w:val="00B274E4"/>
    <w:rsid w:val="00B347A4"/>
    <w:rsid w:val="00B4122F"/>
    <w:rsid w:val="00B41E08"/>
    <w:rsid w:val="00B44896"/>
    <w:rsid w:val="00B45619"/>
    <w:rsid w:val="00B53126"/>
    <w:rsid w:val="00B53D21"/>
    <w:rsid w:val="00B66129"/>
    <w:rsid w:val="00B66F45"/>
    <w:rsid w:val="00B75F53"/>
    <w:rsid w:val="00B76B39"/>
    <w:rsid w:val="00B77990"/>
    <w:rsid w:val="00B806EB"/>
    <w:rsid w:val="00B81A30"/>
    <w:rsid w:val="00B82711"/>
    <w:rsid w:val="00B87DFC"/>
    <w:rsid w:val="00B924E2"/>
    <w:rsid w:val="00B934BC"/>
    <w:rsid w:val="00BA7537"/>
    <w:rsid w:val="00BB1B50"/>
    <w:rsid w:val="00BB5C63"/>
    <w:rsid w:val="00BB6DE3"/>
    <w:rsid w:val="00BC35C6"/>
    <w:rsid w:val="00BC6C7A"/>
    <w:rsid w:val="00BC6E4B"/>
    <w:rsid w:val="00BD31FF"/>
    <w:rsid w:val="00BD3244"/>
    <w:rsid w:val="00BD5790"/>
    <w:rsid w:val="00BD65BA"/>
    <w:rsid w:val="00BE05D4"/>
    <w:rsid w:val="00BE0C60"/>
    <w:rsid w:val="00BE2449"/>
    <w:rsid w:val="00BF5B0B"/>
    <w:rsid w:val="00C04EED"/>
    <w:rsid w:val="00C0701C"/>
    <w:rsid w:val="00C14179"/>
    <w:rsid w:val="00C149BF"/>
    <w:rsid w:val="00C20481"/>
    <w:rsid w:val="00C222DD"/>
    <w:rsid w:val="00C23D2E"/>
    <w:rsid w:val="00C32C0F"/>
    <w:rsid w:val="00C32CB0"/>
    <w:rsid w:val="00C334B0"/>
    <w:rsid w:val="00C35EF5"/>
    <w:rsid w:val="00C41F05"/>
    <w:rsid w:val="00C42E0E"/>
    <w:rsid w:val="00C4459E"/>
    <w:rsid w:val="00C47486"/>
    <w:rsid w:val="00C515BC"/>
    <w:rsid w:val="00C5209B"/>
    <w:rsid w:val="00C52C54"/>
    <w:rsid w:val="00C53172"/>
    <w:rsid w:val="00C5751C"/>
    <w:rsid w:val="00C57D10"/>
    <w:rsid w:val="00C705E2"/>
    <w:rsid w:val="00C71C8D"/>
    <w:rsid w:val="00C71F06"/>
    <w:rsid w:val="00C772DF"/>
    <w:rsid w:val="00C7785A"/>
    <w:rsid w:val="00C77E87"/>
    <w:rsid w:val="00C9453F"/>
    <w:rsid w:val="00C94566"/>
    <w:rsid w:val="00CA53E1"/>
    <w:rsid w:val="00CA7294"/>
    <w:rsid w:val="00CB287A"/>
    <w:rsid w:val="00CB3D5E"/>
    <w:rsid w:val="00CC10C4"/>
    <w:rsid w:val="00CC2F11"/>
    <w:rsid w:val="00CC5370"/>
    <w:rsid w:val="00CC7695"/>
    <w:rsid w:val="00CD5214"/>
    <w:rsid w:val="00CE34B5"/>
    <w:rsid w:val="00CE4282"/>
    <w:rsid w:val="00CE7600"/>
    <w:rsid w:val="00CF4C36"/>
    <w:rsid w:val="00CF64E6"/>
    <w:rsid w:val="00D00867"/>
    <w:rsid w:val="00D025D3"/>
    <w:rsid w:val="00D07462"/>
    <w:rsid w:val="00D12E76"/>
    <w:rsid w:val="00D24507"/>
    <w:rsid w:val="00D3096C"/>
    <w:rsid w:val="00D32DBF"/>
    <w:rsid w:val="00D404FC"/>
    <w:rsid w:val="00D40793"/>
    <w:rsid w:val="00D452C5"/>
    <w:rsid w:val="00D55623"/>
    <w:rsid w:val="00D732C7"/>
    <w:rsid w:val="00D74E79"/>
    <w:rsid w:val="00D8110D"/>
    <w:rsid w:val="00D8113E"/>
    <w:rsid w:val="00D91C27"/>
    <w:rsid w:val="00D92D98"/>
    <w:rsid w:val="00DB1A23"/>
    <w:rsid w:val="00DB4599"/>
    <w:rsid w:val="00DC2E99"/>
    <w:rsid w:val="00DD544F"/>
    <w:rsid w:val="00DE254C"/>
    <w:rsid w:val="00E04113"/>
    <w:rsid w:val="00E041C3"/>
    <w:rsid w:val="00E11575"/>
    <w:rsid w:val="00E20797"/>
    <w:rsid w:val="00E22233"/>
    <w:rsid w:val="00E223C2"/>
    <w:rsid w:val="00E331BB"/>
    <w:rsid w:val="00E34DC0"/>
    <w:rsid w:val="00E427DD"/>
    <w:rsid w:val="00E43199"/>
    <w:rsid w:val="00E4467C"/>
    <w:rsid w:val="00E449A7"/>
    <w:rsid w:val="00E472D0"/>
    <w:rsid w:val="00E5701D"/>
    <w:rsid w:val="00E627D4"/>
    <w:rsid w:val="00E63648"/>
    <w:rsid w:val="00E63A5E"/>
    <w:rsid w:val="00E6498D"/>
    <w:rsid w:val="00E67459"/>
    <w:rsid w:val="00E76BE2"/>
    <w:rsid w:val="00E81226"/>
    <w:rsid w:val="00E83A65"/>
    <w:rsid w:val="00E874F2"/>
    <w:rsid w:val="00E90F75"/>
    <w:rsid w:val="00E9227A"/>
    <w:rsid w:val="00E93E5C"/>
    <w:rsid w:val="00E95B73"/>
    <w:rsid w:val="00E979F4"/>
    <w:rsid w:val="00EA5937"/>
    <w:rsid w:val="00EA64FF"/>
    <w:rsid w:val="00EA6C50"/>
    <w:rsid w:val="00EC1253"/>
    <w:rsid w:val="00EC2DCA"/>
    <w:rsid w:val="00EC42B2"/>
    <w:rsid w:val="00ED6BAA"/>
    <w:rsid w:val="00EE3167"/>
    <w:rsid w:val="00EF1D4A"/>
    <w:rsid w:val="00EF1FA9"/>
    <w:rsid w:val="00F03FE3"/>
    <w:rsid w:val="00F0575E"/>
    <w:rsid w:val="00F076D3"/>
    <w:rsid w:val="00F114F1"/>
    <w:rsid w:val="00F116C4"/>
    <w:rsid w:val="00F11C75"/>
    <w:rsid w:val="00F14EA6"/>
    <w:rsid w:val="00F14FFC"/>
    <w:rsid w:val="00F177AD"/>
    <w:rsid w:val="00F17C49"/>
    <w:rsid w:val="00F23020"/>
    <w:rsid w:val="00F2368F"/>
    <w:rsid w:val="00F23AF7"/>
    <w:rsid w:val="00F24ACB"/>
    <w:rsid w:val="00F31CE1"/>
    <w:rsid w:val="00F34735"/>
    <w:rsid w:val="00F42595"/>
    <w:rsid w:val="00F44014"/>
    <w:rsid w:val="00F45F74"/>
    <w:rsid w:val="00F56148"/>
    <w:rsid w:val="00F70430"/>
    <w:rsid w:val="00F72106"/>
    <w:rsid w:val="00F770B2"/>
    <w:rsid w:val="00F81E35"/>
    <w:rsid w:val="00F8405D"/>
    <w:rsid w:val="00F8591A"/>
    <w:rsid w:val="00F9243B"/>
    <w:rsid w:val="00F9498E"/>
    <w:rsid w:val="00F95D73"/>
    <w:rsid w:val="00FA1902"/>
    <w:rsid w:val="00FA41F0"/>
    <w:rsid w:val="00FB0E3D"/>
    <w:rsid w:val="00FB7FE8"/>
    <w:rsid w:val="00FC36AB"/>
    <w:rsid w:val="00FC4AAB"/>
    <w:rsid w:val="00FD2FA2"/>
    <w:rsid w:val="00FD4734"/>
    <w:rsid w:val="00FE3A09"/>
    <w:rsid w:val="00FE55CA"/>
    <w:rsid w:val="00FF3792"/>
    <w:rsid w:val="00FF42FB"/>
    <w:rsid w:val="00FF4B3C"/>
    <w:rsid w:val="00FF4D39"/>
    <w:rsid w:val="00FF79BB"/>
    <w:rsid w:val="015005B6"/>
    <w:rsid w:val="02DF577D"/>
    <w:rsid w:val="03D746CC"/>
    <w:rsid w:val="04357808"/>
    <w:rsid w:val="055A2C19"/>
    <w:rsid w:val="061A6358"/>
    <w:rsid w:val="06E60815"/>
    <w:rsid w:val="071C0D73"/>
    <w:rsid w:val="08007CD1"/>
    <w:rsid w:val="081D1E29"/>
    <w:rsid w:val="0826182D"/>
    <w:rsid w:val="086C3C1F"/>
    <w:rsid w:val="089D62AA"/>
    <w:rsid w:val="08AB292D"/>
    <w:rsid w:val="08AD0B63"/>
    <w:rsid w:val="08D92ACA"/>
    <w:rsid w:val="09277C06"/>
    <w:rsid w:val="09340749"/>
    <w:rsid w:val="09911B94"/>
    <w:rsid w:val="09B364FD"/>
    <w:rsid w:val="09F55E51"/>
    <w:rsid w:val="0A1C3E91"/>
    <w:rsid w:val="0AD656B8"/>
    <w:rsid w:val="0B537C8B"/>
    <w:rsid w:val="0B847C88"/>
    <w:rsid w:val="0C213C1D"/>
    <w:rsid w:val="0C3E18BB"/>
    <w:rsid w:val="0D3D2D1A"/>
    <w:rsid w:val="0E6B6C93"/>
    <w:rsid w:val="0E996129"/>
    <w:rsid w:val="0EC61BEC"/>
    <w:rsid w:val="0F980C02"/>
    <w:rsid w:val="0F9E5DBA"/>
    <w:rsid w:val="0FB25439"/>
    <w:rsid w:val="11C24942"/>
    <w:rsid w:val="11D010D8"/>
    <w:rsid w:val="12703E7A"/>
    <w:rsid w:val="1296445D"/>
    <w:rsid w:val="12DC7DE1"/>
    <w:rsid w:val="12F212F3"/>
    <w:rsid w:val="13544571"/>
    <w:rsid w:val="138F0A28"/>
    <w:rsid w:val="13DD5E98"/>
    <w:rsid w:val="14072DAB"/>
    <w:rsid w:val="15426C00"/>
    <w:rsid w:val="15907A93"/>
    <w:rsid w:val="15DA5A1A"/>
    <w:rsid w:val="1626532D"/>
    <w:rsid w:val="167E0249"/>
    <w:rsid w:val="16AC4FC3"/>
    <w:rsid w:val="182911AB"/>
    <w:rsid w:val="183E69C7"/>
    <w:rsid w:val="188C5481"/>
    <w:rsid w:val="19483C4A"/>
    <w:rsid w:val="19C91A81"/>
    <w:rsid w:val="1A515342"/>
    <w:rsid w:val="1AE234AE"/>
    <w:rsid w:val="1B4145C3"/>
    <w:rsid w:val="1B873652"/>
    <w:rsid w:val="1BB51929"/>
    <w:rsid w:val="1C01741A"/>
    <w:rsid w:val="1CAF419E"/>
    <w:rsid w:val="1CCD09D4"/>
    <w:rsid w:val="1D36049C"/>
    <w:rsid w:val="1D890952"/>
    <w:rsid w:val="1DBD6351"/>
    <w:rsid w:val="1EC37D91"/>
    <w:rsid w:val="1F371F8C"/>
    <w:rsid w:val="1F703221"/>
    <w:rsid w:val="1FD2088D"/>
    <w:rsid w:val="200F2878"/>
    <w:rsid w:val="207E7A85"/>
    <w:rsid w:val="208D3D83"/>
    <w:rsid w:val="2100034D"/>
    <w:rsid w:val="210417B3"/>
    <w:rsid w:val="212C3FD0"/>
    <w:rsid w:val="222F70F0"/>
    <w:rsid w:val="228A14FD"/>
    <w:rsid w:val="23F77F5B"/>
    <w:rsid w:val="24285115"/>
    <w:rsid w:val="24AD0C4E"/>
    <w:rsid w:val="251351C1"/>
    <w:rsid w:val="25CA7A0A"/>
    <w:rsid w:val="25F25669"/>
    <w:rsid w:val="26DF1779"/>
    <w:rsid w:val="284D56EE"/>
    <w:rsid w:val="28765197"/>
    <w:rsid w:val="28E219C5"/>
    <w:rsid w:val="29FC5A63"/>
    <w:rsid w:val="2B114AD0"/>
    <w:rsid w:val="2BBD3679"/>
    <w:rsid w:val="2BCF2500"/>
    <w:rsid w:val="2BE439E1"/>
    <w:rsid w:val="2C847896"/>
    <w:rsid w:val="2CB03B88"/>
    <w:rsid w:val="2CC94C4A"/>
    <w:rsid w:val="2D265BF9"/>
    <w:rsid w:val="2D8C42FC"/>
    <w:rsid w:val="2E1A0DD2"/>
    <w:rsid w:val="2E627104"/>
    <w:rsid w:val="2F753724"/>
    <w:rsid w:val="2F7A696B"/>
    <w:rsid w:val="2FA568CC"/>
    <w:rsid w:val="2FCB375B"/>
    <w:rsid w:val="2FF905AE"/>
    <w:rsid w:val="31181CFC"/>
    <w:rsid w:val="314948A2"/>
    <w:rsid w:val="31CD6F8B"/>
    <w:rsid w:val="31F97FD7"/>
    <w:rsid w:val="32AB1481"/>
    <w:rsid w:val="332F0BAC"/>
    <w:rsid w:val="334E5EA9"/>
    <w:rsid w:val="339C3307"/>
    <w:rsid w:val="34AC1D99"/>
    <w:rsid w:val="35344AA0"/>
    <w:rsid w:val="35620545"/>
    <w:rsid w:val="35747EEC"/>
    <w:rsid w:val="358075D8"/>
    <w:rsid w:val="35874F44"/>
    <w:rsid w:val="35A679AF"/>
    <w:rsid w:val="35AD0248"/>
    <w:rsid w:val="35BB3A30"/>
    <w:rsid w:val="35D76BCF"/>
    <w:rsid w:val="37006F0E"/>
    <w:rsid w:val="37175F9A"/>
    <w:rsid w:val="372D239E"/>
    <w:rsid w:val="375810A4"/>
    <w:rsid w:val="38050870"/>
    <w:rsid w:val="382A20F4"/>
    <w:rsid w:val="383507FF"/>
    <w:rsid w:val="38545AF1"/>
    <w:rsid w:val="38746E53"/>
    <w:rsid w:val="39227BBC"/>
    <w:rsid w:val="3ABF500F"/>
    <w:rsid w:val="3AD71050"/>
    <w:rsid w:val="3B836D17"/>
    <w:rsid w:val="3C362F17"/>
    <w:rsid w:val="3C7C4824"/>
    <w:rsid w:val="3D4A69A7"/>
    <w:rsid w:val="3DA355EA"/>
    <w:rsid w:val="3DB640EF"/>
    <w:rsid w:val="3DF243FA"/>
    <w:rsid w:val="3E04510D"/>
    <w:rsid w:val="3E8D3F69"/>
    <w:rsid w:val="3E961E9E"/>
    <w:rsid w:val="3ED55D46"/>
    <w:rsid w:val="3ED81536"/>
    <w:rsid w:val="3FF66669"/>
    <w:rsid w:val="3FFD53D5"/>
    <w:rsid w:val="402F7339"/>
    <w:rsid w:val="413A6614"/>
    <w:rsid w:val="41595C19"/>
    <w:rsid w:val="419D4283"/>
    <w:rsid w:val="41FD1E21"/>
    <w:rsid w:val="426A4F93"/>
    <w:rsid w:val="42B77E51"/>
    <w:rsid w:val="42DD7CFD"/>
    <w:rsid w:val="433D51AC"/>
    <w:rsid w:val="43462E94"/>
    <w:rsid w:val="435A0B77"/>
    <w:rsid w:val="437B02C5"/>
    <w:rsid w:val="43DB6096"/>
    <w:rsid w:val="4407668B"/>
    <w:rsid w:val="44E2087B"/>
    <w:rsid w:val="459C7567"/>
    <w:rsid w:val="464D51F9"/>
    <w:rsid w:val="46C2536A"/>
    <w:rsid w:val="46DD4053"/>
    <w:rsid w:val="47855EE6"/>
    <w:rsid w:val="47A5198F"/>
    <w:rsid w:val="47AB1014"/>
    <w:rsid w:val="47B13701"/>
    <w:rsid w:val="47B87180"/>
    <w:rsid w:val="48215EC2"/>
    <w:rsid w:val="494D4BE0"/>
    <w:rsid w:val="49F3676E"/>
    <w:rsid w:val="4AFD6820"/>
    <w:rsid w:val="4B0B4286"/>
    <w:rsid w:val="4BB4400B"/>
    <w:rsid w:val="4BDB0596"/>
    <w:rsid w:val="4C724B4A"/>
    <w:rsid w:val="4CE7404F"/>
    <w:rsid w:val="4D897DB2"/>
    <w:rsid w:val="4D92622E"/>
    <w:rsid w:val="4E140D17"/>
    <w:rsid w:val="4E142FF1"/>
    <w:rsid w:val="4E4A7B4B"/>
    <w:rsid w:val="4E5C3732"/>
    <w:rsid w:val="4E6E49B6"/>
    <w:rsid w:val="4E7445BE"/>
    <w:rsid w:val="4EA647B1"/>
    <w:rsid w:val="50130042"/>
    <w:rsid w:val="50257857"/>
    <w:rsid w:val="50831E9E"/>
    <w:rsid w:val="50CF219D"/>
    <w:rsid w:val="518F170F"/>
    <w:rsid w:val="51B61C9B"/>
    <w:rsid w:val="51C07B1A"/>
    <w:rsid w:val="523E1F05"/>
    <w:rsid w:val="52D031EB"/>
    <w:rsid w:val="52D04281"/>
    <w:rsid w:val="53204D14"/>
    <w:rsid w:val="53596341"/>
    <w:rsid w:val="53FB308C"/>
    <w:rsid w:val="54BD75DE"/>
    <w:rsid w:val="54D16E0B"/>
    <w:rsid w:val="553601AB"/>
    <w:rsid w:val="557B55AE"/>
    <w:rsid w:val="5592481B"/>
    <w:rsid w:val="55CA5277"/>
    <w:rsid w:val="560E52F8"/>
    <w:rsid w:val="576B3B68"/>
    <w:rsid w:val="57971D58"/>
    <w:rsid w:val="57FB0FCC"/>
    <w:rsid w:val="58205B4E"/>
    <w:rsid w:val="58821FA0"/>
    <w:rsid w:val="5899208B"/>
    <w:rsid w:val="58C60DE9"/>
    <w:rsid w:val="59364835"/>
    <w:rsid w:val="599B43A8"/>
    <w:rsid w:val="59A438D8"/>
    <w:rsid w:val="5A5D1E6E"/>
    <w:rsid w:val="5A931906"/>
    <w:rsid w:val="5B740456"/>
    <w:rsid w:val="5BFE5E0F"/>
    <w:rsid w:val="5C8A31FF"/>
    <w:rsid w:val="5D07136C"/>
    <w:rsid w:val="5D213B63"/>
    <w:rsid w:val="5D735EC7"/>
    <w:rsid w:val="5DA17EB3"/>
    <w:rsid w:val="5E0811D2"/>
    <w:rsid w:val="5E351F28"/>
    <w:rsid w:val="5E6B02C1"/>
    <w:rsid w:val="5E6E58BD"/>
    <w:rsid w:val="5EBA6970"/>
    <w:rsid w:val="5FA90305"/>
    <w:rsid w:val="601A410A"/>
    <w:rsid w:val="602B013E"/>
    <w:rsid w:val="60D033D7"/>
    <w:rsid w:val="60D74C98"/>
    <w:rsid w:val="61773F82"/>
    <w:rsid w:val="6177741F"/>
    <w:rsid w:val="61957AEC"/>
    <w:rsid w:val="626544F2"/>
    <w:rsid w:val="62820E1A"/>
    <w:rsid w:val="62DA2435"/>
    <w:rsid w:val="62EA69F7"/>
    <w:rsid w:val="633E6B34"/>
    <w:rsid w:val="63C312C7"/>
    <w:rsid w:val="63C3175B"/>
    <w:rsid w:val="63D97F2E"/>
    <w:rsid w:val="63DF6526"/>
    <w:rsid w:val="644365A7"/>
    <w:rsid w:val="64484A2B"/>
    <w:rsid w:val="645E7643"/>
    <w:rsid w:val="64F02DD2"/>
    <w:rsid w:val="64F703AD"/>
    <w:rsid w:val="64FD2FB0"/>
    <w:rsid w:val="650A3F82"/>
    <w:rsid w:val="6527753B"/>
    <w:rsid w:val="6548644D"/>
    <w:rsid w:val="66BC0878"/>
    <w:rsid w:val="67CC0954"/>
    <w:rsid w:val="67D10EE6"/>
    <w:rsid w:val="68076E81"/>
    <w:rsid w:val="680B501F"/>
    <w:rsid w:val="68240CB9"/>
    <w:rsid w:val="685110E6"/>
    <w:rsid w:val="686E673A"/>
    <w:rsid w:val="687037CE"/>
    <w:rsid w:val="688A59BD"/>
    <w:rsid w:val="68AA58E1"/>
    <w:rsid w:val="692C58E1"/>
    <w:rsid w:val="69333EF2"/>
    <w:rsid w:val="6949061E"/>
    <w:rsid w:val="698D7A39"/>
    <w:rsid w:val="6A794FDE"/>
    <w:rsid w:val="6A8B500F"/>
    <w:rsid w:val="6A8C3054"/>
    <w:rsid w:val="6AB9525A"/>
    <w:rsid w:val="6AC75DBF"/>
    <w:rsid w:val="6B1765A5"/>
    <w:rsid w:val="6B5C5C1E"/>
    <w:rsid w:val="6B745B6A"/>
    <w:rsid w:val="6C1902C4"/>
    <w:rsid w:val="6C256AA0"/>
    <w:rsid w:val="6C303F19"/>
    <w:rsid w:val="6C754D02"/>
    <w:rsid w:val="6CE61C97"/>
    <w:rsid w:val="6D0A0936"/>
    <w:rsid w:val="6D11628A"/>
    <w:rsid w:val="6DBF6E90"/>
    <w:rsid w:val="6E095765"/>
    <w:rsid w:val="6E3B415D"/>
    <w:rsid w:val="6E870E63"/>
    <w:rsid w:val="6FDF3454"/>
    <w:rsid w:val="6FEC07B8"/>
    <w:rsid w:val="6FF42A15"/>
    <w:rsid w:val="6FFE5E92"/>
    <w:rsid w:val="71A86D0C"/>
    <w:rsid w:val="71F238C8"/>
    <w:rsid w:val="7285496F"/>
    <w:rsid w:val="72B764AF"/>
    <w:rsid w:val="731D2A38"/>
    <w:rsid w:val="731E2BC7"/>
    <w:rsid w:val="74934D54"/>
    <w:rsid w:val="74E5050C"/>
    <w:rsid w:val="752D0011"/>
    <w:rsid w:val="760C0016"/>
    <w:rsid w:val="7690678D"/>
    <w:rsid w:val="771F3DE8"/>
    <w:rsid w:val="77E9143E"/>
    <w:rsid w:val="782D15D9"/>
    <w:rsid w:val="788E09A9"/>
    <w:rsid w:val="78B039E4"/>
    <w:rsid w:val="78B2014E"/>
    <w:rsid w:val="78EE1A1C"/>
    <w:rsid w:val="792C5BFB"/>
    <w:rsid w:val="79F426E3"/>
    <w:rsid w:val="7A5F328D"/>
    <w:rsid w:val="7A62598D"/>
    <w:rsid w:val="7AF34EF2"/>
    <w:rsid w:val="7B0B3EAF"/>
    <w:rsid w:val="7C5236A2"/>
    <w:rsid w:val="7C8B28F9"/>
    <w:rsid w:val="7CAC6DF2"/>
    <w:rsid w:val="7DA16716"/>
    <w:rsid w:val="7DE05FA4"/>
    <w:rsid w:val="7E012797"/>
    <w:rsid w:val="7E130E4E"/>
    <w:rsid w:val="7E160CCF"/>
    <w:rsid w:val="7E63694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1" w:semiHidden="0" w:name="heading 2"/>
    <w:lsdException w:qFormat="1" w:unhideWhenUsed="0" w:uiPriority="2" w:semiHidden="0" w:name="heading 3"/>
    <w:lsdException w:qFormat="1" w:unhideWhenUsed="0" w:uiPriority="3" w:semiHidden="0" w:name="heading 4"/>
    <w:lsdException w:qFormat="1" w:uiPriority="9" w:semiHidden="0" w:name="heading 5"/>
    <w:lsdException w:qFormat="1" w:uiPriority="9" w:semiHidden="0"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qFormat="1" w:unhideWhenUsed="0" w:uiPriority="99" w:semiHidden="0"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semiHidden="0" w:name="caption"/>
    <w:lsdException w:uiPriority="99" w:name="table of figures"/>
    <w:lsdException w:uiPriority="99" w:name="envelope address"/>
    <w:lsdException w:uiPriority="99" w:name="envelope return"/>
    <w:lsdException w:qFormat="1" w:unhideWhenUsed="0" w:uiPriority="99" w:semiHidden="0" w:name="footnote reference"/>
    <w:lsdException w:qFormat="1" w:uiPriority="99"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10" w:semiHidden="0" w:name="Title"/>
    <w:lsdException w:uiPriority="99" w:name="Closing"/>
    <w:lsdException w:uiPriority="99" w:name="Signature"/>
    <w:lsdException w:qFormat="1" w:uiPriority="1"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22" w:semiHidden="0" w:name="Strong"/>
    <w:lsdException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qFormat="1" w:unhideWhenUsed="0" w:uiPriority="9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3">
    <w:name w:val="heading 1"/>
    <w:basedOn w:val="4"/>
    <w:next w:val="4"/>
    <w:link w:val="27"/>
    <w:qFormat/>
    <w:uiPriority w:val="0"/>
    <w:pPr>
      <w:numPr>
        <w:ilvl w:val="0"/>
        <w:numId w:val="1"/>
      </w:numPr>
      <w:spacing w:before="120" w:after="60"/>
      <w:ind w:left="0" w:firstLine="200"/>
      <w:outlineLvl w:val="0"/>
    </w:pPr>
    <w:rPr>
      <w:rFonts w:eastAsia="黑体"/>
      <w:bCs/>
      <w:kern w:val="44"/>
      <w:szCs w:val="44"/>
    </w:rPr>
  </w:style>
  <w:style w:type="paragraph" w:styleId="5">
    <w:name w:val="heading 2"/>
    <w:basedOn w:val="4"/>
    <w:next w:val="4"/>
    <w:link w:val="28"/>
    <w:qFormat/>
    <w:uiPriority w:val="1"/>
    <w:pPr>
      <w:keepNext/>
      <w:keepLines/>
      <w:numPr>
        <w:ilvl w:val="1"/>
        <w:numId w:val="1"/>
      </w:numPr>
      <w:spacing w:before="120" w:after="60"/>
      <w:ind w:left="0" w:firstLine="200"/>
      <w:outlineLvl w:val="1"/>
    </w:pPr>
    <w:rPr>
      <w:rFonts w:eastAsia="楷体" w:cstheme="majorBidi"/>
      <w:b/>
      <w:bCs/>
      <w:szCs w:val="32"/>
    </w:rPr>
  </w:style>
  <w:style w:type="paragraph" w:styleId="6">
    <w:name w:val="heading 3"/>
    <w:basedOn w:val="4"/>
    <w:next w:val="4"/>
    <w:link w:val="29"/>
    <w:qFormat/>
    <w:uiPriority w:val="2"/>
    <w:pPr>
      <w:keepNext/>
      <w:keepLines/>
      <w:numPr>
        <w:ilvl w:val="2"/>
        <w:numId w:val="1"/>
      </w:numPr>
      <w:spacing w:before="120" w:after="60"/>
      <w:ind w:left="0" w:firstLine="200"/>
      <w:outlineLvl w:val="2"/>
    </w:pPr>
    <w:rPr>
      <w:b/>
      <w:bCs/>
      <w:szCs w:val="32"/>
    </w:rPr>
  </w:style>
  <w:style w:type="paragraph" w:styleId="7">
    <w:name w:val="heading 4"/>
    <w:basedOn w:val="4"/>
    <w:next w:val="1"/>
    <w:link w:val="30"/>
    <w:qFormat/>
    <w:uiPriority w:val="3"/>
    <w:pPr>
      <w:keepNext/>
      <w:keepLines/>
      <w:numPr>
        <w:ilvl w:val="3"/>
        <w:numId w:val="1"/>
      </w:numPr>
      <w:spacing w:before="120" w:after="60"/>
      <w:ind w:left="0" w:firstLine="200"/>
      <w:outlineLvl w:val="3"/>
    </w:pPr>
    <w:rPr>
      <w:rFonts w:cstheme="majorBidi"/>
      <w:b/>
      <w:bCs/>
    </w:rPr>
  </w:style>
  <w:style w:type="paragraph" w:styleId="8">
    <w:name w:val="heading 5"/>
    <w:basedOn w:val="4"/>
    <w:next w:val="4"/>
    <w:link w:val="31"/>
    <w:unhideWhenUsed/>
    <w:qFormat/>
    <w:uiPriority w:val="9"/>
    <w:pPr>
      <w:keepNext/>
      <w:keepLines/>
      <w:numPr>
        <w:ilvl w:val="4"/>
        <w:numId w:val="1"/>
      </w:numPr>
      <w:spacing w:before="120" w:after="60"/>
      <w:ind w:firstLine="0" w:firstLineChars="0"/>
      <w:outlineLvl w:val="4"/>
    </w:pPr>
    <w:rPr>
      <w:b/>
      <w:bCs/>
    </w:rPr>
  </w:style>
  <w:style w:type="paragraph" w:styleId="9">
    <w:name w:val="heading 6"/>
    <w:basedOn w:val="1"/>
    <w:next w:val="1"/>
    <w:unhideWhenUsed/>
    <w:qFormat/>
    <w:uiPriority w:val="9"/>
    <w:pPr>
      <w:keepNext/>
      <w:keepLines/>
      <w:spacing w:before="240" w:after="64" w:line="317" w:lineRule="auto"/>
      <w:outlineLvl w:val="5"/>
    </w:pPr>
    <w:rPr>
      <w:rFonts w:ascii="Arial" w:hAnsi="Arial" w:eastAsia="黑体"/>
      <w:b/>
      <w:sz w:val="24"/>
    </w:rPr>
  </w:style>
  <w:style w:type="character" w:default="1" w:styleId="22">
    <w:name w:val="Default Paragraph Font"/>
    <w:semiHidden/>
    <w:unhideWhenUsed/>
    <w:qFormat/>
    <w:uiPriority w:val="1"/>
  </w:style>
  <w:style w:type="table" w:default="1" w:styleId="20">
    <w:name w:val="Normal Table"/>
    <w:semiHidden/>
    <w:unhideWhenUsed/>
    <w:qFormat/>
    <w:uiPriority w:val="99"/>
    <w:tblPr>
      <w:tblCellMar>
        <w:top w:w="0" w:type="dxa"/>
        <w:left w:w="108" w:type="dxa"/>
        <w:bottom w:w="0" w:type="dxa"/>
        <w:right w:w="108" w:type="dxa"/>
      </w:tblCellMar>
    </w:tblPr>
  </w:style>
  <w:style w:type="paragraph" w:styleId="2">
    <w:name w:val="Body Text"/>
    <w:basedOn w:val="1"/>
    <w:qFormat/>
    <w:uiPriority w:val="0"/>
    <w:pPr>
      <w:widowControl/>
      <w:spacing w:before="100" w:beforeAutospacing="1" w:after="100" w:afterAutospacing="1"/>
      <w:jc w:val="left"/>
    </w:pPr>
    <w:rPr>
      <w:rFonts w:ascii="宋体" w:hAnsi="宋体" w:cs="宋体"/>
      <w:kern w:val="0"/>
      <w:sz w:val="24"/>
    </w:rPr>
  </w:style>
  <w:style w:type="paragraph" w:customStyle="1" w:styleId="4">
    <w:name w:val="日浩正文"/>
    <w:basedOn w:val="1"/>
    <w:link w:val="37"/>
    <w:qFormat/>
    <w:uiPriority w:val="0"/>
    <w:pPr>
      <w:spacing w:line="560" w:lineRule="exact"/>
      <w:ind w:firstLine="200" w:firstLineChars="200"/>
    </w:pPr>
    <w:rPr>
      <w:rFonts w:ascii="Times New Roman" w:hAnsi="Times New Roman" w:eastAsia="仿宋_GB2312" w:cs="Times New Roman"/>
      <w:kern w:val="0"/>
      <w:sz w:val="32"/>
      <w:szCs w:val="28"/>
      <w:lang w:val="zh-CN"/>
    </w:rPr>
  </w:style>
  <w:style w:type="paragraph" w:styleId="10">
    <w:name w:val="caption"/>
    <w:basedOn w:val="1"/>
    <w:next w:val="1"/>
    <w:unhideWhenUsed/>
    <w:qFormat/>
    <w:uiPriority w:val="35"/>
    <w:rPr>
      <w:rFonts w:eastAsia="黑体" w:asciiTheme="majorHAnsi" w:hAnsiTheme="majorHAnsi" w:cstheme="majorBidi"/>
      <w:sz w:val="20"/>
      <w:szCs w:val="20"/>
    </w:rPr>
  </w:style>
  <w:style w:type="paragraph" w:styleId="11">
    <w:name w:val="annotation text"/>
    <w:basedOn w:val="1"/>
    <w:link w:val="58"/>
    <w:unhideWhenUsed/>
    <w:qFormat/>
    <w:uiPriority w:val="99"/>
    <w:pPr>
      <w:jc w:val="left"/>
    </w:pPr>
  </w:style>
  <w:style w:type="paragraph" w:styleId="12">
    <w:name w:val="toc 3"/>
    <w:basedOn w:val="1"/>
    <w:next w:val="1"/>
    <w:unhideWhenUsed/>
    <w:qFormat/>
    <w:uiPriority w:val="39"/>
    <w:pPr>
      <w:ind w:left="840" w:leftChars="400"/>
    </w:pPr>
  </w:style>
  <w:style w:type="paragraph" w:styleId="13">
    <w:name w:val="Balloon Text"/>
    <w:basedOn w:val="1"/>
    <w:link w:val="33"/>
    <w:unhideWhenUsed/>
    <w:qFormat/>
    <w:uiPriority w:val="99"/>
    <w:rPr>
      <w:sz w:val="18"/>
      <w:szCs w:val="18"/>
    </w:rPr>
  </w:style>
  <w:style w:type="paragraph" w:styleId="14">
    <w:name w:val="footer"/>
    <w:basedOn w:val="1"/>
    <w:link w:val="34"/>
    <w:unhideWhenUsed/>
    <w:qFormat/>
    <w:uiPriority w:val="99"/>
    <w:pPr>
      <w:tabs>
        <w:tab w:val="center" w:pos="4153"/>
        <w:tab w:val="right" w:pos="8306"/>
      </w:tabs>
      <w:snapToGrid w:val="0"/>
      <w:jc w:val="left"/>
    </w:pPr>
    <w:rPr>
      <w:rFonts w:ascii="Calibri" w:hAnsi="Calibri" w:eastAsia="宋体" w:cs="Times New Roman"/>
      <w:sz w:val="18"/>
      <w:szCs w:val="18"/>
    </w:rPr>
  </w:style>
  <w:style w:type="paragraph" w:styleId="15">
    <w:name w:val="header"/>
    <w:basedOn w:val="1"/>
    <w:link w:val="53"/>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toc 1"/>
    <w:basedOn w:val="4"/>
    <w:next w:val="4"/>
    <w:unhideWhenUsed/>
    <w:qFormat/>
    <w:uiPriority w:val="39"/>
    <w:pPr>
      <w:tabs>
        <w:tab w:val="right" w:leader="dot" w:pos="8296"/>
      </w:tabs>
      <w:spacing w:line="460" w:lineRule="exact"/>
      <w:ind w:firstLine="0" w:firstLineChars="0"/>
    </w:pPr>
    <w:rPr>
      <w:b/>
    </w:rPr>
  </w:style>
  <w:style w:type="paragraph" w:styleId="17">
    <w:name w:val="footnote text"/>
    <w:basedOn w:val="1"/>
    <w:link w:val="50"/>
    <w:qFormat/>
    <w:uiPriority w:val="99"/>
    <w:pPr>
      <w:snapToGrid w:val="0"/>
      <w:jc w:val="left"/>
    </w:pPr>
    <w:rPr>
      <w:rFonts w:ascii="Times New Roman" w:hAnsi="Times New Roman" w:eastAsia="宋体"/>
      <w:szCs w:val="18"/>
    </w:rPr>
  </w:style>
  <w:style w:type="paragraph" w:styleId="18">
    <w:name w:val="toc 2"/>
    <w:basedOn w:val="4"/>
    <w:next w:val="4"/>
    <w:unhideWhenUsed/>
    <w:qFormat/>
    <w:uiPriority w:val="39"/>
    <w:pPr>
      <w:tabs>
        <w:tab w:val="right" w:leader="dot" w:pos="8296"/>
      </w:tabs>
      <w:spacing w:line="460" w:lineRule="exact"/>
      <w:ind w:left="200" w:leftChars="200" w:firstLine="0" w:firstLineChars="0"/>
    </w:pPr>
  </w:style>
  <w:style w:type="paragraph" w:styleId="19">
    <w:name w:val="annotation subject"/>
    <w:basedOn w:val="11"/>
    <w:next w:val="11"/>
    <w:link w:val="59"/>
    <w:unhideWhenUsed/>
    <w:qFormat/>
    <w:uiPriority w:val="99"/>
    <w:rPr>
      <w:b/>
      <w:bCs/>
    </w:rPr>
  </w:style>
  <w:style w:type="table" w:styleId="21">
    <w:name w:val="Table Grid"/>
    <w:basedOn w:val="20"/>
    <w:qFormat/>
    <w:uiPriority w:val="99"/>
    <w:pPr>
      <w:spacing w:line="300" w:lineRule="exact"/>
      <w:jc w:val="center"/>
    </w:pPr>
    <w:rPr>
      <w:rFonts w:eastAsia="仿宋_GB2312"/>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trPr>
      <w:tblHeader/>
    </w:trPr>
    <w:tcPr>
      <w:vAlign w:val="center"/>
    </w:tcPr>
  </w:style>
  <w:style w:type="character" w:styleId="23">
    <w:name w:val="Hyperlink"/>
    <w:basedOn w:val="22"/>
    <w:unhideWhenUsed/>
    <w:qFormat/>
    <w:uiPriority w:val="99"/>
    <w:rPr>
      <w:color w:val="0563C1" w:themeColor="hyperlink"/>
      <w:u w:val="single"/>
      <w14:textFill>
        <w14:solidFill>
          <w14:schemeClr w14:val="hlink"/>
        </w14:solidFill>
      </w14:textFill>
    </w:rPr>
  </w:style>
  <w:style w:type="character" w:styleId="24">
    <w:name w:val="annotation reference"/>
    <w:basedOn w:val="22"/>
    <w:unhideWhenUsed/>
    <w:qFormat/>
    <w:uiPriority w:val="99"/>
    <w:rPr>
      <w:sz w:val="21"/>
      <w:szCs w:val="21"/>
    </w:rPr>
  </w:style>
  <w:style w:type="character" w:styleId="25">
    <w:name w:val="footnote reference"/>
    <w:qFormat/>
    <w:uiPriority w:val="99"/>
    <w:rPr>
      <w:vertAlign w:val="superscript"/>
    </w:rPr>
  </w:style>
  <w:style w:type="paragraph" w:customStyle="1" w:styleId="26">
    <w:name w:val="Default"/>
    <w:unhideWhenUsed/>
    <w:qFormat/>
    <w:uiPriority w:val="99"/>
    <w:pPr>
      <w:widowControl w:val="0"/>
      <w:autoSpaceDE w:val="0"/>
      <w:autoSpaceDN w:val="0"/>
      <w:adjustRightInd w:val="0"/>
    </w:pPr>
    <w:rPr>
      <w:rFonts w:hint="eastAsia" w:ascii="宋体" w:hAnsi="宋体" w:eastAsia="宋体" w:cs="Times New Roman"/>
      <w:color w:val="000000"/>
      <w:sz w:val="24"/>
      <w:lang w:val="en-US" w:eastAsia="zh-CN" w:bidi="ar-SA"/>
    </w:rPr>
  </w:style>
  <w:style w:type="character" w:customStyle="1" w:styleId="27">
    <w:name w:val="标题 1 字符"/>
    <w:basedOn w:val="22"/>
    <w:link w:val="3"/>
    <w:qFormat/>
    <w:uiPriority w:val="0"/>
    <w:rPr>
      <w:rFonts w:ascii="Times New Roman" w:hAnsi="Times New Roman" w:eastAsia="黑体" w:cs="Times New Roman"/>
      <w:bCs/>
      <w:kern w:val="44"/>
      <w:sz w:val="32"/>
      <w:szCs w:val="44"/>
      <w:lang w:val="zh-CN" w:eastAsia="zh-CN"/>
    </w:rPr>
  </w:style>
  <w:style w:type="character" w:customStyle="1" w:styleId="28">
    <w:name w:val="标题 2 字符"/>
    <w:basedOn w:val="22"/>
    <w:link w:val="5"/>
    <w:qFormat/>
    <w:uiPriority w:val="1"/>
    <w:rPr>
      <w:rFonts w:ascii="Times New Roman" w:hAnsi="Times New Roman" w:eastAsia="楷体" w:cstheme="majorBidi"/>
      <w:b/>
      <w:bCs/>
      <w:kern w:val="0"/>
      <w:sz w:val="28"/>
      <w:szCs w:val="32"/>
      <w:lang w:val="zh-CN" w:eastAsia="zh-CN"/>
    </w:rPr>
  </w:style>
  <w:style w:type="character" w:customStyle="1" w:styleId="29">
    <w:name w:val="标题 3 字符"/>
    <w:basedOn w:val="22"/>
    <w:link w:val="6"/>
    <w:qFormat/>
    <w:uiPriority w:val="2"/>
    <w:rPr>
      <w:rFonts w:ascii="Times New Roman" w:hAnsi="Times New Roman" w:eastAsia="仿宋_GB2312" w:cs="Times New Roman"/>
      <w:b/>
      <w:bCs/>
      <w:kern w:val="0"/>
      <w:sz w:val="28"/>
      <w:szCs w:val="32"/>
      <w:lang w:val="zh-CN" w:eastAsia="zh-CN"/>
    </w:rPr>
  </w:style>
  <w:style w:type="character" w:customStyle="1" w:styleId="30">
    <w:name w:val="标题 4 字符"/>
    <w:basedOn w:val="22"/>
    <w:link w:val="7"/>
    <w:qFormat/>
    <w:uiPriority w:val="3"/>
    <w:rPr>
      <w:rFonts w:ascii="Times New Roman" w:hAnsi="Times New Roman" w:eastAsia="仿宋_GB2312" w:cstheme="majorBidi"/>
      <w:b/>
      <w:bCs/>
      <w:kern w:val="0"/>
      <w:sz w:val="28"/>
      <w:szCs w:val="28"/>
      <w:lang w:val="zh-CN" w:eastAsia="zh-CN"/>
    </w:rPr>
  </w:style>
  <w:style w:type="character" w:customStyle="1" w:styleId="31">
    <w:name w:val="标题 5 字符"/>
    <w:basedOn w:val="22"/>
    <w:link w:val="8"/>
    <w:qFormat/>
    <w:uiPriority w:val="9"/>
    <w:rPr>
      <w:rFonts w:ascii="Times New Roman" w:hAnsi="Times New Roman" w:eastAsia="仿宋_GB2312" w:cs="Times New Roman"/>
      <w:b/>
      <w:bCs/>
      <w:kern w:val="0"/>
      <w:sz w:val="28"/>
      <w:szCs w:val="28"/>
      <w:lang w:val="zh-CN" w:eastAsia="zh-CN"/>
    </w:rPr>
  </w:style>
  <w:style w:type="paragraph" w:customStyle="1" w:styleId="32">
    <w:name w:val="TOC 标题1"/>
    <w:basedOn w:val="3"/>
    <w:next w:val="1"/>
    <w:unhideWhenUsed/>
    <w:qFormat/>
    <w:uiPriority w:val="39"/>
    <w:pPr>
      <w:widowControl/>
      <w:numPr>
        <w:numId w:val="0"/>
      </w:numPr>
      <w:spacing w:before="240" w:after="0" w:line="259" w:lineRule="auto"/>
      <w:outlineLvl w:val="9"/>
    </w:pPr>
    <w:rPr>
      <w:rFonts w:asciiTheme="majorHAnsi" w:hAnsiTheme="majorHAnsi" w:eastAsiaTheme="majorEastAsia" w:cstheme="majorBidi"/>
      <w:b/>
      <w:bCs w:val="0"/>
      <w:color w:val="2F5597" w:themeColor="accent1" w:themeShade="BF"/>
      <w:kern w:val="0"/>
      <w:szCs w:val="32"/>
    </w:rPr>
  </w:style>
  <w:style w:type="character" w:customStyle="1" w:styleId="33">
    <w:name w:val="批注框文本 字符"/>
    <w:basedOn w:val="22"/>
    <w:link w:val="13"/>
    <w:semiHidden/>
    <w:qFormat/>
    <w:uiPriority w:val="99"/>
    <w:rPr>
      <w:sz w:val="18"/>
      <w:szCs w:val="18"/>
    </w:rPr>
  </w:style>
  <w:style w:type="character" w:customStyle="1" w:styleId="34">
    <w:name w:val="页脚 字符"/>
    <w:basedOn w:val="22"/>
    <w:link w:val="14"/>
    <w:qFormat/>
    <w:uiPriority w:val="99"/>
    <w:rPr>
      <w:rFonts w:ascii="Calibri" w:hAnsi="Calibri" w:eastAsia="宋体" w:cs="Times New Roman"/>
      <w:sz w:val="18"/>
      <w:szCs w:val="18"/>
    </w:rPr>
  </w:style>
  <w:style w:type="paragraph" w:customStyle="1" w:styleId="35">
    <w:name w:val="日浩封面标题"/>
    <w:basedOn w:val="1"/>
    <w:next w:val="36"/>
    <w:qFormat/>
    <w:uiPriority w:val="0"/>
    <w:pPr>
      <w:jc w:val="center"/>
    </w:pPr>
    <w:rPr>
      <w:rFonts w:ascii="Times New Roman" w:hAnsi="Times New Roman" w:eastAsia="黑体" w:cs="Times New Roman"/>
      <w:snapToGrid w:val="0"/>
      <w:sz w:val="48"/>
      <w:szCs w:val="24"/>
    </w:rPr>
  </w:style>
  <w:style w:type="paragraph" w:customStyle="1" w:styleId="36">
    <w:name w:val="日浩封面项目信息"/>
    <w:basedOn w:val="1"/>
    <w:qFormat/>
    <w:uiPriority w:val="0"/>
    <w:pPr>
      <w:spacing w:before="120"/>
      <w:ind w:left="800" w:leftChars="800"/>
      <w:jc w:val="left"/>
    </w:pPr>
    <w:rPr>
      <w:rFonts w:ascii="Times New Roman" w:hAnsi="Times New Roman" w:eastAsia="仿宋_GB2312" w:cs="Times New Roman"/>
      <w:kern w:val="0"/>
      <w:sz w:val="32"/>
      <w:szCs w:val="28"/>
      <w:lang w:val="zh-CN"/>
    </w:rPr>
  </w:style>
  <w:style w:type="character" w:customStyle="1" w:styleId="37">
    <w:name w:val="闻政正文 Char"/>
    <w:link w:val="4"/>
    <w:qFormat/>
    <w:uiPriority w:val="0"/>
    <w:rPr>
      <w:rFonts w:eastAsia="仿宋_GB2312"/>
      <w:sz w:val="32"/>
      <w:szCs w:val="28"/>
      <w:lang w:val="zh-CN"/>
    </w:rPr>
  </w:style>
  <w:style w:type="paragraph" w:customStyle="1" w:styleId="38">
    <w:name w:val="日浩图（表）注"/>
    <w:basedOn w:val="1"/>
    <w:link w:val="39"/>
    <w:qFormat/>
    <w:uiPriority w:val="5"/>
    <w:pPr>
      <w:spacing w:before="120"/>
    </w:pPr>
    <w:rPr>
      <w:rFonts w:ascii="Times New Roman" w:hAnsi="Times New Roman" w:eastAsia="仿宋_GB2312" w:cs="Arial"/>
      <w:kern w:val="0"/>
    </w:rPr>
  </w:style>
  <w:style w:type="character" w:customStyle="1" w:styleId="39">
    <w:name w:val="闻政图（表）注 Char"/>
    <w:link w:val="38"/>
    <w:qFormat/>
    <w:uiPriority w:val="5"/>
    <w:rPr>
      <w:rFonts w:ascii="Times New Roman" w:hAnsi="Times New Roman" w:eastAsia="仿宋_GB2312" w:cs="Arial"/>
      <w:kern w:val="0"/>
    </w:rPr>
  </w:style>
  <w:style w:type="paragraph" w:customStyle="1" w:styleId="40">
    <w:name w:val="日浩图表名"/>
    <w:basedOn w:val="1"/>
    <w:link w:val="41"/>
    <w:qFormat/>
    <w:uiPriority w:val="0"/>
    <w:pPr>
      <w:spacing w:before="60" w:after="60"/>
      <w:jc w:val="center"/>
    </w:pPr>
    <w:rPr>
      <w:rFonts w:ascii="Times New Roman" w:hAnsi="Times New Roman" w:eastAsia="仿宋_GB2312" w:cs="Times New Roman"/>
      <w:b/>
      <w:kern w:val="0"/>
      <w:sz w:val="24"/>
      <w:szCs w:val="28"/>
    </w:rPr>
  </w:style>
  <w:style w:type="character" w:customStyle="1" w:styleId="41">
    <w:name w:val="闻政图表名 字符"/>
    <w:link w:val="40"/>
    <w:qFormat/>
    <w:uiPriority w:val="4"/>
    <w:rPr>
      <w:rFonts w:ascii="Times New Roman" w:hAnsi="Times New Roman" w:eastAsia="仿宋_GB2312" w:cs="Times New Roman"/>
      <w:b/>
      <w:kern w:val="0"/>
      <w:sz w:val="24"/>
      <w:szCs w:val="28"/>
    </w:rPr>
  </w:style>
  <w:style w:type="paragraph" w:customStyle="1" w:styleId="42">
    <w:name w:val="日浩备注类"/>
    <w:basedOn w:val="4"/>
    <w:qFormat/>
    <w:uiPriority w:val="5"/>
    <w:pPr>
      <w:spacing w:line="240" w:lineRule="auto"/>
      <w:jc w:val="left"/>
    </w:pPr>
    <w:rPr>
      <w:rFonts w:cs="宋体"/>
      <w:sz w:val="21"/>
    </w:rPr>
  </w:style>
  <w:style w:type="paragraph" w:customStyle="1" w:styleId="43">
    <w:name w:val="日浩附件标题"/>
    <w:basedOn w:val="4"/>
    <w:qFormat/>
    <w:uiPriority w:val="6"/>
    <w:pPr>
      <w:numPr>
        <w:ilvl w:val="5"/>
        <w:numId w:val="1"/>
      </w:numPr>
      <w:spacing w:before="120" w:after="60" w:line="240" w:lineRule="auto"/>
      <w:ind w:firstLineChars="0"/>
      <w:outlineLvl w:val="0"/>
    </w:pPr>
    <w:rPr>
      <w:rFonts w:eastAsia="黑体"/>
      <w:b/>
    </w:rPr>
  </w:style>
  <w:style w:type="paragraph" w:customStyle="1" w:styleId="44">
    <w:name w:val="日浩附件正文"/>
    <w:basedOn w:val="4"/>
    <w:qFormat/>
    <w:uiPriority w:val="6"/>
    <w:rPr>
      <w:sz w:val="28"/>
    </w:rPr>
  </w:style>
  <w:style w:type="paragraph" w:customStyle="1" w:styleId="45">
    <w:name w:val="日浩附件报告名"/>
    <w:basedOn w:val="4"/>
    <w:qFormat/>
    <w:uiPriority w:val="9"/>
    <w:pPr>
      <w:spacing w:before="120" w:after="60"/>
      <w:ind w:firstLine="0" w:firstLineChars="0"/>
      <w:jc w:val="center"/>
    </w:pPr>
    <w:rPr>
      <w:b/>
    </w:rPr>
  </w:style>
  <w:style w:type="paragraph" w:customStyle="1" w:styleId="46">
    <w:name w:val="日浩附件一级标题"/>
    <w:basedOn w:val="45"/>
    <w:next w:val="44"/>
    <w:qFormat/>
    <w:uiPriority w:val="6"/>
    <w:pPr>
      <w:ind w:firstLine="200" w:firstLineChars="200"/>
      <w:jc w:val="left"/>
    </w:pPr>
    <w:rPr>
      <w:rFonts w:cs="宋体"/>
      <w:sz w:val="28"/>
    </w:rPr>
  </w:style>
  <w:style w:type="paragraph" w:customStyle="1" w:styleId="47">
    <w:name w:val="日浩附件二级标题"/>
    <w:basedOn w:val="46"/>
    <w:qFormat/>
    <w:uiPriority w:val="8"/>
    <w:rPr>
      <w:rFonts w:ascii="宋体" w:hAnsi="宋体" w:eastAsia="宋体"/>
    </w:rPr>
  </w:style>
  <w:style w:type="paragraph" w:customStyle="1" w:styleId="48">
    <w:name w:val="日浩附件三级标题"/>
    <w:basedOn w:val="47"/>
    <w:qFormat/>
    <w:uiPriority w:val="8"/>
    <w:rPr>
      <w:rFonts w:ascii="Times New Roman" w:hAnsi="Times New Roman" w:eastAsia="仿宋_GB2312"/>
    </w:rPr>
  </w:style>
  <w:style w:type="paragraph" w:customStyle="1" w:styleId="49">
    <w:name w:val="日浩附件四级标题"/>
    <w:basedOn w:val="48"/>
    <w:qFormat/>
    <w:uiPriority w:val="9"/>
    <w:pPr>
      <w:spacing w:before="0" w:after="0"/>
    </w:pPr>
  </w:style>
  <w:style w:type="character" w:customStyle="1" w:styleId="50">
    <w:name w:val="脚注文本 字符"/>
    <w:basedOn w:val="22"/>
    <w:link w:val="17"/>
    <w:qFormat/>
    <w:uiPriority w:val="99"/>
    <w:rPr>
      <w:rFonts w:cstheme="minorBidi"/>
      <w:kern w:val="2"/>
      <w:sz w:val="21"/>
      <w:szCs w:val="18"/>
    </w:rPr>
  </w:style>
  <w:style w:type="paragraph" w:customStyle="1" w:styleId="51">
    <w:name w:val="日浩脚注"/>
    <w:basedOn w:val="4"/>
    <w:qFormat/>
    <w:uiPriority w:val="9"/>
    <w:pPr>
      <w:spacing w:line="400" w:lineRule="exact"/>
      <w:ind w:firstLine="0" w:firstLineChars="0"/>
    </w:pPr>
    <w:rPr>
      <w:sz w:val="18"/>
    </w:rPr>
  </w:style>
  <w:style w:type="paragraph" w:customStyle="1" w:styleId="52">
    <w:name w:val="日浩目录标题"/>
    <w:basedOn w:val="35"/>
    <w:qFormat/>
    <w:uiPriority w:val="1"/>
  </w:style>
  <w:style w:type="character" w:customStyle="1" w:styleId="53">
    <w:name w:val="页眉 字符"/>
    <w:basedOn w:val="22"/>
    <w:link w:val="15"/>
    <w:qFormat/>
    <w:uiPriority w:val="99"/>
    <w:rPr>
      <w:sz w:val="18"/>
      <w:szCs w:val="18"/>
    </w:rPr>
  </w:style>
  <w:style w:type="table" w:customStyle="1" w:styleId="54">
    <w:name w:val="网格型浅色1"/>
    <w:basedOn w:val="20"/>
    <w:qFormat/>
    <w:uiPriority w:val="40"/>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style>
  <w:style w:type="table" w:customStyle="1" w:styleId="55">
    <w:name w:val="无格式表格 11"/>
    <w:basedOn w:val="20"/>
    <w:qFormat/>
    <w:uiPriority w:val="41"/>
    <w:tblPr>
      <w:tblBorders>
        <w:top w:val="single" w:color="BEBEBE" w:themeColor="background1" w:themeShade="BF" w:sz="4" w:space="0"/>
        <w:left w:val="single" w:color="BEBEBE" w:themeColor="background1" w:themeShade="BF" w:sz="4" w:space="0"/>
        <w:bottom w:val="single" w:color="BEBEBE" w:themeColor="background1" w:themeShade="BF" w:sz="4" w:space="0"/>
        <w:right w:val="single" w:color="BEBEBE" w:themeColor="background1" w:themeShade="BF" w:sz="4" w:space="0"/>
        <w:insideH w:val="single" w:color="BEBEBE" w:themeColor="background1" w:themeShade="BF" w:sz="4" w:space="0"/>
        <w:insideV w:val="single" w:color="BEBEBE" w:themeColor="background1" w:themeShade="BF" w:sz="4" w:space="0"/>
      </w:tblBorders>
    </w:tblPr>
    <w:tblStylePr w:type="firstRow">
      <w:rPr>
        <w:b/>
        <w:bCs/>
      </w:rPr>
    </w:tblStylePr>
    <w:tblStylePr w:type="lastRow">
      <w:rPr>
        <w:b/>
        <w:bCs/>
      </w:rPr>
      <w:tcPr>
        <w:tcBorders>
          <w:top w:val="double" w:color="BEBEBE" w:themeColor="background1" w:themeShade="BF" w:sz="4" w:space="0"/>
        </w:tcBorders>
      </w:tcPr>
    </w:tblStylePr>
    <w:tblStylePr w:type="firstCol">
      <w:rPr>
        <w:b/>
        <w:bCs/>
      </w:rPr>
    </w:tblStylePr>
    <w:tblStylePr w:type="lastCol">
      <w:rPr>
        <w:b/>
        <w:bCs/>
      </w:rPr>
    </w:tblStylePr>
    <w:tblStylePr w:type="band1Vert">
      <w:tcPr>
        <w:shd w:val="clear" w:color="auto" w:fill="F1F1F1" w:themeFill="background1" w:themeFillShade="F2"/>
      </w:tcPr>
    </w:tblStylePr>
    <w:tblStylePr w:type="band1Horz">
      <w:tcPr>
        <w:shd w:val="clear" w:color="auto" w:fill="F1F1F1" w:themeFill="background1" w:themeFillShade="F2"/>
      </w:tcPr>
    </w:tblStylePr>
  </w:style>
  <w:style w:type="paragraph" w:customStyle="1" w:styleId="56">
    <w:name w:val="日浩表文字"/>
    <w:basedOn w:val="4"/>
    <w:link w:val="57"/>
    <w:qFormat/>
    <w:uiPriority w:val="0"/>
    <w:pPr>
      <w:widowControl/>
      <w:spacing w:line="320" w:lineRule="exact"/>
      <w:ind w:firstLine="0" w:firstLineChars="0"/>
      <w:jc w:val="center"/>
    </w:pPr>
    <w:rPr>
      <w:rFonts w:cs="宋体"/>
      <w:bCs/>
      <w:color w:val="000000"/>
      <w:sz w:val="22"/>
      <w:szCs w:val="22"/>
    </w:rPr>
  </w:style>
  <w:style w:type="character" w:customStyle="1" w:styleId="57">
    <w:name w:val="闻政表文字 字符"/>
    <w:basedOn w:val="37"/>
    <w:link w:val="56"/>
    <w:qFormat/>
    <w:uiPriority w:val="0"/>
    <w:rPr>
      <w:rFonts w:ascii="Times New Roman" w:hAnsi="Times New Roman" w:eastAsia="仿宋_GB2312" w:cs="宋体"/>
      <w:bCs/>
      <w:color w:val="000000"/>
      <w:kern w:val="0"/>
      <w:sz w:val="22"/>
      <w:szCs w:val="22"/>
      <w:lang w:val="zh-CN" w:eastAsia="zh-CN"/>
    </w:rPr>
  </w:style>
  <w:style w:type="character" w:customStyle="1" w:styleId="58">
    <w:name w:val="批注文字 字符"/>
    <w:basedOn w:val="22"/>
    <w:link w:val="11"/>
    <w:qFormat/>
    <w:uiPriority w:val="99"/>
  </w:style>
  <w:style w:type="character" w:customStyle="1" w:styleId="59">
    <w:name w:val="批注主题 字符"/>
    <w:basedOn w:val="58"/>
    <w:link w:val="19"/>
    <w:semiHidden/>
    <w:qFormat/>
    <w:uiPriority w:val="99"/>
    <w:rPr>
      <w:b/>
      <w:bCs/>
    </w:rPr>
  </w:style>
  <w:style w:type="paragraph" w:customStyle="1" w:styleId="60">
    <w:name w:val="日浩评价小组人员名单"/>
    <w:basedOn w:val="1"/>
    <w:qFormat/>
    <w:uiPriority w:val="0"/>
    <w:pPr>
      <w:jc w:val="left"/>
    </w:pPr>
    <w:rPr>
      <w:rFonts w:eastAsia="仿宋_GB2312"/>
      <w:sz w:val="32"/>
    </w:rPr>
  </w:style>
  <w:style w:type="paragraph" w:customStyle="1" w:styleId="61">
    <w:name w:val="正文1"/>
    <w:qFormat/>
    <w:uiPriority w:val="0"/>
    <w:pPr>
      <w:jc w:val="both"/>
    </w:pPr>
    <w:rPr>
      <w:rFonts w:ascii="Times New Roman" w:hAnsi="Times New Roman" w:eastAsia="宋体" w:cs="Times New Roman"/>
      <w:kern w:val="2"/>
      <w:sz w:val="21"/>
      <w:szCs w:val="21"/>
      <w:lang w:val="en-US" w:eastAsia="zh-CN" w:bidi="ar-SA"/>
    </w:rPr>
  </w:style>
  <w:style w:type="paragraph" w:customStyle="1" w:styleId="62">
    <w:name w:val="闻政表文字"/>
    <w:basedOn w:val="1"/>
    <w:qFormat/>
    <w:uiPriority w:val="0"/>
    <w:rPr>
      <w:rFonts w:ascii="Calibri" w:hAnsi="Calibri" w:eastAsia="宋体" w:cs="Times New Roman"/>
    </w:rPr>
  </w:style>
  <w:style w:type="paragraph" w:customStyle="1" w:styleId="63">
    <w:name w:val="WPSOffice手动目录 1"/>
    <w:qFormat/>
    <w:uiPriority w:val="0"/>
    <w:rPr>
      <w:rFonts w:ascii="Times New Roman" w:hAnsi="Times New Roman" w:eastAsia="宋体" w:cs="Times New Roman"/>
      <w:lang w:val="en-US" w:eastAsia="zh-CN" w:bidi="ar-SA"/>
    </w:rPr>
  </w:style>
  <w:style w:type="paragraph" w:customStyle="1" w:styleId="64">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65">
    <w:name w:val="图表标题-四号仿宋加粗"/>
    <w:basedOn w:val="40"/>
    <w:link w:val="67"/>
    <w:qFormat/>
    <w:uiPriority w:val="0"/>
    <w:rPr>
      <w:rFonts w:eastAsia="仿宋"/>
      <w:sz w:val="28"/>
      <w:shd w:val="clear" w:color="auto" w:fill="FFFFFF"/>
    </w:rPr>
  </w:style>
  <w:style w:type="paragraph" w:customStyle="1" w:styleId="66">
    <w:name w:val="表格文字-仿宋四号"/>
    <w:basedOn w:val="56"/>
    <w:link w:val="68"/>
    <w:qFormat/>
    <w:uiPriority w:val="0"/>
    <w:rPr>
      <w:rFonts w:eastAsia="仿宋"/>
      <w:bCs w:val="0"/>
      <w:color w:val="auto"/>
      <w:sz w:val="28"/>
    </w:rPr>
  </w:style>
  <w:style w:type="character" w:customStyle="1" w:styleId="67">
    <w:name w:val="图表标题-四号仿宋加粗 字符"/>
    <w:basedOn w:val="41"/>
    <w:link w:val="65"/>
    <w:qFormat/>
    <w:uiPriority w:val="0"/>
    <w:rPr>
      <w:rFonts w:ascii="Times New Roman" w:hAnsi="Times New Roman" w:eastAsia="仿宋" w:cs="Times New Roman"/>
      <w:kern w:val="0"/>
      <w:sz w:val="28"/>
      <w:szCs w:val="28"/>
    </w:rPr>
  </w:style>
  <w:style w:type="character" w:customStyle="1" w:styleId="68">
    <w:name w:val="表格文字-仿宋四号 字符"/>
    <w:basedOn w:val="57"/>
    <w:link w:val="66"/>
    <w:qFormat/>
    <w:uiPriority w:val="0"/>
    <w:rPr>
      <w:rFonts w:ascii="Times New Roman" w:hAnsi="Times New Roman" w:eastAsia="仿宋" w:cs="宋体"/>
      <w:bCs w:val="0"/>
      <w:color w:val="000000"/>
      <w:kern w:val="0"/>
      <w:sz w:val="28"/>
      <w:szCs w:val="22"/>
      <w:lang w:val="zh-CN" w:eastAsia="zh-CN"/>
    </w:rPr>
  </w:style>
  <w:style w:type="character" w:customStyle="1" w:styleId="69">
    <w:name w:val="未处理的提及1"/>
    <w:basedOn w:val="22"/>
    <w:unhideWhenUsed/>
    <w:qFormat/>
    <w:uiPriority w:val="99"/>
    <w:rPr>
      <w:color w:val="605E5C"/>
      <w:shd w:val="clear" w:color="auto" w:fill="E1DFDD"/>
    </w:rPr>
  </w:style>
  <w:style w:type="paragraph" w:customStyle="1" w:styleId="70">
    <w:name w:val="Body text|1"/>
    <w:basedOn w:val="1"/>
    <w:qFormat/>
    <w:uiPriority w:val="0"/>
    <w:pPr>
      <w:spacing w:line="434" w:lineRule="auto"/>
      <w:ind w:firstLine="400"/>
    </w:pPr>
    <w:rPr>
      <w:rFonts w:ascii="宋体" w:hAnsi="宋体" w:eastAsia="宋体" w:cs="宋体"/>
      <w:sz w:val="30"/>
      <w:szCs w:val="30"/>
      <w:lang w:val="zh-TW" w:eastAsia="zh-TW" w:bidi="zh-TW"/>
    </w:rPr>
  </w:style>
  <w:style w:type="paragraph" w:customStyle="1" w:styleId="71">
    <w:name w:val="Heading #1|1"/>
    <w:basedOn w:val="1"/>
    <w:qFormat/>
    <w:uiPriority w:val="0"/>
    <w:pPr>
      <w:spacing w:after="700"/>
      <w:jc w:val="center"/>
      <w:outlineLvl w:val="0"/>
    </w:pPr>
    <w:rPr>
      <w:rFonts w:ascii="宋体" w:hAnsi="宋体" w:eastAsia="宋体" w:cs="宋体"/>
      <w:color w:val="DD012C"/>
      <w:sz w:val="88"/>
      <w:szCs w:val="88"/>
      <w:lang w:val="zh-TW" w:eastAsia="zh-TW" w:bidi="zh-TW"/>
    </w:rPr>
  </w:style>
  <w:style w:type="paragraph" w:customStyle="1" w:styleId="72">
    <w:name w:val="Header or footer|1"/>
    <w:basedOn w:val="1"/>
    <w:qFormat/>
    <w:uiPriority w:val="0"/>
    <w:rPr>
      <w:rFonts w:ascii="宋体" w:hAnsi="宋体" w:eastAsia="宋体" w:cs="宋体"/>
      <w:sz w:val="28"/>
      <w:szCs w:val="28"/>
      <w:lang w:val="zh-TW" w:eastAsia="zh-TW" w:bidi="zh-TW"/>
    </w:rPr>
  </w:style>
  <w:style w:type="character" w:customStyle="1" w:styleId="73">
    <w:name w:val="l-btn-left"/>
    <w:basedOn w:val="22"/>
    <w:qFormat/>
    <w:uiPriority w:val="0"/>
  </w:style>
  <w:style w:type="character" w:customStyle="1" w:styleId="74">
    <w:name w:val="l-btn-left1"/>
    <w:basedOn w:val="22"/>
    <w:qFormat/>
    <w:uiPriority w:val="0"/>
  </w:style>
  <w:style w:type="character" w:customStyle="1" w:styleId="75">
    <w:name w:val="l-btn-left2"/>
    <w:basedOn w:val="22"/>
    <w:qFormat/>
    <w:uiPriority w:val="0"/>
  </w:style>
  <w:style w:type="character" w:customStyle="1" w:styleId="76">
    <w:name w:val="l-btn-left3"/>
    <w:basedOn w:val="22"/>
    <w:qFormat/>
    <w:uiPriority w:val="0"/>
  </w:style>
  <w:style w:type="character" w:customStyle="1" w:styleId="77">
    <w:name w:val="l-btn-text"/>
    <w:basedOn w:val="22"/>
    <w:qFormat/>
    <w:uiPriority w:val="0"/>
  </w:style>
  <w:style w:type="character" w:customStyle="1" w:styleId="78">
    <w:name w:val="l-btn-empty"/>
    <w:basedOn w:val="22"/>
    <w:qFormat/>
    <w:uiPriority w:val="0"/>
  </w:style>
  <w:style w:type="character" w:customStyle="1" w:styleId="79">
    <w:name w:val="font11"/>
    <w:basedOn w:val="22"/>
    <w:qFormat/>
    <w:uiPriority w:val="0"/>
    <w:rPr>
      <w:rFonts w:hint="eastAsia" w:ascii="等线" w:hAnsi="等线" w:eastAsia="等线" w:cs="等线"/>
      <w:color w:val="000000"/>
      <w:sz w:val="48"/>
      <w:szCs w:val="48"/>
      <w:u w:val="none"/>
    </w:rPr>
  </w:style>
  <w:style w:type="character" w:customStyle="1" w:styleId="80">
    <w:name w:val="font41"/>
    <w:basedOn w:val="22"/>
    <w:qFormat/>
    <w:uiPriority w:val="0"/>
    <w:rPr>
      <w:rFonts w:ascii="Calibri" w:hAnsi="Calibri" w:cs="Calibri"/>
      <w:color w:val="FF0000"/>
      <w:sz w:val="48"/>
      <w:szCs w:val="48"/>
      <w:u w:val="none"/>
    </w:rPr>
  </w:style>
  <w:style w:type="paragraph" w:customStyle="1" w:styleId="81">
    <w:name w:val="Table Paragraph"/>
    <w:basedOn w:val="1"/>
    <w:qFormat/>
    <w:uiPriority w:val="1"/>
    <w:rPr>
      <w:rFonts w:ascii="等线" w:hAnsi="等线" w:eastAsia="等线" w:cs="等线"/>
      <w:lang w:val="zh-CN" w:eastAsia="zh-CN" w:bidi="zh-CN"/>
    </w:rPr>
  </w:style>
  <w:style w:type="character" w:customStyle="1" w:styleId="82">
    <w:name w:val="BZWFS Char"/>
    <w:link w:val="83"/>
    <w:qFormat/>
    <w:uiPriority w:val="0"/>
    <w:rPr>
      <w:rFonts w:ascii="仿宋_GB2312" w:hAnsi="仿宋_GB2312" w:eastAsia="仿宋_GB2312" w:cs="Times New Roman"/>
      <w:sz w:val="32"/>
      <w:szCs w:val="32"/>
      <w:lang w:val="en-US" w:eastAsia="zh-CN" w:bidi="ar-SA"/>
    </w:rPr>
  </w:style>
  <w:style w:type="paragraph" w:customStyle="1" w:styleId="83">
    <w:name w:val="BZWFS"/>
    <w:link w:val="82"/>
    <w:qFormat/>
    <w:uiPriority w:val="0"/>
    <w:pPr>
      <w:widowControl w:val="0"/>
      <w:spacing w:line="560" w:lineRule="exact"/>
      <w:ind w:firstLine="880" w:firstLineChars="200"/>
      <w:jc w:val="both"/>
    </w:pPr>
    <w:rPr>
      <w:rFonts w:ascii="仿宋_GB2312" w:hAnsi="仿宋_GB2312" w:eastAsia="仿宋_GB2312" w:cs="Times New Roman"/>
      <w:sz w:val="32"/>
      <w:szCs w:val="32"/>
      <w:lang w:val="en-US" w:eastAsia="zh-CN" w:bidi="ar-SA"/>
    </w:rPr>
  </w:style>
</w:styles>
</file>

<file path=word/_rels/document.xml.rels><?xml version="1.0" encoding="UTF-8" standalone="yes"?>
<Relationships xmlns="http://schemas.openxmlformats.org/package/2006/relationships"><Relationship Id="rId9" Type="http://schemas.openxmlformats.org/officeDocument/2006/relationships/numbering" Target="numbering.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footnotes" Target="footnotes.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29</Pages>
  <Words>12152</Words>
  <Characters>13311</Characters>
  <Lines>88</Lines>
  <Paragraphs>24</Paragraphs>
  <TotalTime>4</TotalTime>
  <ScaleCrop>false</ScaleCrop>
  <LinksUpToDate>false</LinksUpToDate>
  <CharactersWithSpaces>13319</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2021-02-20T11:04:00Z</dcterms:created>
  <dc:creator>sunshine</dc:creator>
  <cp:lastModifiedBy>E.at</cp:lastModifiedBy>
  <cp:lastPrinted>2020-12-25T15:11:00Z</cp:lastPrinted>
  <dcterms:modified xsi:type="dcterms:W3CDTF">2022-06-22T08:58:08Z</dcterms:modified>
  <cp:revision>109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15B0ADA87EF14D328B4EED7CCEA92434</vt:lpwstr>
  </property>
</Properties>
</file>