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6"/>
        <w:rPr>
          <w:rFonts w:hint="eastAsia" w:ascii="宋体" w:hAnsi="宋体" w:eastAsia="宋体" w:cs="宋体"/>
        </w:rPr>
      </w:pPr>
    </w:p>
    <w:p>
      <w:pPr>
        <w:pStyle w:val="26"/>
        <w:rPr>
          <w:rFonts w:hint="eastAsia" w:ascii="宋体" w:hAnsi="宋体" w:eastAsia="宋体" w:cs="宋体"/>
        </w:rPr>
      </w:pPr>
    </w:p>
    <w:p>
      <w:pPr>
        <w:pStyle w:val="26"/>
        <w:rPr>
          <w:rFonts w:hint="eastAsia" w:ascii="宋体" w:hAnsi="宋体" w:eastAsia="宋体" w:cs="宋体"/>
        </w:rPr>
      </w:pPr>
    </w:p>
    <w:p>
      <w:pPr>
        <w:pStyle w:val="26"/>
        <w:rPr>
          <w:rFonts w:hint="eastAsia"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pStyle w:val="26"/>
      </w:pPr>
    </w:p>
    <w:p>
      <w:pPr>
        <w:rPr>
          <w:rFonts w:ascii="宋体" w:hAnsi="宋体" w:eastAsia="宋体" w:cs="宋体"/>
        </w:rPr>
      </w:pPr>
    </w:p>
    <w:p>
      <w:pPr>
        <w:pStyle w:val="35"/>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深圳市住房和建设局</w:t>
      </w:r>
    </w:p>
    <w:p>
      <w:pPr>
        <w:pStyle w:val="35"/>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1</w:t>
      </w:r>
      <w:r>
        <w:rPr>
          <w:rFonts w:hint="eastAsia" w:ascii="方正小标宋简体" w:hAnsi="方正小标宋简体" w:eastAsia="方正小标宋简体" w:cs="方正小标宋简体"/>
          <w:sz w:val="44"/>
          <w:szCs w:val="44"/>
        </w:rPr>
        <w:t>年度建设工程质量安全监督</w:t>
      </w:r>
      <w:r>
        <w:rPr>
          <w:rFonts w:hint="eastAsia" w:ascii="方正小标宋简体" w:hAnsi="方正小标宋简体" w:eastAsia="方正小标宋简体" w:cs="方正小标宋简体"/>
          <w:sz w:val="44"/>
          <w:szCs w:val="44"/>
          <w:lang w:val="en-US" w:eastAsia="zh-CN"/>
        </w:rPr>
        <w:t>项目</w:t>
      </w:r>
    </w:p>
    <w:p>
      <w:pPr>
        <w:pStyle w:val="35"/>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绩效评价报告</w:t>
      </w: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pStyle w:val="4"/>
        <w:ind w:firstLine="0" w:firstLineChars="0"/>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pStyle w:val="36"/>
        <w:spacing w:before="0"/>
        <w:ind w:left="0" w:leftChars="0"/>
        <w:jc w:val="both"/>
        <w:rPr>
          <w:lang w:val="en-US"/>
        </w:rPr>
      </w:pPr>
      <w:r>
        <w:rPr>
          <w:rFonts w:hint="eastAsia"/>
        </w:rPr>
        <w:t>主管部门：</w:t>
      </w:r>
      <w:r>
        <w:rPr>
          <w:rFonts w:hint="eastAsia"/>
          <w:lang w:val="en-US"/>
        </w:rPr>
        <w:t>深圳市住房和建设局</w:t>
      </w:r>
    </w:p>
    <w:p>
      <w:pPr>
        <w:pStyle w:val="36"/>
        <w:spacing w:before="0"/>
        <w:ind w:left="0" w:leftChars="0"/>
        <w:jc w:val="both"/>
      </w:pPr>
      <w:r>
        <w:rPr>
          <w:rFonts w:hint="eastAsia"/>
        </w:rPr>
        <w:t>评价项目</w:t>
      </w:r>
      <w:r>
        <w:rPr>
          <w:rFonts w:hint="eastAsia" w:ascii="仿宋_GB2312" w:hAnsi="仿宋_GB2312" w:eastAsia="仿宋_GB2312" w:cs="仿宋_GB2312"/>
        </w:rPr>
        <w:t>：</w:t>
      </w:r>
      <w:r>
        <w:rPr>
          <w:rFonts w:hint="eastAsia" w:ascii="仿宋_GB2312" w:hAnsi="仿宋_GB2312" w:eastAsia="仿宋_GB2312" w:cs="仿宋_GB2312"/>
          <w:lang w:val="en-US" w:eastAsia="zh-CN"/>
        </w:rPr>
        <w:t>2021年度建设工程质量安全监督</w:t>
      </w:r>
    </w:p>
    <w:p>
      <w:pPr>
        <w:pStyle w:val="4"/>
        <w:spacing w:line="579" w:lineRule="exact"/>
        <w:ind w:left="0" w:leftChars="0" w:firstLine="0" w:firstLineChars="0"/>
        <w:rPr>
          <w:rFonts w:hint="eastAsia" w:ascii="仿宋_GB2312" w:hAnsi="仿宋_GB2312" w:eastAsia="仿宋_GB2312" w:cs="仿宋_GB2312"/>
          <w:lang w:val="en-US" w:eastAsia="zh-CN"/>
        </w:rPr>
        <w:sectPr>
          <w:pgSz w:w="11906" w:h="16838"/>
          <w:pgMar w:top="1440" w:right="1800" w:bottom="1440" w:left="1800" w:header="964" w:footer="850" w:gutter="0"/>
          <w:pgBorders>
            <w:top w:val="none" w:sz="0" w:space="0"/>
            <w:left w:val="none" w:sz="0" w:space="0"/>
            <w:bottom w:val="none" w:sz="0" w:space="0"/>
            <w:right w:val="none" w:sz="0" w:space="0"/>
          </w:pgBorders>
          <w:pgNumType w:fmt="numberInDash" w:start="1"/>
          <w:cols w:space="425" w:num="1"/>
          <w:docGrid w:type="lines" w:linePitch="312" w:charSpace="0"/>
        </w:sectPr>
      </w:pPr>
      <w:r>
        <w:rPr>
          <w:rFonts w:hint="eastAsia"/>
          <w:lang w:val="en-US" w:eastAsia="zh-CN"/>
        </w:rPr>
        <w:t>报告时间</w:t>
      </w:r>
      <w:r>
        <w:rPr>
          <w:rFonts w:hint="eastAsia"/>
        </w:rPr>
        <w:t>：</w:t>
      </w:r>
      <w:r>
        <w:rPr>
          <w:rFonts w:hint="eastAsia" w:ascii="仿宋_GB2312" w:hAnsi="仿宋_GB2312" w:eastAsia="仿宋_GB2312" w:cs="仿宋_GB2312"/>
          <w:lang w:val="en-US" w:eastAsia="zh-CN"/>
        </w:rPr>
        <w:t>202</w:t>
      </w:r>
      <w:r>
        <w:rPr>
          <w:rFonts w:hint="eastAsia" w:ascii="仿宋_GB2312" w:hAnsi="仿宋_GB2312" w:cs="仿宋_GB2312"/>
          <w:lang w:val="en-US" w:eastAsia="zh-CN"/>
        </w:rPr>
        <w:t>2</w:t>
      </w:r>
      <w:r>
        <w:rPr>
          <w:rFonts w:hint="eastAsia" w:ascii="仿宋_GB2312" w:hAnsi="仿宋_GB2312" w:eastAsia="仿宋_GB2312" w:cs="仿宋_GB2312"/>
          <w:lang w:val="en-US" w:eastAsia="zh-CN"/>
        </w:rPr>
        <w:t>年</w:t>
      </w:r>
      <w:r>
        <w:rPr>
          <w:rFonts w:hint="eastAsia" w:ascii="仿宋_GB2312" w:hAnsi="仿宋_GB2312" w:cs="仿宋_GB2312"/>
          <w:lang w:val="en-US" w:eastAsia="zh-CN"/>
        </w:rPr>
        <w:t>0</w:t>
      </w:r>
      <w:r>
        <w:rPr>
          <w:rFonts w:hint="eastAsia" w:ascii="仿宋_GB2312" w:hAnsi="仿宋_GB2312" w:eastAsia="仿宋_GB2312" w:cs="仿宋_GB2312"/>
          <w:lang w:val="en-US" w:eastAsia="zh-CN"/>
        </w:rPr>
        <w:t>6月</w:t>
      </w:r>
      <w:bookmarkStart w:id="0" w:name="_Toc64647742"/>
    </w:p>
    <w:p>
      <w:pPr>
        <w:pStyle w:val="3"/>
        <w:spacing w:before="0" w:after="0" w:line="579" w:lineRule="exact"/>
        <w:ind w:firstLine="640"/>
        <w:rPr>
          <w:szCs w:val="32"/>
          <w:lang w:val="en-US"/>
        </w:rPr>
      </w:pPr>
      <w:bookmarkStart w:id="1" w:name="_Toc22228"/>
      <w:r>
        <w:rPr>
          <w:rFonts w:hint="eastAsia"/>
          <w:szCs w:val="32"/>
          <w:lang w:val="en-US"/>
        </w:rPr>
        <w:t>基本情况</w:t>
      </w:r>
      <w:bookmarkEnd w:id="0"/>
      <w:bookmarkEnd w:id="1"/>
    </w:p>
    <w:p>
      <w:pPr>
        <w:pStyle w:val="5"/>
        <w:numPr>
          <w:ilvl w:val="1"/>
          <w:numId w:val="0"/>
        </w:numPr>
        <w:spacing w:before="0" w:after="0" w:line="579" w:lineRule="exact"/>
        <w:ind w:leftChars="200"/>
        <w:rPr>
          <w:rFonts w:ascii="楷体_GB2312" w:hAnsi="楷体_GB2312" w:eastAsia="楷体_GB2312" w:cs="楷体_GB2312"/>
          <w:b w:val="0"/>
          <w:bCs w:val="0"/>
        </w:rPr>
      </w:pPr>
      <w:bookmarkStart w:id="2" w:name="_Toc64647743"/>
      <w:bookmarkStart w:id="3" w:name="_Toc24585"/>
      <w:r>
        <w:rPr>
          <w:rFonts w:hint="eastAsia" w:ascii="楷体_GB2312" w:hAnsi="楷体_GB2312" w:eastAsia="楷体_GB2312" w:cs="楷体_GB2312"/>
          <w:b w:val="0"/>
          <w:bCs w:val="0"/>
          <w:lang w:val="en-US" w:eastAsia="zh-CN"/>
        </w:rPr>
        <w:t>（一）</w:t>
      </w:r>
      <w:r>
        <w:rPr>
          <w:rFonts w:hint="eastAsia" w:ascii="楷体_GB2312" w:hAnsi="楷体_GB2312" w:eastAsia="楷体_GB2312" w:cs="楷体_GB2312"/>
          <w:b w:val="0"/>
          <w:bCs w:val="0"/>
          <w:lang w:val="en-US"/>
        </w:rPr>
        <w:t>项目概况</w:t>
      </w:r>
      <w:bookmarkEnd w:id="2"/>
      <w:bookmarkEnd w:id="3"/>
    </w:p>
    <w:p>
      <w:pPr>
        <w:pStyle w:val="70"/>
        <w:tabs>
          <w:tab w:val="left" w:pos="1425"/>
        </w:tabs>
        <w:spacing w:line="579" w:lineRule="exact"/>
        <w:ind w:firstLine="642" w:firstLineChars="200"/>
        <w:outlineLvl w:val="2"/>
        <w:rPr>
          <w:rFonts w:ascii="仿宋_GB2312" w:hAnsi="仿宋_GB2312" w:eastAsia="仿宋_GB2312" w:cs="仿宋_GB2312"/>
          <w:b/>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1.项目背景</w:t>
      </w:r>
    </w:p>
    <w:p>
      <w:pPr>
        <w:pStyle w:val="70"/>
        <w:tabs>
          <w:tab w:val="left" w:pos="1425"/>
        </w:tabs>
        <w:spacing w:line="579" w:lineRule="exact"/>
        <w:ind w:firstLine="640" w:firstLineChars="200"/>
        <w:rPr>
          <w:rFonts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依据《深圳市党政部门安全管理工作职责规定》《广东省住房和城乡建设厅关于组织开展建筑起重机械安全抽查检测的通知》《危险性较大的分部分项工程安全管理规定》《广东省住房和城乡建设厅关于吸取河北衡水“4·25”重大事故教训立即开展房屋市政工程起重机械安全隐患大排查大整治的紧急通知》</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等文件的相关工作要求，以及</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深圳市住房和建设局（</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以下简称“</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市住建局”）主要职能“承担建设工程质量安全监管职责。负责建设工程质量、建筑安全生产和文明施工的监督管理。负责工程的施工许可管理。组织或参与工程质量、安全事故的调查处理。负责建设工程竣工验收备案管理。负责对工程质量监督、施工安全监督和工程质量检测机构进行业务指导和监督管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的履职需要</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，2021年度市住建局设立建设工程质量安全监督</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项目（以下简称“</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本项目”），</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本项目为一级项目，</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包括</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《深圳市建筑施工专用机动车辆安全监督管理办法》编制</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工程质量安全第三方巡查</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质量安全监督</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建筑起重机械监督抽检</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深基坑和高边坡监测数据信息监管</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市政工程项目建筑废弃物排放监督管理第三方巡查服务</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执法监督抽检</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城际铁路工程建筑起重机械前置审查</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轨道交通综合管理</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建筑工人岗位安全培训教育</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施工安全监督</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等33</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个二级项目</w:t>
      </w:r>
      <w:r>
        <w:rPr>
          <w:rStyle w:val="25"/>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footnoteReference w:id="0"/>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pPr>
        <w:pStyle w:val="70"/>
        <w:tabs>
          <w:tab w:val="left" w:pos="1425"/>
        </w:tabs>
        <w:spacing w:line="579" w:lineRule="exact"/>
        <w:ind w:firstLine="642" w:firstLineChars="200"/>
        <w:outlineLvl w:val="2"/>
        <w:rPr>
          <w:rFonts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2.主要内容及实施情况</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本</w:t>
      </w:r>
      <w:r>
        <w:rPr>
          <w:rFonts w:ascii="仿宋_GB2312" w:hAnsi="仿宋_GB2312" w:eastAsia="仿宋_GB2312" w:cs="仿宋_GB2312"/>
          <w:color w:val="000000" w:themeColor="text1"/>
          <w:sz w:val="32"/>
          <w:szCs w:val="32"/>
          <w:highlight w:val="none"/>
          <w:lang w:eastAsia="zh-CN"/>
          <w14:textFill>
            <w14:solidFill>
              <w14:schemeClr w14:val="tx1"/>
            </w14:solidFill>
          </w14:textFill>
        </w:rPr>
        <w:t>项目</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由市住建局局本级工程质量安全处（以下简称“质安处”）、市住建局直属机构深圳市建筑工程质量安全监督总站（以下简称“建筑站”）和深圳市市政工程质量安全监督总站（以下简称“市政站”）组织实施。</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根据机构职能，</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质安处负责</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监督执行建设工程质量、安全生产和文明施工的法律、法规、政策和技术标准。负责结建式人防工程质量监督管理。</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建筑站负责</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在市建设行政主管部门报建的建筑工程质量安全监督，负责抽查所监督工程的建设责任主体履行质量、安全责任情况，并重点抽查涉及工程地基基础、主体结构和主要使用功能的工程实体质量以及重大风险源的安全状况。</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市政站负责</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在市建设行政主管部门报建的市政工程、城际铁路工程的质量安全监督工作，负责抽查所监督工程的建设责任主体履行质量、安全责任情况，并重点抽查涉及工程地基基础、暗挖、高边坡、主体结构和主要使用功能的工程实体质量以及重大风险源安全状况。</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质安处负责</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3个二级项目，主要内容及实施情况如下：</w:t>
      </w:r>
    </w:p>
    <w:p>
      <w:pPr>
        <w:pStyle w:val="70"/>
        <w:tabs>
          <w:tab w:val="left" w:pos="1425"/>
        </w:tabs>
        <w:spacing w:line="579" w:lineRule="exact"/>
        <w:ind w:firstLine="640" w:firstLineChars="200"/>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《深圳市建筑施工专用机动车辆安全监督管理办法》编制</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的主要内容是：</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通过项目的实施，通过现场调研分析，完成具有可操作性的《深圳市建筑施工专用机动车辆安全监督管理办法》编制工作</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，有效推动深圳市建筑施工专用机动车辆安全的监督管理。</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工程质量安全第三方巡查项目的主要内容是：通过项目的实施，完成第三方巡查全市在建工地150次，第三方提交巡查报告达标率100%，合同到期后1个月内提交第三方巡查报告，有效督促施工项目整改安全隐患，服务委托方满意度达到良好及以上。</w:t>
      </w:r>
    </w:p>
    <w:p>
      <w:pPr>
        <w:pStyle w:val="70"/>
        <w:tabs>
          <w:tab w:val="left" w:pos="1425"/>
        </w:tabs>
        <w:spacing w:line="579" w:lineRule="exact"/>
        <w:ind w:firstLine="640" w:firstLineChars="200"/>
        <w:rPr>
          <w:rFonts w:hint="default" w:ascii="仿宋_GB2312" w:hAnsi="仿宋_GB2312" w:eastAsia="仿宋_GB2312" w:cs="仿宋_GB2312"/>
          <w:color w:val="000000" w:themeColor="text1"/>
          <w:sz w:val="32"/>
          <w:szCs w:val="32"/>
          <w:highlight w:val="yellow"/>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质量安全监督项目的主要内容是：通过项目的实施，完成对在建项目进行安全巡查60次，在建项目安全问题整改率达80%，加大对全市在建工程的安全监管力度，督促施工企业落实安全生产主体责任，确保全市建筑施工领域安全生产形势持续稳定向好。</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建筑站负责</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10个二级项目</w:t>
      </w:r>
      <w:r>
        <w:rPr>
          <w:rStyle w:val="25"/>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footnoteReference w:id="1"/>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，主要内容及实施情况如下：</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第三方巡检</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项目的实施，委托专业第三方对危大工程进行专项检查，平均每月巡查不少于250项次，提高识别危大工程存在的日常隐患，责令有关单位及时整改，管控危大工程的事故风险，预防较大及以上安全事故发生。</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工程质量安全监督执法检查</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聘请专家、建设工程专业化培训、专项执法服务辅助及误餐费用补助等手段，及时帮助解决建筑站一线执法人员执行规章、制度和标准过程中遇到的专业性疑难问题，解决一线执法人员不能及时返回单位就餐和参与安全事故处理及市级以上联合整治行动的费用问题，保障建筑站一线执法人员履职监督工作的顺利进行。</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工程质量安全监督综合管理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项目的主要内容是：通过项目的实施，完成后勤保障预算资金的投入和78人的后勤保障工作，确保发放任务完成率及发放及时率均达到100%，保障建筑站履职工作的顺利进行。</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建筑起重机械监督抽检</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项目的主要内容是：通过对建筑站在监项目建筑起重机械进行抽检，找出起重机械实体存在的缺陷和隐患，责令有关单位及时整改，管控建筑起重机械事故风险，预防较大及以上安全事故发生。</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建筑起重机械特种作业人员专项培训</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对建筑起重机械特种作业人员进行统一培训，检验特种作业人员的上岗资质，杜绝安全培训流于形式及代人学习考试的现象，强化他们的安全技术技能和安全意识，管控因特种作业人员技能不合格或安全意识不足产生的事故风险，预防较大及以上安全事故发生。</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深基坑和高边坡监测数据信息监管</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委托专业机构检查分析建筑站48个在监项目施工单位上传的深基坑和高边坡数据情况及预警数据的处置情况，对存在隐患的工程进行检查，并采取有效措施消除隐患，同时，将建筑站监督人员日常监测收集到的数据与企业上传的监测数据进行现场比对抽查，甄别企业上传数据的及时性、完整性和真实性；找出因企业提供数据不及时、不完整、不真实而被隐匿的风险点。提高建筑站获取的深基坑和高边坡监测数据的可靠性，暴露隐匿的风险点，及时责令企业整改，必要时加以惩处，有效保障深基坑和高边坡工程安全以及城市公共安全。</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市政工程项目建筑废弃物排放监督管理第三方巡查服务</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项目的主要内容是：通过项目的实施，通过第三方巡查单位赴市管建设工程项目开展日常性的监督检查，推动建设工程项目依法申请建筑废弃物排放核准，规范其排放行为。</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执法监督抽检</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项目的主要内容是：通过对建筑站在监项目主要建筑材料、工程结构实体以及桩基小应变的抽查检测，找出不合格建材，责令有关单位及时整改，有效提升房建工程质量水平，推进深圳质量。</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执法巡检</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项目的主要内容是：通过委托第三方进行二次全面巡查，增加巡查频次，弥补建筑站日常巡查因在监数量大，监督人员少，巡查力度不够造成的不足。提高风险点的识别效率，预防较大及以上安全事故发生。</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市政站负责</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20个二级项目</w:t>
      </w:r>
      <w:r>
        <w:rPr>
          <w:rStyle w:val="25"/>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footnoteReference w:id="2"/>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，主要内容及实施情况如下：</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安全宣传普及教育</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项目的主要内容是：通过项目的实施，市政站全年组织开展安全大讲堂等安全培训不少于20次，同时保证培训讲师具有中级或以上职称，以普及安全知识、提高群体安全意识，遏制重特大质量安全事故发生。</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标准化执法管理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项目的实施，市政站全年受理行政处罚案例不少于50个，同时对发现的违法行为100%进行行政处罚，并在四个月内开具行政处罚决定书，以此规范施工中各方的行为，遏制重大及以上安全事故发生，使得被行政处罚单位投诉率控制在3%以内。</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城际铁路工程建筑起重机械监督抽检</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项目的实施，委托第三方机构对在监项目的建筑起重机械进行实地、全覆盖抽检，全年市政项目抽检总数量约200台，以及时发现问题、消除隐患，遏制与建筑起重机械相关的较大或以上安全事故发生。</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城际铁路工程建筑起重机械前置审查</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项目的实施，委托第三方机构对市政站在监项目建筑起重机械的安装（拆卸）进行全覆盖的前置审查，市政项目全年不低于200台，并按照月度形成抽查报告；同时委托第三方专家对施工现场进行专项检查，加强质量安全检查力度，遏制较大及以上安全事故发生。</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城际铁路工程施工现场专项检测</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项目的主要内容是：通过项目的实施，全年开展施工现场专用材料检测工作不少于1次，保证在用材料合格率达到100%，减少安全隐患，遏制重大及以上安全事故发生。</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城际铁路工程质量、安全第三方巡查</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项目的实施，引入第三方机构加强质量安全巡查力度。第三方巡查团队中，巡查副高及以上职称专家占30%以上，同时全年出具2次评估报告（半年一次），以补充巡查专家力量，遏制重大及以上安全事故发生。</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城际铁路工程质量、安全技术监管</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项目的实施，引进专业机构，对市政站在监项目的基坑、边坡进行监测，并将监测结果实时传输至市政站预警总平台；并按照月度出具监测报告，以加强对市政工程质量、安全的监管力度，提前预警风险，遏制重大及以上安全事故发生。</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轨道交通综合管理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项目的主要内容是：通过项目的实施，监督员对城铁工程的质量安全进行日常监督检查，并对施工现场发现的问题100%督促整改，后勤部室对全站工作提供后勤支撑，保证各项工作正常运行。</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建筑工人岗位安全培训教育</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项目的主要内容是：通过项目的实施，提供后勤支撑，全年召开总结会议不低于1次，会议出勤率在95%以上，并将单次总结会议成本控制在10500元以内，保障各项工作正常运行。</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建筑起重机械监督抽检</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项目的实施，委托第三方机构对在监项目的建筑起重机械进行实地、全覆盖抽检，全年市政项目抽检总数量约400台次，以及时发现问题、消除隐患，遏制与建筑起重机械相关的较大或以上安全事故发生。</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全国安全月宣传教育</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项目的主要内容是：通过项目的实施，及时开展全国安全月宣教活动不少于1次，保证安全月活动完成率达到100%，以有效提高群体安全意识，遏制重特大质量安全事故发生，使得活动参与对象满意度达到98%以上。</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施工安全监督</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项目的实施，监督员对市政工程的质量安全进行日常监督检查，平均每人每月巡查项目个数不少于8个，市政站在监项目质安巡查频次不低于2次/季度，并对施工现场发现的问题100%督促整改，以及时发现问题、消除隐患，遏制较大及以上安全事故发生。</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施工现场专项检测</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项目的主要内容是：通过项目的实施，全年开展施工现场专用材料检测工作不少于1次，保证在用材料合格率达到100%，减少安全隐患，遏制重大及以上安全事故发生。</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施工现场专项检查</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项目的实施，委托第三方机构对市政站在监项目建筑起重机械的安装（拆卸）进行全覆盖的前置审查，市政项目全年不低于400台次，并按照月度形成抽查报告；同时委托第三方专家对施工现场进行专项检查，加强质量安全检查力度，遏制较大及以上安全事故发生。</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市政工程项目建筑废弃物排放监督管理第三方巡查服务</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项目的主要内容是：通过第三方巡查单位赴市管建设工程项目开展日常性的监督检查，推动市政工程项目依法申请建筑废弃物排放核准，规范其排放行为。</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市政工程质量、安全第三方巡查</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项目的实施，引入第三方机构加强质量安全巡查力度。第三方巡查团队中，巡查副高及以上职称专家占30%以上，同时全年出具3次评估报告（半年一次），以补充巡查专家力量，遏制重大及以上安全事故发生。</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市政工程质量、安全技术监管</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项目的实施，引进专业机构，对市政站在监项目的基坑、边坡进行监测，并将监测结果实时传输至市政站预警总平台；并按照月度出具监测报告。以加强对市政工程质量、安全的监管力度，提前预警风险，遏制重大及以上安全事故发生。</w:t>
      </w:r>
    </w:p>
    <w:p>
      <w:pPr>
        <w:pStyle w:val="70"/>
        <w:tabs>
          <w:tab w:val="left" w:pos="1425"/>
        </w:tabs>
        <w:spacing w:line="579" w:lineRule="exact"/>
        <w:ind w:firstLine="642" w:firstLineChars="200"/>
        <w:outlineLvl w:val="2"/>
        <w:rPr>
          <w:rFonts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3.资金投入和使用情况</w:t>
      </w:r>
    </w:p>
    <w:p>
      <w:pPr>
        <w:pStyle w:val="4"/>
        <w:spacing w:line="579" w:lineRule="exact"/>
        <w:ind w:firstLine="640"/>
        <w:rPr>
          <w:rFonts w:ascii="仿宋_GB2312" w:hAnsi="仿宋_GB2312" w:cs="仿宋_GB2312"/>
          <w:szCs w:val="32"/>
          <w:highlight w:val="none"/>
          <w:lang w:val="en-US"/>
        </w:rPr>
      </w:pPr>
      <w:r>
        <w:rPr>
          <w:rFonts w:hint="eastAsia" w:ascii="仿宋_GB2312" w:hAnsi="仿宋_GB2312" w:cs="仿宋_GB2312"/>
          <w:szCs w:val="32"/>
          <w:highlight w:val="none"/>
          <w:lang w:val="en-US" w:eastAsia="zh-CN"/>
        </w:rPr>
        <w:t>根据</w:t>
      </w:r>
      <w:r>
        <w:rPr>
          <w:rFonts w:hint="eastAsia" w:ascii="仿宋_GB2312" w:hAnsi="仿宋_GB2312" w:cs="仿宋_GB2312"/>
          <w:szCs w:val="32"/>
          <w:highlight w:val="none"/>
          <w:lang w:val="en-US"/>
        </w:rPr>
        <w:t>预算执行情况表</w:t>
      </w:r>
      <w:r>
        <w:rPr>
          <w:rFonts w:hint="eastAsia" w:ascii="仿宋_GB2312" w:hAnsi="仿宋_GB2312" w:cs="仿宋_GB2312"/>
          <w:szCs w:val="32"/>
          <w:highlight w:val="none"/>
          <w:lang w:val="en-US" w:eastAsia="zh-CN"/>
        </w:rPr>
        <w:t>，</w:t>
      </w:r>
      <w:r>
        <w:rPr>
          <w:rFonts w:hint="eastAsia" w:ascii="仿宋_GB2312" w:hAnsi="仿宋_GB2312" w:cs="仿宋_GB2312"/>
          <w:szCs w:val="32"/>
          <w:highlight w:val="none"/>
          <w:lang w:val="en-US"/>
        </w:rPr>
        <w:t>本项目年初预算5</w:t>
      </w:r>
      <w:r>
        <w:rPr>
          <w:rFonts w:hint="eastAsia" w:ascii="仿宋_GB2312" w:hAnsi="仿宋_GB2312" w:cs="仿宋_GB2312"/>
          <w:szCs w:val="32"/>
          <w:highlight w:val="none"/>
          <w:lang w:val="en-US" w:eastAsia="zh-CN"/>
        </w:rPr>
        <w:t>,</w:t>
      </w:r>
      <w:r>
        <w:rPr>
          <w:rFonts w:hint="eastAsia" w:ascii="仿宋_GB2312" w:hAnsi="仿宋_GB2312" w:cs="仿宋_GB2312"/>
          <w:szCs w:val="32"/>
          <w:highlight w:val="none"/>
          <w:lang w:val="en-US"/>
        </w:rPr>
        <w:t>670</w:t>
      </w:r>
      <w:r>
        <w:rPr>
          <w:rFonts w:hint="eastAsia" w:ascii="仿宋_GB2312" w:hAnsi="仿宋_GB2312" w:cs="仿宋_GB2312"/>
          <w:szCs w:val="32"/>
          <w:highlight w:val="none"/>
          <w:lang w:val="en-US" w:eastAsia="zh-CN"/>
        </w:rPr>
        <w:t>.</w:t>
      </w:r>
      <w:r>
        <w:rPr>
          <w:rFonts w:hint="eastAsia" w:ascii="仿宋_GB2312" w:hAnsi="仿宋_GB2312" w:cs="仿宋_GB2312"/>
          <w:szCs w:val="32"/>
          <w:highlight w:val="none"/>
          <w:lang w:val="en-US"/>
        </w:rPr>
        <w:t>6万元，年中</w:t>
      </w:r>
      <w:r>
        <w:rPr>
          <w:rFonts w:hint="eastAsia" w:ascii="仿宋_GB2312" w:hAnsi="仿宋_GB2312" w:cs="仿宋_GB2312"/>
          <w:szCs w:val="32"/>
          <w:highlight w:val="none"/>
          <w:lang w:val="en-US" w:eastAsia="zh-CN"/>
        </w:rPr>
        <w:t>未进行</w:t>
      </w:r>
      <w:r>
        <w:rPr>
          <w:rFonts w:hint="eastAsia" w:ascii="仿宋_GB2312" w:hAnsi="仿宋_GB2312" w:cs="仿宋_GB2312"/>
          <w:szCs w:val="32"/>
          <w:highlight w:val="none"/>
          <w:lang w:val="en-US"/>
        </w:rPr>
        <w:t>调</w:t>
      </w:r>
      <w:r>
        <w:rPr>
          <w:rFonts w:hint="eastAsia" w:ascii="仿宋_GB2312" w:hAnsi="仿宋_GB2312" w:cs="仿宋_GB2312"/>
          <w:szCs w:val="32"/>
          <w:highlight w:val="none"/>
          <w:lang w:val="en-US" w:eastAsia="zh-CN"/>
        </w:rPr>
        <w:t>增或调</w:t>
      </w:r>
      <w:r>
        <w:rPr>
          <w:rFonts w:hint="eastAsia" w:ascii="仿宋_GB2312" w:hAnsi="仿宋_GB2312" w:cs="仿宋_GB2312"/>
          <w:szCs w:val="32"/>
          <w:highlight w:val="none"/>
          <w:lang w:val="en-US"/>
        </w:rPr>
        <w:t>减，全年预算5</w:t>
      </w:r>
      <w:r>
        <w:rPr>
          <w:rFonts w:hint="eastAsia" w:ascii="仿宋_GB2312" w:hAnsi="仿宋_GB2312" w:cs="仿宋_GB2312"/>
          <w:szCs w:val="32"/>
          <w:highlight w:val="none"/>
          <w:lang w:val="en-US" w:eastAsia="zh-CN"/>
        </w:rPr>
        <w:t>,</w:t>
      </w:r>
      <w:r>
        <w:rPr>
          <w:rFonts w:hint="eastAsia" w:ascii="仿宋_GB2312" w:hAnsi="仿宋_GB2312" w:cs="仿宋_GB2312"/>
          <w:szCs w:val="32"/>
          <w:highlight w:val="none"/>
          <w:lang w:val="en-US"/>
        </w:rPr>
        <w:t>670</w:t>
      </w:r>
      <w:r>
        <w:rPr>
          <w:rFonts w:hint="eastAsia" w:ascii="仿宋_GB2312" w:hAnsi="仿宋_GB2312" w:cs="仿宋_GB2312"/>
          <w:szCs w:val="32"/>
          <w:highlight w:val="none"/>
          <w:lang w:val="en-US" w:eastAsia="zh-CN"/>
        </w:rPr>
        <w:t>.</w:t>
      </w:r>
      <w:r>
        <w:rPr>
          <w:rFonts w:hint="eastAsia" w:ascii="仿宋_GB2312" w:hAnsi="仿宋_GB2312" w:cs="仿宋_GB2312"/>
          <w:szCs w:val="32"/>
          <w:highlight w:val="none"/>
          <w:lang w:val="en-US"/>
        </w:rPr>
        <w:t>6万元，预算下达5</w:t>
      </w:r>
      <w:r>
        <w:rPr>
          <w:rFonts w:hint="eastAsia" w:ascii="仿宋_GB2312" w:hAnsi="仿宋_GB2312" w:cs="仿宋_GB2312"/>
          <w:szCs w:val="32"/>
          <w:highlight w:val="none"/>
          <w:lang w:val="en-US" w:eastAsia="zh-CN"/>
        </w:rPr>
        <w:t>,</w:t>
      </w:r>
      <w:r>
        <w:rPr>
          <w:rFonts w:hint="eastAsia" w:ascii="仿宋_GB2312" w:hAnsi="仿宋_GB2312" w:cs="仿宋_GB2312"/>
          <w:szCs w:val="32"/>
          <w:highlight w:val="none"/>
          <w:lang w:val="en-US"/>
        </w:rPr>
        <w:t>670</w:t>
      </w:r>
      <w:r>
        <w:rPr>
          <w:rFonts w:hint="eastAsia" w:ascii="仿宋_GB2312" w:hAnsi="仿宋_GB2312" w:cs="仿宋_GB2312"/>
          <w:szCs w:val="32"/>
          <w:highlight w:val="none"/>
          <w:lang w:val="en-US" w:eastAsia="zh-CN"/>
        </w:rPr>
        <w:t>.</w:t>
      </w:r>
      <w:r>
        <w:rPr>
          <w:rFonts w:hint="eastAsia" w:ascii="仿宋_GB2312" w:hAnsi="仿宋_GB2312" w:cs="仿宋_GB2312"/>
          <w:szCs w:val="32"/>
          <w:highlight w:val="none"/>
          <w:lang w:val="en-US"/>
        </w:rPr>
        <w:t>6万元，资金到位率100%。全年</w:t>
      </w:r>
      <w:r>
        <w:rPr>
          <w:rFonts w:hint="eastAsia" w:ascii="仿宋_GB2312" w:hAnsi="仿宋_GB2312" w:cs="仿宋_GB2312"/>
          <w:szCs w:val="32"/>
          <w:highlight w:val="none"/>
          <w:lang w:val="en-US" w:eastAsia="zh-CN"/>
        </w:rPr>
        <w:t>实际</w:t>
      </w:r>
      <w:r>
        <w:rPr>
          <w:rFonts w:hint="eastAsia" w:ascii="仿宋_GB2312" w:hAnsi="仿宋_GB2312" w:cs="仿宋_GB2312"/>
          <w:szCs w:val="32"/>
          <w:highlight w:val="none"/>
          <w:lang w:val="en-US"/>
        </w:rPr>
        <w:t>支出</w:t>
      </w:r>
      <w:r>
        <w:rPr>
          <w:rFonts w:hint="eastAsia" w:ascii="仿宋_GB2312" w:hAnsi="仿宋_GB2312" w:cs="仿宋_GB2312"/>
          <w:szCs w:val="32"/>
          <w:highlight w:val="none"/>
          <w:lang w:val="en-US" w:eastAsia="zh-CN"/>
        </w:rPr>
        <w:t>5,548.41</w:t>
      </w:r>
      <w:r>
        <w:rPr>
          <w:rFonts w:hint="eastAsia" w:ascii="仿宋_GB2312" w:hAnsi="仿宋_GB2312" w:cs="仿宋_GB2312"/>
          <w:szCs w:val="32"/>
          <w:highlight w:val="none"/>
          <w:lang w:val="en-US"/>
        </w:rPr>
        <w:t>万元</w:t>
      </w:r>
      <w:r>
        <w:rPr>
          <w:rFonts w:hint="eastAsia" w:ascii="仿宋_GB2312" w:hAnsi="仿宋_GB2312" w:cs="仿宋_GB2312"/>
          <w:szCs w:val="32"/>
          <w:highlight w:val="none"/>
        </w:rPr>
        <w:t>，</w:t>
      </w:r>
      <w:r>
        <w:rPr>
          <w:rFonts w:hint="eastAsia" w:ascii="仿宋_GB2312" w:hAnsi="仿宋_GB2312" w:cs="仿宋_GB2312"/>
          <w:szCs w:val="32"/>
          <w:highlight w:val="none"/>
          <w:lang w:val="en-US"/>
        </w:rPr>
        <w:t>预算执行率为9</w:t>
      </w:r>
      <w:r>
        <w:rPr>
          <w:rFonts w:hint="eastAsia" w:ascii="仿宋_GB2312" w:hAnsi="仿宋_GB2312" w:cs="仿宋_GB2312"/>
          <w:szCs w:val="32"/>
          <w:highlight w:val="none"/>
          <w:lang w:val="en-US" w:eastAsia="zh-CN"/>
        </w:rPr>
        <w:t>7.8</w:t>
      </w:r>
      <w:r>
        <w:rPr>
          <w:rFonts w:hint="eastAsia" w:ascii="仿宋_GB2312" w:hAnsi="仿宋_GB2312" w:cs="仿宋_GB2312"/>
          <w:szCs w:val="32"/>
          <w:highlight w:val="none"/>
          <w:lang w:val="en-US"/>
        </w:rPr>
        <w:t>5%，各二级项目资金投入和使用情况详见表</w:t>
      </w:r>
      <w:r>
        <w:rPr>
          <w:rFonts w:hint="eastAsia" w:ascii="仿宋_GB2312" w:hAnsi="仿宋_GB2312" w:cs="仿宋_GB2312"/>
          <w:szCs w:val="32"/>
          <w:highlight w:val="none"/>
          <w:lang w:val="en-US" w:eastAsia="zh-CN"/>
        </w:rPr>
        <w:t>1</w:t>
      </w:r>
      <w:r>
        <w:rPr>
          <w:rFonts w:hint="eastAsia" w:ascii="仿宋_GB2312" w:hAnsi="仿宋_GB2312" w:cs="仿宋_GB2312"/>
          <w:szCs w:val="32"/>
          <w:highlight w:val="none"/>
          <w:lang w:val="en-US"/>
        </w:rPr>
        <w:t>。</w:t>
      </w:r>
    </w:p>
    <w:p>
      <w:pPr>
        <w:pStyle w:val="65"/>
        <w:spacing w:before="0" w:after="0" w:line="579" w:lineRule="exact"/>
        <w:rPr>
          <w:rFonts w:ascii="仿宋_GB2312" w:hAnsi="仿宋_GB2312" w:eastAsia="仿宋_GB2312" w:cs="仿宋_GB2312"/>
          <w:b w:val="0"/>
          <w:bCs/>
          <w:highlight w:val="none"/>
          <w:lang w:val="de-CH"/>
        </w:rPr>
      </w:pPr>
      <w:r>
        <w:rPr>
          <w:rFonts w:hint="eastAsia" w:ascii="仿宋_GB2312" w:hAnsi="仿宋_GB2312" w:eastAsia="仿宋_GB2312" w:cs="仿宋_GB2312"/>
          <w:b w:val="0"/>
          <w:bCs/>
          <w:highlight w:val="none"/>
          <w:lang w:val="de-CH"/>
        </w:rPr>
        <w:t>表</w:t>
      </w:r>
      <w:r>
        <w:rPr>
          <w:rFonts w:hint="eastAsia" w:ascii="仿宋_GB2312" w:hAnsi="仿宋_GB2312" w:eastAsia="仿宋_GB2312" w:cs="仿宋_GB2312"/>
          <w:b w:val="0"/>
          <w:bCs/>
          <w:highlight w:val="none"/>
        </w:rPr>
        <w:t>1</w:t>
      </w:r>
      <w:r>
        <w:rPr>
          <w:rFonts w:hint="eastAsia" w:ascii="仿宋_GB2312" w:hAnsi="仿宋_GB2312" w:eastAsia="仿宋_GB2312" w:cs="仿宋_GB2312"/>
          <w:b w:val="0"/>
          <w:bCs/>
          <w:highlight w:val="none"/>
          <w:lang w:val="de-CH"/>
        </w:rPr>
        <w:t xml:space="preserve">  </w:t>
      </w:r>
      <w:r>
        <w:rPr>
          <w:rFonts w:hint="eastAsia" w:ascii="仿宋_GB2312" w:hAnsi="仿宋_GB2312" w:eastAsia="仿宋_GB2312" w:cs="仿宋_GB2312"/>
          <w:b w:val="0"/>
          <w:bCs/>
          <w:highlight w:val="none"/>
          <w:lang w:val="en-US" w:eastAsia="zh-CN"/>
        </w:rPr>
        <w:t>本项目资金投入和使用情况</w:t>
      </w:r>
      <w:r>
        <w:rPr>
          <w:rFonts w:hint="eastAsia" w:ascii="仿宋_GB2312" w:hAnsi="仿宋_GB2312" w:eastAsia="仿宋_GB2312" w:cs="仿宋_GB2312"/>
          <w:b w:val="0"/>
          <w:bCs/>
          <w:highlight w:val="none"/>
          <w:lang w:val="de-CH"/>
        </w:rPr>
        <w:t>表</w:t>
      </w:r>
    </w:p>
    <w:p>
      <w:pPr>
        <w:pStyle w:val="65"/>
        <w:keepNext w:val="0"/>
        <w:keepLines w:val="0"/>
        <w:pageBreakBefore w:val="0"/>
        <w:widowControl w:val="0"/>
        <w:kinsoku/>
        <w:wordWrap/>
        <w:overflowPunct/>
        <w:topLinePunct w:val="0"/>
        <w:autoSpaceDE/>
        <w:autoSpaceDN/>
        <w:bidi w:val="0"/>
        <w:adjustRightInd/>
        <w:snapToGrid/>
        <w:spacing w:before="0" w:after="0" w:line="579" w:lineRule="exact"/>
        <w:jc w:val="right"/>
        <w:textAlignment w:val="auto"/>
        <w:outlineLvl w:val="9"/>
        <w:rPr>
          <w:rFonts w:ascii="仿宋_GB2312" w:hAnsi="仿宋_GB2312" w:eastAsia="仿宋_GB2312" w:cs="仿宋_GB2312"/>
          <w:b w:val="0"/>
          <w:bCs/>
          <w:highlight w:val="none"/>
          <w:lang w:val="de-CH"/>
        </w:rPr>
      </w:pPr>
      <w:r>
        <w:rPr>
          <w:rFonts w:hint="eastAsia" w:ascii="仿宋_GB2312" w:hAnsi="仿宋_GB2312" w:eastAsia="仿宋_GB2312" w:cs="仿宋_GB2312"/>
          <w:b w:val="0"/>
          <w:bCs/>
          <w:highlight w:val="none"/>
          <w:lang w:val="en-US" w:eastAsia="zh-CN"/>
        </w:rPr>
        <w:t>单位</w:t>
      </w:r>
      <w:r>
        <w:rPr>
          <w:rFonts w:hint="eastAsia" w:ascii="仿宋_GB2312" w:hAnsi="仿宋_GB2312" w:eastAsia="仿宋_GB2312" w:cs="仿宋_GB2312"/>
          <w:b w:val="0"/>
          <w:bCs/>
          <w:highlight w:val="none"/>
          <w:lang w:val="de-CH"/>
        </w:rPr>
        <w:t>:万元</w:t>
      </w:r>
    </w:p>
    <w:tbl>
      <w:tblPr>
        <w:tblStyle w:val="20"/>
        <w:tblW w:w="949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61"/>
        <w:gridCol w:w="2712"/>
        <w:gridCol w:w="1188"/>
        <w:gridCol w:w="1320"/>
        <w:gridCol w:w="1488"/>
        <w:gridCol w:w="15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0" w:hRule="atLeast"/>
          <w:tblHeader/>
          <w:jc w:val="center"/>
        </w:trPr>
        <w:tc>
          <w:tcPr>
            <w:tcW w:w="1261" w:type="dxa"/>
            <w:tcBorders>
              <w:tl2br w:val="nil"/>
              <w:tr2bl w:val="nil"/>
            </w:tcBorders>
            <w:shd w:val="clear" w:color="DDEBF7" w:fill="auto"/>
            <w:noWrap/>
            <w:vAlign w:val="center"/>
          </w:tcPr>
          <w:p>
            <w:pPr>
              <w:widowControl/>
              <w:spacing w:line="360" w:lineRule="auto"/>
              <w:jc w:val="center"/>
              <w:textAlignment w:val="center"/>
              <w:rPr>
                <w:rFonts w:hint="default" w:ascii="仿宋_GB2312" w:hAnsi="仿宋_GB2312" w:eastAsia="仿宋_GB2312" w:cs="仿宋_GB2312"/>
                <w:b/>
                <w:bCs/>
                <w:color w:val="000000"/>
                <w:highlight w:val="none"/>
                <w:lang w:val="en-US" w:eastAsia="zh-CN"/>
              </w:rPr>
            </w:pPr>
            <w:r>
              <w:rPr>
                <w:rFonts w:hint="eastAsia" w:ascii="仿宋_GB2312" w:hAnsi="仿宋_GB2312" w:eastAsia="仿宋_GB2312" w:cs="仿宋_GB2312"/>
                <w:b/>
                <w:bCs/>
                <w:color w:val="000000"/>
                <w:highlight w:val="none"/>
                <w:lang w:val="en-US" w:eastAsia="zh-CN"/>
              </w:rPr>
              <w:t>项目实施单位/处室名称</w:t>
            </w:r>
          </w:p>
        </w:tc>
        <w:tc>
          <w:tcPr>
            <w:tcW w:w="2712" w:type="dxa"/>
            <w:tcBorders>
              <w:tl2br w:val="nil"/>
              <w:tr2bl w:val="nil"/>
            </w:tcBorders>
            <w:shd w:val="clear" w:color="DDEBF7" w:fill="auto"/>
            <w:noWrap/>
            <w:vAlign w:val="center"/>
          </w:tcPr>
          <w:p>
            <w:pPr>
              <w:widowControl/>
              <w:spacing w:line="360" w:lineRule="auto"/>
              <w:jc w:val="center"/>
              <w:textAlignment w:val="center"/>
              <w:rPr>
                <w:rFonts w:ascii="仿宋_GB2312" w:hAnsi="仿宋_GB2312" w:eastAsia="仿宋_GB2312" w:cs="仿宋_GB2312"/>
                <w:b/>
                <w:bCs/>
                <w:color w:val="000000"/>
                <w:highlight w:val="none"/>
              </w:rPr>
            </w:pPr>
            <w:r>
              <w:rPr>
                <w:rFonts w:hint="eastAsia" w:ascii="仿宋_GB2312" w:hAnsi="仿宋_GB2312" w:eastAsia="仿宋_GB2312" w:cs="仿宋_GB2312"/>
                <w:b/>
                <w:bCs/>
                <w:color w:val="000000"/>
                <w:highlight w:val="none"/>
              </w:rPr>
              <w:t>二级项目名称</w:t>
            </w:r>
          </w:p>
        </w:tc>
        <w:tc>
          <w:tcPr>
            <w:tcW w:w="1188" w:type="dxa"/>
            <w:tcBorders>
              <w:tl2br w:val="nil"/>
              <w:tr2bl w:val="nil"/>
            </w:tcBorders>
            <w:shd w:val="clear" w:color="DDEBF7" w:fill="auto"/>
            <w:noWrap/>
            <w:vAlign w:val="center"/>
          </w:tcPr>
          <w:p>
            <w:pPr>
              <w:widowControl/>
              <w:spacing w:line="360" w:lineRule="auto"/>
              <w:jc w:val="center"/>
              <w:textAlignment w:val="center"/>
              <w:rPr>
                <w:rFonts w:hint="default" w:ascii="仿宋_GB2312" w:hAnsi="仿宋_GB2312" w:eastAsia="仿宋_GB2312" w:cs="仿宋_GB2312"/>
                <w:b/>
                <w:bCs/>
                <w:color w:val="000000"/>
                <w:highlight w:val="none"/>
                <w:lang w:val="en-US" w:eastAsia="zh-CN"/>
              </w:rPr>
            </w:pPr>
            <w:r>
              <w:rPr>
                <w:rFonts w:hint="default" w:ascii="仿宋_GB2312" w:hAnsi="仿宋_GB2312" w:eastAsia="仿宋_GB2312" w:cs="仿宋_GB2312"/>
                <w:b/>
                <w:bCs/>
                <w:color w:val="000000"/>
                <w:highlight w:val="none"/>
                <w:lang w:val="en-US" w:eastAsia="zh-CN"/>
              </w:rPr>
              <w:t>年初预算</w:t>
            </w:r>
          </w:p>
        </w:tc>
        <w:tc>
          <w:tcPr>
            <w:tcW w:w="1320" w:type="dxa"/>
            <w:tcBorders>
              <w:tl2br w:val="nil"/>
              <w:tr2bl w:val="nil"/>
            </w:tcBorders>
            <w:shd w:val="clear" w:color="DDEBF7" w:fill="auto"/>
            <w:noWrap/>
            <w:vAlign w:val="center"/>
          </w:tcPr>
          <w:p>
            <w:pPr>
              <w:widowControl/>
              <w:spacing w:line="360" w:lineRule="auto"/>
              <w:jc w:val="center"/>
              <w:textAlignment w:val="center"/>
              <w:rPr>
                <w:rFonts w:ascii="仿宋_GB2312" w:hAnsi="仿宋_GB2312" w:eastAsia="仿宋_GB2312" w:cs="仿宋_GB2312"/>
                <w:b/>
                <w:bCs/>
                <w:color w:val="000000"/>
                <w:highlight w:val="none"/>
              </w:rPr>
            </w:pPr>
            <w:r>
              <w:rPr>
                <w:rFonts w:hint="eastAsia" w:ascii="仿宋_GB2312" w:hAnsi="仿宋_GB2312" w:eastAsia="仿宋_GB2312" w:cs="仿宋_GB2312"/>
                <w:b/>
                <w:bCs/>
                <w:color w:val="000000"/>
                <w:kern w:val="0"/>
                <w:highlight w:val="none"/>
                <w:lang w:bidi="ar"/>
              </w:rPr>
              <w:t>全年预算</w:t>
            </w:r>
          </w:p>
        </w:tc>
        <w:tc>
          <w:tcPr>
            <w:tcW w:w="1488" w:type="dxa"/>
            <w:tcBorders>
              <w:tl2br w:val="nil"/>
              <w:tr2bl w:val="nil"/>
            </w:tcBorders>
            <w:shd w:val="clear" w:color="DDEBF7" w:fill="auto"/>
            <w:noWrap/>
            <w:vAlign w:val="center"/>
          </w:tcPr>
          <w:p>
            <w:pPr>
              <w:widowControl/>
              <w:spacing w:line="360" w:lineRule="auto"/>
              <w:jc w:val="center"/>
              <w:textAlignment w:val="center"/>
              <w:rPr>
                <w:rFonts w:ascii="仿宋_GB2312" w:hAnsi="仿宋_GB2312" w:eastAsia="仿宋_GB2312" w:cs="仿宋_GB2312"/>
                <w:b/>
                <w:bCs/>
                <w:color w:val="000000"/>
                <w:highlight w:val="none"/>
              </w:rPr>
            </w:pPr>
            <w:r>
              <w:rPr>
                <w:rFonts w:hint="eastAsia" w:ascii="仿宋_GB2312" w:hAnsi="仿宋_GB2312" w:eastAsia="仿宋_GB2312" w:cs="仿宋_GB2312"/>
                <w:b/>
                <w:bCs/>
                <w:color w:val="000000"/>
                <w:kern w:val="0"/>
                <w:highlight w:val="none"/>
                <w:lang w:bidi="ar"/>
              </w:rPr>
              <w:t>全年</w:t>
            </w:r>
            <w:r>
              <w:rPr>
                <w:rFonts w:hint="eastAsia" w:ascii="仿宋_GB2312" w:hAnsi="仿宋_GB2312" w:eastAsia="仿宋_GB2312" w:cs="仿宋_GB2312"/>
                <w:b/>
                <w:bCs/>
                <w:color w:val="000000"/>
                <w:kern w:val="0"/>
                <w:highlight w:val="none"/>
                <w:lang w:val="en-US" w:eastAsia="zh-CN" w:bidi="ar"/>
              </w:rPr>
              <w:t>实际</w:t>
            </w:r>
            <w:r>
              <w:rPr>
                <w:rFonts w:hint="eastAsia" w:ascii="仿宋_GB2312" w:hAnsi="仿宋_GB2312" w:eastAsia="仿宋_GB2312" w:cs="仿宋_GB2312"/>
                <w:b/>
                <w:bCs/>
                <w:color w:val="000000"/>
                <w:kern w:val="0"/>
                <w:highlight w:val="none"/>
                <w:lang w:bidi="ar"/>
              </w:rPr>
              <w:t>支出</w:t>
            </w:r>
          </w:p>
        </w:tc>
        <w:tc>
          <w:tcPr>
            <w:tcW w:w="1525" w:type="dxa"/>
            <w:tcBorders>
              <w:tl2br w:val="nil"/>
              <w:tr2bl w:val="nil"/>
            </w:tcBorders>
            <w:shd w:val="clear" w:color="DDEBF7" w:fill="auto"/>
            <w:noWrap/>
            <w:vAlign w:val="center"/>
          </w:tcPr>
          <w:p>
            <w:pPr>
              <w:widowControl/>
              <w:spacing w:line="360" w:lineRule="auto"/>
              <w:jc w:val="center"/>
              <w:textAlignment w:val="center"/>
              <w:rPr>
                <w:rFonts w:ascii="仿宋_GB2312" w:hAnsi="仿宋_GB2312" w:eastAsia="仿宋_GB2312" w:cs="仿宋_GB2312"/>
                <w:b/>
                <w:bCs/>
                <w:color w:val="000000"/>
                <w:highlight w:val="none"/>
              </w:rPr>
            </w:pPr>
            <w:r>
              <w:rPr>
                <w:rFonts w:hint="eastAsia" w:ascii="仿宋_GB2312" w:hAnsi="仿宋_GB2312" w:eastAsia="仿宋_GB2312" w:cs="仿宋_GB2312"/>
                <w:b/>
                <w:bCs/>
                <w:color w:val="000000"/>
                <w:kern w:val="0"/>
                <w:highlight w:val="none"/>
                <w:lang w:val="en-US" w:eastAsia="zh-CN" w:bidi="ar"/>
              </w:rPr>
              <w:t>预算</w:t>
            </w:r>
            <w:r>
              <w:rPr>
                <w:rFonts w:hint="eastAsia" w:ascii="仿宋_GB2312" w:hAnsi="仿宋_GB2312" w:eastAsia="仿宋_GB2312" w:cs="仿宋_GB2312"/>
                <w:b/>
                <w:bCs/>
                <w:color w:val="000000"/>
                <w:kern w:val="0"/>
                <w:highlight w:val="none"/>
                <w:lang w:bidi="ar"/>
              </w:rPr>
              <w:t>执行率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restart"/>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bCs/>
                <w:sz w:val="21"/>
                <w:szCs w:val="21"/>
                <w:highlight w:val="none"/>
                <w:lang w:val="en-US" w:eastAsia="zh-CN"/>
              </w:rPr>
            </w:pPr>
            <w:r>
              <w:rPr>
                <w:rFonts w:hint="eastAsia" w:ascii="仿宋_GB2312" w:hAnsi="仿宋_GB2312" w:eastAsia="仿宋_GB2312" w:cs="仿宋_GB2312"/>
                <w:b/>
                <w:bCs/>
                <w:sz w:val="21"/>
                <w:szCs w:val="21"/>
                <w:highlight w:val="none"/>
                <w:lang w:val="en-US" w:eastAsia="zh-CN"/>
              </w:rPr>
              <w:t>质安处</w:t>
            </w: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《深圳市建筑施工专用机动车辆安全监督管理办法》编制</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kern w:val="2"/>
                <w:sz w:val="21"/>
                <w:szCs w:val="21"/>
                <w:u w:val="none"/>
                <w:lang w:val="en-US" w:eastAsia="zh-CN" w:bidi="ar-SA"/>
              </w:rPr>
            </w:pPr>
            <w:r>
              <w:rPr>
                <w:rFonts w:hint="eastAsia" w:ascii="仿宋_GB2312" w:hAnsi="仿宋_GB2312" w:eastAsia="仿宋_GB2312" w:cs="仿宋_GB2312"/>
                <w:i w:val="0"/>
                <w:iCs w:val="0"/>
                <w:color w:val="000000"/>
                <w:kern w:val="0"/>
                <w:sz w:val="21"/>
                <w:szCs w:val="21"/>
                <w:u w:val="none"/>
                <w:lang w:val="en-US" w:eastAsia="zh-CN" w:bidi="ar"/>
              </w:rPr>
              <w:t>20.00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20.00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19.81</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99.06%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bCs/>
                <w:color w:val="000000"/>
                <w:sz w:val="21"/>
                <w:szCs w:val="21"/>
                <w:highlight w:val="none"/>
                <w:lang w:val="en-US" w:eastAsia="zh-CN"/>
              </w:rPr>
            </w:pPr>
            <w:bookmarkStart w:id="4" w:name="_Toc64647744"/>
            <w:bookmarkStart w:id="5" w:name="_Toc30219"/>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工程质量安全第三方巡查</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159.00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159.00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159.00</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default" w:ascii="仿宋_GB2312" w:hAnsi="仿宋_GB2312" w:eastAsia="仿宋_GB2312" w:cs="仿宋_GB2312"/>
                <w:b/>
                <w:bCs/>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质量安全监督</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100.00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100.00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97.92</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97.92%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restart"/>
            <w:tcBorders>
              <w:tl2br w:val="nil"/>
              <w:tr2bl w:val="nil"/>
            </w:tcBorders>
            <w:shd w:val="clear" w:color="auto" w:fill="auto"/>
            <w:noWrap/>
            <w:vAlign w:val="center"/>
          </w:tcPr>
          <w:p>
            <w:pPr>
              <w:widowControl/>
              <w:jc w:val="center"/>
              <w:textAlignment w:val="center"/>
              <w:rPr>
                <w:rFonts w:hint="default" w:ascii="仿宋_GB2312" w:hAnsi="仿宋_GB2312" w:eastAsia="仿宋_GB2312" w:cs="仿宋_GB2312"/>
                <w:b/>
                <w:bCs/>
                <w:color w:val="000000"/>
                <w:sz w:val="21"/>
                <w:szCs w:val="21"/>
                <w:highlight w:val="none"/>
                <w:lang w:val="en-US" w:eastAsia="zh-CN"/>
              </w:rPr>
            </w:pPr>
            <w:r>
              <w:rPr>
                <w:rFonts w:hint="eastAsia" w:ascii="仿宋_GB2312" w:hAnsi="仿宋_GB2312" w:eastAsia="仿宋_GB2312" w:cs="仿宋_GB2312"/>
                <w:b/>
                <w:bCs/>
                <w:color w:val="000000"/>
                <w:sz w:val="21"/>
                <w:szCs w:val="21"/>
                <w:highlight w:val="none"/>
                <w:lang w:val="en-US" w:eastAsia="zh-CN"/>
              </w:rPr>
              <w:t>建筑站</w:t>
            </w: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第三方巡检</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382.00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382.00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382.00</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工程质量安全监督执法检查</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326.00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326.00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302.98</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92.94%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工程质量安全监督综合管理</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438.00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438.00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436.04</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99.55%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基层党组织活动经费</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21.00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21.00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10.25</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48.81%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建筑起重机械监督抽检</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285.00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285.00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284.43</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99.80%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建筑起重机械特种作业人员专项培训</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58.00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58.00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58.00</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深基坑和高边坡监测数据信息监管</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88.00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88.00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88.00</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市政工程项目建筑废弃物排放监督管理第三方巡查服务</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50.00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50.00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48.80</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97.60%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执法监督抽检</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965.00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965.00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964.05</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99.90%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执法巡检</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267.00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267.00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267.00</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restart"/>
            <w:tcBorders>
              <w:tl2br w:val="nil"/>
              <w:tr2bl w:val="nil"/>
            </w:tcBorders>
            <w:shd w:val="clear" w:color="auto" w:fill="auto"/>
            <w:noWrap/>
            <w:vAlign w:val="center"/>
          </w:tcPr>
          <w:p>
            <w:pPr>
              <w:widowControl/>
              <w:jc w:val="center"/>
              <w:textAlignment w:val="center"/>
              <w:rPr>
                <w:rFonts w:hint="default" w:ascii="仿宋_GB2312" w:hAnsi="仿宋_GB2312" w:eastAsia="仿宋_GB2312" w:cs="仿宋_GB2312"/>
                <w:b w:val="0"/>
                <w:bCs w:val="0"/>
                <w:color w:val="000000"/>
                <w:sz w:val="21"/>
                <w:szCs w:val="21"/>
                <w:highlight w:val="none"/>
                <w:lang w:val="en-US" w:eastAsia="zh-CN"/>
              </w:rPr>
            </w:pPr>
            <w:r>
              <w:rPr>
                <w:rFonts w:hint="eastAsia" w:ascii="仿宋_GB2312" w:hAnsi="仿宋_GB2312" w:eastAsia="仿宋_GB2312" w:cs="仿宋_GB2312"/>
                <w:b/>
                <w:bCs/>
                <w:color w:val="000000"/>
                <w:sz w:val="21"/>
                <w:szCs w:val="21"/>
                <w:highlight w:val="none"/>
                <w:lang w:val="en-US" w:eastAsia="zh-CN"/>
              </w:rPr>
              <w:t>市政站</w:t>
            </w: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安全宣传普及教育</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47.00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47.00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42.84</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91.15%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办公设备购置</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6.00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6.00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6.00</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标准化执法管理</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47.00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47.00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40.10</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85.32%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城际铁路工程建筑起重机械监督抽检</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114.00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114.00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112.86</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99.00%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城际铁路工程建筑起重机械前置审查</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88.00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88.00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87.90</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99.89%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城际铁路工程施工现场专项检测</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144.00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144.00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143.50</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99.65%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城际铁路工程质量、安全第三方巡查</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211.00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211.00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175.10</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82.99%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城际铁路工程质量、安全技术监管</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252.00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252.00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251.51</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99.80%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轨道交通综合管理</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107.00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107.00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105.79</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98.87%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建筑工人岗位安全培训教育</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249.00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249.00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242.78</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97.50%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建筑起重机械监督抽检</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108.00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108.00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108.00</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全国安全月宣传教育</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8.94</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99.33%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施工安全监督</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231.00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231.00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226.44</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98.02%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施工现场专项检测</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188.00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188.00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187.80</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99.89%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施工现场专项检查</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95.00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95.00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94.90</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99.90%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市政工程项目建筑废弃物排放监督管理第三方巡查服务</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50.00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50.00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49.80</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99.60%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市政工程质量、安全第三方巡查</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223.00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223.00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204.99</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91.92%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市政工程质量、安全技术监管</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266.00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266.00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265.38</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99.77%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税金及附加费用</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19.60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19.60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19.51</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99.53%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信息网络及软件购置更新</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57.00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57.00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55.98</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98.21%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3973" w:type="dxa"/>
            <w:gridSpan w:val="2"/>
            <w:tcBorders>
              <w:tl2br w:val="nil"/>
              <w:tr2bl w:val="nil"/>
            </w:tcBorders>
            <w:shd w:val="clear" w:color="auto" w:fill="auto"/>
            <w:noWrap/>
            <w:vAlign w:val="center"/>
          </w:tcPr>
          <w:p>
            <w:pPr>
              <w:widowControl/>
              <w:jc w:val="center"/>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b/>
                <w:bCs/>
                <w:color w:val="000000"/>
                <w:kern w:val="0"/>
                <w:sz w:val="21"/>
                <w:szCs w:val="21"/>
                <w:highlight w:val="none"/>
                <w:lang w:val="en-US" w:eastAsia="zh-CN" w:bidi="ar"/>
              </w:rPr>
              <w:t>合计</w:t>
            </w:r>
          </w:p>
        </w:tc>
        <w:tc>
          <w:tcPr>
            <w:tcW w:w="1188" w:type="dxa"/>
            <w:tcBorders>
              <w:tl2br w:val="nil"/>
              <w:tr2bl w:val="nil"/>
            </w:tcBorders>
            <w:shd w:val="clear" w:color="auto" w:fill="auto"/>
            <w:noWrap/>
            <w:vAlign w:val="center"/>
          </w:tcPr>
          <w:p>
            <w:pPr>
              <w:widowControl/>
              <w:jc w:val="right"/>
              <w:textAlignment w:val="center"/>
              <w:rPr>
                <w:rFonts w:hint="eastAsia" w:ascii="仿宋_GB2312" w:hAnsi="仿宋_GB2312" w:cs="仿宋_GB2312" w:eastAsiaTheme="minorEastAsia"/>
                <w:b/>
                <w:bCs/>
                <w:color w:val="000000"/>
                <w:kern w:val="0"/>
                <w:sz w:val="21"/>
                <w:szCs w:val="21"/>
                <w:highlight w:val="none"/>
                <w:lang w:val="en-US" w:eastAsia="zh-CN" w:bidi="ar"/>
              </w:rPr>
            </w:pPr>
            <w:r>
              <w:rPr>
                <w:rFonts w:hint="eastAsia" w:ascii="仿宋_GB2312" w:hAnsi="仿宋_GB2312" w:cs="仿宋_GB2312"/>
                <w:b/>
                <w:bCs/>
                <w:szCs w:val="32"/>
                <w:highlight w:val="none"/>
                <w:lang w:val="en-US"/>
              </w:rPr>
              <w:t>5</w:t>
            </w:r>
            <w:r>
              <w:rPr>
                <w:rFonts w:hint="eastAsia" w:ascii="仿宋_GB2312" w:hAnsi="仿宋_GB2312" w:cs="仿宋_GB2312"/>
                <w:b/>
                <w:bCs/>
                <w:szCs w:val="32"/>
                <w:highlight w:val="none"/>
                <w:lang w:val="en-US" w:eastAsia="zh-CN"/>
              </w:rPr>
              <w:t>,</w:t>
            </w:r>
            <w:r>
              <w:rPr>
                <w:rFonts w:hint="eastAsia" w:ascii="仿宋_GB2312" w:hAnsi="仿宋_GB2312" w:cs="仿宋_GB2312"/>
                <w:b/>
                <w:bCs/>
                <w:szCs w:val="32"/>
                <w:highlight w:val="none"/>
                <w:lang w:val="en-US"/>
              </w:rPr>
              <w:t>670</w:t>
            </w:r>
            <w:r>
              <w:rPr>
                <w:rFonts w:hint="eastAsia" w:ascii="仿宋_GB2312" w:hAnsi="仿宋_GB2312" w:cs="仿宋_GB2312"/>
                <w:b/>
                <w:bCs/>
                <w:szCs w:val="32"/>
                <w:highlight w:val="none"/>
                <w:lang w:val="en-US" w:eastAsia="zh-CN"/>
              </w:rPr>
              <w:t>.</w:t>
            </w:r>
            <w:r>
              <w:rPr>
                <w:rFonts w:hint="eastAsia" w:ascii="仿宋_GB2312" w:hAnsi="仿宋_GB2312" w:cs="仿宋_GB2312"/>
                <w:b/>
                <w:bCs/>
                <w:szCs w:val="32"/>
                <w:highlight w:val="none"/>
                <w:lang w:val="en-US"/>
              </w:rPr>
              <w:t>6</w:t>
            </w:r>
            <w:r>
              <w:rPr>
                <w:rFonts w:hint="eastAsia" w:ascii="仿宋_GB2312" w:hAnsi="仿宋_GB2312" w:cs="仿宋_GB2312"/>
                <w:b/>
                <w:bCs/>
                <w:szCs w:val="32"/>
                <w:highlight w:val="none"/>
                <w:lang w:val="en-US" w:eastAsia="zh-CN"/>
              </w:rPr>
              <w:t>0</w:t>
            </w:r>
          </w:p>
        </w:tc>
        <w:tc>
          <w:tcPr>
            <w:tcW w:w="1320" w:type="dxa"/>
            <w:tcBorders>
              <w:tl2br w:val="nil"/>
              <w:tr2bl w:val="nil"/>
            </w:tcBorders>
            <w:shd w:val="clear" w:color="auto" w:fill="auto"/>
            <w:noWrap/>
            <w:vAlign w:val="center"/>
          </w:tcPr>
          <w:p>
            <w:pPr>
              <w:widowControl/>
              <w:jc w:val="right"/>
              <w:textAlignment w:val="center"/>
              <w:rPr>
                <w:rFonts w:hint="eastAsia" w:ascii="仿宋_GB2312" w:hAnsi="仿宋_GB2312" w:cs="仿宋_GB2312" w:eastAsiaTheme="minorEastAsia"/>
                <w:b/>
                <w:bCs/>
                <w:color w:val="000000"/>
                <w:kern w:val="0"/>
                <w:sz w:val="21"/>
                <w:szCs w:val="21"/>
                <w:highlight w:val="none"/>
                <w:lang w:val="en-US" w:eastAsia="zh-CN" w:bidi="ar"/>
              </w:rPr>
            </w:pPr>
            <w:r>
              <w:rPr>
                <w:rFonts w:hint="eastAsia" w:ascii="仿宋_GB2312" w:hAnsi="仿宋_GB2312" w:cs="仿宋_GB2312"/>
                <w:b/>
                <w:bCs/>
                <w:szCs w:val="32"/>
                <w:highlight w:val="none"/>
                <w:lang w:val="en-US"/>
              </w:rPr>
              <w:t>5</w:t>
            </w:r>
            <w:r>
              <w:rPr>
                <w:rFonts w:hint="eastAsia" w:ascii="仿宋_GB2312" w:hAnsi="仿宋_GB2312" w:cs="仿宋_GB2312"/>
                <w:b/>
                <w:bCs/>
                <w:szCs w:val="32"/>
                <w:highlight w:val="none"/>
                <w:lang w:val="en-US" w:eastAsia="zh-CN"/>
              </w:rPr>
              <w:t>,</w:t>
            </w:r>
            <w:r>
              <w:rPr>
                <w:rFonts w:hint="eastAsia" w:ascii="仿宋_GB2312" w:hAnsi="仿宋_GB2312" w:cs="仿宋_GB2312"/>
                <w:b/>
                <w:bCs/>
                <w:szCs w:val="32"/>
                <w:highlight w:val="none"/>
                <w:lang w:val="en-US"/>
              </w:rPr>
              <w:t>670</w:t>
            </w:r>
            <w:r>
              <w:rPr>
                <w:rFonts w:hint="eastAsia" w:ascii="仿宋_GB2312" w:hAnsi="仿宋_GB2312" w:cs="仿宋_GB2312"/>
                <w:b/>
                <w:bCs/>
                <w:szCs w:val="32"/>
                <w:highlight w:val="none"/>
                <w:lang w:val="en-US" w:eastAsia="zh-CN"/>
              </w:rPr>
              <w:t>.</w:t>
            </w:r>
            <w:r>
              <w:rPr>
                <w:rFonts w:hint="eastAsia" w:ascii="仿宋_GB2312" w:hAnsi="仿宋_GB2312" w:cs="仿宋_GB2312"/>
                <w:b/>
                <w:bCs/>
                <w:szCs w:val="32"/>
                <w:highlight w:val="none"/>
                <w:lang w:val="en-US"/>
              </w:rPr>
              <w:t>6</w:t>
            </w:r>
            <w:r>
              <w:rPr>
                <w:rFonts w:hint="eastAsia" w:ascii="仿宋_GB2312" w:hAnsi="仿宋_GB2312" w:cs="仿宋_GB2312"/>
                <w:b/>
                <w:bCs/>
                <w:szCs w:val="32"/>
                <w:highlight w:val="none"/>
                <w:lang w:val="en-US" w:eastAsia="zh-CN"/>
              </w:rPr>
              <w:t>0</w:t>
            </w:r>
          </w:p>
        </w:tc>
        <w:tc>
          <w:tcPr>
            <w:tcW w:w="1488" w:type="dxa"/>
            <w:tcBorders>
              <w:tl2br w:val="nil"/>
              <w:tr2bl w:val="nil"/>
            </w:tcBorders>
            <w:shd w:val="clear" w:color="auto" w:fill="auto"/>
            <w:noWrap/>
            <w:vAlign w:val="center"/>
          </w:tcPr>
          <w:p>
            <w:pPr>
              <w:widowControl/>
              <w:jc w:val="right"/>
              <w:textAlignment w:val="center"/>
              <w:rPr>
                <w:rFonts w:hint="eastAsia" w:ascii="仿宋_GB2312" w:hAnsi="仿宋_GB2312" w:eastAsia="仿宋_GB2312" w:cs="仿宋_GB2312"/>
                <w:b/>
                <w:bCs/>
                <w:color w:val="000000"/>
                <w:kern w:val="0"/>
                <w:sz w:val="21"/>
                <w:szCs w:val="21"/>
                <w:highlight w:val="none"/>
                <w:lang w:bidi="ar"/>
              </w:rPr>
            </w:pPr>
            <w:r>
              <w:rPr>
                <w:rFonts w:hint="eastAsia" w:ascii="仿宋_GB2312" w:hAnsi="仿宋_GB2312" w:cs="仿宋_GB2312"/>
                <w:b/>
                <w:bCs/>
                <w:szCs w:val="32"/>
                <w:highlight w:val="none"/>
                <w:lang w:val="en-US" w:eastAsia="zh-CN"/>
              </w:rPr>
              <w:t>5,548.41</w:t>
            </w:r>
          </w:p>
        </w:tc>
        <w:tc>
          <w:tcPr>
            <w:tcW w:w="1525" w:type="dxa"/>
            <w:tcBorders>
              <w:tl2br w:val="nil"/>
              <w:tr2bl w:val="nil"/>
            </w:tcBorders>
            <w:shd w:val="clear" w:color="auto" w:fill="auto"/>
            <w:noWrap/>
            <w:vAlign w:val="center"/>
          </w:tcPr>
          <w:p>
            <w:pPr>
              <w:widowControl/>
              <w:jc w:val="right"/>
              <w:textAlignment w:val="center"/>
              <w:rPr>
                <w:rFonts w:hint="eastAsia" w:ascii="仿宋_GB2312" w:hAnsi="仿宋_GB2312" w:eastAsia="仿宋_GB2312" w:cs="仿宋_GB2312"/>
                <w:b/>
                <w:bCs/>
                <w:color w:val="000000"/>
                <w:kern w:val="0"/>
                <w:sz w:val="21"/>
                <w:szCs w:val="21"/>
                <w:highlight w:val="none"/>
                <w:lang w:bidi="ar"/>
              </w:rPr>
            </w:pPr>
            <w:r>
              <w:rPr>
                <w:rFonts w:hint="eastAsia" w:ascii="仿宋_GB2312" w:hAnsi="仿宋_GB2312" w:cs="仿宋_GB2312"/>
                <w:b/>
                <w:bCs/>
                <w:szCs w:val="32"/>
                <w:highlight w:val="none"/>
                <w:lang w:val="en-US"/>
              </w:rPr>
              <w:t>9</w:t>
            </w:r>
            <w:r>
              <w:rPr>
                <w:rFonts w:hint="eastAsia" w:ascii="仿宋_GB2312" w:hAnsi="仿宋_GB2312" w:cs="仿宋_GB2312"/>
                <w:b/>
                <w:bCs/>
                <w:szCs w:val="32"/>
                <w:highlight w:val="none"/>
                <w:lang w:val="en-US" w:eastAsia="zh-CN"/>
              </w:rPr>
              <w:t>7.8</w:t>
            </w:r>
            <w:r>
              <w:rPr>
                <w:rFonts w:hint="eastAsia" w:ascii="仿宋_GB2312" w:hAnsi="仿宋_GB2312" w:cs="仿宋_GB2312"/>
                <w:b/>
                <w:bCs/>
                <w:szCs w:val="32"/>
                <w:highlight w:val="none"/>
                <w:lang w:val="en-US"/>
              </w:rPr>
              <w:t>5%</w:t>
            </w:r>
          </w:p>
        </w:tc>
      </w:tr>
    </w:tbl>
    <w:p>
      <w:pPr>
        <w:pStyle w:val="5"/>
        <w:numPr>
          <w:ilvl w:val="1"/>
          <w:numId w:val="0"/>
        </w:numPr>
        <w:spacing w:before="0" w:after="0" w:line="579" w:lineRule="exact"/>
        <w:ind w:leftChars="200"/>
        <w:rPr>
          <w:rFonts w:ascii="楷体_GB2312" w:hAnsi="楷体_GB2312" w:eastAsia="楷体_GB2312" w:cs="楷体_GB2312"/>
          <w:b w:val="0"/>
          <w:bCs w:val="0"/>
          <w:highlight w:val="none"/>
          <w:lang w:val="en-US"/>
        </w:rPr>
      </w:pPr>
      <w:r>
        <w:rPr>
          <w:rFonts w:hint="eastAsia" w:ascii="楷体_GB2312" w:hAnsi="楷体_GB2312" w:eastAsia="楷体_GB2312" w:cs="楷体_GB2312"/>
          <w:b w:val="0"/>
          <w:bCs w:val="0"/>
          <w:highlight w:val="none"/>
          <w:lang w:val="en-US" w:eastAsia="zh-CN"/>
        </w:rPr>
        <w:t>（二）</w:t>
      </w:r>
      <w:r>
        <w:rPr>
          <w:rFonts w:hint="eastAsia" w:ascii="楷体_GB2312" w:hAnsi="楷体_GB2312" w:eastAsia="楷体_GB2312" w:cs="楷体_GB2312"/>
          <w:b w:val="0"/>
          <w:bCs w:val="0"/>
          <w:highlight w:val="none"/>
          <w:lang w:val="en-US"/>
        </w:rPr>
        <w:t>项目绩效目标</w:t>
      </w:r>
      <w:bookmarkEnd w:id="4"/>
      <w:bookmarkEnd w:id="5"/>
    </w:p>
    <w:p>
      <w:pPr>
        <w:pStyle w:val="4"/>
        <w:spacing w:line="579" w:lineRule="exact"/>
        <w:ind w:firstLine="640"/>
        <w:outlineLvl w:val="2"/>
        <w:rPr>
          <w:rFonts w:hint="eastAsia" w:ascii="仿宋_GB2312" w:hAnsi="仿宋_GB2312" w:eastAsia="仿宋_GB2312" w:cs="仿宋_GB2312"/>
          <w:b/>
          <w:bCs/>
          <w:szCs w:val="32"/>
          <w:highlight w:val="none"/>
          <w:lang w:val="en-US" w:eastAsia="zh-CN"/>
        </w:rPr>
      </w:pPr>
      <w:r>
        <w:rPr>
          <w:rFonts w:hint="eastAsia" w:ascii="仿宋_GB2312" w:hAnsi="仿宋_GB2312" w:eastAsia="仿宋_GB2312" w:cs="仿宋_GB2312"/>
          <w:b/>
          <w:bCs/>
          <w:szCs w:val="32"/>
          <w:highlight w:val="none"/>
          <w:lang w:val="en-US" w:eastAsia="zh-CN"/>
        </w:rPr>
        <w:t>1.总体目标</w:t>
      </w:r>
    </w:p>
    <w:p>
      <w:pPr>
        <w:pStyle w:val="4"/>
        <w:spacing w:line="579" w:lineRule="exact"/>
        <w:ind w:firstLine="640"/>
        <w:rPr>
          <w:rFonts w:hint="eastAsia" w:ascii="仿宋_GB2312" w:hAnsi="仿宋_GB2312" w:eastAsia="仿宋_GB2312" w:cs="仿宋_GB2312"/>
          <w:szCs w:val="32"/>
          <w:highlight w:val="none"/>
          <w:lang w:val="en-US"/>
        </w:rPr>
      </w:pPr>
      <w:r>
        <w:rPr>
          <w:rFonts w:hint="eastAsia" w:ascii="仿宋_GB2312" w:hAnsi="仿宋_GB2312" w:cs="仿宋_GB2312"/>
          <w:szCs w:val="32"/>
          <w:highlight w:val="none"/>
          <w:lang w:val="en-US" w:eastAsia="zh-CN"/>
        </w:rPr>
        <w:t>本项目的总体</w:t>
      </w:r>
      <w:r>
        <w:rPr>
          <w:rFonts w:hint="eastAsia" w:ascii="仿宋_GB2312" w:hAnsi="仿宋_GB2312" w:eastAsia="仿宋_GB2312" w:cs="仿宋_GB2312"/>
          <w:szCs w:val="32"/>
          <w:highlight w:val="none"/>
          <w:lang w:val="en-US"/>
        </w:rPr>
        <w:t>目标如下：</w:t>
      </w:r>
    </w:p>
    <w:p>
      <w:pPr>
        <w:pStyle w:val="4"/>
        <w:spacing w:line="579" w:lineRule="exact"/>
        <w:ind w:firstLine="640"/>
        <w:rPr>
          <w:rFonts w:hint="eastAsia" w:ascii="仿宋_GB2312" w:hAnsi="仿宋_GB2312" w:eastAsia="仿宋_GB2312" w:cs="仿宋_GB2312"/>
          <w:szCs w:val="32"/>
          <w:highlight w:val="none"/>
          <w:lang w:val="en-US"/>
        </w:rPr>
      </w:pPr>
      <w:r>
        <w:rPr>
          <w:rFonts w:hint="eastAsia" w:ascii="仿宋_GB2312" w:hAnsi="仿宋_GB2312" w:eastAsia="仿宋_GB2312" w:cs="仿宋_GB2312"/>
          <w:szCs w:val="32"/>
          <w:highlight w:val="none"/>
          <w:lang w:val="en-US"/>
        </w:rPr>
        <w:t>一</w:t>
      </w:r>
      <w:r>
        <w:rPr>
          <w:rFonts w:hint="eastAsia" w:ascii="仿宋_GB2312" w:hAnsi="仿宋_GB2312" w:cs="仿宋_GB2312"/>
          <w:szCs w:val="32"/>
          <w:highlight w:val="none"/>
          <w:lang w:val="en-US" w:eastAsia="zh-CN"/>
        </w:rPr>
        <w:t>是</w:t>
      </w:r>
      <w:r>
        <w:rPr>
          <w:rFonts w:hint="eastAsia" w:ascii="仿宋_GB2312" w:hAnsi="仿宋_GB2312" w:eastAsia="仿宋_GB2312" w:cs="仿宋_GB2312"/>
          <w:szCs w:val="32"/>
          <w:highlight w:val="none"/>
          <w:lang w:val="en-US"/>
        </w:rPr>
        <w:t>通过巡查发现施工过程中存在的安全隐患，督促施工企业整改，达到消除安全隐患，降低工人在施工过程的风险，预防或减少安全生产事故的发生。</w:t>
      </w:r>
    </w:p>
    <w:p>
      <w:pPr>
        <w:pStyle w:val="4"/>
        <w:spacing w:line="579" w:lineRule="exact"/>
        <w:ind w:firstLine="640"/>
        <w:rPr>
          <w:rFonts w:hint="eastAsia" w:ascii="仿宋_GB2312" w:hAnsi="仿宋_GB2312" w:eastAsia="仿宋_GB2312" w:cs="仿宋_GB2312"/>
          <w:szCs w:val="32"/>
          <w:highlight w:val="none"/>
          <w:lang w:val="en-US"/>
        </w:rPr>
      </w:pPr>
      <w:r>
        <w:rPr>
          <w:rFonts w:hint="eastAsia" w:ascii="仿宋_GB2312" w:hAnsi="仿宋_GB2312" w:eastAsia="仿宋_GB2312" w:cs="仿宋_GB2312"/>
          <w:szCs w:val="32"/>
          <w:highlight w:val="none"/>
          <w:lang w:val="en-US"/>
        </w:rPr>
        <w:t>二</w:t>
      </w:r>
      <w:r>
        <w:rPr>
          <w:rFonts w:hint="eastAsia" w:ascii="仿宋_GB2312" w:hAnsi="仿宋_GB2312" w:cs="仿宋_GB2312"/>
          <w:szCs w:val="32"/>
          <w:highlight w:val="none"/>
          <w:lang w:val="en-US" w:eastAsia="zh-CN"/>
        </w:rPr>
        <w:t>是</w:t>
      </w:r>
      <w:r>
        <w:rPr>
          <w:rFonts w:hint="eastAsia" w:ascii="仿宋_GB2312" w:hAnsi="仿宋_GB2312" w:eastAsia="仿宋_GB2312" w:cs="仿宋_GB2312"/>
          <w:szCs w:val="32"/>
          <w:highlight w:val="none"/>
          <w:lang w:val="en-US"/>
        </w:rPr>
        <w:t>通过日常的安全监管，加大对房屋建筑和市政工程的危大工程的监管力度，持续提高工程质量安全监管水平，督促施工企业严格落实安全生产主体责任，排查安全隐患，消除安全隐患，保障施工人员的人身安全，确保全市建筑施工领域安全生产形势持续稳定向好。</w:t>
      </w:r>
    </w:p>
    <w:p>
      <w:pPr>
        <w:pStyle w:val="4"/>
        <w:spacing w:line="579" w:lineRule="exact"/>
        <w:ind w:firstLine="640"/>
        <w:rPr>
          <w:rFonts w:hint="eastAsia" w:ascii="仿宋_GB2312" w:hAnsi="仿宋_GB2312" w:eastAsia="仿宋_GB2312" w:cs="仿宋_GB2312"/>
          <w:szCs w:val="32"/>
          <w:highlight w:val="none"/>
          <w:lang w:val="en-US"/>
        </w:rPr>
      </w:pPr>
      <w:r>
        <w:rPr>
          <w:rFonts w:hint="eastAsia" w:ascii="仿宋_GB2312" w:hAnsi="仿宋_GB2312" w:eastAsia="仿宋_GB2312" w:cs="仿宋_GB2312"/>
          <w:szCs w:val="32"/>
          <w:highlight w:val="none"/>
          <w:lang w:val="en-US"/>
        </w:rPr>
        <w:t>三</w:t>
      </w:r>
      <w:r>
        <w:rPr>
          <w:rFonts w:hint="eastAsia" w:ascii="仿宋_GB2312" w:hAnsi="仿宋_GB2312" w:cs="仿宋_GB2312"/>
          <w:szCs w:val="32"/>
          <w:highlight w:val="none"/>
          <w:lang w:val="en-US" w:eastAsia="zh-CN"/>
        </w:rPr>
        <w:t>是</w:t>
      </w:r>
      <w:r>
        <w:rPr>
          <w:rFonts w:hint="eastAsia" w:ascii="仿宋_GB2312" w:hAnsi="仿宋_GB2312" w:eastAsia="仿宋_GB2312" w:cs="仿宋_GB2312"/>
          <w:szCs w:val="32"/>
          <w:highlight w:val="none"/>
          <w:lang w:val="en-US"/>
        </w:rPr>
        <w:t>防范重特大事故，保障安全生产；提升房建工程质量水平，推进深圳质量。</w:t>
      </w:r>
    </w:p>
    <w:p>
      <w:pPr>
        <w:pStyle w:val="4"/>
        <w:spacing w:line="579" w:lineRule="exact"/>
        <w:ind w:firstLine="640"/>
        <w:rPr>
          <w:rFonts w:hint="eastAsia" w:ascii="仿宋_GB2312" w:hAnsi="仿宋_GB2312" w:eastAsia="仿宋_GB2312" w:cs="仿宋_GB2312"/>
          <w:szCs w:val="32"/>
          <w:highlight w:val="none"/>
          <w:lang w:val="en-US"/>
        </w:rPr>
      </w:pPr>
      <w:r>
        <w:rPr>
          <w:rFonts w:hint="eastAsia" w:ascii="仿宋_GB2312" w:hAnsi="仿宋_GB2312" w:eastAsia="仿宋_GB2312" w:cs="仿宋_GB2312"/>
          <w:szCs w:val="32"/>
          <w:highlight w:val="none"/>
          <w:lang w:val="en-US"/>
        </w:rPr>
        <w:t>四</w:t>
      </w:r>
      <w:r>
        <w:rPr>
          <w:rFonts w:hint="eastAsia" w:ascii="仿宋_GB2312" w:hAnsi="仿宋_GB2312" w:cs="仿宋_GB2312"/>
          <w:szCs w:val="32"/>
          <w:highlight w:val="none"/>
          <w:lang w:val="en-US" w:eastAsia="zh-CN"/>
        </w:rPr>
        <w:t>是</w:t>
      </w:r>
      <w:r>
        <w:rPr>
          <w:rFonts w:hint="eastAsia" w:ascii="仿宋_GB2312" w:hAnsi="仿宋_GB2312" w:eastAsia="仿宋_GB2312" w:cs="仿宋_GB2312"/>
          <w:szCs w:val="32"/>
          <w:highlight w:val="none"/>
          <w:lang w:val="en-US"/>
        </w:rPr>
        <w:t>遏制重特大质量安全事故发生，保障人民生命安全；维护社会稳定，促进经济发展。</w:t>
      </w:r>
    </w:p>
    <w:p>
      <w:pPr>
        <w:pStyle w:val="4"/>
        <w:spacing w:line="579" w:lineRule="exact"/>
        <w:ind w:firstLine="640"/>
        <w:outlineLvl w:val="2"/>
        <w:rPr>
          <w:rFonts w:hint="eastAsia" w:ascii="仿宋_GB2312" w:hAnsi="仿宋_GB2312" w:eastAsia="仿宋_GB2312" w:cs="仿宋_GB2312"/>
          <w:b/>
          <w:bCs/>
          <w:szCs w:val="32"/>
          <w:highlight w:val="none"/>
          <w:lang w:val="en-US" w:eastAsia="zh-CN"/>
        </w:rPr>
      </w:pPr>
      <w:r>
        <w:rPr>
          <w:rFonts w:hint="eastAsia" w:ascii="仿宋_GB2312" w:hAnsi="仿宋_GB2312" w:cs="仿宋_GB2312"/>
          <w:b/>
          <w:bCs/>
          <w:szCs w:val="32"/>
          <w:highlight w:val="none"/>
          <w:lang w:val="en-US" w:eastAsia="zh-CN"/>
        </w:rPr>
        <w:t>2.</w:t>
      </w:r>
      <w:r>
        <w:rPr>
          <w:rFonts w:hint="eastAsia" w:ascii="仿宋_GB2312" w:hAnsi="仿宋_GB2312" w:eastAsia="仿宋_GB2312" w:cs="仿宋_GB2312"/>
          <w:b/>
          <w:bCs/>
          <w:szCs w:val="32"/>
          <w:highlight w:val="none"/>
          <w:lang w:val="en-US" w:eastAsia="zh-CN"/>
        </w:rPr>
        <w:t>绩效目标设置情况</w:t>
      </w:r>
    </w:p>
    <w:p>
      <w:pPr>
        <w:pStyle w:val="4"/>
        <w:spacing w:line="579" w:lineRule="exact"/>
        <w:ind w:firstLine="640"/>
        <w:rPr>
          <w:rFonts w:hint="eastAsia" w:ascii="仿宋_GB2312" w:hAnsi="仿宋_GB2312" w:eastAsia="仿宋_GB2312" w:cs="仿宋_GB2312"/>
          <w:szCs w:val="32"/>
          <w:highlight w:val="none"/>
          <w:lang w:val="en-US" w:eastAsia="zh-CN"/>
        </w:rPr>
      </w:pPr>
      <w:r>
        <w:rPr>
          <w:rFonts w:hint="eastAsia"/>
          <w:szCs w:val="32"/>
          <w:highlight w:val="none"/>
          <w:lang w:val="en-US" w:eastAsia="zh-CN"/>
        </w:rPr>
        <w:t>本项目绩效目标设置情况详</w:t>
      </w:r>
      <w:r>
        <w:rPr>
          <w:rFonts w:hint="eastAsia" w:ascii="仿宋_GB2312" w:hAnsi="仿宋_GB2312" w:eastAsia="仿宋_GB2312" w:cs="仿宋_GB2312"/>
          <w:szCs w:val="32"/>
          <w:highlight w:val="none"/>
          <w:lang w:val="en-US" w:eastAsia="zh-CN"/>
        </w:rPr>
        <w:t>见表2。</w:t>
      </w:r>
    </w:p>
    <w:p>
      <w:pPr>
        <w:pStyle w:val="4"/>
        <w:spacing w:line="579" w:lineRule="exact"/>
        <w:ind w:firstLine="640"/>
        <w:jc w:val="center"/>
        <w:rPr>
          <w:rFonts w:hint="eastAsia" w:ascii="仿宋_GB2312" w:hAnsi="仿宋_GB2312" w:eastAsia="仿宋_GB2312" w:cs="仿宋_GB2312"/>
          <w:szCs w:val="32"/>
          <w:highlight w:val="none"/>
          <w:lang w:val="en-US" w:eastAsia="zh-CN"/>
        </w:rPr>
      </w:pPr>
      <w:r>
        <w:rPr>
          <w:rFonts w:hint="eastAsia" w:ascii="仿宋_GB2312"/>
          <w:sz w:val="28"/>
          <w:szCs w:val="28"/>
          <w:highlight w:val="none"/>
        </w:rPr>
        <w:t>表</w:t>
      </w:r>
      <w:r>
        <w:rPr>
          <w:rFonts w:hint="eastAsia" w:ascii="仿宋_GB2312"/>
          <w:sz w:val="28"/>
          <w:szCs w:val="28"/>
          <w:highlight w:val="none"/>
          <w:lang w:val="en-US" w:eastAsia="zh-CN"/>
        </w:rPr>
        <w:t>2  本</w:t>
      </w:r>
      <w:r>
        <w:rPr>
          <w:rFonts w:hint="eastAsia" w:ascii="仿宋_GB2312"/>
          <w:sz w:val="28"/>
          <w:szCs w:val="28"/>
          <w:highlight w:val="none"/>
          <w:lang w:eastAsia="zh-CN"/>
        </w:rPr>
        <w:t>项目</w:t>
      </w:r>
      <w:r>
        <w:rPr>
          <w:rFonts w:hint="eastAsia" w:ascii="仿宋_GB2312"/>
          <w:sz w:val="28"/>
          <w:szCs w:val="28"/>
          <w:highlight w:val="none"/>
        </w:rPr>
        <w:t>绩效目标表</w:t>
      </w:r>
    </w:p>
    <w:tbl>
      <w:tblPr>
        <w:tblStyle w:val="20"/>
        <w:tblW w:w="859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958"/>
        <w:gridCol w:w="1080"/>
        <w:gridCol w:w="3504"/>
        <w:gridCol w:w="30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blHeader/>
          <w:jc w:val="center"/>
        </w:trPr>
        <w:tc>
          <w:tcPr>
            <w:tcW w:w="958" w:type="dxa"/>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一级指标</w:t>
            </w:r>
          </w:p>
        </w:tc>
        <w:tc>
          <w:tcPr>
            <w:tcW w:w="1080" w:type="dxa"/>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二级指标</w:t>
            </w:r>
          </w:p>
        </w:tc>
        <w:tc>
          <w:tcPr>
            <w:tcW w:w="3504" w:type="dxa"/>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指标内容</w:t>
            </w:r>
          </w:p>
        </w:tc>
        <w:tc>
          <w:tcPr>
            <w:tcW w:w="3051" w:type="dxa"/>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指标值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restart"/>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kern w:val="0"/>
                <w:sz w:val="21"/>
                <w:szCs w:val="21"/>
                <w:highlight w:val="none"/>
                <w:lang w:bidi="ar"/>
              </w:rPr>
              <w:t>产出指标</w:t>
            </w:r>
          </w:p>
        </w:tc>
        <w:tc>
          <w:tcPr>
            <w:tcW w:w="1080" w:type="dxa"/>
            <w:vMerge w:val="restart"/>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kern w:val="0"/>
                <w:sz w:val="21"/>
                <w:szCs w:val="21"/>
                <w:highlight w:val="none"/>
                <w:lang w:bidi="ar"/>
              </w:rPr>
              <w:t>数量指标</w:t>
            </w: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完成《深圳市建筑施工专用机动车辆安全监督管理办法》编制工作</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1部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巡查全市在建工地次数（次）</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150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在建项目进行安全巡查次（次）</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抽检主要建筑材料组数量（组）</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≥1800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抽检工程结构实体组数量（组）</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≥700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抽检工程桩基根数量（根）</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≥150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抽检建筑起重机械实体数量（台）</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深基坑、高边坡项目现场专项抽查次数（次）</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≥144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平均每月专项巡查危大工程项次（次）</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培训建筑特种作业人员数（人）</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≥3000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开展施工安全宣传培训教育次数</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≥20次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监督员平均每人每月巡查项目数（个）</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≥8个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第三方出具市政工程质量安全巡查评估报告次数（次）</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≥2次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restart"/>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kern w:val="0"/>
                <w:sz w:val="21"/>
                <w:szCs w:val="21"/>
                <w:highlight w:val="none"/>
                <w:lang w:bidi="ar"/>
              </w:rPr>
              <w:t>质量指标</w:t>
            </w: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审批工作完成率</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第三方提交巡查报告达标率</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在建项目安全问题整改率</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发现不合格建材责令整改率</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发现建筑起重机械实体缺陷和隐患责令整改率</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发现深基坑、高边坡隐匿风险点责令整改率</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专项巡查识别危大工程的日常隐患责令整改率</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建筑特种作业人员培训考核不合格责令离岗率</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施工现场发现质量安全问题督促整改率</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在监市政项目质量安全监督覆盖率</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举办安全培训活动培训讲师资质</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培训讲师为中级及以上职称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建筑起重机械抽查覆盖率</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restart"/>
            <w:tcBorders>
              <w:tl2br w:val="nil"/>
              <w:tr2bl w:val="nil"/>
            </w:tcBorders>
            <w:shd w:val="clear" w:color="auto" w:fill="auto"/>
            <w:tcMar>
              <w:top w:w="12" w:type="dxa"/>
              <w:left w:w="12" w:type="dxa"/>
              <w:right w:w="12" w:type="dxa"/>
            </w:tcMar>
            <w:vAlign w:val="center"/>
          </w:tcPr>
          <w:p>
            <w:pPr>
              <w:keepNext w:val="0"/>
              <w:keepLines w:val="0"/>
              <w:widowControl/>
              <w:suppressLineNumbers w:val="0"/>
              <w:jc w:val="center"/>
              <w:textAlignment w:val="bottom"/>
              <w:rPr>
                <w:rFonts w:hint="eastAsia" w:ascii="仿宋_GB2312" w:hAnsi="仿宋_GB2312" w:eastAsia="仿宋_GB2312" w:cs="仿宋_GB2312"/>
                <w:i w:val="0"/>
                <w:color w:val="FF0000"/>
                <w:kern w:val="2"/>
                <w:sz w:val="21"/>
                <w:szCs w:val="21"/>
                <w:highlight w:val="none"/>
                <w:u w:val="none"/>
                <w:lang w:val="en-US" w:eastAsia="zh-CN" w:bidi="ar-SA"/>
              </w:rPr>
            </w:pPr>
            <w:r>
              <w:rPr>
                <w:rFonts w:hint="eastAsia" w:ascii="仿宋_GB2312" w:hAnsi="仿宋_GB2312" w:eastAsia="仿宋_GB2312" w:cs="仿宋_GB2312"/>
                <w:color w:val="000000"/>
                <w:kern w:val="0"/>
                <w:sz w:val="21"/>
                <w:szCs w:val="21"/>
                <w:highlight w:val="none"/>
                <w:lang w:val="en-US" w:eastAsia="zh-CN" w:bidi="ar"/>
              </w:rPr>
              <w:t>时效指标</w:t>
            </w: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合理利用《深圳市建筑施工专用机动车辆安全监督管理办法》编制的时间</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2021年12月15日前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1"/>
                <w:szCs w:val="21"/>
                <w:highlight w:val="none"/>
                <w:lang w:val="en-US" w:eastAsia="zh-CN"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第三方提交巡查报告的时间</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合同到期后1个月内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1"/>
                <w:szCs w:val="21"/>
                <w:highlight w:val="none"/>
                <w:lang w:val="en-US" w:eastAsia="zh-CN"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每季度工程“红黑榜”刊登及时性</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每季度的第一个月15号前刊登报纸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1"/>
                <w:szCs w:val="21"/>
                <w:highlight w:val="none"/>
                <w:lang w:val="en-US" w:eastAsia="zh-CN"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发现不合格建材责令整改及时率</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1"/>
                <w:szCs w:val="21"/>
                <w:highlight w:val="none"/>
                <w:lang w:val="en-US" w:eastAsia="zh-CN"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发现建筑起重机械实体缺陷和隐患责令整改及时率</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1"/>
                <w:szCs w:val="21"/>
                <w:highlight w:val="none"/>
                <w:lang w:val="en-US" w:eastAsia="zh-CN"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发现深基坑、高边坡隐匿风险点责令整改及时率</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1"/>
                <w:szCs w:val="21"/>
                <w:highlight w:val="none"/>
                <w:lang w:val="en-US" w:eastAsia="zh-CN"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专项巡查识别危大工程的日常隐患责令整改及时率</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1"/>
                <w:szCs w:val="21"/>
                <w:highlight w:val="none"/>
                <w:lang w:val="en-US" w:eastAsia="zh-CN"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建筑特种作业人员培训考核不合格责令离岗及时率</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1"/>
                <w:szCs w:val="21"/>
                <w:highlight w:val="none"/>
                <w:lang w:val="en-US" w:eastAsia="zh-CN"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市政工程质量安全监督抽查基本频次（次/季度）</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1"/>
                <w:szCs w:val="21"/>
                <w:highlight w:val="none"/>
                <w:lang w:val="en-US" w:eastAsia="zh-CN"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安全培训工作的完成时间</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2021年12月31日前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1"/>
                <w:szCs w:val="21"/>
                <w:highlight w:val="none"/>
                <w:lang w:val="en-US" w:eastAsia="zh-CN"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形成建筑起重机械抽查工作报告频率</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每月一次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restart"/>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eastAsia="zh-CN" w:bidi="ar"/>
              </w:rPr>
            </w:pPr>
            <w:r>
              <w:rPr>
                <w:rFonts w:hint="eastAsia" w:ascii="仿宋_GB2312" w:hAnsi="仿宋_GB2312" w:eastAsia="仿宋_GB2312" w:cs="仿宋_GB2312"/>
                <w:color w:val="000000"/>
                <w:kern w:val="0"/>
                <w:sz w:val="21"/>
                <w:szCs w:val="21"/>
                <w:highlight w:val="none"/>
                <w:lang w:eastAsia="zh-CN" w:bidi="ar"/>
              </w:rPr>
              <w:t>成本指标</w:t>
            </w: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高级工程师收费标准（元/人/天）</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eastAsia="zh-CN"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中级工程师收费标准（元/人/天）</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eastAsia="zh-CN"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预算执行率</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4" w:hRule="atLeast"/>
          <w:jc w:val="center"/>
        </w:trPr>
        <w:tc>
          <w:tcPr>
            <w:tcW w:w="958" w:type="dxa"/>
            <w:vMerge w:val="restart"/>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kern w:val="0"/>
                <w:sz w:val="21"/>
                <w:szCs w:val="21"/>
                <w:highlight w:val="none"/>
                <w:lang w:bidi="ar"/>
              </w:rPr>
              <w:t>效益指标</w:t>
            </w:r>
          </w:p>
        </w:tc>
        <w:tc>
          <w:tcPr>
            <w:tcW w:w="1080" w:type="dxa"/>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经济</w:t>
            </w:r>
            <w:r>
              <w:rPr>
                <w:rFonts w:hint="eastAsia" w:ascii="仿宋_GB2312" w:hAnsi="仿宋_GB2312" w:eastAsia="仿宋_GB2312" w:cs="仿宋_GB2312"/>
                <w:color w:val="000000"/>
                <w:kern w:val="0"/>
                <w:sz w:val="21"/>
                <w:szCs w:val="21"/>
                <w:highlight w:val="none"/>
                <w:lang w:bidi="ar"/>
              </w:rPr>
              <w:t>效益指标</w:t>
            </w: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无</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2"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restart"/>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kern w:val="0"/>
                <w:sz w:val="21"/>
                <w:szCs w:val="21"/>
                <w:highlight w:val="none"/>
                <w:lang w:bidi="ar"/>
              </w:rPr>
              <w:t>社会效益指标</w:t>
            </w: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推动深圳市建筑施工专用机动车辆安全的监督管理</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有效推动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2"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督促施工项目整改安全隐患</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有效督促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2"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提高工人安全防范意识</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有效提高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2"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通过建筑工程施工质量监督管控，提升房建工程质量水平</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有效提升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2"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通过建筑工程施工安全风险管控，预防重特大事故发生</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有效预防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2"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提高监督水平，遏制重特大质量安全事故发生，保障人民生命安全</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有效遏制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2"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生态效益</w:t>
            </w:r>
            <w:r>
              <w:rPr>
                <w:rFonts w:hint="eastAsia" w:ascii="仿宋_GB2312" w:hAnsi="仿宋_GB2312" w:eastAsia="仿宋_GB2312" w:cs="仿宋_GB2312"/>
                <w:color w:val="000000"/>
                <w:kern w:val="0"/>
                <w:sz w:val="21"/>
                <w:szCs w:val="21"/>
                <w:highlight w:val="none"/>
                <w:lang w:bidi="ar"/>
              </w:rPr>
              <w:t>指标</w:t>
            </w: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无</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2"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kern w:val="0"/>
                <w:sz w:val="21"/>
                <w:szCs w:val="21"/>
                <w:highlight w:val="none"/>
                <w:lang w:bidi="ar"/>
              </w:rPr>
              <w:t>服务对象满意度指标</w:t>
            </w: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服务委托方满意度</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良好及以上</w:t>
            </w:r>
          </w:p>
        </w:tc>
      </w:tr>
    </w:tbl>
    <w:p>
      <w:pPr>
        <w:pStyle w:val="3"/>
        <w:spacing w:before="0" w:after="0" w:line="579" w:lineRule="exact"/>
        <w:ind w:firstLine="640"/>
        <w:rPr>
          <w:highlight w:val="none"/>
        </w:rPr>
      </w:pPr>
      <w:bookmarkStart w:id="6" w:name="_Toc64647747"/>
      <w:bookmarkStart w:id="7" w:name="_Toc13975"/>
      <w:r>
        <w:rPr>
          <w:rFonts w:hint="eastAsia"/>
          <w:highlight w:val="none"/>
          <w:lang w:val="en-US"/>
        </w:rPr>
        <w:t>绩效</w:t>
      </w:r>
      <w:r>
        <w:rPr>
          <w:rFonts w:hint="eastAsia"/>
          <w:highlight w:val="none"/>
        </w:rPr>
        <w:t>评价工作开展情况</w:t>
      </w:r>
      <w:bookmarkEnd w:id="6"/>
      <w:bookmarkEnd w:id="7"/>
    </w:p>
    <w:p>
      <w:pPr>
        <w:pStyle w:val="5"/>
        <w:numPr>
          <w:ilvl w:val="1"/>
          <w:numId w:val="0"/>
        </w:numPr>
        <w:spacing w:before="0" w:after="0" w:line="579" w:lineRule="exact"/>
        <w:ind w:leftChars="200"/>
        <w:rPr>
          <w:rFonts w:ascii="楷体_GB2312" w:hAnsi="楷体_GB2312" w:eastAsia="楷体_GB2312" w:cs="楷体_GB2312"/>
          <w:b w:val="0"/>
          <w:bCs w:val="0"/>
          <w:highlight w:val="none"/>
          <w:lang w:val="en-US"/>
        </w:rPr>
      </w:pPr>
      <w:bookmarkStart w:id="8" w:name="_Toc64647748"/>
      <w:bookmarkStart w:id="9" w:name="_Toc26347"/>
      <w:r>
        <w:rPr>
          <w:rFonts w:hint="eastAsia" w:ascii="楷体_GB2312" w:hAnsi="楷体_GB2312" w:eastAsia="楷体_GB2312" w:cs="楷体_GB2312"/>
          <w:b w:val="0"/>
          <w:bCs w:val="0"/>
          <w:highlight w:val="none"/>
          <w:lang w:val="en-US" w:eastAsia="zh-CN"/>
        </w:rPr>
        <w:t>（一）</w:t>
      </w:r>
      <w:r>
        <w:rPr>
          <w:rFonts w:hint="eastAsia" w:ascii="楷体_GB2312" w:hAnsi="楷体_GB2312" w:eastAsia="楷体_GB2312" w:cs="楷体_GB2312"/>
          <w:b w:val="0"/>
          <w:bCs w:val="0"/>
          <w:highlight w:val="none"/>
          <w:lang w:val="en-US"/>
        </w:rPr>
        <w:t>绩效评价目的、对象和范围</w:t>
      </w:r>
      <w:bookmarkEnd w:id="8"/>
      <w:bookmarkEnd w:id="9"/>
    </w:p>
    <w:p>
      <w:pPr>
        <w:pStyle w:val="4"/>
        <w:spacing w:line="579" w:lineRule="exact"/>
        <w:ind w:firstLine="640"/>
        <w:rPr>
          <w:rFonts w:ascii="仿宋_GB2312" w:hAnsi="仿宋_GB2312" w:cs="仿宋_GB2312"/>
          <w:szCs w:val="32"/>
          <w:highlight w:val="none"/>
          <w:lang w:val="en-US"/>
        </w:rPr>
      </w:pPr>
      <w:r>
        <w:rPr>
          <w:rFonts w:hint="eastAsia" w:ascii="仿宋_GB2312" w:hAnsi="仿宋_GB2312" w:cs="仿宋_GB2312"/>
          <w:szCs w:val="32"/>
          <w:highlight w:val="none"/>
          <w:lang w:val="en-US" w:eastAsia="zh-CN"/>
        </w:rPr>
        <w:t>市住建局</w:t>
      </w:r>
      <w:r>
        <w:rPr>
          <w:rFonts w:hint="eastAsia" w:ascii="仿宋_GB2312" w:hAnsi="仿宋_GB2312" w:cs="仿宋_GB2312"/>
          <w:szCs w:val="32"/>
          <w:highlight w:val="none"/>
          <w:lang w:val="en-US"/>
        </w:rPr>
        <w:t>为加强项目管理，提升财政预算资金使用效益，选取本项目开展202</w:t>
      </w:r>
      <w:r>
        <w:rPr>
          <w:rFonts w:hint="eastAsia" w:ascii="仿宋_GB2312" w:hAnsi="仿宋_GB2312" w:cs="仿宋_GB2312"/>
          <w:szCs w:val="32"/>
          <w:highlight w:val="none"/>
          <w:lang w:val="en-US" w:eastAsia="zh-CN"/>
        </w:rPr>
        <w:t>1</w:t>
      </w:r>
      <w:r>
        <w:rPr>
          <w:rFonts w:hint="eastAsia" w:ascii="仿宋_GB2312" w:hAnsi="仿宋_GB2312" w:cs="仿宋_GB2312"/>
          <w:szCs w:val="32"/>
          <w:highlight w:val="none"/>
          <w:lang w:val="en-US"/>
        </w:rPr>
        <w:t>年度重点项目绩效评价，评价范围为202</w:t>
      </w:r>
      <w:r>
        <w:rPr>
          <w:rFonts w:hint="eastAsia" w:ascii="仿宋_GB2312" w:hAnsi="仿宋_GB2312" w:cs="仿宋_GB2312"/>
          <w:szCs w:val="32"/>
          <w:highlight w:val="none"/>
          <w:lang w:val="en-US" w:eastAsia="zh-CN"/>
        </w:rPr>
        <w:t>1</w:t>
      </w:r>
      <w:r>
        <w:rPr>
          <w:rFonts w:hint="eastAsia" w:ascii="仿宋_GB2312" w:hAnsi="仿宋_GB2312" w:cs="仿宋_GB2312"/>
          <w:szCs w:val="32"/>
          <w:highlight w:val="none"/>
          <w:lang w:val="en-US"/>
        </w:rPr>
        <w:t>年1月1日至1</w:t>
      </w:r>
      <w:r>
        <w:rPr>
          <w:rFonts w:ascii="仿宋_GB2312" w:hAnsi="仿宋_GB2312" w:cs="仿宋_GB2312"/>
          <w:szCs w:val="32"/>
          <w:highlight w:val="none"/>
          <w:lang w:val="en-US"/>
        </w:rPr>
        <w:t>2</w:t>
      </w:r>
      <w:r>
        <w:rPr>
          <w:rFonts w:hint="eastAsia" w:ascii="仿宋_GB2312" w:hAnsi="仿宋_GB2312" w:cs="仿宋_GB2312"/>
          <w:szCs w:val="32"/>
          <w:highlight w:val="none"/>
          <w:lang w:val="en-US"/>
        </w:rPr>
        <w:t>月3</w:t>
      </w:r>
      <w:r>
        <w:rPr>
          <w:rFonts w:ascii="仿宋_GB2312" w:hAnsi="仿宋_GB2312" w:cs="仿宋_GB2312"/>
          <w:szCs w:val="32"/>
          <w:highlight w:val="none"/>
          <w:lang w:val="en-US"/>
        </w:rPr>
        <w:t>1</w:t>
      </w:r>
      <w:r>
        <w:rPr>
          <w:rFonts w:hint="eastAsia" w:ascii="仿宋_GB2312" w:hAnsi="仿宋_GB2312" w:cs="仿宋_GB2312"/>
          <w:szCs w:val="32"/>
          <w:highlight w:val="none"/>
          <w:lang w:val="en-US"/>
        </w:rPr>
        <w:t>日，评价内容主要包括项目决策情况、资金管理和使用情况、相关管理制度和办法健全性及执行情况、实现的产出和效益情况。</w:t>
      </w:r>
    </w:p>
    <w:p>
      <w:pPr>
        <w:pStyle w:val="5"/>
        <w:numPr>
          <w:ilvl w:val="1"/>
          <w:numId w:val="0"/>
        </w:numPr>
        <w:spacing w:before="0" w:after="0" w:line="579" w:lineRule="exact"/>
        <w:ind w:leftChars="200"/>
        <w:rPr>
          <w:rFonts w:ascii="楷体_GB2312" w:hAnsi="楷体_GB2312" w:eastAsia="楷体_GB2312" w:cs="楷体_GB2312"/>
          <w:b w:val="0"/>
          <w:bCs w:val="0"/>
          <w:highlight w:val="none"/>
          <w:lang w:val="en-US"/>
        </w:rPr>
      </w:pPr>
      <w:bookmarkStart w:id="10" w:name="_Toc21237"/>
      <w:bookmarkStart w:id="11" w:name="_Toc64647749"/>
      <w:r>
        <w:rPr>
          <w:rFonts w:hint="eastAsia" w:ascii="楷体_GB2312" w:hAnsi="楷体_GB2312" w:eastAsia="楷体_GB2312" w:cs="楷体_GB2312"/>
          <w:b w:val="0"/>
          <w:bCs w:val="0"/>
          <w:highlight w:val="none"/>
          <w:lang w:val="en-US" w:eastAsia="zh-CN"/>
        </w:rPr>
        <w:t>（二）</w:t>
      </w:r>
      <w:r>
        <w:rPr>
          <w:rFonts w:hint="eastAsia" w:ascii="楷体_GB2312" w:hAnsi="楷体_GB2312" w:eastAsia="楷体_GB2312" w:cs="楷体_GB2312"/>
          <w:b w:val="0"/>
          <w:bCs w:val="0"/>
          <w:highlight w:val="none"/>
          <w:lang w:val="en-US"/>
        </w:rPr>
        <w:t>绩效评价原则</w:t>
      </w:r>
      <w:bookmarkEnd w:id="10"/>
    </w:p>
    <w:p>
      <w:pPr>
        <w:pStyle w:val="4"/>
        <w:spacing w:line="579" w:lineRule="exact"/>
        <w:ind w:firstLine="640"/>
        <w:rPr>
          <w:rFonts w:ascii="仿宋_GB2312" w:hAnsi="仿宋_GB2312" w:cs="仿宋_GB2312"/>
          <w:szCs w:val="32"/>
          <w:highlight w:val="none"/>
        </w:rPr>
      </w:pPr>
      <w:r>
        <w:rPr>
          <w:rFonts w:hint="eastAsia" w:ascii="仿宋_GB2312" w:hAnsi="仿宋_GB2312" w:cs="仿宋_GB2312"/>
          <w:szCs w:val="32"/>
          <w:highlight w:val="none"/>
          <w:lang w:val="en-US"/>
        </w:rPr>
        <w:t>1.</w:t>
      </w:r>
      <w:r>
        <w:rPr>
          <w:rFonts w:hint="eastAsia" w:ascii="仿宋_GB2312" w:hAnsi="仿宋_GB2312" w:cs="仿宋_GB2312"/>
          <w:szCs w:val="32"/>
          <w:highlight w:val="none"/>
        </w:rPr>
        <w:t>科学规范,公开透明。绩效评价运用科学合理的方法，按照规范的程序，对项目绩效进行客观、公正的反映。绩效评价结果依法依规公开，并自觉接受社会监督。</w:t>
      </w:r>
    </w:p>
    <w:p>
      <w:pPr>
        <w:pStyle w:val="4"/>
        <w:spacing w:line="579" w:lineRule="exact"/>
        <w:ind w:firstLine="640"/>
        <w:rPr>
          <w:rFonts w:ascii="仿宋_GB2312" w:hAnsi="仿宋_GB2312" w:cs="仿宋_GB2312"/>
          <w:szCs w:val="32"/>
          <w:highlight w:val="none"/>
        </w:rPr>
      </w:pPr>
      <w:r>
        <w:rPr>
          <w:rFonts w:hint="eastAsia" w:ascii="仿宋_GB2312" w:hAnsi="仿宋_GB2312" w:cs="仿宋_GB2312"/>
          <w:szCs w:val="32"/>
          <w:highlight w:val="none"/>
          <w:lang w:val="en-US"/>
        </w:rPr>
        <w:t>2.</w:t>
      </w:r>
      <w:r>
        <w:rPr>
          <w:rFonts w:hint="eastAsia" w:ascii="仿宋_GB2312" w:hAnsi="仿宋_GB2312" w:cs="仿宋_GB2312"/>
          <w:szCs w:val="32"/>
          <w:highlight w:val="none"/>
        </w:rPr>
        <w:t>统筹兼顾，权责对等。单位自评、部门评价职责明确，各有侧重，相互衔接。单位自评由项目单位自主实施，即“谁支出、谁自评”。部门评价在单位自评的基础上开展。</w:t>
      </w:r>
    </w:p>
    <w:p>
      <w:pPr>
        <w:pStyle w:val="4"/>
        <w:spacing w:line="579" w:lineRule="exact"/>
        <w:ind w:firstLine="640"/>
        <w:rPr>
          <w:rFonts w:ascii="仿宋_GB2312" w:hAnsi="仿宋_GB2312" w:cs="仿宋_GB2312"/>
          <w:szCs w:val="32"/>
          <w:highlight w:val="none"/>
        </w:rPr>
      </w:pPr>
      <w:r>
        <w:rPr>
          <w:rFonts w:hint="eastAsia" w:ascii="仿宋_GB2312" w:hAnsi="仿宋_GB2312" w:cs="仿宋_GB2312"/>
          <w:szCs w:val="32"/>
          <w:highlight w:val="none"/>
          <w:lang w:val="en-US"/>
        </w:rPr>
        <w:t>3.</w:t>
      </w:r>
      <w:r>
        <w:rPr>
          <w:rFonts w:hint="eastAsia" w:ascii="仿宋_GB2312" w:hAnsi="仿宋_GB2312" w:cs="仿宋_GB2312"/>
          <w:szCs w:val="32"/>
          <w:highlight w:val="none"/>
        </w:rPr>
        <w:t>问题导向，注重质量。绩效评价全面深入挖掘、剖析项目决策、实施和管理中存在的问题，聚焦重大政策和重点项目的实施效果。</w:t>
      </w:r>
    </w:p>
    <w:p>
      <w:pPr>
        <w:pStyle w:val="4"/>
        <w:spacing w:line="579" w:lineRule="exact"/>
        <w:ind w:firstLine="640"/>
        <w:rPr>
          <w:szCs w:val="32"/>
          <w:highlight w:val="none"/>
        </w:rPr>
      </w:pPr>
      <w:r>
        <w:rPr>
          <w:rFonts w:hint="eastAsia" w:ascii="仿宋_GB2312" w:hAnsi="仿宋_GB2312" w:cs="仿宋_GB2312"/>
          <w:szCs w:val="32"/>
          <w:highlight w:val="none"/>
          <w:lang w:val="en-US"/>
        </w:rPr>
        <w:t>4.</w:t>
      </w:r>
      <w:r>
        <w:rPr>
          <w:rFonts w:hint="eastAsia" w:ascii="仿宋_GB2312" w:hAnsi="仿宋_GB2312" w:cs="仿宋_GB2312"/>
          <w:szCs w:val="32"/>
          <w:highlight w:val="none"/>
        </w:rPr>
        <w:t>强化应用,约束有力。绩效评价结果与预算安排、政策调整、改进管理实质性挂钩，体现奖优罚劣和激励相容导向，有效要安排、低效要压减、无效要问责。</w:t>
      </w:r>
    </w:p>
    <w:p>
      <w:pPr>
        <w:pStyle w:val="5"/>
        <w:numPr>
          <w:ilvl w:val="1"/>
          <w:numId w:val="0"/>
        </w:numPr>
        <w:spacing w:before="0" w:after="0" w:line="579" w:lineRule="exact"/>
        <w:ind w:leftChars="200"/>
        <w:rPr>
          <w:rFonts w:ascii="楷体_GB2312" w:hAnsi="楷体_GB2312" w:eastAsia="楷体_GB2312" w:cs="楷体_GB2312"/>
          <w:b w:val="0"/>
          <w:bCs w:val="0"/>
          <w:highlight w:val="none"/>
          <w:lang w:val="en-US"/>
        </w:rPr>
      </w:pPr>
      <w:bookmarkStart w:id="12" w:name="_Toc24303"/>
      <w:r>
        <w:rPr>
          <w:rFonts w:hint="eastAsia" w:ascii="楷体_GB2312" w:hAnsi="楷体_GB2312" w:eastAsia="楷体_GB2312" w:cs="楷体_GB2312"/>
          <w:b w:val="0"/>
          <w:bCs w:val="0"/>
          <w:highlight w:val="none"/>
          <w:lang w:val="en-US" w:eastAsia="zh-CN"/>
        </w:rPr>
        <w:t>（三）</w:t>
      </w:r>
      <w:r>
        <w:rPr>
          <w:rFonts w:hint="eastAsia" w:ascii="楷体_GB2312" w:hAnsi="楷体_GB2312" w:eastAsia="楷体_GB2312" w:cs="楷体_GB2312"/>
          <w:b w:val="0"/>
          <w:bCs w:val="0"/>
          <w:highlight w:val="none"/>
          <w:lang w:val="en-US"/>
        </w:rPr>
        <w:t>评价指标体系</w:t>
      </w:r>
      <w:bookmarkEnd w:id="12"/>
    </w:p>
    <w:bookmarkEnd w:id="11"/>
    <w:p>
      <w:pPr>
        <w:pStyle w:val="4"/>
        <w:spacing w:line="579" w:lineRule="exact"/>
        <w:ind w:firstLine="640"/>
        <w:rPr>
          <w:rFonts w:hint="eastAsia" w:ascii="仿宋_GB2312" w:hAnsi="仿宋_GB2312" w:cs="仿宋_GB2312"/>
          <w:szCs w:val="32"/>
          <w:highlight w:val="none"/>
          <w:lang w:val="en-US"/>
        </w:rPr>
      </w:pPr>
      <w:r>
        <w:rPr>
          <w:rFonts w:hint="eastAsia" w:ascii="仿宋_GB2312" w:hAnsi="仿宋_GB2312" w:cs="仿宋_GB2312"/>
          <w:szCs w:val="32"/>
          <w:highlight w:val="none"/>
          <w:lang w:val="en-US"/>
        </w:rPr>
        <w:t>根据</w:t>
      </w:r>
      <w:r>
        <w:rPr>
          <w:rFonts w:hint="eastAsia" w:ascii="仿宋_GB2312" w:hAnsi="仿宋_GB2312" w:cs="仿宋_GB2312"/>
          <w:szCs w:val="32"/>
          <w:highlight w:val="none"/>
        </w:rPr>
        <w:t>《深圳市财政局关于印发</w:t>
      </w:r>
      <w:r>
        <w:rPr>
          <w:rFonts w:ascii="仿宋_GB2312" w:hAnsi="仿宋_GB2312" w:cs="仿宋_GB2312"/>
          <w:szCs w:val="32"/>
          <w:highlight w:val="none"/>
        </w:rPr>
        <w:t>&lt;深圳市市级项目支出绩效评价工作规程&gt;的通知》（深财绩〔2020〕14号）</w:t>
      </w:r>
      <w:r>
        <w:rPr>
          <w:rFonts w:hint="eastAsia" w:ascii="仿宋_GB2312" w:hAnsi="仿宋_GB2312" w:cs="仿宋_GB2312"/>
          <w:szCs w:val="32"/>
          <w:highlight w:val="none"/>
          <w:lang w:val="en-US"/>
        </w:rPr>
        <w:t>中的《项目支出绩效评价指标体系框架》</w:t>
      </w:r>
      <w:r>
        <w:rPr>
          <w:rFonts w:hint="eastAsia" w:ascii="仿宋_GB2312" w:hAnsi="仿宋_GB2312" w:cs="仿宋_GB2312"/>
          <w:szCs w:val="32"/>
          <w:highlight w:val="none"/>
          <w:lang w:val="en-US" w:eastAsia="zh-CN"/>
        </w:rPr>
        <w:t>，结合本项目实际</w:t>
      </w:r>
      <w:r>
        <w:rPr>
          <w:rFonts w:hint="eastAsia" w:ascii="仿宋_GB2312" w:hAnsi="仿宋_GB2312" w:cs="仿宋_GB2312"/>
          <w:szCs w:val="32"/>
          <w:highlight w:val="none"/>
          <w:lang w:val="en-US"/>
        </w:rPr>
        <w:t>设计了本项目绩效评价指标体系，共设置17</w:t>
      </w:r>
      <w:r>
        <w:rPr>
          <w:rFonts w:hint="eastAsia" w:ascii="仿宋_GB2312" w:hAnsi="仿宋_GB2312" w:cs="仿宋_GB2312"/>
          <w:szCs w:val="32"/>
          <w:highlight w:val="none"/>
          <w:lang w:val="en-US" w:eastAsia="zh-CN"/>
        </w:rPr>
        <w:t>个</w:t>
      </w:r>
      <w:r>
        <w:rPr>
          <w:rFonts w:hint="eastAsia" w:ascii="仿宋_GB2312" w:hAnsi="仿宋_GB2312" w:cs="仿宋_GB2312"/>
          <w:szCs w:val="32"/>
          <w:highlight w:val="none"/>
          <w:lang w:val="en-US"/>
        </w:rPr>
        <w:t>三级评价指标，总分值为100分，指标体系详见</w:t>
      </w:r>
      <w:r>
        <w:rPr>
          <w:rFonts w:hint="eastAsia" w:ascii="仿宋_GB2312" w:hAnsi="仿宋_GB2312" w:cs="仿宋_GB2312"/>
          <w:szCs w:val="32"/>
          <w:highlight w:val="none"/>
          <w:lang w:val="en-US" w:eastAsia="zh-CN"/>
        </w:rPr>
        <w:t>表3</w:t>
      </w:r>
      <w:r>
        <w:rPr>
          <w:rFonts w:hint="eastAsia" w:ascii="仿宋_GB2312" w:hAnsi="仿宋_GB2312" w:cs="仿宋_GB2312"/>
          <w:szCs w:val="32"/>
          <w:highlight w:val="none"/>
          <w:lang w:val="en-US"/>
        </w:rPr>
        <w:t>。</w:t>
      </w:r>
    </w:p>
    <w:p>
      <w:pPr>
        <w:pStyle w:val="4"/>
        <w:spacing w:line="579" w:lineRule="exact"/>
        <w:ind w:firstLine="640"/>
        <w:jc w:val="center"/>
        <w:rPr>
          <w:rFonts w:hint="eastAsia" w:ascii="仿宋_GB2312" w:hAnsi="仿宋_GB2312" w:cs="仿宋_GB2312"/>
          <w:sz w:val="28"/>
          <w:szCs w:val="28"/>
          <w:highlight w:val="none"/>
          <w:lang w:val="en-US"/>
        </w:rPr>
      </w:pPr>
      <w:r>
        <w:rPr>
          <w:rFonts w:hint="eastAsia" w:ascii="仿宋_GB2312" w:hAnsi="仿宋_GB2312" w:cs="仿宋_GB2312"/>
          <w:sz w:val="28"/>
          <w:szCs w:val="28"/>
          <w:highlight w:val="none"/>
          <w:lang w:val="en-US"/>
        </w:rPr>
        <w:t>表</w:t>
      </w:r>
      <w:r>
        <w:rPr>
          <w:rFonts w:hint="eastAsia" w:ascii="仿宋_GB2312" w:hAnsi="仿宋_GB2312" w:cs="仿宋_GB2312"/>
          <w:sz w:val="28"/>
          <w:szCs w:val="28"/>
          <w:highlight w:val="none"/>
          <w:lang w:val="en-US" w:eastAsia="zh-CN"/>
        </w:rPr>
        <w:t>3</w:t>
      </w:r>
      <w:r>
        <w:rPr>
          <w:rFonts w:hint="eastAsia" w:ascii="仿宋_GB2312" w:hAnsi="仿宋_GB2312" w:cs="仿宋_GB2312"/>
          <w:sz w:val="28"/>
          <w:szCs w:val="28"/>
          <w:highlight w:val="none"/>
          <w:lang w:val="en-US"/>
        </w:rPr>
        <w:t xml:space="preserve">  绩效评价指标体系框架</w:t>
      </w:r>
    </w:p>
    <w:tbl>
      <w:tblPr>
        <w:tblStyle w:val="20"/>
        <w:tblW w:w="8299" w:type="dxa"/>
        <w:tblInd w:w="96"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931"/>
        <w:gridCol w:w="864"/>
        <w:gridCol w:w="1404"/>
        <w:gridCol w:w="1080"/>
        <w:gridCol w:w="2604"/>
        <w:gridCol w:w="141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90" w:hRule="atLeast"/>
          <w:tblHeader/>
        </w:trPr>
        <w:tc>
          <w:tcPr>
            <w:tcW w:w="1795" w:type="dxa"/>
            <w:gridSpan w:val="2"/>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一级指标</w:t>
            </w:r>
          </w:p>
        </w:tc>
        <w:tc>
          <w:tcPr>
            <w:tcW w:w="2484" w:type="dxa"/>
            <w:gridSpan w:val="2"/>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二级指标</w:t>
            </w:r>
          </w:p>
        </w:tc>
        <w:tc>
          <w:tcPr>
            <w:tcW w:w="4020" w:type="dxa"/>
            <w:gridSpan w:val="2"/>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三级指标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 w:hRule="atLeast"/>
          <w:tblHeader/>
        </w:trPr>
        <w:tc>
          <w:tcPr>
            <w:tcW w:w="931"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名称</w:t>
            </w:r>
          </w:p>
        </w:tc>
        <w:tc>
          <w:tcPr>
            <w:tcW w:w="86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权重</w:t>
            </w:r>
          </w:p>
        </w:tc>
        <w:tc>
          <w:tcPr>
            <w:tcW w:w="14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名称</w:t>
            </w:r>
          </w:p>
        </w:tc>
        <w:tc>
          <w:tcPr>
            <w:tcW w:w="1080"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权重</w:t>
            </w: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名称</w:t>
            </w:r>
          </w:p>
        </w:tc>
        <w:tc>
          <w:tcPr>
            <w:tcW w:w="1416"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权重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 w:hRule="atLeast"/>
        </w:trPr>
        <w:tc>
          <w:tcPr>
            <w:tcW w:w="931"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决策</w:t>
            </w:r>
          </w:p>
        </w:tc>
        <w:tc>
          <w:tcPr>
            <w:tcW w:w="864"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20</w:t>
            </w:r>
          </w:p>
        </w:tc>
        <w:tc>
          <w:tcPr>
            <w:tcW w:w="1404"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项目立项</w:t>
            </w:r>
          </w:p>
        </w:tc>
        <w:tc>
          <w:tcPr>
            <w:tcW w:w="1080"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6</w:t>
            </w: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立项依据充分性</w:t>
            </w:r>
          </w:p>
        </w:tc>
        <w:tc>
          <w:tcPr>
            <w:tcW w:w="141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 w:hRule="atLeast"/>
        </w:trPr>
        <w:tc>
          <w:tcPr>
            <w:tcW w:w="931"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86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40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080"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立项程序规范性</w:t>
            </w:r>
          </w:p>
        </w:tc>
        <w:tc>
          <w:tcPr>
            <w:tcW w:w="141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 w:hRule="atLeast"/>
        </w:trPr>
        <w:tc>
          <w:tcPr>
            <w:tcW w:w="931"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86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404"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绩效目标</w:t>
            </w:r>
          </w:p>
        </w:tc>
        <w:tc>
          <w:tcPr>
            <w:tcW w:w="1080"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8</w:t>
            </w: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绩效目标合理性</w:t>
            </w:r>
          </w:p>
        </w:tc>
        <w:tc>
          <w:tcPr>
            <w:tcW w:w="141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 w:hRule="atLeast"/>
        </w:trPr>
        <w:tc>
          <w:tcPr>
            <w:tcW w:w="931"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86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40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080"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绩效指标明确性</w:t>
            </w:r>
          </w:p>
        </w:tc>
        <w:tc>
          <w:tcPr>
            <w:tcW w:w="141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 w:hRule="atLeast"/>
        </w:trPr>
        <w:tc>
          <w:tcPr>
            <w:tcW w:w="931"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86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404"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资金投入</w:t>
            </w:r>
          </w:p>
        </w:tc>
        <w:tc>
          <w:tcPr>
            <w:tcW w:w="1080"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6</w:t>
            </w: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预算编制科学性</w:t>
            </w:r>
          </w:p>
        </w:tc>
        <w:tc>
          <w:tcPr>
            <w:tcW w:w="141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 w:hRule="atLeast"/>
        </w:trPr>
        <w:tc>
          <w:tcPr>
            <w:tcW w:w="931"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86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40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080"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资金分配合理性</w:t>
            </w:r>
          </w:p>
        </w:tc>
        <w:tc>
          <w:tcPr>
            <w:tcW w:w="141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 w:hRule="atLeast"/>
        </w:trPr>
        <w:tc>
          <w:tcPr>
            <w:tcW w:w="931"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过程</w:t>
            </w:r>
          </w:p>
        </w:tc>
        <w:tc>
          <w:tcPr>
            <w:tcW w:w="864"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20</w:t>
            </w:r>
          </w:p>
        </w:tc>
        <w:tc>
          <w:tcPr>
            <w:tcW w:w="1404"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资金管理</w:t>
            </w:r>
          </w:p>
        </w:tc>
        <w:tc>
          <w:tcPr>
            <w:tcW w:w="1080"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12</w:t>
            </w: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资金到位率</w:t>
            </w:r>
          </w:p>
        </w:tc>
        <w:tc>
          <w:tcPr>
            <w:tcW w:w="1416"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 w:hRule="atLeast"/>
        </w:trPr>
        <w:tc>
          <w:tcPr>
            <w:tcW w:w="931"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86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40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080"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预算执行率</w:t>
            </w:r>
          </w:p>
        </w:tc>
        <w:tc>
          <w:tcPr>
            <w:tcW w:w="1416"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 w:hRule="atLeast"/>
        </w:trPr>
        <w:tc>
          <w:tcPr>
            <w:tcW w:w="931"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86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40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080"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资金使用合规性</w:t>
            </w:r>
          </w:p>
        </w:tc>
        <w:tc>
          <w:tcPr>
            <w:tcW w:w="1416"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12" w:hRule="atLeast"/>
        </w:trPr>
        <w:tc>
          <w:tcPr>
            <w:tcW w:w="931"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86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404"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组织实施</w:t>
            </w:r>
          </w:p>
        </w:tc>
        <w:tc>
          <w:tcPr>
            <w:tcW w:w="1080"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8</w:t>
            </w: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管理制度健全性</w:t>
            </w:r>
          </w:p>
        </w:tc>
        <w:tc>
          <w:tcPr>
            <w:tcW w:w="1416"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12" w:hRule="atLeast"/>
        </w:trPr>
        <w:tc>
          <w:tcPr>
            <w:tcW w:w="931"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86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40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080"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制度执行有效性</w:t>
            </w:r>
          </w:p>
        </w:tc>
        <w:tc>
          <w:tcPr>
            <w:tcW w:w="1416"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 w:hRule="atLeast"/>
        </w:trPr>
        <w:tc>
          <w:tcPr>
            <w:tcW w:w="931"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产出</w:t>
            </w:r>
          </w:p>
        </w:tc>
        <w:tc>
          <w:tcPr>
            <w:tcW w:w="864" w:type="dxa"/>
            <w:vMerge w:val="restart"/>
            <w:tcBorders>
              <w:tl2br w:val="nil"/>
              <w:tr2bl w:val="nil"/>
            </w:tcBorders>
            <w:shd w:val="clear" w:color="auto" w:fill="auto"/>
            <w:vAlign w:val="center"/>
          </w:tcPr>
          <w:p>
            <w:pPr>
              <w:widowControl/>
              <w:jc w:val="center"/>
              <w:textAlignment w:val="center"/>
              <w:rPr>
                <w:rFonts w:hint="default"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30</w:t>
            </w:r>
          </w:p>
        </w:tc>
        <w:tc>
          <w:tcPr>
            <w:tcW w:w="14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产出数量</w:t>
            </w:r>
          </w:p>
        </w:tc>
        <w:tc>
          <w:tcPr>
            <w:tcW w:w="1080"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9</w:t>
            </w: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实际完成率</w:t>
            </w:r>
          </w:p>
        </w:tc>
        <w:tc>
          <w:tcPr>
            <w:tcW w:w="1416"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12" w:hRule="atLeast"/>
        </w:trPr>
        <w:tc>
          <w:tcPr>
            <w:tcW w:w="931"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86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4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产出质量</w:t>
            </w:r>
          </w:p>
        </w:tc>
        <w:tc>
          <w:tcPr>
            <w:tcW w:w="1080"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9</w:t>
            </w: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质量达标率</w:t>
            </w:r>
          </w:p>
        </w:tc>
        <w:tc>
          <w:tcPr>
            <w:tcW w:w="1416"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 w:hRule="atLeast"/>
        </w:trPr>
        <w:tc>
          <w:tcPr>
            <w:tcW w:w="931"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86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4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产出时效</w:t>
            </w:r>
          </w:p>
        </w:tc>
        <w:tc>
          <w:tcPr>
            <w:tcW w:w="1080"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8</w:t>
            </w: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完成及时性</w:t>
            </w:r>
          </w:p>
        </w:tc>
        <w:tc>
          <w:tcPr>
            <w:tcW w:w="1416"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 w:hRule="atLeast"/>
        </w:trPr>
        <w:tc>
          <w:tcPr>
            <w:tcW w:w="931"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86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4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产出成本</w:t>
            </w:r>
          </w:p>
        </w:tc>
        <w:tc>
          <w:tcPr>
            <w:tcW w:w="1080"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4</w:t>
            </w: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成本节约率</w:t>
            </w:r>
          </w:p>
        </w:tc>
        <w:tc>
          <w:tcPr>
            <w:tcW w:w="1416"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12" w:hRule="atLeast"/>
        </w:trPr>
        <w:tc>
          <w:tcPr>
            <w:tcW w:w="931"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效益</w:t>
            </w:r>
          </w:p>
        </w:tc>
        <w:tc>
          <w:tcPr>
            <w:tcW w:w="864" w:type="dxa"/>
            <w:vMerge w:val="restart"/>
            <w:tcBorders>
              <w:tl2br w:val="nil"/>
              <w:tr2bl w:val="nil"/>
            </w:tcBorders>
            <w:shd w:val="clear" w:color="auto" w:fill="auto"/>
            <w:vAlign w:val="center"/>
          </w:tcPr>
          <w:p>
            <w:pPr>
              <w:widowControl/>
              <w:jc w:val="center"/>
              <w:textAlignment w:val="center"/>
              <w:rPr>
                <w:rFonts w:hint="default"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30</w:t>
            </w:r>
          </w:p>
        </w:tc>
        <w:tc>
          <w:tcPr>
            <w:tcW w:w="1404"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项目效益</w:t>
            </w:r>
          </w:p>
        </w:tc>
        <w:tc>
          <w:tcPr>
            <w:tcW w:w="1080" w:type="dxa"/>
            <w:vMerge w:val="restart"/>
            <w:tcBorders>
              <w:tl2br w:val="nil"/>
              <w:tr2bl w:val="nil"/>
            </w:tcBorders>
            <w:shd w:val="clear" w:color="auto" w:fill="auto"/>
            <w:vAlign w:val="center"/>
          </w:tcPr>
          <w:p>
            <w:pPr>
              <w:widowControl/>
              <w:jc w:val="center"/>
              <w:textAlignment w:val="center"/>
              <w:rPr>
                <w:rFonts w:hint="default"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30</w:t>
            </w: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实施效益</w:t>
            </w:r>
          </w:p>
        </w:tc>
        <w:tc>
          <w:tcPr>
            <w:tcW w:w="1416"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 w:hRule="atLeast"/>
        </w:trPr>
        <w:tc>
          <w:tcPr>
            <w:tcW w:w="931"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86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40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080"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满意度</w:t>
            </w:r>
          </w:p>
        </w:tc>
        <w:tc>
          <w:tcPr>
            <w:tcW w:w="1416" w:type="dxa"/>
            <w:tcBorders>
              <w:tl2br w:val="nil"/>
              <w:tr2bl w:val="nil"/>
            </w:tcBorders>
            <w:shd w:val="clear" w:color="auto" w:fill="auto"/>
            <w:vAlign w:val="center"/>
          </w:tcPr>
          <w:p>
            <w:pPr>
              <w:widowControl/>
              <w:jc w:val="center"/>
              <w:textAlignment w:val="center"/>
              <w:rPr>
                <w:rFonts w:hint="default"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10</w:t>
            </w:r>
          </w:p>
        </w:tc>
      </w:tr>
    </w:tbl>
    <w:p>
      <w:pPr>
        <w:pStyle w:val="5"/>
        <w:numPr>
          <w:ilvl w:val="1"/>
          <w:numId w:val="0"/>
        </w:numPr>
        <w:spacing w:before="0" w:after="0" w:line="579" w:lineRule="exact"/>
        <w:ind w:leftChars="200"/>
        <w:rPr>
          <w:rFonts w:ascii="楷体_GB2312" w:hAnsi="楷体_GB2312" w:eastAsia="楷体_GB2312" w:cs="楷体_GB2312"/>
          <w:b w:val="0"/>
          <w:bCs w:val="0"/>
          <w:highlight w:val="none"/>
          <w:lang w:val="en-US"/>
        </w:rPr>
      </w:pPr>
      <w:bookmarkStart w:id="13" w:name="_Toc13610"/>
      <w:r>
        <w:rPr>
          <w:rFonts w:hint="eastAsia" w:ascii="楷体_GB2312" w:hAnsi="楷体_GB2312" w:eastAsia="楷体_GB2312" w:cs="楷体_GB2312"/>
          <w:b w:val="0"/>
          <w:bCs w:val="0"/>
          <w:highlight w:val="none"/>
          <w:lang w:val="en-US" w:eastAsia="zh-CN"/>
        </w:rPr>
        <w:t>（四）</w:t>
      </w:r>
      <w:r>
        <w:rPr>
          <w:rFonts w:hint="eastAsia" w:ascii="楷体_GB2312" w:hAnsi="楷体_GB2312" w:eastAsia="楷体_GB2312" w:cs="楷体_GB2312"/>
          <w:b w:val="0"/>
          <w:bCs w:val="0"/>
          <w:highlight w:val="none"/>
          <w:lang w:val="en-US"/>
        </w:rPr>
        <w:t>评价方法、评价标准</w:t>
      </w:r>
      <w:bookmarkEnd w:id="13"/>
    </w:p>
    <w:p>
      <w:pPr>
        <w:pStyle w:val="4"/>
        <w:spacing w:line="579" w:lineRule="exact"/>
        <w:ind w:firstLine="640"/>
        <w:rPr>
          <w:szCs w:val="32"/>
          <w:highlight w:val="none"/>
          <w:lang w:val="en-US"/>
        </w:rPr>
      </w:pPr>
      <w:r>
        <w:rPr>
          <w:rFonts w:hint="eastAsia"/>
          <w:szCs w:val="32"/>
          <w:highlight w:val="none"/>
          <w:lang w:val="en-US"/>
        </w:rPr>
        <w:t>绩效评价的方法主要包括比较法、因素分析法、公众评判法等。绩效</w:t>
      </w:r>
      <w:r>
        <w:rPr>
          <w:szCs w:val="32"/>
          <w:highlight w:val="none"/>
          <w:lang w:val="en-US"/>
        </w:rPr>
        <w:t>评价标准包括计划标准、行业标准、历史标准等，对绩效指标完成情况进行比较。</w:t>
      </w:r>
    </w:p>
    <w:p>
      <w:pPr>
        <w:pStyle w:val="5"/>
        <w:numPr>
          <w:ilvl w:val="1"/>
          <w:numId w:val="0"/>
        </w:numPr>
        <w:spacing w:before="0" w:after="0" w:line="579" w:lineRule="exact"/>
        <w:ind w:leftChars="200"/>
        <w:rPr>
          <w:rFonts w:ascii="楷体_GB2312" w:hAnsi="楷体_GB2312" w:eastAsia="楷体_GB2312" w:cs="楷体_GB2312"/>
          <w:b w:val="0"/>
          <w:bCs w:val="0"/>
          <w:highlight w:val="none"/>
          <w:lang w:val="en-US"/>
        </w:rPr>
      </w:pPr>
      <w:bookmarkStart w:id="14" w:name="_Toc17583"/>
      <w:r>
        <w:rPr>
          <w:rFonts w:hint="eastAsia" w:ascii="楷体_GB2312" w:hAnsi="楷体_GB2312" w:eastAsia="楷体_GB2312" w:cs="楷体_GB2312"/>
          <w:b w:val="0"/>
          <w:bCs w:val="0"/>
          <w:highlight w:val="none"/>
          <w:lang w:val="en-US" w:eastAsia="zh-CN"/>
        </w:rPr>
        <w:t>（五）</w:t>
      </w:r>
      <w:r>
        <w:rPr>
          <w:rFonts w:hint="eastAsia" w:ascii="楷体_GB2312" w:hAnsi="楷体_GB2312" w:eastAsia="楷体_GB2312" w:cs="楷体_GB2312"/>
          <w:b w:val="0"/>
          <w:bCs w:val="0"/>
          <w:highlight w:val="none"/>
          <w:lang w:val="en-US"/>
        </w:rPr>
        <w:t>绩效评价工作过程</w:t>
      </w:r>
      <w:bookmarkEnd w:id="14"/>
    </w:p>
    <w:p>
      <w:pPr>
        <w:spacing w:line="579"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绩效评价包括前期准备、组织实施、报告撰写、归档整理四个步骤。主要内容及工作安排如下：</w:t>
      </w:r>
    </w:p>
    <w:p>
      <w:pPr>
        <w:pStyle w:val="70"/>
        <w:tabs>
          <w:tab w:val="left" w:pos="1425"/>
        </w:tabs>
        <w:spacing w:line="579" w:lineRule="exact"/>
        <w:ind w:firstLine="642" w:firstLineChars="200"/>
        <w:outlineLvl w:val="2"/>
        <w:rPr>
          <w:rFonts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1.前期准备</w:t>
      </w:r>
    </w:p>
    <w:p>
      <w:pPr>
        <w:spacing w:line="579" w:lineRule="exact"/>
        <w:ind w:firstLine="640" w:firstLineChars="200"/>
        <w:rPr>
          <w:rFonts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rPr>
        <w:t>确定评价对象、范围和责任分工；成立评价小组，</w:t>
      </w:r>
      <w:r>
        <w:rPr>
          <w:rFonts w:hint="eastAsia" w:ascii="仿宋_GB2312" w:hAnsi="仿宋_GB2312" w:eastAsia="仿宋_GB2312" w:cs="仿宋_GB2312"/>
          <w:b w:val="0"/>
          <w:bCs w:val="0"/>
          <w:sz w:val="32"/>
          <w:szCs w:val="32"/>
          <w:highlight w:val="none"/>
          <w:lang w:val="en-US" w:eastAsia="zh-CN"/>
        </w:rPr>
        <w:t>召开专题</w:t>
      </w:r>
      <w:r>
        <w:rPr>
          <w:rFonts w:hint="eastAsia" w:ascii="仿宋_GB2312" w:hAnsi="仿宋_GB2312" w:eastAsia="仿宋_GB2312" w:cs="仿宋_GB2312"/>
          <w:b w:val="0"/>
          <w:bCs w:val="0"/>
          <w:sz w:val="32"/>
          <w:szCs w:val="32"/>
          <w:highlight w:val="none"/>
        </w:rPr>
        <w:t>会议；确定评价重点，设计评价指标体系初稿，撰写报告大纲。</w:t>
      </w:r>
    </w:p>
    <w:p>
      <w:pPr>
        <w:pStyle w:val="70"/>
        <w:tabs>
          <w:tab w:val="left" w:pos="1425"/>
        </w:tabs>
        <w:spacing w:line="579" w:lineRule="exact"/>
        <w:ind w:firstLine="642" w:firstLineChars="200"/>
        <w:outlineLvl w:val="2"/>
        <w:rPr>
          <w:rFonts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2.组织实施</w:t>
      </w:r>
    </w:p>
    <w:p>
      <w:pPr>
        <w:spacing w:line="579" w:lineRule="exact"/>
        <w:ind w:firstLine="640" w:firstLineChars="200"/>
        <w:rPr>
          <w:rFonts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rPr>
        <w:t>采集项目资料，确定指标体系；现场调研与访谈，数据分析；评价资料分析与论证，形成初步评价结论。</w:t>
      </w:r>
    </w:p>
    <w:p>
      <w:pPr>
        <w:pStyle w:val="70"/>
        <w:tabs>
          <w:tab w:val="left" w:pos="1425"/>
        </w:tabs>
        <w:spacing w:line="579" w:lineRule="exact"/>
        <w:ind w:firstLine="642" w:firstLineChars="200"/>
        <w:outlineLvl w:val="2"/>
        <w:rPr>
          <w:rFonts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3.报告撰写</w:t>
      </w:r>
    </w:p>
    <w:p>
      <w:pPr>
        <w:spacing w:line="579" w:lineRule="exact"/>
        <w:ind w:firstLine="640" w:firstLineChars="200"/>
        <w:rPr>
          <w:rFonts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rPr>
        <w:t>评价资料补充采集，问题梳理与改善建议；撰写报告初稿，开展内部研讨与问题论证；形成绩效评价报告征求意见稿并征求意见；意见采纳，形成正式绩效评价报告。</w:t>
      </w:r>
    </w:p>
    <w:p>
      <w:pPr>
        <w:pStyle w:val="70"/>
        <w:tabs>
          <w:tab w:val="left" w:pos="1425"/>
        </w:tabs>
        <w:spacing w:line="579" w:lineRule="exact"/>
        <w:ind w:firstLine="642" w:firstLineChars="200"/>
        <w:outlineLvl w:val="2"/>
        <w:rPr>
          <w:rFonts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4.归档整理</w:t>
      </w:r>
    </w:p>
    <w:p>
      <w:pPr>
        <w:spacing w:line="579"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报告定稿后5个工作日内，评价小组及时建立绩效评价档案，将绩效评价各环节相关资料整理归档。</w:t>
      </w:r>
    </w:p>
    <w:p>
      <w:pPr>
        <w:pStyle w:val="3"/>
        <w:spacing w:before="0" w:after="0" w:line="579" w:lineRule="exact"/>
        <w:ind w:firstLine="640"/>
        <w:rPr>
          <w:highlight w:val="none"/>
        </w:rPr>
      </w:pPr>
      <w:bookmarkStart w:id="15" w:name="_Toc7532"/>
      <w:r>
        <w:rPr>
          <w:rFonts w:hint="eastAsia"/>
          <w:highlight w:val="none"/>
          <w:lang w:val="en-US"/>
        </w:rPr>
        <w:t>综合评价情况及评价结论</w:t>
      </w:r>
      <w:bookmarkEnd w:id="15"/>
    </w:p>
    <w:p>
      <w:pPr>
        <w:pStyle w:val="4"/>
        <w:spacing w:line="579" w:lineRule="exact"/>
        <w:ind w:firstLine="640"/>
        <w:rPr>
          <w:rFonts w:ascii="仿宋_GB2312" w:hAnsi="仿宋_GB2312" w:cs="仿宋_GB2312"/>
          <w:szCs w:val="32"/>
          <w:highlight w:val="none"/>
        </w:rPr>
      </w:pPr>
      <w:r>
        <w:rPr>
          <w:rFonts w:hint="eastAsia" w:ascii="仿宋_GB2312" w:hAnsi="仿宋_GB2312" w:cs="仿宋_GB2312"/>
          <w:szCs w:val="32"/>
          <w:highlight w:val="none"/>
        </w:rPr>
        <w:t>评价小组根据指标体系，结合项目相关资料、现场调研及问卷调查等获取的</w:t>
      </w:r>
      <w:r>
        <w:rPr>
          <w:rFonts w:hint="eastAsia" w:ascii="仿宋_GB2312" w:hAnsi="仿宋_GB2312" w:cs="仿宋_GB2312"/>
          <w:szCs w:val="32"/>
          <w:highlight w:val="none"/>
          <w:lang w:val="en-US" w:eastAsia="zh-CN"/>
        </w:rPr>
        <w:t>数据</w:t>
      </w:r>
      <w:r>
        <w:rPr>
          <w:rFonts w:hint="eastAsia" w:ascii="仿宋_GB2312" w:hAnsi="仿宋_GB2312" w:cs="仿宋_GB2312"/>
          <w:szCs w:val="32"/>
          <w:highlight w:val="none"/>
        </w:rPr>
        <w:t>，对</w:t>
      </w:r>
      <w:r>
        <w:rPr>
          <w:rFonts w:hint="eastAsia" w:ascii="仿宋_GB2312" w:hAnsi="仿宋_GB2312" w:cs="仿宋_GB2312"/>
          <w:szCs w:val="32"/>
          <w:highlight w:val="none"/>
          <w:lang w:val="en-US"/>
        </w:rPr>
        <w:t>本项目</w:t>
      </w:r>
      <w:r>
        <w:rPr>
          <w:rFonts w:hint="eastAsia" w:ascii="仿宋_GB2312" w:hAnsi="仿宋_GB2312" w:cs="仿宋_GB2312"/>
          <w:szCs w:val="32"/>
          <w:highlight w:val="none"/>
        </w:rPr>
        <w:t>进行综合评价，最终评价结果为94.9分。综合评价等级为“</w:t>
      </w:r>
      <w:r>
        <w:rPr>
          <w:rFonts w:hint="eastAsia" w:ascii="仿宋_GB2312" w:hAnsi="仿宋_GB2312" w:cs="仿宋_GB2312"/>
          <w:szCs w:val="32"/>
          <w:highlight w:val="none"/>
          <w:lang w:val="en-US"/>
        </w:rPr>
        <w:t>优</w:t>
      </w:r>
      <w:r>
        <w:rPr>
          <w:rFonts w:hint="eastAsia" w:ascii="仿宋_GB2312" w:hAnsi="仿宋_GB2312" w:cs="仿宋_GB2312"/>
          <w:szCs w:val="32"/>
          <w:highlight w:val="none"/>
        </w:rPr>
        <w:t>”</w:t>
      </w:r>
      <w:r>
        <w:rPr>
          <w:rStyle w:val="25"/>
          <w:rFonts w:hint="eastAsia" w:ascii="仿宋_GB2312" w:hAnsi="仿宋_GB2312" w:cs="仿宋_GB2312"/>
          <w:szCs w:val="32"/>
          <w:highlight w:val="none"/>
        </w:rPr>
        <w:footnoteReference w:id="3"/>
      </w:r>
      <w:r>
        <w:rPr>
          <w:rFonts w:hint="eastAsia" w:ascii="仿宋_GB2312" w:hAnsi="仿宋_GB2312" w:cs="仿宋_GB2312"/>
          <w:szCs w:val="32"/>
          <w:highlight w:val="none"/>
        </w:rPr>
        <w:t>。各指标具体得分详见表</w:t>
      </w:r>
      <w:r>
        <w:rPr>
          <w:rFonts w:hint="eastAsia" w:ascii="仿宋_GB2312" w:hAnsi="仿宋_GB2312" w:cs="仿宋_GB2312"/>
          <w:szCs w:val="32"/>
          <w:highlight w:val="none"/>
          <w:lang w:val="en-US" w:eastAsia="zh-CN"/>
        </w:rPr>
        <w:t>4</w:t>
      </w:r>
      <w:r>
        <w:rPr>
          <w:rFonts w:hint="eastAsia" w:ascii="仿宋_GB2312" w:hAnsi="仿宋_GB2312" w:cs="仿宋_GB2312"/>
          <w:szCs w:val="32"/>
          <w:highlight w:val="none"/>
        </w:rPr>
        <w:t>，</w:t>
      </w:r>
      <w:r>
        <w:rPr>
          <w:rFonts w:hint="eastAsia" w:ascii="仿宋_GB2312" w:hAnsi="仿宋_GB2312" w:cs="仿宋_GB2312"/>
          <w:szCs w:val="32"/>
          <w:highlight w:val="none"/>
          <w:lang w:val="en-US"/>
        </w:rPr>
        <w:t>各指标得分情况及扣分原因见附件</w:t>
      </w:r>
      <w:r>
        <w:rPr>
          <w:rFonts w:hint="eastAsia" w:ascii="仿宋_GB2312" w:hAnsi="仿宋_GB2312" w:cs="仿宋_GB2312"/>
          <w:szCs w:val="32"/>
          <w:highlight w:val="none"/>
          <w:lang w:val="en-US" w:eastAsia="zh-CN"/>
        </w:rPr>
        <w:t>1</w:t>
      </w:r>
      <w:r>
        <w:rPr>
          <w:rFonts w:hint="eastAsia" w:ascii="仿宋_GB2312" w:hAnsi="仿宋_GB2312" w:cs="仿宋_GB2312"/>
          <w:szCs w:val="32"/>
          <w:highlight w:val="none"/>
        </w:rPr>
        <w:t>。</w:t>
      </w:r>
    </w:p>
    <w:p>
      <w:pPr>
        <w:pStyle w:val="65"/>
        <w:spacing w:before="0" w:after="0" w:line="579" w:lineRule="exact"/>
        <w:rPr>
          <w:rFonts w:ascii="仿宋_GB2312" w:hAnsi="仿宋_GB2312" w:eastAsia="仿宋_GB2312" w:cs="仿宋_GB2312"/>
          <w:b w:val="0"/>
          <w:bCs/>
          <w:highlight w:val="none"/>
        </w:rPr>
      </w:pPr>
      <w:r>
        <w:rPr>
          <w:rFonts w:hint="eastAsia" w:ascii="仿宋_GB2312" w:hAnsi="仿宋_GB2312" w:eastAsia="仿宋_GB2312" w:cs="仿宋_GB2312"/>
          <w:b w:val="0"/>
          <w:bCs/>
          <w:highlight w:val="none"/>
        </w:rPr>
        <w:t>表</w:t>
      </w:r>
      <w:r>
        <w:rPr>
          <w:rFonts w:hint="eastAsia" w:ascii="仿宋_GB2312" w:hAnsi="仿宋_GB2312" w:eastAsia="仿宋_GB2312" w:cs="仿宋_GB2312"/>
          <w:b w:val="0"/>
          <w:bCs/>
          <w:highlight w:val="none"/>
          <w:lang w:val="en-US" w:eastAsia="zh-CN"/>
        </w:rPr>
        <w:t>4</w:t>
      </w:r>
      <w:r>
        <w:rPr>
          <w:rFonts w:hint="eastAsia" w:ascii="仿宋_GB2312" w:hAnsi="仿宋_GB2312" w:eastAsia="仿宋_GB2312" w:cs="仿宋_GB2312"/>
          <w:b w:val="0"/>
          <w:bCs/>
          <w:highlight w:val="none"/>
        </w:rPr>
        <w:t xml:space="preserve">  本项目各项指标得分</w:t>
      </w:r>
      <w:r>
        <w:rPr>
          <w:rFonts w:hint="eastAsia" w:ascii="仿宋_GB2312" w:hAnsi="仿宋_GB2312" w:eastAsia="仿宋_GB2312" w:cs="仿宋_GB2312"/>
          <w:b w:val="0"/>
          <w:bCs/>
          <w:highlight w:val="none"/>
          <w:lang w:val="en-US" w:eastAsia="zh-CN"/>
        </w:rPr>
        <w:t>情况</w:t>
      </w:r>
      <w:r>
        <w:rPr>
          <w:rFonts w:hint="eastAsia" w:ascii="仿宋_GB2312" w:hAnsi="仿宋_GB2312" w:eastAsia="仿宋_GB2312" w:cs="仿宋_GB2312"/>
          <w:b w:val="0"/>
          <w:bCs/>
          <w:highlight w:val="none"/>
        </w:rPr>
        <w:t>表</w:t>
      </w:r>
    </w:p>
    <w:tbl>
      <w:tblPr>
        <w:tblStyle w:val="20"/>
        <w:tblW w:w="8517" w:type="dxa"/>
        <w:tblInd w:w="0" w:type="dxa"/>
        <w:shd w:val="clear" w:color="auto" w:fill="auto"/>
        <w:tblLayout w:type="fixed"/>
        <w:tblCellMar>
          <w:top w:w="0" w:type="dxa"/>
          <w:left w:w="108" w:type="dxa"/>
          <w:bottom w:w="0" w:type="dxa"/>
          <w:right w:w="108" w:type="dxa"/>
        </w:tblCellMar>
      </w:tblPr>
      <w:tblGrid>
        <w:gridCol w:w="1391"/>
        <w:gridCol w:w="808"/>
        <w:gridCol w:w="956"/>
        <w:gridCol w:w="1103"/>
        <w:gridCol w:w="1391"/>
        <w:gridCol w:w="808"/>
        <w:gridCol w:w="956"/>
        <w:gridCol w:w="1104"/>
      </w:tblGrid>
      <w:tr>
        <w:tblPrEx>
          <w:shd w:val="clear" w:color="auto" w:fill="auto"/>
          <w:tblCellMar>
            <w:top w:w="0" w:type="dxa"/>
            <w:left w:w="108" w:type="dxa"/>
            <w:bottom w:w="0" w:type="dxa"/>
            <w:right w:w="108" w:type="dxa"/>
          </w:tblCellMar>
        </w:tblPrEx>
        <w:trPr>
          <w:trHeight w:val="23" w:hRule="atLeast"/>
          <w:tblHeader/>
        </w:trPr>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color w:val="000000"/>
                <w:kern w:val="0"/>
                <w:sz w:val="21"/>
                <w:szCs w:val="21"/>
                <w:highlight w:val="none"/>
                <w:lang w:bidi="ar"/>
              </w:rPr>
              <w:t>一级指标</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color w:val="000000"/>
                <w:kern w:val="0"/>
                <w:sz w:val="21"/>
                <w:szCs w:val="21"/>
                <w:highlight w:val="none"/>
                <w:lang w:bidi="ar"/>
              </w:rPr>
              <w:t>分值</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color w:val="000000"/>
                <w:kern w:val="0"/>
                <w:sz w:val="21"/>
                <w:szCs w:val="21"/>
                <w:highlight w:val="none"/>
                <w:lang w:bidi="ar"/>
              </w:rPr>
              <w:t>得分</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color w:val="000000"/>
                <w:kern w:val="0"/>
                <w:sz w:val="21"/>
                <w:szCs w:val="21"/>
                <w:highlight w:val="none"/>
                <w:lang w:bidi="ar"/>
              </w:rPr>
              <w:t>得分率</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color w:val="000000"/>
                <w:kern w:val="0"/>
                <w:sz w:val="21"/>
                <w:szCs w:val="21"/>
                <w:highlight w:val="none"/>
                <w:lang w:bidi="ar"/>
              </w:rPr>
              <w:t>二级指标</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color w:val="000000"/>
                <w:kern w:val="0"/>
                <w:sz w:val="21"/>
                <w:szCs w:val="21"/>
                <w:highlight w:val="none"/>
                <w:lang w:bidi="ar"/>
              </w:rPr>
              <w:t>分值</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color w:val="000000"/>
                <w:kern w:val="0"/>
                <w:sz w:val="21"/>
                <w:szCs w:val="21"/>
                <w:highlight w:val="none"/>
                <w:lang w:bidi="ar"/>
              </w:rPr>
              <w:t>得分</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color w:val="000000"/>
                <w:kern w:val="0"/>
                <w:sz w:val="21"/>
                <w:szCs w:val="21"/>
                <w:highlight w:val="none"/>
                <w:lang w:bidi="ar"/>
              </w:rPr>
              <w:t>得分率</w:t>
            </w:r>
          </w:p>
        </w:tc>
      </w:tr>
      <w:tr>
        <w:tblPrEx>
          <w:tblCellMar>
            <w:top w:w="0" w:type="dxa"/>
            <w:left w:w="108" w:type="dxa"/>
            <w:bottom w:w="0" w:type="dxa"/>
            <w:right w:w="108" w:type="dxa"/>
          </w:tblCellMar>
        </w:tblPrEx>
        <w:trPr>
          <w:trHeight w:val="23" w:hRule="atLeast"/>
        </w:trPr>
        <w:tc>
          <w:tcPr>
            <w:tcW w:w="13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color w:val="000000"/>
                <w:kern w:val="0"/>
                <w:sz w:val="21"/>
                <w:szCs w:val="21"/>
                <w:highlight w:val="none"/>
                <w:lang w:bidi="ar"/>
              </w:rPr>
              <w:t>决策</w:t>
            </w:r>
          </w:p>
        </w:tc>
        <w:tc>
          <w:tcPr>
            <w:tcW w:w="8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20</w:t>
            </w:r>
          </w:p>
        </w:tc>
        <w:tc>
          <w:tcPr>
            <w:tcW w:w="9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t>19</w:t>
            </w:r>
          </w:p>
        </w:tc>
        <w:tc>
          <w:tcPr>
            <w:tcW w:w="11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95%</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项目立项</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6</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t>6</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t>100%</w:t>
            </w:r>
          </w:p>
        </w:tc>
      </w:tr>
      <w:tr>
        <w:tblPrEx>
          <w:shd w:val="clear" w:color="auto" w:fill="auto"/>
          <w:tblCellMar>
            <w:top w:w="0" w:type="dxa"/>
            <w:left w:w="108" w:type="dxa"/>
            <w:bottom w:w="0" w:type="dxa"/>
            <w:right w:w="108" w:type="dxa"/>
          </w:tblCellMar>
        </w:tblPrEx>
        <w:trPr>
          <w:trHeight w:val="23" w:hRule="atLeast"/>
        </w:trPr>
        <w:tc>
          <w:tcPr>
            <w:tcW w:w="1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21"/>
                <w:szCs w:val="21"/>
                <w:highlight w:val="none"/>
              </w:rPr>
            </w:pPr>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9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11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绩效目标</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8</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t>7</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rPr>
              <w:t>87</w:t>
            </w:r>
            <w:r>
              <w:rPr>
                <w:rFonts w:hint="eastAsia" w:ascii="仿宋_GB2312" w:hAnsi="仿宋_GB2312" w:eastAsia="仿宋_GB2312" w:cs="仿宋_GB2312"/>
                <w:sz w:val="21"/>
                <w:szCs w:val="21"/>
                <w:highlight w:val="none"/>
                <w:lang w:eastAsia="zh-CN"/>
              </w:rPr>
              <w:t>.</w:t>
            </w:r>
            <w:r>
              <w:rPr>
                <w:rFonts w:hint="eastAsia" w:ascii="仿宋_GB2312" w:hAnsi="仿宋_GB2312" w:eastAsia="仿宋_GB2312" w:cs="仿宋_GB2312"/>
                <w:sz w:val="21"/>
                <w:szCs w:val="21"/>
                <w:highlight w:val="none"/>
              </w:rPr>
              <w:t>5</w:t>
            </w:r>
            <w:r>
              <w:rPr>
                <w:rFonts w:hint="eastAsia" w:ascii="仿宋_GB2312" w:hAnsi="仿宋_GB2312" w:eastAsia="仿宋_GB2312" w:cs="仿宋_GB2312"/>
                <w:sz w:val="21"/>
                <w:szCs w:val="21"/>
                <w:highlight w:val="none"/>
                <w:lang w:val="en-US" w:eastAsia="zh-CN"/>
              </w:rPr>
              <w:t>%</w:t>
            </w:r>
          </w:p>
        </w:tc>
      </w:tr>
      <w:tr>
        <w:tblPrEx>
          <w:shd w:val="clear" w:color="auto" w:fill="auto"/>
          <w:tblCellMar>
            <w:top w:w="0" w:type="dxa"/>
            <w:left w:w="108" w:type="dxa"/>
            <w:bottom w:w="0" w:type="dxa"/>
            <w:right w:w="108" w:type="dxa"/>
          </w:tblCellMar>
        </w:tblPrEx>
        <w:trPr>
          <w:trHeight w:val="23" w:hRule="atLeast"/>
        </w:trPr>
        <w:tc>
          <w:tcPr>
            <w:tcW w:w="1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21"/>
                <w:szCs w:val="21"/>
                <w:highlight w:val="none"/>
              </w:rPr>
            </w:pPr>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9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11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资金投入</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6</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t>6</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rPr>
            </w:pPr>
            <w:r>
              <w:rPr>
                <w:rFonts w:hint="eastAsia" w:ascii="仿宋_GB2312" w:hAnsi="仿宋_GB2312" w:eastAsia="仿宋_GB2312" w:cs="仿宋_GB2312"/>
                <w:sz w:val="21"/>
                <w:szCs w:val="21"/>
                <w:highlight w:val="none"/>
                <w:lang w:val="en-US" w:eastAsia="zh-CN"/>
              </w:rPr>
              <w:t>100%</w:t>
            </w:r>
          </w:p>
        </w:tc>
      </w:tr>
      <w:tr>
        <w:tblPrEx>
          <w:shd w:val="clear" w:color="auto" w:fill="auto"/>
          <w:tblCellMar>
            <w:top w:w="0" w:type="dxa"/>
            <w:left w:w="108" w:type="dxa"/>
            <w:bottom w:w="0" w:type="dxa"/>
            <w:right w:w="108" w:type="dxa"/>
          </w:tblCellMar>
        </w:tblPrEx>
        <w:trPr>
          <w:trHeight w:val="23" w:hRule="atLeast"/>
        </w:trPr>
        <w:tc>
          <w:tcPr>
            <w:tcW w:w="13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color w:val="000000"/>
                <w:kern w:val="0"/>
                <w:sz w:val="21"/>
                <w:szCs w:val="21"/>
                <w:highlight w:val="none"/>
                <w:lang w:bidi="ar"/>
              </w:rPr>
              <w:t>过程</w:t>
            </w:r>
          </w:p>
        </w:tc>
        <w:tc>
          <w:tcPr>
            <w:tcW w:w="8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20</w:t>
            </w:r>
          </w:p>
        </w:tc>
        <w:tc>
          <w:tcPr>
            <w:tcW w:w="9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t>19.91</w:t>
            </w:r>
          </w:p>
        </w:tc>
        <w:tc>
          <w:tcPr>
            <w:tcW w:w="11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default" w:ascii="仿宋_GB2312" w:hAnsi="仿宋_GB2312" w:eastAsia="仿宋_GB2312" w:cs="仿宋_GB2312"/>
                <w:sz w:val="21"/>
                <w:szCs w:val="21"/>
                <w:highlight w:val="none"/>
                <w:lang w:val="en-US" w:eastAsia="zh-CN"/>
              </w:rPr>
              <w:t>99</w:t>
            </w:r>
            <w:r>
              <w:rPr>
                <w:rFonts w:hint="eastAsia" w:ascii="仿宋_GB2312" w:hAnsi="仿宋_GB2312" w:eastAsia="仿宋_GB2312" w:cs="仿宋_GB2312"/>
                <w:sz w:val="21"/>
                <w:szCs w:val="21"/>
                <w:highlight w:val="none"/>
                <w:lang w:val="en-US" w:eastAsia="zh-CN"/>
              </w:rPr>
              <w:t>.</w:t>
            </w:r>
            <w:r>
              <w:rPr>
                <w:rFonts w:hint="default" w:ascii="仿宋_GB2312" w:hAnsi="仿宋_GB2312" w:eastAsia="仿宋_GB2312" w:cs="仿宋_GB2312"/>
                <w:sz w:val="21"/>
                <w:szCs w:val="21"/>
                <w:highlight w:val="none"/>
                <w:lang w:val="en-US" w:eastAsia="zh-CN"/>
              </w:rPr>
              <w:t>55</w:t>
            </w:r>
            <w:r>
              <w:rPr>
                <w:rFonts w:hint="eastAsia" w:ascii="仿宋_GB2312" w:hAnsi="仿宋_GB2312" w:eastAsia="仿宋_GB2312" w:cs="仿宋_GB2312"/>
                <w:sz w:val="21"/>
                <w:szCs w:val="21"/>
                <w:highlight w:val="none"/>
                <w:lang w:val="en-US" w:eastAsia="zh-CN"/>
              </w:rPr>
              <w:t>%</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资金管理</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12</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t>11.91</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default" w:ascii="仿宋_GB2312" w:hAnsi="仿宋_GB2312" w:eastAsia="仿宋_GB2312" w:cs="仿宋_GB2312"/>
                <w:sz w:val="21"/>
                <w:szCs w:val="21"/>
                <w:highlight w:val="none"/>
                <w:lang w:val="en-US" w:eastAsia="zh-CN"/>
              </w:rPr>
              <w:t>99</w:t>
            </w:r>
            <w:r>
              <w:rPr>
                <w:rFonts w:hint="eastAsia" w:ascii="仿宋_GB2312" w:hAnsi="仿宋_GB2312" w:eastAsia="仿宋_GB2312" w:cs="仿宋_GB2312"/>
                <w:sz w:val="21"/>
                <w:szCs w:val="21"/>
                <w:highlight w:val="none"/>
                <w:lang w:val="en-US" w:eastAsia="zh-CN"/>
              </w:rPr>
              <w:t>.</w:t>
            </w:r>
            <w:r>
              <w:rPr>
                <w:rFonts w:hint="default" w:ascii="仿宋_GB2312" w:hAnsi="仿宋_GB2312" w:eastAsia="仿宋_GB2312" w:cs="仿宋_GB2312"/>
                <w:sz w:val="21"/>
                <w:szCs w:val="21"/>
                <w:highlight w:val="none"/>
                <w:lang w:val="en-US" w:eastAsia="zh-CN"/>
              </w:rPr>
              <w:t>25</w:t>
            </w:r>
            <w:r>
              <w:rPr>
                <w:rFonts w:hint="eastAsia" w:ascii="仿宋_GB2312" w:hAnsi="仿宋_GB2312" w:eastAsia="仿宋_GB2312" w:cs="仿宋_GB2312"/>
                <w:sz w:val="21"/>
                <w:szCs w:val="21"/>
                <w:highlight w:val="none"/>
                <w:lang w:val="en-US" w:eastAsia="zh-CN"/>
              </w:rPr>
              <w:t>%</w:t>
            </w:r>
          </w:p>
        </w:tc>
      </w:tr>
      <w:tr>
        <w:tblPrEx>
          <w:shd w:val="clear" w:color="auto" w:fill="auto"/>
          <w:tblCellMar>
            <w:top w:w="0" w:type="dxa"/>
            <w:left w:w="108" w:type="dxa"/>
            <w:bottom w:w="0" w:type="dxa"/>
            <w:right w:w="108" w:type="dxa"/>
          </w:tblCellMar>
        </w:tblPrEx>
        <w:trPr>
          <w:trHeight w:val="23" w:hRule="atLeast"/>
        </w:trPr>
        <w:tc>
          <w:tcPr>
            <w:tcW w:w="1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21"/>
                <w:szCs w:val="21"/>
                <w:highlight w:val="none"/>
              </w:rPr>
            </w:pPr>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9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11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组织实施</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8</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t>8</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lang w:val="en-US" w:eastAsia="zh-CN"/>
              </w:rPr>
              <w:t>100%</w:t>
            </w:r>
          </w:p>
        </w:tc>
      </w:tr>
      <w:tr>
        <w:tblPrEx>
          <w:shd w:val="clear" w:color="auto" w:fill="auto"/>
          <w:tblCellMar>
            <w:top w:w="0" w:type="dxa"/>
            <w:left w:w="108" w:type="dxa"/>
            <w:bottom w:w="0" w:type="dxa"/>
            <w:right w:w="108" w:type="dxa"/>
          </w:tblCellMar>
        </w:tblPrEx>
        <w:trPr>
          <w:trHeight w:val="312" w:hRule="atLeast"/>
        </w:trPr>
        <w:tc>
          <w:tcPr>
            <w:tcW w:w="13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color w:val="000000"/>
                <w:kern w:val="0"/>
                <w:sz w:val="21"/>
                <w:szCs w:val="21"/>
                <w:highlight w:val="none"/>
                <w:lang w:bidi="ar"/>
              </w:rPr>
              <w:t>产出</w:t>
            </w:r>
          </w:p>
        </w:tc>
        <w:tc>
          <w:tcPr>
            <w:tcW w:w="8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30</w:t>
            </w:r>
          </w:p>
        </w:tc>
        <w:tc>
          <w:tcPr>
            <w:tcW w:w="9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t>26.99</w:t>
            </w:r>
          </w:p>
        </w:tc>
        <w:tc>
          <w:tcPr>
            <w:tcW w:w="11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default" w:ascii="仿宋_GB2312" w:hAnsi="仿宋_GB2312" w:eastAsia="仿宋_GB2312" w:cs="仿宋_GB2312"/>
                <w:sz w:val="21"/>
                <w:szCs w:val="21"/>
                <w:highlight w:val="none"/>
                <w:lang w:val="en-US" w:eastAsia="zh-CN"/>
              </w:rPr>
              <w:t>89</w:t>
            </w:r>
            <w:r>
              <w:rPr>
                <w:rFonts w:hint="eastAsia" w:ascii="仿宋_GB2312" w:hAnsi="仿宋_GB2312" w:eastAsia="仿宋_GB2312" w:cs="仿宋_GB2312"/>
                <w:sz w:val="21"/>
                <w:szCs w:val="21"/>
                <w:highlight w:val="none"/>
                <w:lang w:val="en-US" w:eastAsia="zh-CN"/>
              </w:rPr>
              <w:t>.</w:t>
            </w:r>
            <w:r>
              <w:rPr>
                <w:rFonts w:hint="default" w:ascii="仿宋_GB2312" w:hAnsi="仿宋_GB2312" w:eastAsia="仿宋_GB2312" w:cs="仿宋_GB2312"/>
                <w:sz w:val="21"/>
                <w:szCs w:val="21"/>
                <w:highlight w:val="none"/>
                <w:lang w:val="en-US" w:eastAsia="zh-CN"/>
              </w:rPr>
              <w:t>9</w:t>
            </w:r>
            <w:r>
              <w:rPr>
                <w:rFonts w:hint="eastAsia" w:ascii="仿宋_GB2312" w:hAnsi="仿宋_GB2312" w:eastAsia="仿宋_GB2312" w:cs="仿宋_GB2312"/>
                <w:sz w:val="21"/>
                <w:szCs w:val="21"/>
                <w:highlight w:val="none"/>
                <w:lang w:val="en-US" w:eastAsia="zh-CN"/>
              </w:rPr>
              <w:t>7%</w:t>
            </w:r>
          </w:p>
        </w:tc>
        <w:tc>
          <w:tcPr>
            <w:tcW w:w="13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产出数量</w:t>
            </w:r>
          </w:p>
        </w:tc>
        <w:tc>
          <w:tcPr>
            <w:tcW w:w="8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9</w:t>
            </w:r>
          </w:p>
        </w:tc>
        <w:tc>
          <w:tcPr>
            <w:tcW w:w="9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9</w:t>
            </w:r>
          </w:p>
        </w:tc>
        <w:tc>
          <w:tcPr>
            <w:tcW w:w="11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sz w:val="21"/>
                <w:szCs w:val="21"/>
                <w:highlight w:val="none"/>
                <w:lang w:val="en-US" w:eastAsia="zh-CN"/>
              </w:rPr>
              <w:t>100%</w:t>
            </w:r>
          </w:p>
        </w:tc>
      </w:tr>
      <w:tr>
        <w:tblPrEx>
          <w:shd w:val="clear" w:color="auto" w:fill="auto"/>
          <w:tblCellMar>
            <w:top w:w="0" w:type="dxa"/>
            <w:left w:w="108" w:type="dxa"/>
            <w:bottom w:w="0" w:type="dxa"/>
            <w:right w:w="108" w:type="dxa"/>
          </w:tblCellMar>
        </w:tblPrEx>
        <w:trPr>
          <w:trHeight w:val="312" w:hRule="atLeast"/>
        </w:trPr>
        <w:tc>
          <w:tcPr>
            <w:tcW w:w="1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9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11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1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9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11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r>
      <w:tr>
        <w:tblPrEx>
          <w:tblCellMar>
            <w:top w:w="0" w:type="dxa"/>
            <w:left w:w="108" w:type="dxa"/>
            <w:bottom w:w="0" w:type="dxa"/>
            <w:right w:w="108" w:type="dxa"/>
          </w:tblCellMar>
        </w:tblPrEx>
        <w:trPr>
          <w:trHeight w:val="312" w:hRule="atLeast"/>
        </w:trPr>
        <w:tc>
          <w:tcPr>
            <w:tcW w:w="1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21"/>
                <w:szCs w:val="21"/>
                <w:highlight w:val="none"/>
              </w:rPr>
            </w:pPr>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9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11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13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sz w:val="21"/>
                <w:szCs w:val="21"/>
                <w:highlight w:val="none"/>
                <w:lang w:val="en-US" w:eastAsia="zh-CN"/>
              </w:rPr>
              <w:t>产出质量</w:t>
            </w:r>
          </w:p>
        </w:tc>
        <w:tc>
          <w:tcPr>
            <w:tcW w:w="8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9</w:t>
            </w:r>
          </w:p>
        </w:tc>
        <w:tc>
          <w:tcPr>
            <w:tcW w:w="9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t>9</w:t>
            </w:r>
          </w:p>
        </w:tc>
        <w:tc>
          <w:tcPr>
            <w:tcW w:w="11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lang w:val="en-US" w:eastAsia="zh-CN"/>
              </w:rPr>
              <w:t>100%</w:t>
            </w:r>
          </w:p>
        </w:tc>
      </w:tr>
      <w:tr>
        <w:tblPrEx>
          <w:shd w:val="clear" w:color="auto" w:fill="auto"/>
          <w:tblCellMar>
            <w:top w:w="0" w:type="dxa"/>
            <w:left w:w="108" w:type="dxa"/>
            <w:bottom w:w="0" w:type="dxa"/>
            <w:right w:w="108" w:type="dxa"/>
          </w:tblCellMar>
        </w:tblPrEx>
        <w:trPr>
          <w:trHeight w:val="312" w:hRule="atLeast"/>
        </w:trPr>
        <w:tc>
          <w:tcPr>
            <w:tcW w:w="1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9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11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1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9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11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r>
      <w:tr>
        <w:tblPrEx>
          <w:tblCellMar>
            <w:top w:w="0" w:type="dxa"/>
            <w:left w:w="108" w:type="dxa"/>
            <w:bottom w:w="0" w:type="dxa"/>
            <w:right w:w="108" w:type="dxa"/>
          </w:tblCellMar>
        </w:tblPrEx>
        <w:trPr>
          <w:trHeight w:val="23" w:hRule="atLeast"/>
        </w:trPr>
        <w:tc>
          <w:tcPr>
            <w:tcW w:w="1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21"/>
                <w:szCs w:val="21"/>
                <w:highlight w:val="none"/>
              </w:rPr>
            </w:pPr>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9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11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产出时效</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8</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t>7.27</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rPr>
              <w:t>90</w:t>
            </w:r>
            <w:r>
              <w:rPr>
                <w:rFonts w:hint="eastAsia" w:ascii="仿宋_GB2312" w:hAnsi="仿宋_GB2312" w:eastAsia="仿宋_GB2312" w:cs="仿宋_GB2312"/>
                <w:sz w:val="21"/>
                <w:szCs w:val="21"/>
                <w:highlight w:val="none"/>
                <w:lang w:eastAsia="zh-CN"/>
              </w:rPr>
              <w:t>.</w:t>
            </w:r>
            <w:r>
              <w:rPr>
                <w:rFonts w:hint="eastAsia" w:ascii="仿宋_GB2312" w:hAnsi="仿宋_GB2312" w:eastAsia="仿宋_GB2312" w:cs="仿宋_GB2312"/>
                <w:sz w:val="21"/>
                <w:szCs w:val="21"/>
                <w:highlight w:val="none"/>
              </w:rPr>
              <w:t>8</w:t>
            </w:r>
            <w:r>
              <w:rPr>
                <w:rFonts w:hint="eastAsia" w:ascii="仿宋_GB2312" w:hAnsi="仿宋_GB2312" w:eastAsia="仿宋_GB2312" w:cs="仿宋_GB2312"/>
                <w:sz w:val="21"/>
                <w:szCs w:val="21"/>
                <w:highlight w:val="none"/>
                <w:lang w:val="en-US" w:eastAsia="zh-CN"/>
              </w:rPr>
              <w:t>8%</w:t>
            </w:r>
          </w:p>
        </w:tc>
      </w:tr>
      <w:tr>
        <w:tblPrEx>
          <w:shd w:val="clear" w:color="auto" w:fill="auto"/>
          <w:tblCellMar>
            <w:top w:w="0" w:type="dxa"/>
            <w:left w:w="108" w:type="dxa"/>
            <w:bottom w:w="0" w:type="dxa"/>
            <w:right w:w="108" w:type="dxa"/>
          </w:tblCellMar>
        </w:tblPrEx>
        <w:trPr>
          <w:trHeight w:val="312" w:hRule="atLeast"/>
        </w:trPr>
        <w:tc>
          <w:tcPr>
            <w:tcW w:w="1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21"/>
                <w:szCs w:val="21"/>
                <w:highlight w:val="none"/>
              </w:rPr>
            </w:pPr>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9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11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13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产出成本</w:t>
            </w:r>
          </w:p>
        </w:tc>
        <w:tc>
          <w:tcPr>
            <w:tcW w:w="8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4</w:t>
            </w:r>
          </w:p>
        </w:tc>
        <w:tc>
          <w:tcPr>
            <w:tcW w:w="9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t>1.72</w:t>
            </w:r>
          </w:p>
        </w:tc>
        <w:tc>
          <w:tcPr>
            <w:tcW w:w="11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t>43%</w:t>
            </w:r>
          </w:p>
        </w:tc>
      </w:tr>
      <w:tr>
        <w:tblPrEx>
          <w:shd w:val="clear" w:color="auto" w:fill="auto"/>
          <w:tblCellMar>
            <w:top w:w="0" w:type="dxa"/>
            <w:left w:w="108" w:type="dxa"/>
            <w:bottom w:w="0" w:type="dxa"/>
            <w:right w:w="108" w:type="dxa"/>
          </w:tblCellMar>
        </w:tblPrEx>
        <w:trPr>
          <w:trHeight w:val="312" w:hRule="atLeast"/>
        </w:trPr>
        <w:tc>
          <w:tcPr>
            <w:tcW w:w="1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9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11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1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9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11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r>
      <w:tr>
        <w:tblPrEx>
          <w:tblCellMar>
            <w:top w:w="0" w:type="dxa"/>
            <w:left w:w="108" w:type="dxa"/>
            <w:bottom w:w="0" w:type="dxa"/>
            <w:right w:w="108" w:type="dxa"/>
          </w:tblCellMar>
        </w:tblPrEx>
        <w:trPr>
          <w:trHeight w:val="23" w:hRule="atLeast"/>
        </w:trPr>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color w:val="000000"/>
                <w:kern w:val="0"/>
                <w:sz w:val="21"/>
                <w:szCs w:val="21"/>
                <w:highlight w:val="none"/>
                <w:lang w:bidi="ar"/>
              </w:rPr>
              <w:t>效益</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30</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t>29</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rPr>
              <w:t>96</w:t>
            </w:r>
            <w:r>
              <w:rPr>
                <w:rFonts w:hint="eastAsia" w:ascii="仿宋_GB2312" w:hAnsi="仿宋_GB2312" w:eastAsia="仿宋_GB2312" w:cs="仿宋_GB2312"/>
                <w:sz w:val="21"/>
                <w:szCs w:val="21"/>
                <w:highlight w:val="none"/>
                <w:lang w:eastAsia="zh-CN"/>
              </w:rPr>
              <w:t>.</w:t>
            </w:r>
            <w:r>
              <w:rPr>
                <w:rFonts w:hint="eastAsia" w:ascii="仿宋_GB2312" w:hAnsi="仿宋_GB2312" w:eastAsia="仿宋_GB2312" w:cs="仿宋_GB2312"/>
                <w:sz w:val="21"/>
                <w:szCs w:val="21"/>
                <w:highlight w:val="none"/>
              </w:rPr>
              <w:t>6</w:t>
            </w:r>
            <w:r>
              <w:rPr>
                <w:rFonts w:hint="eastAsia" w:ascii="仿宋_GB2312" w:hAnsi="仿宋_GB2312" w:eastAsia="仿宋_GB2312" w:cs="仿宋_GB2312"/>
                <w:sz w:val="21"/>
                <w:szCs w:val="21"/>
                <w:highlight w:val="none"/>
                <w:lang w:val="en-US" w:eastAsia="zh-CN"/>
              </w:rPr>
              <w:t>7%</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项目效益</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30</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t>29</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rPr>
              <w:t>96</w:t>
            </w:r>
            <w:r>
              <w:rPr>
                <w:rFonts w:hint="eastAsia" w:ascii="仿宋_GB2312" w:hAnsi="仿宋_GB2312" w:eastAsia="仿宋_GB2312" w:cs="仿宋_GB2312"/>
                <w:sz w:val="21"/>
                <w:szCs w:val="21"/>
                <w:highlight w:val="none"/>
                <w:lang w:eastAsia="zh-CN"/>
              </w:rPr>
              <w:t>.</w:t>
            </w:r>
            <w:r>
              <w:rPr>
                <w:rFonts w:hint="eastAsia" w:ascii="仿宋_GB2312" w:hAnsi="仿宋_GB2312" w:eastAsia="仿宋_GB2312" w:cs="仿宋_GB2312"/>
                <w:sz w:val="21"/>
                <w:szCs w:val="21"/>
                <w:highlight w:val="none"/>
              </w:rPr>
              <w:t>6</w:t>
            </w:r>
            <w:r>
              <w:rPr>
                <w:rFonts w:hint="eastAsia" w:ascii="仿宋_GB2312" w:hAnsi="仿宋_GB2312" w:eastAsia="仿宋_GB2312" w:cs="仿宋_GB2312"/>
                <w:sz w:val="21"/>
                <w:szCs w:val="21"/>
                <w:highlight w:val="none"/>
                <w:lang w:val="en-US" w:eastAsia="zh-CN"/>
              </w:rPr>
              <w:t>7%</w:t>
            </w:r>
          </w:p>
        </w:tc>
      </w:tr>
      <w:tr>
        <w:tblPrEx>
          <w:shd w:val="clear" w:color="auto" w:fill="auto"/>
          <w:tblCellMar>
            <w:top w:w="0" w:type="dxa"/>
            <w:left w:w="108" w:type="dxa"/>
            <w:bottom w:w="0" w:type="dxa"/>
            <w:right w:w="108" w:type="dxa"/>
          </w:tblCellMar>
        </w:tblPrEx>
        <w:trPr>
          <w:trHeight w:val="23" w:hRule="atLeast"/>
        </w:trPr>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color w:val="000000"/>
                <w:kern w:val="0"/>
                <w:sz w:val="21"/>
                <w:szCs w:val="21"/>
                <w:highlight w:val="none"/>
                <w:lang w:bidi="ar"/>
              </w:rPr>
              <w:t>总分</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i w:val="0"/>
                <w:iCs w:val="0"/>
                <w:color w:val="000000"/>
                <w:kern w:val="0"/>
                <w:sz w:val="21"/>
                <w:szCs w:val="21"/>
                <w:highlight w:val="none"/>
                <w:u w:val="none"/>
                <w:lang w:val="en-US" w:eastAsia="zh-CN" w:bidi="ar"/>
              </w:rPr>
              <w:t>100</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b/>
                <w:bCs/>
                <w:sz w:val="21"/>
                <w:szCs w:val="21"/>
                <w:highlight w:val="none"/>
                <w:lang w:val="en-US" w:eastAsia="zh-CN"/>
              </w:rPr>
            </w:pPr>
            <w:r>
              <w:rPr>
                <w:rFonts w:hint="eastAsia" w:ascii="仿宋_GB2312" w:hAnsi="仿宋_GB2312" w:eastAsia="仿宋_GB2312" w:cs="仿宋_GB2312"/>
                <w:b/>
                <w:bCs/>
                <w:sz w:val="21"/>
                <w:szCs w:val="21"/>
                <w:highlight w:val="none"/>
                <w:lang w:val="en-US" w:eastAsia="zh-CN"/>
              </w:rPr>
              <w:t>94.9</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b/>
                <w:bCs/>
                <w:sz w:val="21"/>
                <w:szCs w:val="21"/>
                <w:highlight w:val="none"/>
                <w:lang w:val="en-US" w:eastAsia="zh-CN"/>
              </w:rPr>
            </w:pPr>
            <w:r>
              <w:rPr>
                <w:rFonts w:hint="eastAsia" w:ascii="仿宋_GB2312" w:hAnsi="仿宋_GB2312" w:eastAsia="仿宋_GB2312" w:cs="仿宋_GB2312"/>
                <w:b/>
                <w:bCs/>
                <w:sz w:val="21"/>
                <w:szCs w:val="21"/>
                <w:highlight w:val="none"/>
                <w:lang w:val="en-US" w:eastAsia="zh-CN"/>
              </w:rPr>
              <w:t>94.9%</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i w:val="0"/>
                <w:iCs w:val="0"/>
                <w:color w:val="000000"/>
                <w:kern w:val="0"/>
                <w:sz w:val="21"/>
                <w:szCs w:val="21"/>
                <w:highlight w:val="none"/>
                <w:u w:val="none"/>
                <w:lang w:val="en-US" w:eastAsia="zh-CN" w:bidi="ar"/>
              </w:rPr>
              <w:t>——</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i w:val="0"/>
                <w:iCs w:val="0"/>
                <w:color w:val="000000"/>
                <w:kern w:val="0"/>
                <w:sz w:val="21"/>
                <w:szCs w:val="21"/>
                <w:highlight w:val="none"/>
                <w:u w:val="none"/>
                <w:lang w:val="en-US" w:eastAsia="zh-CN" w:bidi="ar"/>
              </w:rPr>
              <w:t>100</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b/>
                <w:bCs/>
                <w:sz w:val="21"/>
                <w:szCs w:val="21"/>
                <w:highlight w:val="none"/>
                <w:lang w:val="en-US" w:eastAsia="zh-CN"/>
              </w:rPr>
            </w:pPr>
            <w:r>
              <w:rPr>
                <w:rFonts w:hint="eastAsia" w:ascii="仿宋_GB2312" w:hAnsi="仿宋_GB2312" w:eastAsia="仿宋_GB2312" w:cs="仿宋_GB2312"/>
                <w:b/>
                <w:bCs/>
                <w:sz w:val="21"/>
                <w:szCs w:val="21"/>
                <w:highlight w:val="none"/>
                <w:lang w:val="en-US" w:eastAsia="zh-CN"/>
              </w:rPr>
              <w:t>94.9</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b/>
                <w:bCs/>
                <w:sz w:val="21"/>
                <w:szCs w:val="21"/>
                <w:highlight w:val="none"/>
                <w:lang w:val="en-US"/>
              </w:rPr>
            </w:pPr>
            <w:r>
              <w:rPr>
                <w:rFonts w:hint="eastAsia" w:ascii="仿宋_GB2312" w:hAnsi="仿宋_GB2312" w:eastAsia="仿宋_GB2312" w:cs="仿宋_GB2312"/>
                <w:b/>
                <w:bCs/>
                <w:sz w:val="21"/>
                <w:szCs w:val="21"/>
                <w:highlight w:val="none"/>
                <w:lang w:val="en-US" w:eastAsia="zh-CN"/>
              </w:rPr>
              <w:t>94.9%</w:t>
            </w:r>
          </w:p>
        </w:tc>
      </w:tr>
    </w:tbl>
    <w:p>
      <w:pPr>
        <w:pStyle w:val="3"/>
        <w:spacing w:before="0" w:after="0" w:line="579" w:lineRule="exact"/>
        <w:ind w:firstLine="640"/>
        <w:rPr>
          <w:highlight w:val="none"/>
          <w:lang w:val="en-US"/>
        </w:rPr>
      </w:pPr>
      <w:bookmarkStart w:id="16" w:name="_Toc64647750"/>
      <w:bookmarkStart w:id="17" w:name="_Toc898"/>
      <w:r>
        <w:rPr>
          <w:rFonts w:hint="eastAsia"/>
          <w:highlight w:val="none"/>
          <w:lang w:val="en-US"/>
        </w:rPr>
        <w:t>绩效评价指标分析</w:t>
      </w:r>
      <w:bookmarkEnd w:id="16"/>
      <w:bookmarkEnd w:id="17"/>
    </w:p>
    <w:p>
      <w:pPr>
        <w:pStyle w:val="5"/>
        <w:numPr>
          <w:ilvl w:val="1"/>
          <w:numId w:val="0"/>
        </w:numPr>
        <w:spacing w:before="0" w:after="0" w:line="579" w:lineRule="exact"/>
        <w:ind w:leftChars="200"/>
        <w:rPr>
          <w:rFonts w:ascii="楷体_GB2312" w:hAnsi="楷体_GB2312" w:eastAsia="楷体_GB2312" w:cs="楷体_GB2312"/>
          <w:b w:val="0"/>
          <w:bCs w:val="0"/>
          <w:highlight w:val="none"/>
          <w:lang w:val="en-US"/>
        </w:rPr>
      </w:pPr>
      <w:bookmarkStart w:id="18" w:name="_Toc11724"/>
      <w:r>
        <w:rPr>
          <w:rFonts w:hint="eastAsia" w:ascii="楷体_GB2312" w:hAnsi="楷体_GB2312" w:eastAsia="楷体_GB2312" w:cs="楷体_GB2312"/>
          <w:b w:val="0"/>
          <w:bCs w:val="0"/>
          <w:highlight w:val="none"/>
          <w:lang w:val="en-US" w:eastAsia="zh-CN"/>
        </w:rPr>
        <w:t>（一）</w:t>
      </w:r>
      <w:r>
        <w:rPr>
          <w:rFonts w:hint="eastAsia" w:ascii="楷体_GB2312" w:hAnsi="楷体_GB2312" w:eastAsia="楷体_GB2312" w:cs="楷体_GB2312"/>
          <w:b w:val="0"/>
          <w:bCs w:val="0"/>
          <w:highlight w:val="none"/>
          <w:lang w:val="en-US"/>
        </w:rPr>
        <w:t>项目决策情况</w:t>
      </w:r>
      <w:bookmarkEnd w:id="18"/>
    </w:p>
    <w:p>
      <w:pPr>
        <w:pStyle w:val="4"/>
        <w:spacing w:line="579" w:lineRule="exact"/>
        <w:ind w:firstLine="640"/>
        <w:rPr>
          <w:rFonts w:ascii="仿宋_GB2312" w:hAnsi="仿宋_GB2312" w:cs="仿宋_GB2312"/>
          <w:szCs w:val="32"/>
          <w:highlight w:val="none"/>
        </w:rPr>
      </w:pPr>
      <w:r>
        <w:rPr>
          <w:rFonts w:hint="eastAsia" w:ascii="仿宋_GB2312" w:hAnsi="仿宋_GB2312" w:cs="仿宋_GB2312"/>
          <w:szCs w:val="32"/>
          <w:highlight w:val="none"/>
          <w:lang w:val="en-US"/>
        </w:rPr>
        <w:t>决策</w:t>
      </w:r>
      <w:r>
        <w:rPr>
          <w:rFonts w:hint="eastAsia" w:ascii="仿宋_GB2312" w:hAnsi="仿宋_GB2312" w:cs="仿宋_GB2312"/>
          <w:szCs w:val="32"/>
          <w:highlight w:val="none"/>
        </w:rPr>
        <w:t>指标从“</w:t>
      </w:r>
      <w:r>
        <w:rPr>
          <w:rFonts w:hint="eastAsia" w:ascii="仿宋_GB2312" w:hAnsi="仿宋_GB2312" w:cs="仿宋_GB2312"/>
          <w:szCs w:val="32"/>
          <w:highlight w:val="none"/>
          <w:lang w:val="en-US"/>
        </w:rPr>
        <w:t>项目立项</w:t>
      </w:r>
      <w:r>
        <w:rPr>
          <w:rFonts w:hint="eastAsia" w:ascii="仿宋_GB2312" w:hAnsi="仿宋_GB2312" w:cs="仿宋_GB2312"/>
          <w:szCs w:val="32"/>
          <w:highlight w:val="none"/>
        </w:rPr>
        <w:t>”“</w:t>
      </w:r>
      <w:r>
        <w:rPr>
          <w:rFonts w:hint="eastAsia" w:ascii="仿宋_GB2312" w:hAnsi="仿宋_GB2312" w:cs="仿宋_GB2312"/>
          <w:szCs w:val="32"/>
          <w:highlight w:val="none"/>
          <w:lang w:val="en-US"/>
        </w:rPr>
        <w:t>绩效</w:t>
      </w:r>
      <w:r>
        <w:rPr>
          <w:rFonts w:hint="eastAsia" w:ascii="仿宋_GB2312" w:hAnsi="仿宋_GB2312" w:cs="仿宋_GB2312"/>
          <w:szCs w:val="32"/>
          <w:highlight w:val="none"/>
        </w:rPr>
        <w:t>目标”“</w:t>
      </w:r>
      <w:r>
        <w:rPr>
          <w:rFonts w:hint="eastAsia" w:ascii="仿宋_GB2312" w:hAnsi="仿宋_GB2312" w:cs="仿宋_GB2312"/>
          <w:szCs w:val="32"/>
          <w:highlight w:val="none"/>
          <w:lang w:val="en-US"/>
        </w:rPr>
        <w:t>资金投入</w:t>
      </w:r>
      <w:r>
        <w:rPr>
          <w:rFonts w:hint="eastAsia" w:ascii="仿宋_GB2312" w:hAnsi="仿宋_GB2312" w:cs="仿宋_GB2312"/>
          <w:szCs w:val="32"/>
          <w:highlight w:val="none"/>
        </w:rPr>
        <w:t>”三个方面进行考察，满分</w:t>
      </w:r>
      <w:r>
        <w:rPr>
          <w:rFonts w:hint="eastAsia" w:ascii="仿宋_GB2312" w:hAnsi="仿宋_GB2312" w:cs="仿宋_GB2312"/>
          <w:szCs w:val="32"/>
          <w:highlight w:val="none"/>
          <w:lang w:val="en-US"/>
        </w:rPr>
        <w:t>20</w:t>
      </w:r>
      <w:r>
        <w:rPr>
          <w:rFonts w:hint="eastAsia" w:ascii="仿宋_GB2312" w:hAnsi="仿宋_GB2312" w:cs="仿宋_GB2312"/>
          <w:szCs w:val="32"/>
          <w:highlight w:val="none"/>
        </w:rPr>
        <w:t>分，得分</w:t>
      </w:r>
      <w:r>
        <w:rPr>
          <w:rFonts w:hint="eastAsia" w:ascii="仿宋_GB2312" w:hAnsi="仿宋_GB2312" w:cs="仿宋_GB2312"/>
          <w:szCs w:val="32"/>
          <w:highlight w:val="none"/>
          <w:lang w:val="en-US" w:eastAsia="zh-CN"/>
        </w:rPr>
        <w:t>19</w:t>
      </w:r>
      <w:r>
        <w:rPr>
          <w:rFonts w:hint="eastAsia" w:ascii="仿宋_GB2312" w:hAnsi="仿宋_GB2312" w:cs="仿宋_GB2312"/>
          <w:szCs w:val="32"/>
          <w:highlight w:val="none"/>
        </w:rPr>
        <w:t>分，得分率为</w:t>
      </w:r>
      <w:r>
        <w:rPr>
          <w:rFonts w:hint="eastAsia" w:ascii="仿宋_GB2312" w:hAnsi="仿宋_GB2312" w:cs="仿宋_GB2312"/>
          <w:szCs w:val="32"/>
          <w:highlight w:val="none"/>
          <w:lang w:val="en-US" w:eastAsia="zh-CN"/>
        </w:rPr>
        <w:t>95</w:t>
      </w:r>
      <w:r>
        <w:rPr>
          <w:rFonts w:hint="eastAsia" w:ascii="仿宋_GB2312" w:hAnsi="仿宋_GB2312" w:cs="仿宋_GB2312"/>
          <w:szCs w:val="32"/>
          <w:highlight w:val="none"/>
        </w:rPr>
        <w:t>%。</w:t>
      </w:r>
    </w:p>
    <w:p>
      <w:pPr>
        <w:pStyle w:val="4"/>
        <w:spacing w:line="579" w:lineRule="exact"/>
        <w:ind w:firstLine="643"/>
        <w:outlineLvl w:val="2"/>
        <w:rPr>
          <w:rFonts w:ascii="仿宋_GB2312" w:hAnsi="仿宋_GB2312" w:cs="仿宋_GB2312"/>
          <w:b/>
          <w:bCs/>
          <w:szCs w:val="32"/>
          <w:highlight w:val="none"/>
          <w:lang w:val="en-US"/>
        </w:rPr>
      </w:pPr>
      <w:r>
        <w:rPr>
          <w:rFonts w:hint="eastAsia" w:ascii="仿宋_GB2312" w:hAnsi="仿宋_GB2312" w:cs="仿宋_GB2312"/>
          <w:b/>
          <w:bCs/>
          <w:szCs w:val="32"/>
          <w:highlight w:val="none"/>
          <w:lang w:val="en-US"/>
        </w:rPr>
        <w:t>1.项目立项</w:t>
      </w:r>
    </w:p>
    <w:p>
      <w:pPr>
        <w:pStyle w:val="4"/>
        <w:spacing w:line="579" w:lineRule="exact"/>
        <w:ind w:firstLine="640"/>
        <w:rPr>
          <w:rFonts w:ascii="仿宋_GB2312" w:hAnsi="仿宋_GB2312" w:cs="仿宋_GB2312"/>
          <w:szCs w:val="32"/>
          <w:highlight w:val="none"/>
        </w:rPr>
      </w:pPr>
      <w:r>
        <w:rPr>
          <w:rFonts w:hint="eastAsia" w:ascii="仿宋_GB2312" w:hAnsi="仿宋_GB2312" w:cs="仿宋_GB2312"/>
          <w:szCs w:val="32"/>
          <w:highlight w:val="none"/>
        </w:rPr>
        <w:t>（</w:t>
      </w:r>
      <w:r>
        <w:rPr>
          <w:rFonts w:hint="eastAsia" w:ascii="仿宋_GB2312" w:hAnsi="仿宋_GB2312" w:cs="仿宋_GB2312"/>
          <w:szCs w:val="32"/>
          <w:highlight w:val="none"/>
          <w:lang w:val="en-US"/>
        </w:rPr>
        <w:t>1</w:t>
      </w:r>
      <w:r>
        <w:rPr>
          <w:rFonts w:hint="eastAsia" w:ascii="仿宋_GB2312" w:hAnsi="仿宋_GB2312" w:cs="仿宋_GB2312"/>
          <w:szCs w:val="32"/>
          <w:highlight w:val="none"/>
        </w:rPr>
        <w:t>）立项依据充分性</w:t>
      </w:r>
    </w:p>
    <w:p>
      <w:pPr>
        <w:pStyle w:val="4"/>
        <w:spacing w:line="579" w:lineRule="exact"/>
        <w:ind w:firstLine="640"/>
        <w:rPr>
          <w:rFonts w:ascii="仿宋_GB2312" w:hAnsi="仿宋_GB2312" w:cs="仿宋_GB2312"/>
          <w:szCs w:val="32"/>
          <w:highlight w:val="none"/>
        </w:rPr>
      </w:pPr>
      <w:r>
        <w:rPr>
          <w:rFonts w:hint="eastAsia" w:ascii="仿宋_GB2312" w:hAnsi="仿宋_GB2312" w:cs="仿宋_GB2312"/>
          <w:szCs w:val="32"/>
          <w:highlight w:val="none"/>
          <w:lang w:val="en-US"/>
        </w:rPr>
        <w:t>本</w:t>
      </w:r>
      <w:r>
        <w:rPr>
          <w:rFonts w:hint="eastAsia" w:ascii="仿宋_GB2312" w:hAnsi="仿宋_GB2312" w:cs="仿宋_GB2312"/>
          <w:szCs w:val="32"/>
          <w:highlight w:val="none"/>
        </w:rPr>
        <w:t>项目立项符合国家法律法规、国民经济发展规划和相关政策，符合行业发展规划和政策要求，与部门职责范围相符，属于部门履职所需，</w:t>
      </w:r>
      <w:r>
        <w:rPr>
          <w:rFonts w:hint="eastAsia" w:ascii="仿宋_GB2312" w:hAnsi="仿宋_GB2312" w:cs="仿宋_GB2312"/>
          <w:szCs w:val="32"/>
          <w:highlight w:val="none"/>
          <w:lang w:val="en-US"/>
        </w:rPr>
        <w:t>本</w:t>
      </w:r>
      <w:r>
        <w:rPr>
          <w:rFonts w:hint="eastAsia" w:ascii="仿宋_GB2312" w:hAnsi="仿宋_GB2312" w:cs="仿宋_GB2312"/>
          <w:szCs w:val="32"/>
          <w:highlight w:val="none"/>
        </w:rPr>
        <w:t>项目属于公共财政支持范围，符合中央、地方事权支出责任划</w:t>
      </w:r>
      <w:r>
        <w:rPr>
          <w:rFonts w:hint="eastAsia" w:ascii="仿宋_GB2312" w:hAnsi="仿宋_GB2312" w:cs="仿宋_GB2312"/>
          <w:szCs w:val="32"/>
          <w:highlight w:val="none"/>
          <w:lang w:val="en-US" w:eastAsia="zh-CN"/>
        </w:rPr>
        <w:t>分</w:t>
      </w:r>
      <w:r>
        <w:rPr>
          <w:rFonts w:hint="eastAsia" w:ascii="仿宋_GB2312" w:hAnsi="仿宋_GB2312" w:cs="仿宋_GB2312"/>
          <w:szCs w:val="32"/>
          <w:highlight w:val="none"/>
        </w:rPr>
        <w:t>原则，</w:t>
      </w:r>
      <w:r>
        <w:rPr>
          <w:rFonts w:hint="eastAsia" w:ascii="仿宋_GB2312" w:hAnsi="仿宋_GB2312" w:cs="仿宋_GB2312"/>
          <w:szCs w:val="32"/>
          <w:highlight w:val="none"/>
          <w:lang w:val="en-US"/>
        </w:rPr>
        <w:t>本</w:t>
      </w:r>
      <w:r>
        <w:rPr>
          <w:rFonts w:hint="eastAsia" w:ascii="仿宋_GB2312" w:hAnsi="仿宋_GB2312" w:cs="仿宋_GB2312"/>
          <w:szCs w:val="32"/>
          <w:highlight w:val="none"/>
        </w:rPr>
        <w:t>项目未与相关部门同类项目或部门内部相关项目重复。</w:t>
      </w:r>
    </w:p>
    <w:p>
      <w:pPr>
        <w:pStyle w:val="4"/>
        <w:spacing w:line="579" w:lineRule="exact"/>
        <w:ind w:firstLine="640"/>
        <w:rPr>
          <w:rFonts w:ascii="仿宋_GB2312" w:hAnsi="仿宋_GB2312" w:cs="仿宋_GB2312"/>
          <w:szCs w:val="32"/>
          <w:highlight w:val="none"/>
        </w:rPr>
      </w:pPr>
      <w:r>
        <w:rPr>
          <w:rFonts w:hint="eastAsia" w:ascii="仿宋_GB2312" w:hAnsi="仿宋_GB2312" w:cs="仿宋_GB2312"/>
          <w:szCs w:val="32"/>
          <w:highlight w:val="none"/>
        </w:rPr>
        <w:t>（</w:t>
      </w:r>
      <w:r>
        <w:rPr>
          <w:rFonts w:hint="eastAsia" w:ascii="仿宋_GB2312" w:hAnsi="仿宋_GB2312" w:cs="仿宋_GB2312"/>
          <w:szCs w:val="32"/>
          <w:highlight w:val="none"/>
          <w:lang w:val="en-US"/>
        </w:rPr>
        <w:t>2</w:t>
      </w:r>
      <w:r>
        <w:rPr>
          <w:rFonts w:hint="eastAsia" w:ascii="仿宋_GB2312" w:hAnsi="仿宋_GB2312" w:cs="仿宋_GB2312"/>
          <w:szCs w:val="32"/>
          <w:highlight w:val="none"/>
        </w:rPr>
        <w:t>）立项程序规范性</w:t>
      </w:r>
    </w:p>
    <w:p>
      <w:pPr>
        <w:pStyle w:val="4"/>
        <w:spacing w:line="579" w:lineRule="exact"/>
        <w:ind w:firstLine="640"/>
        <w:rPr>
          <w:rFonts w:ascii="仿宋_GB2312" w:hAnsi="仿宋_GB2312" w:cs="仿宋_GB2312"/>
          <w:szCs w:val="32"/>
          <w:highlight w:val="none"/>
        </w:rPr>
      </w:pPr>
      <w:r>
        <w:rPr>
          <w:rFonts w:hint="eastAsia" w:ascii="仿宋_GB2312" w:hAnsi="仿宋_GB2312" w:cs="仿宋_GB2312"/>
          <w:szCs w:val="32"/>
          <w:highlight w:val="none"/>
          <w:lang w:val="en-US"/>
        </w:rPr>
        <w:t>本项目按照规定的程序申请设立，审批文件、材料符合相关要求，事前已经过必要的可行性研究、专家论证、风险评估、绩效评估、集体决策</w:t>
      </w:r>
      <w:r>
        <w:rPr>
          <w:rFonts w:hint="eastAsia" w:ascii="仿宋_GB2312" w:hAnsi="仿宋_GB2312" w:cs="仿宋_GB2312"/>
          <w:szCs w:val="32"/>
          <w:highlight w:val="none"/>
        </w:rPr>
        <w:t>。</w:t>
      </w:r>
    </w:p>
    <w:p>
      <w:pPr>
        <w:pStyle w:val="4"/>
        <w:spacing w:line="579" w:lineRule="exact"/>
        <w:ind w:firstLine="643"/>
        <w:outlineLvl w:val="2"/>
        <w:rPr>
          <w:rFonts w:ascii="仿宋_GB2312" w:hAnsi="仿宋_GB2312" w:cs="仿宋_GB2312"/>
          <w:b/>
          <w:bCs/>
          <w:szCs w:val="32"/>
          <w:highlight w:val="none"/>
        </w:rPr>
      </w:pPr>
      <w:r>
        <w:rPr>
          <w:rFonts w:hint="eastAsia" w:ascii="仿宋_GB2312" w:hAnsi="仿宋_GB2312" w:cs="仿宋_GB2312"/>
          <w:b/>
          <w:bCs/>
          <w:szCs w:val="32"/>
          <w:highlight w:val="none"/>
          <w:lang w:val="en-US"/>
        </w:rPr>
        <w:t>2.绩效目标</w:t>
      </w:r>
    </w:p>
    <w:p>
      <w:pPr>
        <w:pStyle w:val="4"/>
        <w:spacing w:line="579" w:lineRule="exact"/>
        <w:ind w:firstLine="640"/>
        <w:rPr>
          <w:rFonts w:ascii="仿宋_GB2312" w:hAnsi="仿宋_GB2312" w:cs="仿宋_GB2312"/>
          <w:szCs w:val="32"/>
          <w:highlight w:val="none"/>
          <w:lang w:val="en-US"/>
        </w:rPr>
      </w:pPr>
      <w:r>
        <w:rPr>
          <w:rFonts w:hint="eastAsia" w:ascii="仿宋_GB2312" w:hAnsi="仿宋_GB2312" w:cs="仿宋_GB2312"/>
          <w:szCs w:val="32"/>
          <w:highlight w:val="none"/>
          <w:lang w:val="en-US"/>
        </w:rPr>
        <w:t>（1）绩效目标合理</w:t>
      </w:r>
      <w:r>
        <w:rPr>
          <w:rFonts w:hint="eastAsia" w:ascii="仿宋_GB2312" w:hAnsi="仿宋_GB2312" w:cs="仿宋_GB2312"/>
          <w:szCs w:val="32"/>
          <w:highlight w:val="none"/>
        </w:rPr>
        <w:t>性</w:t>
      </w:r>
    </w:p>
    <w:p>
      <w:pPr>
        <w:pStyle w:val="4"/>
        <w:spacing w:line="579" w:lineRule="exact"/>
        <w:ind w:firstLine="640"/>
        <w:rPr>
          <w:rFonts w:ascii="仿宋_GB2312" w:hAnsi="仿宋_GB2312" w:cs="仿宋_GB2312"/>
          <w:szCs w:val="32"/>
          <w:highlight w:val="none"/>
        </w:rPr>
      </w:pPr>
      <w:r>
        <w:rPr>
          <w:rFonts w:hint="eastAsia" w:ascii="仿宋_GB2312" w:hAnsi="仿宋_GB2312" w:eastAsia="仿宋_GB2312" w:cs="仿宋_GB2312"/>
          <w:sz w:val="32"/>
          <w:szCs w:val="32"/>
          <w:highlight w:val="none"/>
          <w:lang w:val="en-US" w:eastAsia="zh-CN"/>
        </w:rPr>
        <w:t>本</w:t>
      </w:r>
      <w:r>
        <w:rPr>
          <w:rFonts w:hint="eastAsia" w:ascii="仿宋_GB2312" w:hAnsi="仿宋_GB2312" w:eastAsia="仿宋_GB2312" w:cs="仿宋_GB2312"/>
          <w:sz w:val="32"/>
          <w:szCs w:val="32"/>
          <w:highlight w:val="none"/>
        </w:rPr>
        <w:t>项</w:t>
      </w:r>
      <w:r>
        <w:rPr>
          <w:rFonts w:hint="eastAsia" w:ascii="仿宋_GB2312" w:hAnsi="仿宋_GB2312" w:eastAsia="仿宋_GB2312" w:cs="仿宋_GB2312"/>
          <w:sz w:val="32"/>
          <w:szCs w:val="32"/>
          <w:highlight w:val="none"/>
          <w:lang w:val="en-US" w:eastAsia="zh-CN"/>
        </w:rPr>
        <w:t>目</w:t>
      </w:r>
      <w:r>
        <w:rPr>
          <w:rFonts w:hint="eastAsia" w:ascii="仿宋_GB2312" w:hAnsi="仿宋_GB2312" w:cs="仿宋_GB2312"/>
          <w:sz w:val="32"/>
          <w:szCs w:val="32"/>
          <w:highlight w:val="none"/>
          <w:lang w:val="en-US" w:eastAsia="zh-CN"/>
        </w:rPr>
        <w:t>设置</w:t>
      </w:r>
      <w:r>
        <w:rPr>
          <w:rFonts w:hint="eastAsia" w:ascii="仿宋_GB2312" w:hAnsi="仿宋_GB2312" w:eastAsia="仿宋_GB2312" w:cs="仿宋_GB2312"/>
          <w:sz w:val="32"/>
          <w:szCs w:val="32"/>
          <w:highlight w:val="none"/>
        </w:rPr>
        <w:t>有绩效目标</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项目绩效目标与实际工作内容具有相关性</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项目预期产出效益和效果符合正常的业绩水平</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项目绩效目标与预算确定的项目投资额或资金量相匹配</w:t>
      </w:r>
      <w:r>
        <w:rPr>
          <w:rFonts w:hint="eastAsia" w:ascii="仿宋_GB2312" w:hAnsi="仿宋_GB2312" w:cs="仿宋_GB2312"/>
          <w:szCs w:val="32"/>
          <w:highlight w:val="none"/>
          <w:lang w:val="en-US"/>
        </w:rPr>
        <w:t>。</w:t>
      </w:r>
    </w:p>
    <w:p>
      <w:pPr>
        <w:pStyle w:val="4"/>
        <w:spacing w:line="579" w:lineRule="exact"/>
        <w:ind w:firstLine="640"/>
        <w:rPr>
          <w:rFonts w:ascii="仿宋_GB2312" w:hAnsi="仿宋_GB2312" w:cs="仿宋_GB2312"/>
          <w:szCs w:val="32"/>
          <w:highlight w:val="none"/>
        </w:rPr>
      </w:pPr>
      <w:r>
        <w:rPr>
          <w:rFonts w:hint="eastAsia" w:ascii="仿宋_GB2312" w:hAnsi="仿宋_GB2312" w:cs="仿宋_GB2312"/>
          <w:szCs w:val="32"/>
          <w:highlight w:val="none"/>
          <w:lang w:val="en-US"/>
        </w:rPr>
        <w:t>（2）绩效指标明确</w:t>
      </w:r>
      <w:r>
        <w:rPr>
          <w:rFonts w:hint="eastAsia" w:ascii="仿宋_GB2312" w:hAnsi="仿宋_GB2312" w:cs="仿宋_GB2312"/>
          <w:szCs w:val="32"/>
          <w:highlight w:val="none"/>
        </w:rPr>
        <w:t>性</w:t>
      </w:r>
    </w:p>
    <w:p>
      <w:pPr>
        <w:pStyle w:val="4"/>
        <w:spacing w:line="579" w:lineRule="exact"/>
        <w:ind w:firstLine="640"/>
        <w:rPr>
          <w:rFonts w:ascii="仿宋_GB2312" w:hAnsi="仿宋_GB2312" w:cs="仿宋_GB2312"/>
          <w:szCs w:val="32"/>
          <w:highlight w:val="none"/>
          <w:lang w:val="en-US"/>
        </w:rPr>
      </w:pPr>
      <w:r>
        <w:rPr>
          <w:rFonts w:hint="eastAsia" w:ascii="仿宋_GB2312" w:hAnsi="仿宋_GB2312" w:cs="仿宋_GB2312"/>
          <w:szCs w:val="32"/>
          <w:highlight w:val="none"/>
          <w:lang w:val="en-US"/>
        </w:rPr>
        <w:t>本项目绩效目标与项目目标任务数或计划数相对应，将项目绩效目标细化分解为具体的绩效指标</w:t>
      </w:r>
      <w:r>
        <w:rPr>
          <w:rFonts w:hint="eastAsia" w:ascii="仿宋_GB2312" w:hAnsi="仿宋_GB2312" w:cs="仿宋_GB2312"/>
          <w:szCs w:val="32"/>
          <w:highlight w:val="none"/>
          <w:lang w:val="en-US" w:eastAsia="zh-CN"/>
        </w:rPr>
        <w:t>，但社会效益指标未通过清晰、可衡量的指标值予以体现，扣1分。</w:t>
      </w:r>
    </w:p>
    <w:p>
      <w:pPr>
        <w:pStyle w:val="4"/>
        <w:spacing w:line="579" w:lineRule="exact"/>
        <w:ind w:firstLine="643"/>
        <w:outlineLvl w:val="2"/>
        <w:rPr>
          <w:rFonts w:ascii="仿宋_GB2312" w:hAnsi="仿宋_GB2312" w:cs="仿宋_GB2312"/>
          <w:b/>
          <w:bCs/>
          <w:szCs w:val="32"/>
          <w:highlight w:val="none"/>
          <w:lang w:val="en-US"/>
        </w:rPr>
      </w:pPr>
      <w:r>
        <w:rPr>
          <w:rFonts w:hint="eastAsia" w:ascii="仿宋_GB2312" w:hAnsi="仿宋_GB2312" w:cs="仿宋_GB2312"/>
          <w:b/>
          <w:bCs/>
          <w:szCs w:val="32"/>
          <w:highlight w:val="none"/>
          <w:lang w:val="en-US"/>
        </w:rPr>
        <w:t>3.资金投入</w:t>
      </w:r>
    </w:p>
    <w:p>
      <w:pPr>
        <w:pStyle w:val="4"/>
        <w:spacing w:line="579" w:lineRule="exact"/>
        <w:ind w:firstLine="640"/>
        <w:rPr>
          <w:rFonts w:ascii="仿宋_GB2312" w:hAnsi="仿宋_GB2312" w:cs="仿宋_GB2312"/>
          <w:szCs w:val="32"/>
          <w:highlight w:val="none"/>
        </w:rPr>
      </w:pPr>
      <w:r>
        <w:rPr>
          <w:rFonts w:hint="eastAsia" w:ascii="仿宋_GB2312" w:hAnsi="仿宋_GB2312" w:cs="仿宋_GB2312"/>
          <w:szCs w:val="32"/>
          <w:highlight w:val="none"/>
        </w:rPr>
        <w:t>（</w:t>
      </w:r>
      <w:r>
        <w:rPr>
          <w:rFonts w:hint="eastAsia" w:ascii="仿宋_GB2312" w:hAnsi="仿宋_GB2312" w:cs="仿宋_GB2312"/>
          <w:szCs w:val="32"/>
          <w:highlight w:val="none"/>
          <w:lang w:val="en-US"/>
        </w:rPr>
        <w:t>1</w:t>
      </w:r>
      <w:r>
        <w:rPr>
          <w:rFonts w:hint="eastAsia" w:ascii="仿宋_GB2312" w:hAnsi="仿宋_GB2312" w:cs="仿宋_GB2312"/>
          <w:szCs w:val="32"/>
          <w:highlight w:val="none"/>
        </w:rPr>
        <w:t>）预算编制科学性</w:t>
      </w:r>
    </w:p>
    <w:p>
      <w:pPr>
        <w:pStyle w:val="4"/>
        <w:spacing w:line="579" w:lineRule="exact"/>
        <w:ind w:firstLine="640"/>
        <w:rPr>
          <w:rFonts w:ascii="仿宋_GB2312" w:hAnsi="仿宋_GB2312" w:cs="仿宋_GB2312"/>
          <w:szCs w:val="32"/>
          <w:highlight w:val="none"/>
        </w:rPr>
      </w:pPr>
      <w:r>
        <w:rPr>
          <w:rFonts w:hint="eastAsia" w:ascii="仿宋_GB2312" w:hAnsi="仿宋_GB2312" w:cs="仿宋_GB2312"/>
          <w:szCs w:val="32"/>
          <w:highlight w:val="none"/>
          <w:lang w:val="en-US"/>
        </w:rPr>
        <w:t>本</w:t>
      </w:r>
      <w:r>
        <w:rPr>
          <w:rFonts w:hint="eastAsia" w:ascii="仿宋_GB2312" w:hAnsi="仿宋_GB2312" w:cs="仿宋_GB2312"/>
          <w:szCs w:val="32"/>
          <w:highlight w:val="none"/>
        </w:rPr>
        <w:t>项目预算编制经过科学论证，预算内容与项目内容匹配，预算</w:t>
      </w:r>
      <w:r>
        <w:rPr>
          <w:rFonts w:hint="eastAsia" w:ascii="仿宋_GB2312" w:hAnsi="仿宋_GB2312" w:cs="仿宋_GB2312"/>
          <w:szCs w:val="32"/>
          <w:highlight w:val="none"/>
          <w:lang w:val="en-US" w:eastAsia="zh-CN"/>
        </w:rPr>
        <w:t>资金</w:t>
      </w:r>
      <w:r>
        <w:rPr>
          <w:rFonts w:hint="eastAsia" w:ascii="仿宋_GB2312" w:hAnsi="仿宋_GB2312" w:cs="仿宋_GB2312"/>
          <w:szCs w:val="32"/>
          <w:highlight w:val="none"/>
        </w:rPr>
        <w:t>测算依据充分，按照标准编制，预算确定的项目投资额或资金量与工作任务相匹配。</w:t>
      </w:r>
    </w:p>
    <w:p>
      <w:pPr>
        <w:pStyle w:val="4"/>
        <w:spacing w:line="579" w:lineRule="exact"/>
        <w:ind w:firstLine="640"/>
        <w:rPr>
          <w:rFonts w:ascii="仿宋_GB2312" w:hAnsi="仿宋_GB2312" w:cs="仿宋_GB2312"/>
          <w:szCs w:val="32"/>
          <w:highlight w:val="none"/>
        </w:rPr>
      </w:pPr>
      <w:r>
        <w:rPr>
          <w:rFonts w:hint="eastAsia" w:ascii="仿宋_GB2312" w:hAnsi="仿宋_GB2312" w:cs="仿宋_GB2312"/>
          <w:szCs w:val="32"/>
          <w:highlight w:val="none"/>
        </w:rPr>
        <w:t>（</w:t>
      </w:r>
      <w:r>
        <w:rPr>
          <w:rFonts w:hint="eastAsia" w:ascii="仿宋_GB2312" w:hAnsi="仿宋_GB2312" w:cs="仿宋_GB2312"/>
          <w:szCs w:val="32"/>
          <w:highlight w:val="none"/>
          <w:lang w:val="en-US"/>
        </w:rPr>
        <w:t>2</w:t>
      </w:r>
      <w:r>
        <w:rPr>
          <w:rFonts w:hint="eastAsia" w:ascii="仿宋_GB2312" w:hAnsi="仿宋_GB2312" w:cs="仿宋_GB2312"/>
          <w:szCs w:val="32"/>
          <w:highlight w:val="none"/>
        </w:rPr>
        <w:t>）资金分配合理性</w:t>
      </w:r>
    </w:p>
    <w:p>
      <w:pPr>
        <w:pStyle w:val="4"/>
        <w:spacing w:line="579" w:lineRule="exact"/>
        <w:ind w:firstLine="640"/>
        <w:rPr>
          <w:rFonts w:ascii="仿宋_GB2312" w:hAnsi="仿宋_GB2312" w:cs="仿宋_GB2312"/>
          <w:szCs w:val="32"/>
          <w:highlight w:val="none"/>
          <w:lang w:val="en-US"/>
        </w:rPr>
      </w:pPr>
      <w:r>
        <w:rPr>
          <w:rFonts w:hint="eastAsia" w:ascii="仿宋_GB2312" w:hAnsi="仿宋_GB2312" w:cs="仿宋_GB2312"/>
          <w:szCs w:val="32"/>
          <w:highlight w:val="none"/>
          <w:lang w:val="en-US"/>
        </w:rPr>
        <w:t>本项目预算资金分配依据充分，体现厉行节约从严从紧安排的导向，资金分配额度合理，与项目单位实际相适应</w:t>
      </w:r>
      <w:r>
        <w:rPr>
          <w:rFonts w:hint="eastAsia" w:ascii="仿宋_GB2312" w:hAnsi="仿宋_GB2312" w:cs="仿宋_GB2312"/>
          <w:szCs w:val="32"/>
          <w:highlight w:val="none"/>
        </w:rPr>
        <w:t>。</w:t>
      </w:r>
    </w:p>
    <w:p>
      <w:pPr>
        <w:pStyle w:val="5"/>
        <w:numPr>
          <w:ilvl w:val="1"/>
          <w:numId w:val="0"/>
        </w:numPr>
        <w:spacing w:before="0" w:after="0" w:line="579" w:lineRule="exact"/>
        <w:ind w:leftChars="200"/>
        <w:rPr>
          <w:rFonts w:ascii="楷体_GB2312" w:hAnsi="楷体_GB2312" w:eastAsia="楷体_GB2312" w:cs="楷体_GB2312"/>
          <w:b w:val="0"/>
          <w:bCs w:val="0"/>
          <w:highlight w:val="none"/>
          <w:lang w:val="en-US"/>
        </w:rPr>
      </w:pPr>
      <w:bookmarkStart w:id="19" w:name="_Toc20735"/>
      <w:r>
        <w:rPr>
          <w:rFonts w:hint="eastAsia" w:ascii="楷体_GB2312" w:hAnsi="楷体_GB2312" w:eastAsia="楷体_GB2312" w:cs="楷体_GB2312"/>
          <w:b w:val="0"/>
          <w:bCs w:val="0"/>
          <w:highlight w:val="none"/>
          <w:lang w:val="en-US" w:eastAsia="zh-CN"/>
        </w:rPr>
        <w:t>（二）</w:t>
      </w:r>
      <w:r>
        <w:rPr>
          <w:rFonts w:hint="eastAsia" w:ascii="楷体_GB2312" w:hAnsi="楷体_GB2312" w:eastAsia="楷体_GB2312" w:cs="楷体_GB2312"/>
          <w:b w:val="0"/>
          <w:bCs w:val="0"/>
          <w:highlight w:val="none"/>
          <w:lang w:val="en-US"/>
        </w:rPr>
        <w:t>项目过程情况</w:t>
      </w:r>
      <w:bookmarkEnd w:id="19"/>
    </w:p>
    <w:p>
      <w:pPr>
        <w:pStyle w:val="4"/>
        <w:spacing w:line="579" w:lineRule="exact"/>
        <w:ind w:firstLine="640"/>
        <w:rPr>
          <w:rFonts w:ascii="仿宋_GB2312" w:hAnsi="仿宋_GB2312" w:cs="仿宋_GB2312"/>
          <w:highlight w:val="none"/>
        </w:rPr>
      </w:pPr>
      <w:r>
        <w:rPr>
          <w:rFonts w:hint="eastAsia" w:ascii="仿宋_GB2312" w:hAnsi="仿宋_GB2312" w:cs="仿宋_GB2312"/>
          <w:highlight w:val="none"/>
          <w:lang w:val="en-US"/>
        </w:rPr>
        <w:t>过程</w:t>
      </w:r>
      <w:r>
        <w:rPr>
          <w:rFonts w:hint="eastAsia" w:ascii="仿宋_GB2312" w:hAnsi="仿宋_GB2312" w:cs="仿宋_GB2312"/>
          <w:highlight w:val="none"/>
        </w:rPr>
        <w:t>指标从“</w:t>
      </w:r>
      <w:r>
        <w:rPr>
          <w:rFonts w:hint="eastAsia" w:ascii="仿宋_GB2312" w:hAnsi="仿宋_GB2312" w:cs="仿宋_GB2312"/>
          <w:highlight w:val="none"/>
          <w:lang w:val="en-US"/>
        </w:rPr>
        <w:t>资金</w:t>
      </w:r>
      <w:r>
        <w:rPr>
          <w:rFonts w:hint="eastAsia" w:ascii="仿宋_GB2312" w:hAnsi="仿宋_GB2312" w:cs="仿宋_GB2312"/>
          <w:highlight w:val="none"/>
        </w:rPr>
        <w:t>管理”“</w:t>
      </w:r>
      <w:r>
        <w:rPr>
          <w:rFonts w:hint="eastAsia" w:ascii="仿宋_GB2312" w:hAnsi="仿宋_GB2312" w:cs="仿宋_GB2312"/>
          <w:highlight w:val="none"/>
          <w:lang w:val="en-US"/>
        </w:rPr>
        <w:t>组织实施</w:t>
      </w:r>
      <w:r>
        <w:rPr>
          <w:rFonts w:hint="eastAsia" w:ascii="仿宋_GB2312" w:hAnsi="仿宋_GB2312" w:cs="仿宋_GB2312"/>
          <w:highlight w:val="none"/>
        </w:rPr>
        <w:t>”</w:t>
      </w:r>
      <w:r>
        <w:rPr>
          <w:rFonts w:hint="eastAsia" w:ascii="仿宋_GB2312" w:hAnsi="仿宋_GB2312" w:cs="仿宋_GB2312"/>
          <w:highlight w:val="none"/>
          <w:lang w:val="en-US"/>
        </w:rPr>
        <w:t>两个</w:t>
      </w:r>
      <w:r>
        <w:rPr>
          <w:rFonts w:hint="eastAsia" w:ascii="仿宋_GB2312" w:hAnsi="仿宋_GB2312" w:cs="仿宋_GB2312"/>
          <w:highlight w:val="none"/>
        </w:rPr>
        <w:t>方面进行考察，满分</w:t>
      </w:r>
      <w:r>
        <w:rPr>
          <w:rFonts w:hint="eastAsia" w:ascii="仿宋_GB2312" w:hAnsi="仿宋_GB2312" w:cs="仿宋_GB2312"/>
          <w:highlight w:val="none"/>
          <w:lang w:val="en-US"/>
        </w:rPr>
        <w:t>20</w:t>
      </w:r>
      <w:r>
        <w:rPr>
          <w:rFonts w:hint="eastAsia" w:ascii="仿宋_GB2312" w:hAnsi="仿宋_GB2312" w:cs="仿宋_GB2312"/>
          <w:highlight w:val="none"/>
        </w:rPr>
        <w:t>分，得分</w:t>
      </w:r>
      <w:r>
        <w:rPr>
          <w:rFonts w:hint="eastAsia" w:ascii="仿宋_GB2312" w:hAnsi="仿宋_GB2312" w:cs="仿宋_GB2312"/>
          <w:highlight w:val="none"/>
          <w:lang w:val="en-US"/>
        </w:rPr>
        <w:t>1</w:t>
      </w:r>
      <w:r>
        <w:rPr>
          <w:rFonts w:hint="eastAsia" w:ascii="仿宋_GB2312" w:hAnsi="仿宋_GB2312" w:cs="仿宋_GB2312"/>
          <w:highlight w:val="none"/>
          <w:lang w:val="en-US" w:eastAsia="zh-CN"/>
        </w:rPr>
        <w:t>9.91</w:t>
      </w:r>
      <w:r>
        <w:rPr>
          <w:rFonts w:hint="eastAsia" w:ascii="仿宋_GB2312" w:hAnsi="仿宋_GB2312" w:cs="仿宋_GB2312"/>
          <w:highlight w:val="none"/>
        </w:rPr>
        <w:t>分，得分率为99.55%。</w:t>
      </w:r>
    </w:p>
    <w:p>
      <w:pPr>
        <w:pStyle w:val="4"/>
        <w:spacing w:line="579" w:lineRule="exact"/>
        <w:ind w:firstLine="643"/>
        <w:outlineLvl w:val="2"/>
        <w:rPr>
          <w:rFonts w:ascii="仿宋_GB2312" w:hAnsi="仿宋_GB2312" w:cs="仿宋_GB2312"/>
          <w:b/>
          <w:bCs/>
          <w:highlight w:val="none"/>
          <w:lang w:val="en-US"/>
        </w:rPr>
      </w:pPr>
      <w:r>
        <w:rPr>
          <w:rFonts w:hint="eastAsia" w:ascii="仿宋_GB2312" w:hAnsi="仿宋_GB2312" w:cs="仿宋_GB2312"/>
          <w:b/>
          <w:bCs/>
          <w:highlight w:val="none"/>
          <w:lang w:val="en-US"/>
        </w:rPr>
        <w:t>1.资金</w:t>
      </w:r>
      <w:r>
        <w:rPr>
          <w:rFonts w:hint="eastAsia" w:ascii="仿宋_GB2312" w:hAnsi="仿宋_GB2312" w:cs="仿宋_GB2312"/>
          <w:b/>
          <w:bCs/>
          <w:highlight w:val="none"/>
        </w:rPr>
        <w:t>管理</w:t>
      </w:r>
    </w:p>
    <w:p>
      <w:pPr>
        <w:pStyle w:val="4"/>
        <w:spacing w:line="579" w:lineRule="exact"/>
        <w:ind w:firstLine="640"/>
        <w:rPr>
          <w:rFonts w:ascii="仿宋_GB2312" w:hAnsi="仿宋_GB2312" w:cs="仿宋_GB2312"/>
          <w:highlight w:val="none"/>
        </w:rPr>
      </w:pPr>
      <w:r>
        <w:rPr>
          <w:rFonts w:hint="eastAsia" w:ascii="仿宋_GB2312" w:hAnsi="仿宋_GB2312" w:cs="仿宋_GB2312"/>
          <w:highlight w:val="none"/>
        </w:rPr>
        <w:t>（</w:t>
      </w:r>
      <w:r>
        <w:rPr>
          <w:rFonts w:hint="eastAsia" w:ascii="仿宋_GB2312" w:hAnsi="仿宋_GB2312" w:cs="仿宋_GB2312"/>
          <w:highlight w:val="none"/>
          <w:lang w:val="en-US"/>
        </w:rPr>
        <w:t>1</w:t>
      </w:r>
      <w:r>
        <w:rPr>
          <w:rFonts w:hint="eastAsia" w:ascii="仿宋_GB2312" w:hAnsi="仿宋_GB2312" w:cs="仿宋_GB2312"/>
          <w:highlight w:val="none"/>
        </w:rPr>
        <w:t>）资金到位率</w:t>
      </w:r>
    </w:p>
    <w:p>
      <w:pPr>
        <w:pStyle w:val="4"/>
        <w:spacing w:line="579" w:lineRule="exact"/>
        <w:ind w:firstLine="640"/>
        <w:rPr>
          <w:rFonts w:ascii="仿宋_GB2312" w:hAnsi="仿宋_GB2312" w:cs="仿宋_GB2312"/>
          <w:highlight w:val="none"/>
          <w:lang w:val="en-US"/>
        </w:rPr>
      </w:pPr>
      <w:r>
        <w:rPr>
          <w:rFonts w:hint="eastAsia" w:ascii="仿宋_GB2312" w:hAnsi="仿宋_GB2312" w:cs="仿宋_GB2312"/>
          <w:highlight w:val="none"/>
          <w:lang w:val="en-US"/>
        </w:rPr>
        <w:t>本</w:t>
      </w:r>
      <w:r>
        <w:rPr>
          <w:rFonts w:hint="eastAsia" w:ascii="仿宋_GB2312" w:hAnsi="仿宋_GB2312" w:cs="仿宋_GB2312"/>
          <w:highlight w:val="none"/>
        </w:rPr>
        <w:t>项目全年预算</w:t>
      </w:r>
      <w:r>
        <w:rPr>
          <w:rFonts w:hint="eastAsia" w:ascii="仿宋_GB2312" w:hAnsi="仿宋_GB2312" w:cs="仿宋_GB2312"/>
          <w:highlight w:val="none"/>
          <w:lang w:val="en-US" w:eastAsia="zh-CN"/>
        </w:rPr>
        <w:t>5,670.6</w:t>
      </w:r>
      <w:r>
        <w:rPr>
          <w:rFonts w:hint="eastAsia" w:ascii="仿宋_GB2312" w:hAnsi="仿宋_GB2312" w:cs="仿宋_GB2312"/>
          <w:highlight w:val="none"/>
          <w:lang w:val="en-US"/>
        </w:rPr>
        <w:t>万元，实际到位资金</w:t>
      </w:r>
      <w:r>
        <w:rPr>
          <w:rFonts w:hint="eastAsia" w:ascii="仿宋_GB2312" w:hAnsi="仿宋_GB2312" w:cs="仿宋_GB2312"/>
          <w:highlight w:val="none"/>
          <w:lang w:val="en-US" w:eastAsia="zh-CN"/>
        </w:rPr>
        <w:t>5,670.6</w:t>
      </w:r>
      <w:r>
        <w:rPr>
          <w:rFonts w:hint="eastAsia" w:ascii="仿宋_GB2312" w:hAnsi="仿宋_GB2312" w:cs="仿宋_GB2312"/>
          <w:highlight w:val="none"/>
          <w:lang w:val="en-US"/>
        </w:rPr>
        <w:t>万元，资金到位率为100%。</w:t>
      </w:r>
    </w:p>
    <w:p>
      <w:pPr>
        <w:pStyle w:val="4"/>
        <w:spacing w:line="579" w:lineRule="exact"/>
        <w:ind w:firstLine="640"/>
        <w:rPr>
          <w:rFonts w:ascii="仿宋_GB2312" w:hAnsi="仿宋_GB2312" w:cs="仿宋_GB2312"/>
          <w:highlight w:val="none"/>
        </w:rPr>
      </w:pPr>
      <w:r>
        <w:rPr>
          <w:rFonts w:hint="eastAsia" w:ascii="仿宋_GB2312" w:hAnsi="仿宋_GB2312" w:cs="仿宋_GB2312"/>
          <w:highlight w:val="none"/>
          <w:lang w:val="en-US"/>
        </w:rPr>
        <w:t>（2）</w:t>
      </w:r>
      <w:r>
        <w:rPr>
          <w:rFonts w:hint="eastAsia" w:ascii="仿宋_GB2312" w:hAnsi="仿宋_GB2312" w:cs="仿宋_GB2312"/>
          <w:highlight w:val="none"/>
        </w:rPr>
        <w:t>预算执行率</w:t>
      </w:r>
    </w:p>
    <w:p>
      <w:pPr>
        <w:pStyle w:val="4"/>
        <w:spacing w:line="579" w:lineRule="exact"/>
        <w:ind w:firstLine="640"/>
        <w:rPr>
          <w:rFonts w:ascii="仿宋_GB2312" w:hAnsi="仿宋_GB2312" w:cs="仿宋_GB2312"/>
          <w:highlight w:val="none"/>
          <w:lang w:val="en-US"/>
        </w:rPr>
      </w:pPr>
      <w:r>
        <w:rPr>
          <w:rFonts w:hint="eastAsia" w:ascii="仿宋_GB2312" w:hAnsi="仿宋_GB2312" w:cs="仿宋_GB2312"/>
          <w:highlight w:val="none"/>
          <w:lang w:val="en-US"/>
        </w:rPr>
        <w:t>本项目</w:t>
      </w:r>
      <w:r>
        <w:rPr>
          <w:rFonts w:hint="eastAsia" w:ascii="仿宋_GB2312" w:hAnsi="仿宋_GB2312" w:cs="仿宋_GB2312"/>
          <w:highlight w:val="none"/>
        </w:rPr>
        <w:t>全年预算</w:t>
      </w:r>
      <w:r>
        <w:rPr>
          <w:rFonts w:hint="eastAsia" w:ascii="仿宋_GB2312" w:hAnsi="仿宋_GB2312" w:cs="仿宋_GB2312"/>
          <w:highlight w:val="none"/>
          <w:lang w:val="en-US" w:eastAsia="zh-CN"/>
        </w:rPr>
        <w:t>5,670.6</w:t>
      </w:r>
      <w:r>
        <w:rPr>
          <w:rFonts w:hint="eastAsia" w:ascii="仿宋_GB2312" w:hAnsi="仿宋_GB2312" w:cs="仿宋_GB2312"/>
          <w:highlight w:val="none"/>
          <w:lang w:val="en-US"/>
        </w:rPr>
        <w:t>万元，</w:t>
      </w:r>
      <w:r>
        <w:rPr>
          <w:rFonts w:hint="eastAsia" w:ascii="仿宋_GB2312" w:hAnsi="仿宋_GB2312" w:cs="仿宋_GB2312"/>
          <w:highlight w:val="none"/>
          <w:lang w:val="en-US" w:eastAsia="zh-CN"/>
        </w:rPr>
        <w:t>全年</w:t>
      </w:r>
      <w:r>
        <w:rPr>
          <w:rFonts w:hint="eastAsia" w:ascii="仿宋_GB2312" w:hAnsi="仿宋_GB2312" w:cs="仿宋_GB2312"/>
          <w:highlight w:val="none"/>
          <w:lang w:val="en-US"/>
        </w:rPr>
        <w:t>实际支出</w:t>
      </w:r>
      <w:r>
        <w:rPr>
          <w:rFonts w:hint="eastAsia" w:ascii="仿宋_GB2312" w:hAnsi="仿宋_GB2312" w:cs="仿宋_GB2312"/>
          <w:highlight w:val="none"/>
          <w:lang w:val="en-US" w:eastAsia="zh-CN"/>
        </w:rPr>
        <w:t>5,548.4</w:t>
      </w:r>
      <w:r>
        <w:rPr>
          <w:rFonts w:hint="eastAsia" w:ascii="仿宋_GB2312" w:hAnsi="仿宋_GB2312" w:cs="仿宋_GB2312"/>
          <w:highlight w:val="none"/>
          <w:lang w:val="en-US"/>
        </w:rPr>
        <w:t>1</w:t>
      </w:r>
      <w:r>
        <w:rPr>
          <w:rFonts w:hint="eastAsia" w:ascii="仿宋_GB2312" w:hAnsi="仿宋_GB2312" w:cs="仿宋_GB2312"/>
          <w:highlight w:val="none"/>
          <w:lang w:val="en-US" w:eastAsia="zh-CN"/>
        </w:rPr>
        <w:t>万</w:t>
      </w:r>
      <w:r>
        <w:rPr>
          <w:rFonts w:hint="eastAsia" w:ascii="仿宋_GB2312" w:hAnsi="仿宋_GB2312" w:cs="仿宋_GB2312"/>
          <w:highlight w:val="none"/>
          <w:lang w:val="en-US"/>
        </w:rPr>
        <w:t>元，预算执行率为97.85%，扣0.0</w:t>
      </w:r>
      <w:r>
        <w:rPr>
          <w:rFonts w:hint="eastAsia" w:ascii="仿宋_GB2312" w:hAnsi="仿宋_GB2312" w:cs="仿宋_GB2312"/>
          <w:highlight w:val="none"/>
          <w:lang w:val="en-US" w:eastAsia="zh-CN"/>
        </w:rPr>
        <w:t>9</w:t>
      </w:r>
      <w:r>
        <w:rPr>
          <w:rFonts w:hint="eastAsia" w:ascii="仿宋_GB2312" w:hAnsi="仿宋_GB2312" w:cs="仿宋_GB2312"/>
          <w:highlight w:val="none"/>
          <w:lang w:val="en-US"/>
        </w:rPr>
        <w:t>分。</w:t>
      </w:r>
    </w:p>
    <w:p>
      <w:pPr>
        <w:pStyle w:val="4"/>
        <w:spacing w:line="579" w:lineRule="exact"/>
        <w:ind w:firstLine="640"/>
        <w:rPr>
          <w:rFonts w:ascii="仿宋_GB2312" w:hAnsi="仿宋_GB2312" w:cs="仿宋_GB2312"/>
          <w:highlight w:val="none"/>
          <w:lang w:val="en-US"/>
        </w:rPr>
      </w:pPr>
      <w:r>
        <w:rPr>
          <w:rFonts w:hint="eastAsia" w:ascii="仿宋_GB2312" w:hAnsi="仿宋_GB2312" w:cs="仿宋_GB2312"/>
          <w:highlight w:val="none"/>
          <w:lang w:val="en-US"/>
        </w:rPr>
        <w:t>（3）资金使用合规性</w:t>
      </w:r>
    </w:p>
    <w:p>
      <w:pPr>
        <w:pStyle w:val="4"/>
        <w:spacing w:line="579" w:lineRule="exact"/>
        <w:ind w:firstLine="640"/>
        <w:rPr>
          <w:rFonts w:ascii="仿宋_GB2312" w:hAnsi="仿宋_GB2312" w:cs="仿宋_GB2312"/>
          <w:highlight w:val="none"/>
        </w:rPr>
      </w:pPr>
      <w:r>
        <w:rPr>
          <w:rFonts w:hint="eastAsia" w:ascii="仿宋_GB2312" w:hAnsi="仿宋_GB2312" w:cs="仿宋_GB2312"/>
          <w:highlight w:val="none"/>
          <w:lang w:val="en-US"/>
        </w:rPr>
        <w:t>本项目资金支出符合国家财经法规和财务管理制度以及有关专项资金管理规程的规定，资金的拨付有完整的审批程序和手续，符合项目预算批复或合同规定的用途，不存在截留、挤占、挪用、虚列支出等情况</w:t>
      </w:r>
      <w:r>
        <w:rPr>
          <w:rFonts w:hint="eastAsia" w:ascii="仿宋_GB2312" w:hAnsi="仿宋_GB2312" w:cs="仿宋_GB2312"/>
          <w:highlight w:val="none"/>
        </w:rPr>
        <w:t>。</w:t>
      </w:r>
    </w:p>
    <w:p>
      <w:pPr>
        <w:pStyle w:val="4"/>
        <w:spacing w:line="579" w:lineRule="exact"/>
        <w:ind w:firstLine="643"/>
        <w:outlineLvl w:val="2"/>
        <w:rPr>
          <w:rFonts w:ascii="仿宋_GB2312" w:hAnsi="仿宋_GB2312" w:cs="仿宋_GB2312"/>
          <w:b/>
          <w:bCs/>
          <w:highlight w:val="none"/>
        </w:rPr>
      </w:pPr>
      <w:r>
        <w:rPr>
          <w:rFonts w:hint="eastAsia" w:ascii="仿宋_GB2312" w:hAnsi="仿宋_GB2312" w:cs="仿宋_GB2312"/>
          <w:b/>
          <w:bCs/>
          <w:highlight w:val="none"/>
          <w:lang w:val="en-US"/>
        </w:rPr>
        <w:t>2.组织实施</w:t>
      </w:r>
    </w:p>
    <w:p>
      <w:pPr>
        <w:pStyle w:val="4"/>
        <w:spacing w:line="579" w:lineRule="exact"/>
        <w:ind w:firstLine="640"/>
        <w:rPr>
          <w:rFonts w:ascii="仿宋_GB2312" w:hAnsi="仿宋_GB2312" w:cs="仿宋_GB2312"/>
          <w:highlight w:val="none"/>
          <w:lang w:val="en-US"/>
        </w:rPr>
      </w:pPr>
      <w:r>
        <w:rPr>
          <w:rFonts w:hint="eastAsia" w:ascii="仿宋_GB2312" w:hAnsi="仿宋_GB2312" w:cs="仿宋_GB2312"/>
          <w:highlight w:val="none"/>
          <w:lang w:val="en-US"/>
        </w:rPr>
        <w:t>（1）管理制度健全性</w:t>
      </w:r>
    </w:p>
    <w:p>
      <w:pPr>
        <w:pStyle w:val="4"/>
        <w:spacing w:line="579" w:lineRule="exact"/>
        <w:ind w:firstLine="640"/>
        <w:rPr>
          <w:rFonts w:hint="default" w:ascii="仿宋_GB2312" w:hAnsi="仿宋_GB2312" w:eastAsia="仿宋_GB2312" w:cs="仿宋_GB2312"/>
          <w:highlight w:val="none"/>
          <w:lang w:val="en-US" w:eastAsia="zh-CN"/>
        </w:rPr>
      </w:pPr>
      <w:r>
        <w:rPr>
          <w:rFonts w:hint="eastAsia" w:ascii="仿宋_GB2312" w:hAnsi="仿宋_GB2312" w:cs="仿宋_GB2312"/>
          <w:highlight w:val="none"/>
          <w:lang w:val="en-US"/>
        </w:rPr>
        <w:t>市住建局已制订</w:t>
      </w:r>
      <w:r>
        <w:rPr>
          <w:rFonts w:hint="eastAsia" w:ascii="仿宋_GB2312" w:hAnsi="仿宋_GB2312" w:cs="仿宋_GB2312"/>
          <w:highlight w:val="none"/>
          <w:lang w:val="en-US" w:eastAsia="zh-CN"/>
        </w:rPr>
        <w:t>财务管理制度和业务管理制度，财务管理制度和业务管理制度的内容</w:t>
      </w:r>
      <w:r>
        <w:rPr>
          <w:rFonts w:hint="eastAsia" w:ascii="仿宋_GB2312" w:hAnsi="仿宋_GB2312" w:cs="仿宋_GB2312"/>
          <w:highlight w:val="none"/>
          <w:lang w:val="en-US"/>
        </w:rPr>
        <w:t>合法、合规、完整</w:t>
      </w:r>
      <w:r>
        <w:rPr>
          <w:rFonts w:hint="eastAsia" w:ascii="仿宋_GB2312" w:hAnsi="仿宋_GB2312" w:cs="仿宋_GB2312"/>
          <w:highlight w:val="none"/>
        </w:rPr>
        <w:t>。</w:t>
      </w:r>
      <w:r>
        <w:rPr>
          <w:rFonts w:hint="eastAsia" w:ascii="仿宋_GB2312" w:hAnsi="仿宋_GB2312" w:cs="仿宋_GB2312"/>
          <w:highlight w:val="none"/>
          <w:lang w:val="en-US" w:eastAsia="zh-CN"/>
        </w:rPr>
        <w:t>本项目的管理制度较为健全。</w:t>
      </w:r>
    </w:p>
    <w:p>
      <w:pPr>
        <w:pStyle w:val="4"/>
        <w:spacing w:line="579" w:lineRule="exact"/>
        <w:ind w:firstLine="640"/>
        <w:rPr>
          <w:rFonts w:ascii="仿宋_GB2312" w:hAnsi="仿宋_GB2312" w:cs="仿宋_GB2312"/>
          <w:highlight w:val="none"/>
          <w:lang w:val="en-US"/>
        </w:rPr>
      </w:pPr>
      <w:r>
        <w:rPr>
          <w:rFonts w:hint="eastAsia" w:ascii="仿宋_GB2312" w:hAnsi="仿宋_GB2312" w:cs="仿宋_GB2312"/>
          <w:highlight w:val="none"/>
        </w:rPr>
        <w:t>（</w:t>
      </w:r>
      <w:r>
        <w:rPr>
          <w:rFonts w:hint="eastAsia" w:ascii="仿宋_GB2312" w:hAnsi="仿宋_GB2312" w:cs="仿宋_GB2312"/>
          <w:highlight w:val="none"/>
          <w:lang w:val="en-US"/>
        </w:rPr>
        <w:t>2</w:t>
      </w:r>
      <w:r>
        <w:rPr>
          <w:rFonts w:hint="eastAsia" w:ascii="仿宋_GB2312" w:hAnsi="仿宋_GB2312" w:cs="仿宋_GB2312"/>
          <w:highlight w:val="none"/>
        </w:rPr>
        <w:t>）</w:t>
      </w:r>
      <w:r>
        <w:rPr>
          <w:rFonts w:hint="eastAsia" w:ascii="仿宋_GB2312" w:hAnsi="仿宋_GB2312" w:cs="仿宋_GB2312"/>
          <w:highlight w:val="none"/>
          <w:lang w:val="en-US"/>
        </w:rPr>
        <w:t>制度执行有效性</w:t>
      </w:r>
    </w:p>
    <w:p>
      <w:pPr>
        <w:pStyle w:val="4"/>
        <w:spacing w:line="579" w:lineRule="exact"/>
        <w:ind w:firstLine="640"/>
        <w:rPr>
          <w:rFonts w:ascii="仿宋_GB2312" w:hAnsi="仿宋_GB2312" w:cs="仿宋_GB2312"/>
          <w:highlight w:val="none"/>
          <w:lang w:val="en-US"/>
        </w:rPr>
      </w:pPr>
      <w:r>
        <w:rPr>
          <w:rFonts w:hint="eastAsia" w:ascii="仿宋_GB2312" w:hAnsi="仿宋_GB2312" w:cs="仿宋_GB2312"/>
          <w:highlight w:val="none"/>
          <w:lang w:val="en-US"/>
        </w:rPr>
        <w:t>本项目实施过程遵守相关法律法规和相关管理规定，项目调整及支出调整手续完备，项目合同书、验收报告、技术鉴定等资料齐全并及时归档，项目实施的人员条件、场地设备、信息支撑等落实到位。</w:t>
      </w:r>
    </w:p>
    <w:p>
      <w:pPr>
        <w:pStyle w:val="5"/>
        <w:numPr>
          <w:ilvl w:val="1"/>
          <w:numId w:val="0"/>
        </w:numPr>
        <w:spacing w:before="0" w:after="0" w:line="579" w:lineRule="exact"/>
        <w:ind w:leftChars="200"/>
        <w:rPr>
          <w:rFonts w:ascii="楷体_GB2312" w:hAnsi="楷体_GB2312" w:eastAsia="楷体_GB2312" w:cs="楷体_GB2312"/>
          <w:b w:val="0"/>
          <w:bCs w:val="0"/>
          <w:highlight w:val="none"/>
          <w:lang w:val="en-US"/>
        </w:rPr>
      </w:pPr>
      <w:bookmarkStart w:id="20" w:name="_Toc6688"/>
      <w:r>
        <w:rPr>
          <w:rFonts w:hint="eastAsia" w:ascii="楷体_GB2312" w:hAnsi="楷体_GB2312" w:eastAsia="楷体_GB2312" w:cs="楷体_GB2312"/>
          <w:b w:val="0"/>
          <w:bCs w:val="0"/>
          <w:highlight w:val="none"/>
          <w:lang w:val="en-US" w:eastAsia="zh-CN"/>
        </w:rPr>
        <w:t>（三）</w:t>
      </w:r>
      <w:r>
        <w:rPr>
          <w:rFonts w:hint="eastAsia" w:ascii="楷体_GB2312" w:hAnsi="楷体_GB2312" w:eastAsia="楷体_GB2312" w:cs="楷体_GB2312"/>
          <w:b w:val="0"/>
          <w:bCs w:val="0"/>
          <w:highlight w:val="none"/>
          <w:lang w:val="en-US"/>
        </w:rPr>
        <w:t>项目产出情况</w:t>
      </w:r>
      <w:bookmarkEnd w:id="20"/>
    </w:p>
    <w:p>
      <w:pPr>
        <w:pStyle w:val="4"/>
        <w:spacing w:line="579" w:lineRule="exact"/>
        <w:ind w:firstLine="640"/>
        <w:rPr>
          <w:rFonts w:ascii="仿宋_GB2312" w:hAnsi="仿宋_GB2312" w:cs="仿宋_GB2312"/>
          <w:highlight w:val="none"/>
        </w:rPr>
      </w:pPr>
      <w:r>
        <w:rPr>
          <w:rFonts w:hint="eastAsia" w:ascii="仿宋_GB2312" w:hAnsi="仿宋_GB2312" w:cs="仿宋_GB2312"/>
          <w:highlight w:val="none"/>
          <w:lang w:val="en-US"/>
        </w:rPr>
        <w:t>产出</w:t>
      </w:r>
      <w:r>
        <w:rPr>
          <w:rFonts w:hint="eastAsia" w:ascii="仿宋_GB2312" w:hAnsi="仿宋_GB2312" w:cs="仿宋_GB2312"/>
          <w:highlight w:val="none"/>
        </w:rPr>
        <w:t>指标从产出数量、产出质量、产出时效和产出成本</w:t>
      </w:r>
      <w:r>
        <w:rPr>
          <w:rFonts w:hint="eastAsia" w:ascii="仿宋_GB2312" w:hAnsi="仿宋_GB2312" w:cs="仿宋_GB2312"/>
          <w:highlight w:val="none"/>
          <w:lang w:val="en-US"/>
        </w:rPr>
        <w:t>四</w:t>
      </w:r>
      <w:r>
        <w:rPr>
          <w:rFonts w:hint="eastAsia" w:ascii="仿宋_GB2312" w:hAnsi="仿宋_GB2312" w:cs="仿宋_GB2312"/>
          <w:highlight w:val="none"/>
        </w:rPr>
        <w:t>个方面进行考察，满分</w:t>
      </w:r>
      <w:r>
        <w:rPr>
          <w:rFonts w:hint="eastAsia" w:ascii="仿宋_GB2312" w:hAnsi="仿宋_GB2312" w:cs="仿宋_GB2312"/>
          <w:highlight w:val="none"/>
          <w:lang w:val="en-US"/>
        </w:rPr>
        <w:t>30</w:t>
      </w:r>
      <w:r>
        <w:rPr>
          <w:rFonts w:hint="eastAsia" w:ascii="仿宋_GB2312" w:hAnsi="仿宋_GB2312" w:cs="仿宋_GB2312"/>
          <w:highlight w:val="none"/>
        </w:rPr>
        <w:t>分，得分</w:t>
      </w:r>
      <w:r>
        <w:rPr>
          <w:rFonts w:hint="eastAsia" w:ascii="仿宋_GB2312" w:hAnsi="仿宋_GB2312" w:cs="仿宋_GB2312"/>
          <w:highlight w:val="none"/>
          <w:lang w:val="en-US" w:eastAsia="zh-CN"/>
        </w:rPr>
        <w:t>26.99</w:t>
      </w:r>
      <w:r>
        <w:rPr>
          <w:rFonts w:hint="eastAsia" w:ascii="仿宋_GB2312" w:hAnsi="仿宋_GB2312" w:cs="仿宋_GB2312"/>
          <w:highlight w:val="none"/>
        </w:rPr>
        <w:t>分，得分率为89.97%。</w:t>
      </w:r>
    </w:p>
    <w:p>
      <w:pPr>
        <w:pStyle w:val="4"/>
        <w:spacing w:line="579" w:lineRule="exact"/>
        <w:ind w:firstLine="643"/>
        <w:outlineLvl w:val="2"/>
        <w:rPr>
          <w:rFonts w:ascii="仿宋_GB2312" w:hAnsi="仿宋_GB2312" w:cs="仿宋_GB2312"/>
          <w:b/>
          <w:bCs/>
          <w:highlight w:val="none"/>
          <w:lang w:val="en-US"/>
        </w:rPr>
      </w:pPr>
      <w:r>
        <w:rPr>
          <w:rFonts w:hint="eastAsia" w:ascii="仿宋_GB2312" w:hAnsi="仿宋_GB2312" w:cs="仿宋_GB2312"/>
          <w:b/>
          <w:bCs/>
          <w:highlight w:val="none"/>
          <w:lang w:val="en-US"/>
        </w:rPr>
        <w:t>1.产出数量——实际完成率</w:t>
      </w:r>
    </w:p>
    <w:p>
      <w:pPr>
        <w:pStyle w:val="4"/>
        <w:spacing w:line="579" w:lineRule="exact"/>
        <w:ind w:firstLine="640"/>
        <w:rPr>
          <w:rFonts w:hint="default" w:ascii="仿宋_GB2312" w:hAnsi="仿宋_GB2312" w:cs="仿宋_GB2312"/>
          <w:highlight w:val="none"/>
          <w:lang w:val="en-US"/>
        </w:rPr>
      </w:pPr>
      <w:r>
        <w:rPr>
          <w:rFonts w:hint="eastAsia" w:ascii="仿宋_GB2312" w:hAnsi="仿宋_GB2312" w:cs="仿宋_GB2312"/>
          <w:highlight w:val="none"/>
          <w:lang w:val="en-US"/>
        </w:rPr>
        <w:t>本项目的</w:t>
      </w:r>
      <w:r>
        <w:rPr>
          <w:rFonts w:hint="eastAsia" w:ascii="仿宋_GB2312" w:hAnsi="仿宋_GB2312" w:cs="仿宋_GB2312"/>
          <w:highlight w:val="none"/>
          <w:lang w:val="en-US" w:eastAsia="zh-CN"/>
        </w:rPr>
        <w:t>13</w:t>
      </w:r>
      <w:r>
        <w:rPr>
          <w:rFonts w:hint="eastAsia" w:ascii="仿宋_GB2312" w:hAnsi="仿宋_GB2312" w:cs="仿宋_GB2312"/>
          <w:highlight w:val="none"/>
          <w:lang w:val="en-US"/>
        </w:rPr>
        <w:t>个数量指标</w:t>
      </w:r>
      <w:r>
        <w:rPr>
          <w:rFonts w:hint="eastAsia" w:ascii="仿宋_GB2312" w:hAnsi="仿宋_GB2312" w:cs="仿宋_GB2312"/>
          <w:highlight w:val="none"/>
          <w:lang w:val="en-US" w:eastAsia="zh-CN"/>
        </w:rPr>
        <w:t>实际完成率为100%。“完成《深圳市建筑施工专用机动车辆安全监督管理办法》编制工作”“巡查全市在建工地次数（次）”“在建项目进行安全巡查次（次）”“抽检主要建筑材料组数量（组）”“抽检工程结构实体组数量（组）”“抽检工程桩基根数量（根）”“抽检建筑起重机械实体数量（台）”“深基坑、高边坡项目现场专项抽查次数（次）”“平均每月专项巡查危大工程项次（次）”“培训建筑特种作业人员数（人）”“开展施工安全宣传培训教育次数”“监督员平均每人每月巡查项目数（个）”“第三方出具市政工程质量安全巡查评估报告次数（次）”均已完成目标值。</w:t>
      </w:r>
    </w:p>
    <w:p>
      <w:pPr>
        <w:pStyle w:val="4"/>
        <w:spacing w:line="579" w:lineRule="exact"/>
        <w:ind w:firstLine="643"/>
        <w:outlineLvl w:val="2"/>
        <w:rPr>
          <w:rFonts w:ascii="仿宋_GB2312" w:hAnsi="仿宋_GB2312" w:cs="仿宋_GB2312"/>
          <w:b/>
          <w:bCs/>
          <w:highlight w:val="none"/>
          <w:lang w:val="en-US"/>
        </w:rPr>
      </w:pPr>
      <w:r>
        <w:rPr>
          <w:rFonts w:hint="eastAsia" w:ascii="仿宋_GB2312" w:hAnsi="仿宋_GB2312" w:cs="仿宋_GB2312"/>
          <w:b/>
          <w:bCs/>
          <w:highlight w:val="none"/>
          <w:lang w:val="en-US"/>
        </w:rPr>
        <w:t>2.产出质量——质量达标率</w:t>
      </w:r>
    </w:p>
    <w:p>
      <w:pPr>
        <w:pStyle w:val="4"/>
        <w:spacing w:line="579" w:lineRule="exact"/>
        <w:ind w:firstLine="640"/>
        <w:rPr>
          <w:rFonts w:ascii="仿宋_GB2312" w:hAnsi="仿宋_GB2312" w:cs="仿宋_GB2312"/>
          <w:highlight w:val="none"/>
        </w:rPr>
      </w:pPr>
      <w:r>
        <w:rPr>
          <w:rFonts w:hint="eastAsia" w:ascii="仿宋_GB2312" w:hAnsi="仿宋_GB2312" w:cs="仿宋_GB2312"/>
          <w:highlight w:val="none"/>
          <w:lang w:val="en-US"/>
        </w:rPr>
        <w:t>本项目的</w:t>
      </w:r>
      <w:r>
        <w:rPr>
          <w:rFonts w:hint="eastAsia" w:ascii="仿宋_GB2312" w:hAnsi="仿宋_GB2312" w:cs="仿宋_GB2312"/>
          <w:highlight w:val="none"/>
          <w:lang w:val="en-US" w:eastAsia="zh-CN"/>
        </w:rPr>
        <w:t>12</w:t>
      </w:r>
      <w:r>
        <w:rPr>
          <w:rFonts w:hint="eastAsia" w:ascii="仿宋_GB2312" w:hAnsi="仿宋_GB2312" w:cs="仿宋_GB2312"/>
          <w:highlight w:val="none"/>
          <w:lang w:val="en-US"/>
        </w:rPr>
        <w:t>个质量指标完成率均达到100%，</w:t>
      </w:r>
      <w:r>
        <w:rPr>
          <w:rFonts w:hint="eastAsia" w:ascii="仿宋_GB2312" w:hAnsi="仿宋_GB2312" w:cs="仿宋_GB2312"/>
          <w:highlight w:val="none"/>
          <w:lang w:val="en-US" w:eastAsia="zh-CN"/>
        </w:rPr>
        <w:t>“审批工作完成率”“第三方提交巡查报告达标率”“在建项目安全问题整改率”“发现不合格建材责令整改率”“发现建筑起重机械实体缺陷和隐患责令整改率”“发现深基坑、高边坡隐匿风险点责令整改率”“专项巡查识别危大工程的日常隐患责令整改率”“建筑特种作业人员培训考核不合格责令离岗率”“施工现场发现质量安全问题督促整改率”“在监市政项目质量安全监督覆盖率”“举办安全培训活动培训讲师资质”“建筑起重机械抽查覆盖率</w:t>
      </w:r>
      <w:r>
        <w:rPr>
          <w:rFonts w:hint="default" w:ascii="仿宋_GB2312" w:hAnsi="仿宋_GB2312" w:cs="仿宋_GB2312"/>
          <w:highlight w:val="none"/>
          <w:lang w:val="en-US" w:eastAsia="zh-CN"/>
        </w:rPr>
        <w:t>”</w:t>
      </w:r>
      <w:r>
        <w:rPr>
          <w:rFonts w:hint="eastAsia" w:ascii="仿宋_GB2312" w:hAnsi="仿宋_GB2312" w:cs="仿宋_GB2312"/>
          <w:highlight w:val="none"/>
          <w:lang w:val="en-US" w:eastAsia="zh-CN"/>
        </w:rPr>
        <w:t>已</w:t>
      </w:r>
      <w:r>
        <w:rPr>
          <w:rFonts w:hint="eastAsia" w:ascii="仿宋_GB2312" w:hAnsi="仿宋_GB2312" w:cs="仿宋_GB2312"/>
          <w:highlight w:val="none"/>
          <w:lang w:val="en-US"/>
        </w:rPr>
        <w:t>全部</w:t>
      </w:r>
      <w:r>
        <w:rPr>
          <w:rFonts w:hint="eastAsia" w:ascii="仿宋_GB2312" w:hAnsi="仿宋_GB2312" w:cs="仿宋_GB2312"/>
          <w:highlight w:val="none"/>
          <w:lang w:val="en-US" w:eastAsia="zh-CN"/>
        </w:rPr>
        <w:t>达标</w:t>
      </w:r>
      <w:r>
        <w:rPr>
          <w:rFonts w:hint="eastAsia" w:ascii="仿宋_GB2312" w:hAnsi="仿宋_GB2312" w:cs="仿宋_GB2312"/>
          <w:highlight w:val="none"/>
          <w:lang w:val="en-US"/>
        </w:rPr>
        <w:t>。</w:t>
      </w:r>
    </w:p>
    <w:p>
      <w:pPr>
        <w:pStyle w:val="4"/>
        <w:spacing w:line="579" w:lineRule="exact"/>
        <w:ind w:firstLine="643"/>
        <w:outlineLvl w:val="2"/>
        <w:rPr>
          <w:rFonts w:ascii="仿宋_GB2312" w:hAnsi="仿宋_GB2312" w:cs="仿宋_GB2312"/>
          <w:b/>
          <w:bCs/>
          <w:highlight w:val="none"/>
          <w:lang w:val="en-US"/>
        </w:rPr>
      </w:pPr>
      <w:r>
        <w:rPr>
          <w:rFonts w:hint="eastAsia" w:ascii="仿宋_GB2312" w:hAnsi="仿宋_GB2312" w:cs="仿宋_GB2312"/>
          <w:b/>
          <w:bCs/>
          <w:highlight w:val="none"/>
          <w:lang w:val="en-US"/>
        </w:rPr>
        <w:t>3.产出时效——完成及时性</w:t>
      </w:r>
    </w:p>
    <w:p>
      <w:pPr>
        <w:pStyle w:val="4"/>
        <w:spacing w:line="579" w:lineRule="exact"/>
        <w:ind w:firstLine="640"/>
        <w:rPr>
          <w:rFonts w:ascii="仿宋_GB2312" w:hAnsi="仿宋_GB2312" w:cs="仿宋_GB2312"/>
          <w:highlight w:val="none"/>
        </w:rPr>
      </w:pPr>
      <w:r>
        <w:rPr>
          <w:rFonts w:hint="eastAsia" w:ascii="仿宋_GB2312" w:hAnsi="仿宋_GB2312" w:cs="仿宋_GB2312"/>
          <w:highlight w:val="none"/>
          <w:lang w:val="en-US"/>
        </w:rPr>
        <w:t>本项目</w:t>
      </w:r>
      <w:r>
        <w:rPr>
          <w:rFonts w:hint="eastAsia" w:ascii="仿宋_GB2312" w:hAnsi="仿宋_GB2312" w:cs="仿宋_GB2312"/>
          <w:highlight w:val="none"/>
          <w:lang w:val="en-US" w:eastAsia="zh-CN"/>
        </w:rPr>
        <w:t>共设有11个时效指标，其中，“安全培训工作的完成时间”“形成建筑起重机械抽查工作报告频率”“市政工程质量安全监督抽查基本频次（次/季度）”等10个指标</w:t>
      </w:r>
      <w:r>
        <w:rPr>
          <w:rFonts w:hint="eastAsia" w:ascii="仿宋_GB2312" w:hAnsi="仿宋_GB2312" w:cs="仿宋_GB2312"/>
          <w:highlight w:val="none"/>
          <w:lang w:val="en-US"/>
        </w:rPr>
        <w:t>及时性绩效目标</w:t>
      </w:r>
      <w:r>
        <w:rPr>
          <w:rFonts w:hint="eastAsia" w:ascii="仿宋_GB2312" w:hAnsi="仿宋_GB2312" w:cs="仿宋_GB2312"/>
          <w:highlight w:val="none"/>
          <w:lang w:val="en-US" w:eastAsia="zh-CN"/>
        </w:rPr>
        <w:t>已</w:t>
      </w:r>
      <w:r>
        <w:rPr>
          <w:rFonts w:hint="eastAsia" w:ascii="仿宋_GB2312" w:hAnsi="仿宋_GB2312" w:cs="仿宋_GB2312"/>
          <w:highlight w:val="none"/>
          <w:lang w:val="en-US"/>
        </w:rPr>
        <w:t>达成，</w:t>
      </w:r>
      <w:r>
        <w:rPr>
          <w:rFonts w:hint="eastAsia" w:ascii="仿宋_GB2312" w:hAnsi="仿宋_GB2312" w:cs="仿宋_GB2312"/>
          <w:highlight w:val="none"/>
          <w:lang w:val="en-US" w:eastAsia="zh-CN"/>
        </w:rPr>
        <w:t>剩余1个指标“每季度工程‘红黑榜’刊登及时性”，计划指标值为“每季度的第一个月15号前刊登报纸”，实际在项目实施过程中，2021年支付了1期“红黑榜”刊登费用，因市安委办新增了工作任务《全市住房建设事故灾难安全风险自评第三方服务》，支付了该项目款49.15万元，导致后期无费用继续刊登报纸，该指标未能完成，扣0.73分</w:t>
      </w:r>
      <w:r>
        <w:rPr>
          <w:rFonts w:hint="eastAsia"/>
          <w:highlight w:val="none"/>
        </w:rPr>
        <w:t>。</w:t>
      </w:r>
    </w:p>
    <w:p>
      <w:pPr>
        <w:pStyle w:val="4"/>
        <w:spacing w:line="579" w:lineRule="exact"/>
        <w:ind w:firstLine="643"/>
        <w:outlineLvl w:val="2"/>
        <w:rPr>
          <w:rFonts w:ascii="仿宋_GB2312" w:hAnsi="仿宋_GB2312" w:cs="仿宋_GB2312"/>
          <w:b/>
          <w:bCs/>
          <w:highlight w:val="none"/>
          <w:lang w:val="en-US"/>
        </w:rPr>
      </w:pPr>
      <w:r>
        <w:rPr>
          <w:rFonts w:hint="eastAsia" w:ascii="仿宋_GB2312" w:hAnsi="仿宋_GB2312" w:cs="仿宋_GB2312"/>
          <w:b/>
          <w:bCs/>
          <w:highlight w:val="none"/>
          <w:lang w:val="en-US"/>
        </w:rPr>
        <w:t>4.产出成本——成本节约情况</w:t>
      </w:r>
    </w:p>
    <w:p>
      <w:pPr>
        <w:pStyle w:val="4"/>
        <w:spacing w:line="579" w:lineRule="exact"/>
        <w:ind w:firstLine="640"/>
        <w:rPr>
          <w:rFonts w:ascii="仿宋_GB2312" w:hAnsi="仿宋_GB2312" w:cs="仿宋_GB2312"/>
          <w:highlight w:val="none"/>
        </w:rPr>
      </w:pPr>
      <w:r>
        <w:rPr>
          <w:rFonts w:hint="eastAsia" w:ascii="仿宋_GB2312" w:hAnsi="仿宋_GB2312" w:cs="仿宋_GB2312"/>
          <w:highlight w:val="none"/>
          <w:lang w:val="en-US"/>
        </w:rPr>
        <w:t>本项目</w:t>
      </w:r>
      <w:r>
        <w:rPr>
          <w:rFonts w:hint="eastAsia" w:ascii="仿宋_GB2312" w:hAnsi="仿宋_GB2312" w:cs="仿宋_GB2312"/>
          <w:highlight w:val="none"/>
        </w:rPr>
        <w:t>计划成本5,670.6</w:t>
      </w:r>
      <w:r>
        <w:rPr>
          <w:rFonts w:hint="eastAsia" w:ascii="仿宋_GB2312" w:hAnsi="仿宋_GB2312" w:cs="仿宋_GB2312"/>
          <w:highlight w:val="none"/>
          <w:lang w:val="en-US"/>
        </w:rPr>
        <w:t>万元，</w:t>
      </w:r>
      <w:r>
        <w:rPr>
          <w:rFonts w:hint="eastAsia" w:ascii="仿宋_GB2312" w:hAnsi="仿宋_GB2312" w:cs="仿宋_GB2312"/>
          <w:highlight w:val="none"/>
        </w:rPr>
        <w:t>实际成本5,548.41</w:t>
      </w:r>
      <w:r>
        <w:rPr>
          <w:rFonts w:hint="eastAsia" w:ascii="仿宋_GB2312" w:hAnsi="仿宋_GB2312" w:cs="仿宋_GB2312"/>
          <w:highlight w:val="none"/>
          <w:lang w:val="en-US"/>
        </w:rPr>
        <w:t>万元，成本节约率为</w:t>
      </w:r>
      <w:r>
        <w:rPr>
          <w:rFonts w:hint="eastAsia" w:ascii="仿宋_GB2312" w:hAnsi="仿宋_GB2312" w:cs="仿宋_GB2312"/>
          <w:highlight w:val="none"/>
          <w:lang w:val="en-US" w:eastAsia="zh-CN"/>
        </w:rPr>
        <w:t>2.15</w:t>
      </w:r>
      <w:r>
        <w:rPr>
          <w:rFonts w:hint="eastAsia" w:ascii="仿宋_GB2312" w:hAnsi="仿宋_GB2312" w:cs="仿宋_GB2312"/>
          <w:highlight w:val="none"/>
          <w:lang w:val="en-US"/>
        </w:rPr>
        <w:t>%，设定成本节约率5%为基准</w:t>
      </w:r>
      <w:r>
        <w:rPr>
          <w:rFonts w:hint="eastAsia" w:ascii="仿宋_GB2312" w:hAnsi="仿宋_GB2312" w:cs="仿宋_GB2312"/>
          <w:highlight w:val="none"/>
          <w:lang w:val="en-US" w:eastAsia="zh-CN"/>
        </w:rPr>
        <w:t>，</w:t>
      </w:r>
      <w:r>
        <w:rPr>
          <w:rFonts w:hint="eastAsia" w:ascii="仿宋_GB2312" w:hAnsi="仿宋_GB2312" w:cs="仿宋_GB2312"/>
          <w:highlight w:val="none"/>
          <w:lang w:val="en-US"/>
        </w:rPr>
        <w:t>扣</w:t>
      </w:r>
      <w:r>
        <w:rPr>
          <w:rFonts w:hint="eastAsia" w:ascii="仿宋_GB2312" w:hAnsi="仿宋_GB2312" w:cs="仿宋_GB2312"/>
          <w:highlight w:val="none"/>
          <w:lang w:val="en-US" w:eastAsia="zh-CN"/>
        </w:rPr>
        <w:t>2.28</w:t>
      </w:r>
      <w:r>
        <w:rPr>
          <w:rFonts w:hint="eastAsia" w:ascii="仿宋_GB2312" w:hAnsi="仿宋_GB2312" w:cs="仿宋_GB2312"/>
          <w:highlight w:val="none"/>
          <w:lang w:val="en-US"/>
        </w:rPr>
        <w:t>分</w:t>
      </w:r>
      <w:r>
        <w:rPr>
          <w:rFonts w:hint="eastAsia" w:ascii="仿宋_GB2312" w:hAnsi="仿宋_GB2312" w:cs="仿宋_GB2312"/>
          <w:highlight w:val="none"/>
        </w:rPr>
        <w:t>。</w:t>
      </w:r>
    </w:p>
    <w:p>
      <w:pPr>
        <w:pStyle w:val="5"/>
        <w:numPr>
          <w:ilvl w:val="1"/>
          <w:numId w:val="0"/>
        </w:numPr>
        <w:spacing w:before="0" w:after="0" w:line="579" w:lineRule="exact"/>
        <w:ind w:leftChars="200"/>
        <w:rPr>
          <w:rFonts w:ascii="楷体_GB2312" w:hAnsi="楷体_GB2312" w:eastAsia="楷体_GB2312" w:cs="楷体_GB2312"/>
          <w:b w:val="0"/>
          <w:bCs w:val="0"/>
          <w:highlight w:val="none"/>
          <w:lang w:val="en-US"/>
        </w:rPr>
      </w:pPr>
      <w:bookmarkStart w:id="21" w:name="_Toc7099"/>
      <w:r>
        <w:rPr>
          <w:rFonts w:hint="eastAsia" w:ascii="楷体_GB2312" w:hAnsi="楷体_GB2312" w:eastAsia="楷体_GB2312" w:cs="楷体_GB2312"/>
          <w:b w:val="0"/>
          <w:bCs w:val="0"/>
          <w:highlight w:val="none"/>
          <w:lang w:val="en-US" w:eastAsia="zh-CN"/>
        </w:rPr>
        <w:t>（四）</w:t>
      </w:r>
      <w:r>
        <w:rPr>
          <w:rFonts w:hint="eastAsia" w:ascii="楷体_GB2312" w:hAnsi="楷体_GB2312" w:eastAsia="楷体_GB2312" w:cs="楷体_GB2312"/>
          <w:b w:val="0"/>
          <w:bCs w:val="0"/>
          <w:highlight w:val="none"/>
          <w:lang w:val="en-US"/>
        </w:rPr>
        <w:t>项目效益情况</w:t>
      </w:r>
      <w:bookmarkEnd w:id="21"/>
    </w:p>
    <w:p>
      <w:pPr>
        <w:pStyle w:val="4"/>
        <w:spacing w:line="579" w:lineRule="exact"/>
        <w:ind w:firstLine="640"/>
        <w:rPr>
          <w:rFonts w:ascii="仿宋_GB2312" w:hAnsi="仿宋_GB2312" w:cs="仿宋_GB2312"/>
          <w:highlight w:val="none"/>
        </w:rPr>
      </w:pPr>
      <w:r>
        <w:rPr>
          <w:rFonts w:hint="eastAsia" w:ascii="仿宋_GB2312" w:hAnsi="仿宋_GB2312" w:cs="仿宋_GB2312"/>
          <w:highlight w:val="none"/>
          <w:lang w:val="en-US"/>
        </w:rPr>
        <w:t>效益</w:t>
      </w:r>
      <w:r>
        <w:rPr>
          <w:rFonts w:hint="eastAsia" w:ascii="仿宋_GB2312" w:hAnsi="仿宋_GB2312" w:cs="仿宋_GB2312"/>
          <w:highlight w:val="none"/>
        </w:rPr>
        <w:t>指标考察</w:t>
      </w:r>
      <w:r>
        <w:rPr>
          <w:rFonts w:hint="eastAsia" w:ascii="仿宋_GB2312" w:hAnsi="仿宋_GB2312" w:cs="仿宋_GB2312"/>
          <w:highlight w:val="none"/>
          <w:lang w:val="en-US"/>
        </w:rPr>
        <w:t>项目效益</w:t>
      </w:r>
      <w:r>
        <w:rPr>
          <w:rFonts w:hint="eastAsia" w:ascii="仿宋_GB2312" w:hAnsi="仿宋_GB2312" w:cs="仿宋_GB2312"/>
          <w:highlight w:val="none"/>
        </w:rPr>
        <w:t>，满分</w:t>
      </w:r>
      <w:r>
        <w:rPr>
          <w:rFonts w:hint="eastAsia" w:ascii="仿宋_GB2312" w:hAnsi="仿宋_GB2312" w:cs="仿宋_GB2312"/>
          <w:highlight w:val="none"/>
          <w:lang w:val="en-US"/>
        </w:rPr>
        <w:t>30</w:t>
      </w:r>
      <w:r>
        <w:rPr>
          <w:rFonts w:hint="eastAsia" w:ascii="仿宋_GB2312" w:hAnsi="仿宋_GB2312" w:cs="仿宋_GB2312"/>
          <w:highlight w:val="none"/>
        </w:rPr>
        <w:t>分，得分</w:t>
      </w:r>
      <w:r>
        <w:rPr>
          <w:rFonts w:hint="eastAsia" w:ascii="仿宋_GB2312" w:hAnsi="仿宋_GB2312" w:cs="仿宋_GB2312"/>
          <w:highlight w:val="none"/>
          <w:lang w:val="en-US" w:eastAsia="zh-CN"/>
        </w:rPr>
        <w:t>29</w:t>
      </w:r>
      <w:r>
        <w:rPr>
          <w:rFonts w:hint="eastAsia" w:ascii="仿宋_GB2312" w:hAnsi="仿宋_GB2312" w:cs="仿宋_GB2312"/>
          <w:highlight w:val="none"/>
        </w:rPr>
        <w:t>分，得分率为</w:t>
      </w:r>
      <w:r>
        <w:rPr>
          <w:rFonts w:hint="eastAsia" w:ascii="仿宋_GB2312" w:hAnsi="仿宋_GB2312" w:cs="仿宋_GB2312"/>
          <w:highlight w:val="none"/>
          <w:lang w:val="en-US"/>
        </w:rPr>
        <w:t>9</w:t>
      </w:r>
      <w:r>
        <w:rPr>
          <w:rFonts w:hint="eastAsia" w:ascii="仿宋_GB2312" w:hAnsi="仿宋_GB2312" w:cs="仿宋_GB2312"/>
          <w:highlight w:val="none"/>
          <w:lang w:val="en-US" w:eastAsia="zh-CN"/>
        </w:rPr>
        <w:t>6.67</w:t>
      </w:r>
      <w:r>
        <w:rPr>
          <w:rFonts w:hint="eastAsia" w:ascii="仿宋_GB2312" w:hAnsi="仿宋_GB2312" w:cs="仿宋_GB2312"/>
          <w:highlight w:val="none"/>
          <w:lang w:val="en-US"/>
        </w:rPr>
        <w:t>%</w:t>
      </w:r>
      <w:r>
        <w:rPr>
          <w:rFonts w:hint="eastAsia" w:ascii="仿宋_GB2312" w:hAnsi="仿宋_GB2312" w:cs="仿宋_GB2312"/>
          <w:highlight w:val="none"/>
        </w:rPr>
        <w:t>。</w:t>
      </w:r>
    </w:p>
    <w:p>
      <w:pPr>
        <w:pStyle w:val="4"/>
        <w:spacing w:line="579" w:lineRule="exact"/>
        <w:ind w:firstLine="643"/>
        <w:rPr>
          <w:rFonts w:ascii="仿宋_GB2312" w:hAnsi="仿宋_GB2312" w:cs="仿宋_GB2312"/>
          <w:b/>
          <w:bCs/>
          <w:highlight w:val="none"/>
        </w:rPr>
      </w:pPr>
      <w:r>
        <w:rPr>
          <w:rFonts w:hint="eastAsia" w:ascii="仿宋_GB2312" w:hAnsi="仿宋_GB2312" w:cs="仿宋_GB2312"/>
          <w:b/>
          <w:bCs/>
          <w:highlight w:val="none"/>
          <w:lang w:val="en-US"/>
        </w:rPr>
        <w:t>1.项目</w:t>
      </w:r>
      <w:r>
        <w:rPr>
          <w:rFonts w:hint="eastAsia" w:ascii="仿宋_GB2312" w:hAnsi="仿宋_GB2312" w:cs="仿宋_GB2312"/>
          <w:b/>
          <w:bCs/>
          <w:highlight w:val="none"/>
        </w:rPr>
        <w:t>效益</w:t>
      </w:r>
    </w:p>
    <w:p>
      <w:pPr>
        <w:pStyle w:val="4"/>
        <w:spacing w:line="579" w:lineRule="exact"/>
        <w:ind w:firstLine="640"/>
        <w:rPr>
          <w:rFonts w:ascii="仿宋_GB2312" w:hAnsi="仿宋_GB2312" w:cs="仿宋_GB2312"/>
          <w:highlight w:val="none"/>
          <w:lang w:val="en-US"/>
        </w:rPr>
      </w:pPr>
      <w:r>
        <w:rPr>
          <w:rFonts w:hint="eastAsia" w:ascii="仿宋_GB2312" w:hAnsi="仿宋_GB2312" w:cs="仿宋_GB2312"/>
          <w:highlight w:val="none"/>
        </w:rPr>
        <w:t>（</w:t>
      </w:r>
      <w:r>
        <w:rPr>
          <w:rFonts w:hint="eastAsia" w:ascii="仿宋_GB2312" w:hAnsi="仿宋_GB2312" w:cs="仿宋_GB2312"/>
          <w:highlight w:val="none"/>
          <w:lang w:val="en-US"/>
        </w:rPr>
        <w:t>1</w:t>
      </w:r>
      <w:r>
        <w:rPr>
          <w:rFonts w:hint="eastAsia" w:ascii="仿宋_GB2312" w:hAnsi="仿宋_GB2312" w:cs="仿宋_GB2312"/>
          <w:highlight w:val="none"/>
        </w:rPr>
        <w:t>）</w:t>
      </w:r>
      <w:r>
        <w:rPr>
          <w:rFonts w:hint="eastAsia" w:ascii="仿宋_GB2312" w:hAnsi="仿宋_GB2312" w:cs="仿宋_GB2312"/>
          <w:highlight w:val="none"/>
          <w:lang w:val="en-US"/>
        </w:rPr>
        <w:t>实施效益</w:t>
      </w:r>
    </w:p>
    <w:p>
      <w:pPr>
        <w:pStyle w:val="4"/>
        <w:spacing w:line="579" w:lineRule="exact"/>
        <w:ind w:firstLine="640"/>
        <w:rPr>
          <w:rFonts w:ascii="仿宋_GB2312" w:hAnsi="仿宋_GB2312" w:cs="仿宋_GB2312"/>
          <w:highlight w:val="none"/>
          <w:lang w:val="en-US"/>
        </w:rPr>
      </w:pPr>
      <w:r>
        <w:rPr>
          <w:rFonts w:hint="eastAsia" w:ascii="仿宋_GB2312" w:hAnsi="仿宋_GB2312" w:cs="仿宋_GB2312"/>
          <w:highlight w:val="none"/>
          <w:lang w:val="en-US"/>
        </w:rPr>
        <w:t>社会效益方面，</w:t>
      </w:r>
      <w:r>
        <w:rPr>
          <w:rFonts w:hint="eastAsia" w:ascii="仿宋_GB2312" w:hAnsi="仿宋_GB2312" w:cs="仿宋_GB2312"/>
          <w:highlight w:val="none"/>
          <w:lang w:val="en-US" w:eastAsia="zh-CN"/>
        </w:rPr>
        <w:t>实施</w:t>
      </w:r>
      <w:r>
        <w:rPr>
          <w:rFonts w:hint="eastAsia" w:ascii="仿宋_GB2312" w:hAnsi="仿宋_GB2312" w:cs="仿宋_GB2312"/>
          <w:highlight w:val="none"/>
          <w:lang w:val="en-US"/>
        </w:rPr>
        <w:t>本项目有效推动深圳市建筑施工专用机动车辆安全的监督管理，有效督促施工项目整改安全隐患</w:t>
      </w:r>
      <w:r>
        <w:rPr>
          <w:rFonts w:hint="eastAsia" w:ascii="仿宋_GB2312" w:hAnsi="仿宋_GB2312" w:cs="仿宋_GB2312"/>
          <w:highlight w:val="none"/>
          <w:lang w:val="en-US" w:eastAsia="zh-CN"/>
        </w:rPr>
        <w:t>，有效提高工人安全防范意识，有效提升房建工程质量水平，有效预防重特大事故发生，有效遏制重特大质量安全事故发生，保障人民生命安全。因实际完成值无法量化，</w:t>
      </w:r>
      <w:r>
        <w:rPr>
          <w:rFonts w:hint="eastAsia" w:ascii="仿宋_GB2312" w:hAnsi="仿宋_GB2312" w:cs="仿宋_GB2312"/>
          <w:highlight w:val="none"/>
          <w:lang w:val="en-US"/>
        </w:rPr>
        <w:t>本指标酌情扣</w:t>
      </w:r>
      <w:r>
        <w:rPr>
          <w:rFonts w:hint="eastAsia" w:ascii="仿宋_GB2312" w:hAnsi="仿宋_GB2312" w:cs="仿宋_GB2312"/>
          <w:highlight w:val="none"/>
          <w:lang w:val="en-US" w:eastAsia="zh-CN"/>
        </w:rPr>
        <w:t>1</w:t>
      </w:r>
      <w:r>
        <w:rPr>
          <w:rFonts w:hint="eastAsia" w:ascii="仿宋_GB2312" w:hAnsi="仿宋_GB2312" w:cs="仿宋_GB2312"/>
          <w:highlight w:val="none"/>
          <w:lang w:val="en-US"/>
        </w:rPr>
        <w:t>分。</w:t>
      </w:r>
    </w:p>
    <w:p>
      <w:pPr>
        <w:pStyle w:val="4"/>
        <w:spacing w:line="579" w:lineRule="exact"/>
        <w:ind w:firstLine="640"/>
        <w:rPr>
          <w:rFonts w:ascii="仿宋_GB2312" w:hAnsi="仿宋_GB2312" w:cs="仿宋_GB2312"/>
          <w:highlight w:val="none"/>
          <w:lang w:val="en-US"/>
        </w:rPr>
      </w:pPr>
      <w:r>
        <w:rPr>
          <w:rFonts w:hint="eastAsia" w:ascii="仿宋_GB2312" w:hAnsi="仿宋_GB2312" w:cs="仿宋_GB2312"/>
          <w:highlight w:val="none"/>
          <w:lang w:val="en-US"/>
        </w:rPr>
        <w:t>（2）满意度</w:t>
      </w:r>
    </w:p>
    <w:p>
      <w:pPr>
        <w:pStyle w:val="4"/>
        <w:spacing w:line="579" w:lineRule="exact"/>
        <w:ind w:firstLine="640"/>
        <w:rPr>
          <w:rFonts w:ascii="仿宋_GB2312" w:hAnsi="仿宋_GB2312" w:cs="仿宋_GB2312"/>
          <w:highlight w:val="none"/>
        </w:rPr>
      </w:pPr>
      <w:r>
        <w:rPr>
          <w:rFonts w:hint="eastAsia" w:ascii="仿宋_GB2312" w:hAnsi="仿宋_GB2312" w:cs="仿宋_GB2312"/>
          <w:highlight w:val="none"/>
          <w:lang w:val="en-US" w:eastAsia="zh-CN"/>
        </w:rPr>
        <w:t>本项目满意度指标“</w:t>
      </w:r>
      <w:r>
        <w:rPr>
          <w:rFonts w:hint="eastAsia" w:ascii="仿宋_GB2312" w:hAnsi="仿宋_GB2312" w:cs="仿宋_GB2312"/>
          <w:highlight w:val="none"/>
          <w:lang w:val="en-US"/>
        </w:rPr>
        <w:t>服务委托方满意度</w:t>
      </w:r>
      <w:r>
        <w:rPr>
          <w:rFonts w:hint="eastAsia" w:ascii="仿宋_GB2312" w:hAnsi="仿宋_GB2312" w:cs="仿宋_GB2312"/>
          <w:highlight w:val="none"/>
          <w:lang w:val="en-US" w:eastAsia="zh-CN"/>
        </w:rPr>
        <w:t>”，计划指标值为“良好及以上”，实际完成值“</w:t>
      </w:r>
      <w:r>
        <w:rPr>
          <w:rFonts w:hint="eastAsia" w:ascii="仿宋_GB2312" w:hAnsi="仿宋_GB2312" w:cs="仿宋_GB2312"/>
          <w:highlight w:val="none"/>
          <w:lang w:val="en-US"/>
        </w:rPr>
        <w:t>良好</w:t>
      </w:r>
      <w:r>
        <w:rPr>
          <w:rFonts w:hint="eastAsia" w:ascii="仿宋_GB2312" w:hAnsi="仿宋_GB2312" w:cs="仿宋_GB2312"/>
          <w:highlight w:val="none"/>
          <w:lang w:val="en-US" w:eastAsia="zh-CN"/>
        </w:rPr>
        <w:t>”，已完成绩效目标</w:t>
      </w:r>
      <w:r>
        <w:rPr>
          <w:rFonts w:hint="eastAsia" w:ascii="仿宋_GB2312" w:hAnsi="仿宋_GB2312" w:cs="仿宋_GB2312"/>
          <w:highlight w:val="none"/>
          <w:lang w:val="en-US"/>
        </w:rPr>
        <w:t>。</w:t>
      </w:r>
    </w:p>
    <w:p>
      <w:pPr>
        <w:pStyle w:val="3"/>
        <w:spacing w:before="0" w:after="0" w:line="579" w:lineRule="exact"/>
        <w:ind w:firstLine="640"/>
        <w:rPr>
          <w:szCs w:val="32"/>
          <w:highlight w:val="none"/>
        </w:rPr>
      </w:pPr>
      <w:bookmarkStart w:id="22" w:name="_Toc64647751"/>
      <w:bookmarkStart w:id="23" w:name="_Toc24676"/>
      <w:r>
        <w:rPr>
          <w:rFonts w:hint="eastAsia"/>
          <w:highlight w:val="none"/>
          <w:lang w:val="en-US"/>
        </w:rPr>
        <w:t>主要</w:t>
      </w:r>
      <w:r>
        <w:rPr>
          <w:rFonts w:hint="eastAsia"/>
          <w:highlight w:val="none"/>
        </w:rPr>
        <w:t>经验</w:t>
      </w:r>
      <w:r>
        <w:rPr>
          <w:rFonts w:hint="eastAsia"/>
          <w:highlight w:val="none"/>
          <w:lang w:val="en-US"/>
        </w:rPr>
        <w:t>及</w:t>
      </w:r>
      <w:r>
        <w:rPr>
          <w:rFonts w:hint="eastAsia"/>
          <w:highlight w:val="none"/>
        </w:rPr>
        <w:t>做法</w:t>
      </w:r>
      <w:bookmarkEnd w:id="22"/>
      <w:r>
        <w:rPr>
          <w:rFonts w:hint="eastAsia"/>
          <w:highlight w:val="none"/>
          <w:lang w:eastAsia="zh-CN"/>
        </w:rPr>
        <w:t>、</w:t>
      </w:r>
      <w:r>
        <w:rPr>
          <w:rFonts w:hint="eastAsia"/>
          <w:highlight w:val="none"/>
        </w:rPr>
        <w:t>存在的问题及原因分析</w:t>
      </w:r>
      <w:bookmarkEnd w:id="23"/>
    </w:p>
    <w:p>
      <w:pPr>
        <w:pStyle w:val="5"/>
        <w:numPr>
          <w:ilvl w:val="1"/>
          <w:numId w:val="0"/>
        </w:numPr>
        <w:spacing w:before="0" w:after="0" w:line="579" w:lineRule="exact"/>
        <w:ind w:leftChars="200"/>
        <w:rPr>
          <w:rFonts w:ascii="楷体_GB2312" w:hAnsi="楷体_GB2312" w:eastAsia="楷体_GB2312" w:cs="楷体_GB2312"/>
          <w:b w:val="0"/>
          <w:bCs w:val="0"/>
          <w:highlight w:val="none"/>
          <w:lang w:val="en-US"/>
        </w:rPr>
      </w:pPr>
      <w:bookmarkStart w:id="24" w:name="_Toc21681"/>
      <w:r>
        <w:rPr>
          <w:rFonts w:hint="eastAsia" w:ascii="楷体_GB2312" w:hAnsi="楷体_GB2312" w:eastAsia="楷体_GB2312" w:cs="楷体_GB2312"/>
          <w:b w:val="0"/>
          <w:bCs w:val="0"/>
          <w:highlight w:val="none"/>
          <w:lang w:val="en-US" w:eastAsia="zh-CN"/>
        </w:rPr>
        <w:t>（一）主要经验及做法</w:t>
      </w:r>
      <w:bookmarkEnd w:id="24"/>
    </w:p>
    <w:p>
      <w:pPr>
        <w:pStyle w:val="4"/>
        <w:spacing w:line="579" w:lineRule="exact"/>
        <w:ind w:firstLine="643"/>
        <w:outlineLvl w:val="2"/>
        <w:rPr>
          <w:rFonts w:hint="eastAsia" w:ascii="仿宋_GB2312" w:hAnsi="仿宋_GB2312" w:cs="仿宋_GB2312"/>
          <w:b/>
          <w:bCs/>
          <w:highlight w:val="none"/>
          <w:lang w:val="en-US" w:eastAsia="zh-CN"/>
        </w:rPr>
      </w:pPr>
      <w:r>
        <w:rPr>
          <w:rFonts w:hint="eastAsia" w:ascii="仿宋_GB2312" w:hAnsi="仿宋_GB2312" w:cs="仿宋_GB2312"/>
          <w:b/>
          <w:bCs/>
          <w:highlight w:val="none"/>
          <w:lang w:val="en-US" w:eastAsia="zh-CN"/>
        </w:rPr>
        <w:t>1.多台账管理，实施安全风险分级管控</w:t>
      </w:r>
    </w:p>
    <w:p>
      <w:pPr>
        <w:pStyle w:val="4"/>
        <w:spacing w:line="579" w:lineRule="exact"/>
        <w:ind w:firstLine="640"/>
        <w:rPr>
          <w:rFonts w:hint="eastAsia" w:ascii="仿宋_GB2312" w:hAnsi="仿宋_GB2312" w:cs="仿宋_GB2312"/>
          <w:szCs w:val="32"/>
          <w:highlight w:val="none"/>
          <w:lang w:val="en-US" w:eastAsia="zh-CN"/>
        </w:rPr>
      </w:pPr>
      <w:r>
        <w:rPr>
          <w:rFonts w:hint="eastAsia" w:ascii="仿宋_GB2312" w:hAnsi="仿宋_GB2312" w:cs="仿宋_GB2312"/>
          <w:b/>
          <w:bCs/>
          <w:szCs w:val="32"/>
          <w:highlight w:val="none"/>
          <w:lang w:val="en-US" w:eastAsia="zh-CN"/>
        </w:rPr>
        <w:t>一是梳理更新各类风险管控台账。</w:t>
      </w:r>
      <w:r>
        <w:rPr>
          <w:rFonts w:hint="eastAsia" w:ascii="仿宋_GB2312" w:hAnsi="仿宋_GB2312" w:cs="仿宋_GB2312"/>
          <w:szCs w:val="32"/>
          <w:highlight w:val="none"/>
          <w:lang w:val="en-US" w:eastAsia="zh-CN"/>
        </w:rPr>
        <w:t>建立在监工程危大工程台账、“五类穿越”风险源台账、起重机械防风及人员疏散台账、非道路移动机械及油品直配管理台账等，及时更新数据、分析安全风险，根据风险变化情况，调整并落实安全风险防范及管控措施。</w:t>
      </w:r>
      <w:r>
        <w:rPr>
          <w:rFonts w:hint="eastAsia" w:ascii="仿宋_GB2312" w:hAnsi="仿宋_GB2312" w:cs="仿宋_GB2312"/>
          <w:b/>
          <w:bCs/>
          <w:szCs w:val="32"/>
          <w:highlight w:val="none"/>
          <w:lang w:val="en-US" w:eastAsia="zh-CN"/>
        </w:rPr>
        <w:t>二是落实风险分级分类管控措施。</w:t>
      </w:r>
      <w:r>
        <w:rPr>
          <w:rFonts w:hint="eastAsia" w:ascii="仿宋_GB2312" w:hAnsi="仿宋_GB2312" w:cs="仿宋_GB2312"/>
          <w:szCs w:val="32"/>
          <w:highlight w:val="none"/>
          <w:lang w:val="en-US" w:eastAsia="zh-CN"/>
        </w:rPr>
        <w:t>结合工程施工工艺、施工进度、周边环境风险，落实分级分类管控措施，对超规模危大工程、涉水及岩溶发育区域地下工程等实施差异化监管。</w:t>
      </w:r>
      <w:r>
        <w:rPr>
          <w:rFonts w:hint="eastAsia" w:ascii="仿宋_GB2312" w:hAnsi="仿宋_GB2312" w:cs="仿宋_GB2312"/>
          <w:b/>
          <w:bCs/>
          <w:szCs w:val="32"/>
          <w:highlight w:val="none"/>
          <w:lang w:val="en-US" w:eastAsia="zh-CN"/>
        </w:rPr>
        <w:t>三是加强危大工程施工安全管控。</w:t>
      </w:r>
      <w:r>
        <w:rPr>
          <w:rFonts w:hint="eastAsia" w:ascii="仿宋_GB2312" w:hAnsi="仿宋_GB2312" w:cs="仿宋_GB2312"/>
          <w:szCs w:val="32"/>
          <w:highlight w:val="none"/>
          <w:lang w:val="en-US" w:eastAsia="zh-CN"/>
        </w:rPr>
        <w:t>常态化组织专家开展对深基坑、暗挖工程设计及施工方案及其它危大工程专项施工方案抽查185项次，对设计及专项施工方案不完善的，施工方案未按危大工程管理要求进行编制、审批、论证闭合的，一律不得施工。</w:t>
      </w:r>
    </w:p>
    <w:p>
      <w:pPr>
        <w:pStyle w:val="4"/>
        <w:spacing w:line="579" w:lineRule="exact"/>
        <w:ind w:firstLine="643"/>
        <w:outlineLvl w:val="2"/>
        <w:rPr>
          <w:rFonts w:hint="eastAsia" w:ascii="仿宋_GB2312" w:hAnsi="仿宋_GB2312" w:cs="仿宋_GB2312"/>
          <w:b/>
          <w:bCs/>
          <w:highlight w:val="none"/>
          <w:lang w:val="en-US" w:eastAsia="zh-CN"/>
        </w:rPr>
      </w:pPr>
      <w:r>
        <w:rPr>
          <w:rFonts w:hint="eastAsia" w:ascii="仿宋_GB2312" w:hAnsi="仿宋_GB2312" w:cs="仿宋_GB2312"/>
          <w:b/>
          <w:bCs/>
          <w:highlight w:val="none"/>
          <w:lang w:val="en-US" w:eastAsia="zh-CN"/>
        </w:rPr>
        <w:t>2.多类型整治，保持严管重罚执法态势</w:t>
      </w:r>
    </w:p>
    <w:p>
      <w:pPr>
        <w:pStyle w:val="4"/>
        <w:spacing w:line="579" w:lineRule="exact"/>
        <w:ind w:firstLine="640"/>
        <w:rPr>
          <w:rFonts w:hint="eastAsia" w:ascii="仿宋_GB2312" w:hAnsi="仿宋_GB2312" w:cs="仿宋_GB2312"/>
          <w:szCs w:val="32"/>
          <w:highlight w:val="none"/>
          <w:lang w:val="en-US" w:eastAsia="zh-CN"/>
        </w:rPr>
      </w:pPr>
      <w:r>
        <w:rPr>
          <w:rFonts w:hint="eastAsia" w:ascii="仿宋_GB2312" w:hAnsi="仿宋_GB2312" w:cs="仿宋_GB2312"/>
          <w:b/>
          <w:bCs/>
          <w:szCs w:val="32"/>
          <w:highlight w:val="none"/>
          <w:lang w:val="en-US" w:eastAsia="zh-CN"/>
        </w:rPr>
        <w:t>一是认真做好规定动作。</w:t>
      </w:r>
      <w:r>
        <w:rPr>
          <w:rFonts w:hint="eastAsia" w:ascii="仿宋_GB2312" w:hAnsi="仿宋_GB2312" w:cs="仿宋_GB2312"/>
          <w:szCs w:val="32"/>
          <w:highlight w:val="none"/>
          <w:lang w:val="en-US" w:eastAsia="zh-CN"/>
        </w:rPr>
        <w:t>不折不扣落实有关文件要求，狠抓工程质量安全隐患排查治理。在元旦、春节及全国</w:t>
      </w:r>
      <w:bookmarkStart w:id="33" w:name="_GoBack"/>
      <w:bookmarkEnd w:id="33"/>
      <w:r>
        <w:rPr>
          <w:rFonts w:hint="eastAsia" w:ascii="仿宋_GB2312" w:hAnsi="仿宋_GB2312" w:cs="仿宋_GB2312"/>
          <w:szCs w:val="32"/>
          <w:highlight w:val="none"/>
          <w:lang w:val="en-US" w:eastAsia="zh-CN"/>
        </w:rPr>
        <w:t>两会期间、汛期等重要时间节点，认真开展安全生产专项整治三年行动、特别防护期、工程结构质量、安全生产百日攻坚、防风防汛等系列专项整治行动。认真吸取湖北十堰“6·13”燃气事故、珠海“7·15”透水事故教训，先后部署开展涉水地下工程及岩溶发育区地下工程、燃气工程等12项专项检查。</w:t>
      </w:r>
      <w:r>
        <w:rPr>
          <w:rFonts w:hint="eastAsia" w:ascii="仿宋_GB2312" w:hAnsi="仿宋_GB2312" w:cs="仿宋_GB2312"/>
          <w:b/>
          <w:bCs/>
          <w:szCs w:val="32"/>
          <w:highlight w:val="none"/>
          <w:lang w:val="en-US" w:eastAsia="zh-CN"/>
        </w:rPr>
        <w:t>二是创新开展自选动作。</w:t>
      </w:r>
      <w:r>
        <w:rPr>
          <w:rFonts w:hint="eastAsia" w:ascii="仿宋_GB2312" w:hAnsi="仿宋_GB2312" w:cs="仿宋_GB2312"/>
          <w:szCs w:val="32"/>
          <w:highlight w:val="none"/>
          <w:lang w:val="en-US" w:eastAsia="zh-CN"/>
        </w:rPr>
        <w:t>根据行业和事故特点，结合在监工程实际，部署开展央企施工安全专项整治交叉检查、轨道交通重点部位防洪措施、站后工程施工、流动式起重机械、轨道作业车等9项系列整治行动。</w:t>
      </w:r>
      <w:r>
        <w:rPr>
          <w:rFonts w:hint="eastAsia" w:ascii="仿宋_GB2312" w:hAnsi="仿宋_GB2312" w:cs="仿宋_GB2312"/>
          <w:b/>
          <w:bCs/>
          <w:szCs w:val="32"/>
          <w:highlight w:val="none"/>
          <w:lang w:val="en-US" w:eastAsia="zh-CN"/>
        </w:rPr>
        <w:t>三是消除了一大批隐患问题。</w:t>
      </w:r>
      <w:r>
        <w:rPr>
          <w:rFonts w:hint="eastAsia" w:ascii="仿宋_GB2312" w:hAnsi="仿宋_GB2312" w:cs="仿宋_GB2312"/>
          <w:szCs w:val="32"/>
          <w:highlight w:val="none"/>
          <w:lang w:val="en-US" w:eastAsia="zh-CN"/>
        </w:rPr>
        <w:t>认真开展隐患排查整治，针对排查出的4.3万余项施工质量安全隐患，按照严格整改内容、标准、措施、时间进度、责任人“五个落实”要求，督促企业进行闭合整改。</w:t>
      </w:r>
      <w:r>
        <w:rPr>
          <w:rFonts w:hint="eastAsia" w:ascii="仿宋_GB2312" w:hAnsi="仿宋_GB2312" w:cs="仿宋_GB2312"/>
          <w:b/>
          <w:bCs/>
          <w:szCs w:val="32"/>
          <w:highlight w:val="none"/>
          <w:lang w:val="en-US" w:eastAsia="zh-CN"/>
        </w:rPr>
        <w:t>四是处理了相关责任主体。</w:t>
      </w:r>
      <w:r>
        <w:rPr>
          <w:rFonts w:hint="eastAsia" w:ascii="仿宋_GB2312" w:hAnsi="仿宋_GB2312" w:cs="仿宋_GB2312"/>
          <w:szCs w:val="32"/>
          <w:highlight w:val="none"/>
          <w:lang w:val="en-US" w:eastAsia="zh-CN"/>
        </w:rPr>
        <w:t>对违法违规行为，依法依规严肃查处。全年共出动16795人次，检查项目5521项次，对责任单位及责任人，发出责令整改4302份、责令停工413份、不良行为扣分2106份，黄色警示125份，红色警示13份，挂牌督办26项，警示约谈企业124家、492人次，立案查处117起，罚款总金额119.15万元。</w:t>
      </w:r>
    </w:p>
    <w:p>
      <w:pPr>
        <w:pStyle w:val="4"/>
        <w:spacing w:line="579" w:lineRule="exact"/>
        <w:ind w:firstLine="643"/>
        <w:outlineLvl w:val="2"/>
        <w:rPr>
          <w:rFonts w:hint="eastAsia" w:ascii="仿宋_GB2312" w:hAnsi="仿宋_GB2312" w:cs="仿宋_GB2312"/>
          <w:b/>
          <w:bCs/>
          <w:highlight w:val="none"/>
          <w:lang w:val="en-US" w:eastAsia="zh-CN"/>
        </w:rPr>
      </w:pPr>
      <w:r>
        <w:rPr>
          <w:rFonts w:hint="eastAsia" w:ascii="仿宋_GB2312" w:hAnsi="仿宋_GB2312" w:cs="仿宋_GB2312"/>
          <w:b/>
          <w:bCs/>
          <w:highlight w:val="none"/>
          <w:lang w:val="en-US" w:eastAsia="zh-CN"/>
        </w:rPr>
        <w:t>3.多环节管控，提升全链条管理水平</w:t>
      </w:r>
    </w:p>
    <w:p>
      <w:pPr>
        <w:pStyle w:val="4"/>
        <w:spacing w:line="579" w:lineRule="exact"/>
        <w:ind w:firstLine="640"/>
        <w:rPr>
          <w:rFonts w:hint="eastAsia" w:ascii="仿宋_GB2312" w:hAnsi="仿宋_GB2312" w:cs="仿宋_GB2312"/>
          <w:szCs w:val="32"/>
          <w:highlight w:val="none"/>
          <w:lang w:val="en-US" w:eastAsia="zh-CN"/>
        </w:rPr>
      </w:pPr>
      <w:r>
        <w:rPr>
          <w:rFonts w:hint="eastAsia" w:ascii="仿宋_GB2312" w:hAnsi="仿宋_GB2312" w:cs="仿宋_GB2312"/>
          <w:b/>
          <w:bCs/>
          <w:szCs w:val="32"/>
          <w:highlight w:val="none"/>
          <w:lang w:val="en-US" w:eastAsia="zh-CN"/>
        </w:rPr>
        <w:t>一是出台各类强化管理文件。</w:t>
      </w:r>
      <w:r>
        <w:rPr>
          <w:rFonts w:hint="eastAsia" w:ascii="仿宋_GB2312" w:hAnsi="仿宋_GB2312" w:cs="仿宋_GB2312"/>
          <w:szCs w:val="32"/>
          <w:highlight w:val="none"/>
          <w:lang w:val="en-US" w:eastAsia="zh-CN"/>
        </w:rPr>
        <w:t>针对不同施工阶段、不同工艺及工法风险以及多发易发事故类型，进一步完善质量安全技术措施，先后出台关于加强岩溶地区、站后工程、门式起重机、流动式起重机等系列文件，提升施工质量安全管理水平。</w:t>
      </w:r>
      <w:r>
        <w:rPr>
          <w:rFonts w:hint="eastAsia" w:ascii="仿宋_GB2312" w:hAnsi="仿宋_GB2312" w:cs="仿宋_GB2312"/>
          <w:b/>
          <w:bCs/>
          <w:szCs w:val="32"/>
          <w:highlight w:val="none"/>
          <w:lang w:val="en-US" w:eastAsia="zh-CN"/>
        </w:rPr>
        <w:t>二是源头把控提高安全可靠度。</w:t>
      </w:r>
      <w:r>
        <w:rPr>
          <w:rFonts w:hint="eastAsia" w:ascii="仿宋_GB2312" w:hAnsi="仿宋_GB2312" w:cs="仿宋_GB2312"/>
          <w:szCs w:val="32"/>
          <w:highlight w:val="none"/>
          <w:lang w:val="en-US" w:eastAsia="zh-CN"/>
        </w:rPr>
        <w:t>加强设计源头管理，优化设计阶段工法选择，提高安全可靠度，明确深基坑工程第一道内支撑一律选用钢筋混凝土支撑，暗挖工程优先选用盾构掘进工法，具备条件的富水区域优先选用泥水平衡盾构机掘进工法，为施工质量安全管理工作提供技术支撑。</w:t>
      </w:r>
      <w:r>
        <w:rPr>
          <w:rFonts w:hint="eastAsia" w:ascii="仿宋_GB2312" w:hAnsi="仿宋_GB2312" w:cs="仿宋_GB2312"/>
          <w:b/>
          <w:bCs/>
          <w:szCs w:val="32"/>
          <w:highlight w:val="none"/>
          <w:lang w:val="en-US" w:eastAsia="zh-CN"/>
        </w:rPr>
        <w:t>三是加强全过程质量安全监督抽检。</w:t>
      </w:r>
      <w:r>
        <w:rPr>
          <w:rFonts w:hint="eastAsia" w:ascii="仿宋_GB2312" w:hAnsi="仿宋_GB2312" w:cs="仿宋_GB2312"/>
          <w:szCs w:val="32"/>
          <w:highlight w:val="none"/>
          <w:lang w:val="en-US" w:eastAsia="zh-CN"/>
        </w:rPr>
        <w:t>注重工程建设质量及安全防护用品的监督抽查，根据施工进度，委托市检测鉴定中心开展建筑材料及构配件、实体结构质量及安全防护用品抽检，高标准完成工程质量委托检测任务。</w:t>
      </w:r>
      <w:r>
        <w:rPr>
          <w:rFonts w:hint="eastAsia" w:ascii="仿宋_GB2312" w:hAnsi="仿宋_GB2312" w:cs="仿宋_GB2312"/>
          <w:b/>
          <w:bCs/>
          <w:szCs w:val="32"/>
          <w:highlight w:val="none"/>
          <w:lang w:val="en-US" w:eastAsia="zh-CN"/>
        </w:rPr>
        <w:t>四是加强重要环节、节点验收监督。</w:t>
      </w:r>
      <w:r>
        <w:rPr>
          <w:rFonts w:hint="eastAsia" w:ascii="仿宋_GB2312" w:hAnsi="仿宋_GB2312" w:cs="仿宋_GB2312"/>
          <w:szCs w:val="32"/>
          <w:highlight w:val="none"/>
          <w:lang w:val="en-US" w:eastAsia="zh-CN"/>
        </w:rPr>
        <w:t>重点对中间验收、竣工验收的组织形式及验收程序，工程建设验收标准执行等方面情况进行监督检查，先后组织并参与地铁20号线一期工程竣工验收监督、其他市政工程竣工验收监督20项。</w:t>
      </w:r>
    </w:p>
    <w:p>
      <w:pPr>
        <w:pStyle w:val="4"/>
        <w:spacing w:line="579" w:lineRule="exact"/>
        <w:ind w:firstLine="643"/>
        <w:outlineLvl w:val="2"/>
        <w:rPr>
          <w:rFonts w:hint="eastAsia" w:ascii="仿宋_GB2312" w:hAnsi="仿宋_GB2312" w:cs="仿宋_GB2312"/>
          <w:b/>
          <w:bCs/>
          <w:highlight w:val="none"/>
          <w:lang w:val="en-US" w:eastAsia="zh-CN"/>
        </w:rPr>
      </w:pPr>
      <w:r>
        <w:rPr>
          <w:rFonts w:hint="eastAsia" w:ascii="仿宋_GB2312" w:hAnsi="仿宋_GB2312" w:cs="仿宋_GB2312"/>
          <w:b/>
          <w:bCs/>
          <w:highlight w:val="none"/>
          <w:lang w:val="en-US" w:eastAsia="zh-CN"/>
        </w:rPr>
        <w:t>4.多层级覆盖，强化教育培训工作</w:t>
      </w:r>
    </w:p>
    <w:p>
      <w:pPr>
        <w:pStyle w:val="4"/>
        <w:spacing w:line="579" w:lineRule="exact"/>
        <w:ind w:firstLine="640"/>
        <w:rPr>
          <w:rFonts w:hint="eastAsia" w:ascii="仿宋_GB2312" w:hAnsi="仿宋_GB2312" w:cs="仿宋_GB2312"/>
          <w:szCs w:val="32"/>
          <w:highlight w:val="none"/>
          <w:lang w:val="en-US" w:eastAsia="zh-CN"/>
        </w:rPr>
      </w:pPr>
      <w:r>
        <w:rPr>
          <w:rFonts w:hint="eastAsia" w:ascii="仿宋_GB2312" w:hAnsi="仿宋_GB2312" w:cs="仿宋_GB2312"/>
          <w:b/>
          <w:bCs/>
          <w:szCs w:val="32"/>
          <w:highlight w:val="none"/>
          <w:lang w:val="en-US" w:eastAsia="zh-CN"/>
        </w:rPr>
        <w:t>一是严格落实参建人员全员培训。</w:t>
      </w:r>
      <w:r>
        <w:rPr>
          <w:rFonts w:hint="eastAsia" w:ascii="仿宋_GB2312" w:hAnsi="仿宋_GB2312" w:cs="仿宋_GB2312"/>
          <w:szCs w:val="32"/>
          <w:highlight w:val="none"/>
          <w:lang w:val="en-US" w:eastAsia="zh-CN"/>
        </w:rPr>
        <w:t>针对新开工工地，督促总包单位按要求组织工人到训练基地参加入门级培训，未经培训考核合格的工人，一律不得进入施工现场从事施工作业。针对事故工程，重点核查施工单位组织工人全员参加训练基地“回炉”培训情况。</w:t>
      </w:r>
      <w:r>
        <w:rPr>
          <w:rFonts w:hint="eastAsia" w:ascii="仿宋_GB2312" w:hAnsi="仿宋_GB2312" w:cs="仿宋_GB2312"/>
          <w:b/>
          <w:bCs/>
          <w:szCs w:val="32"/>
          <w:highlight w:val="none"/>
          <w:lang w:val="en-US" w:eastAsia="zh-CN"/>
        </w:rPr>
        <w:t>二是加强项目管理人员教育培训。</w:t>
      </w:r>
      <w:r>
        <w:rPr>
          <w:rFonts w:hint="eastAsia" w:ascii="仿宋_GB2312" w:hAnsi="仿宋_GB2312" w:cs="仿宋_GB2312"/>
          <w:szCs w:val="32"/>
          <w:highlight w:val="none"/>
          <w:lang w:val="en-US" w:eastAsia="zh-CN"/>
        </w:rPr>
        <w:t>以“安全生产月”“质量月”活动为契机，针对一线管理人员，举办《岩溶地区地质勘察分析管控要点》《深基坑及土方开挖监督要点》等系列讲座和建设工程塌陷防治技术网络直播答疑活动，提升现场管理水平。</w:t>
      </w:r>
      <w:r>
        <w:rPr>
          <w:rFonts w:hint="eastAsia" w:ascii="仿宋_GB2312" w:hAnsi="仿宋_GB2312" w:cs="仿宋_GB2312"/>
          <w:b/>
          <w:bCs/>
          <w:szCs w:val="32"/>
          <w:highlight w:val="none"/>
          <w:lang w:val="en-US" w:eastAsia="zh-CN"/>
        </w:rPr>
        <w:t>三是加强一线作业人员教育培训。</w:t>
      </w:r>
      <w:r>
        <w:rPr>
          <w:rFonts w:hint="eastAsia" w:ascii="仿宋_GB2312" w:hAnsi="仿宋_GB2312" w:cs="仿宋_GB2312"/>
          <w:szCs w:val="32"/>
          <w:highlight w:val="none"/>
          <w:lang w:val="en-US" w:eastAsia="zh-CN"/>
        </w:rPr>
        <w:t>针对在监工程一线作业人员，开展“安全大讲堂”教育培训活动，联合深圳地铁集团、各大央企，开展挖掘机司机、电工、电焊工、起重司机、信号司索工等安全教育培训活动。累计发放安全宣传资料3660余册，活动场次34期，讲座、答疑、培训人员9.2余万人次。</w:t>
      </w:r>
      <w:r>
        <w:rPr>
          <w:rFonts w:hint="eastAsia" w:ascii="仿宋_GB2312" w:hAnsi="仿宋_GB2312" w:cs="仿宋_GB2312"/>
          <w:b/>
          <w:bCs/>
          <w:szCs w:val="32"/>
          <w:highlight w:val="none"/>
          <w:lang w:val="en-US" w:eastAsia="zh-CN"/>
        </w:rPr>
        <w:t>四是制作工地事故警示教育视频。</w:t>
      </w:r>
      <w:r>
        <w:rPr>
          <w:rFonts w:hint="eastAsia" w:ascii="仿宋_GB2312" w:hAnsi="仿宋_GB2312" w:cs="仿宋_GB2312"/>
          <w:szCs w:val="32"/>
          <w:highlight w:val="none"/>
          <w:lang w:val="en-US" w:eastAsia="zh-CN"/>
        </w:rPr>
        <w:t>针对近年来全市房屋市政工程事故发生情况及事故原因分析，对容易造成群死群伤事故尤其是坍塌、起重伤害、车辆伤害、物体打击、有限空间等易发多发事故类型制作工地事故警示教育视频。</w:t>
      </w:r>
    </w:p>
    <w:p>
      <w:pPr>
        <w:pStyle w:val="5"/>
        <w:numPr>
          <w:ilvl w:val="1"/>
          <w:numId w:val="0"/>
        </w:numPr>
        <w:spacing w:before="0" w:after="0" w:line="579" w:lineRule="exact"/>
        <w:ind w:leftChars="200"/>
        <w:rPr>
          <w:rFonts w:hint="eastAsia" w:ascii="楷体_GB2312" w:hAnsi="楷体_GB2312" w:eastAsia="楷体_GB2312" w:cs="楷体_GB2312"/>
          <w:b w:val="0"/>
          <w:bCs w:val="0"/>
          <w:highlight w:val="none"/>
          <w:lang w:val="en-US" w:eastAsia="zh-CN"/>
        </w:rPr>
      </w:pPr>
      <w:bookmarkStart w:id="25" w:name="_Toc5345"/>
      <w:r>
        <w:rPr>
          <w:rFonts w:hint="eastAsia" w:ascii="楷体_GB2312" w:hAnsi="楷体_GB2312" w:eastAsia="楷体_GB2312" w:cs="楷体_GB2312"/>
          <w:b w:val="0"/>
          <w:bCs w:val="0"/>
          <w:highlight w:val="none"/>
          <w:lang w:val="en-US" w:eastAsia="zh-CN"/>
        </w:rPr>
        <w:t>（二）存在的问题及原因分析</w:t>
      </w:r>
      <w:bookmarkEnd w:id="25"/>
    </w:p>
    <w:p>
      <w:pPr>
        <w:pStyle w:val="4"/>
        <w:spacing w:line="579" w:lineRule="exact"/>
        <w:ind w:firstLine="643"/>
        <w:outlineLvl w:val="2"/>
        <w:rPr>
          <w:rFonts w:hint="default" w:ascii="仿宋_GB2312" w:hAnsi="仿宋_GB2312" w:cs="仿宋_GB2312"/>
          <w:b/>
          <w:bCs/>
          <w:highlight w:val="none"/>
          <w:lang w:val="en-US" w:eastAsia="zh-CN"/>
        </w:rPr>
      </w:pPr>
      <w:r>
        <w:rPr>
          <w:rFonts w:hint="eastAsia" w:ascii="仿宋_GB2312" w:hAnsi="仿宋_GB2312" w:cs="仿宋_GB2312"/>
          <w:b/>
          <w:bCs/>
          <w:highlight w:val="none"/>
          <w:lang w:val="en-US" w:eastAsia="zh-CN"/>
        </w:rPr>
        <w:t>1.部分指标值设置不够量化，无法衡量</w:t>
      </w:r>
    </w:p>
    <w:p>
      <w:pPr>
        <w:pStyle w:val="4"/>
        <w:spacing w:line="579" w:lineRule="exact"/>
        <w:ind w:firstLine="640"/>
        <w:rPr>
          <w:rFonts w:ascii="仿宋_GB2312" w:hAnsi="仿宋_GB2312" w:cs="仿宋_GB2312"/>
          <w:szCs w:val="32"/>
          <w:highlight w:val="none"/>
          <w:lang w:val="en-US"/>
        </w:rPr>
      </w:pPr>
      <w:r>
        <w:rPr>
          <w:rFonts w:hint="eastAsia" w:ascii="仿宋_GB2312" w:hAnsi="仿宋_GB2312" w:cs="仿宋_GB2312"/>
          <w:szCs w:val="32"/>
          <w:highlight w:val="none"/>
          <w:lang w:val="en-US"/>
        </w:rPr>
        <w:t>根据</w:t>
      </w:r>
      <w:r>
        <w:rPr>
          <w:rFonts w:hint="eastAsia" w:ascii="仿宋_GB2312" w:hAnsi="仿宋_GB2312" w:cs="仿宋_GB2312"/>
          <w:szCs w:val="32"/>
          <w:highlight w:val="none"/>
          <w:lang w:val="en-US" w:eastAsia="zh-CN"/>
        </w:rPr>
        <w:t>绩效目标表</w:t>
      </w:r>
      <w:r>
        <w:rPr>
          <w:rFonts w:hint="eastAsia" w:ascii="仿宋_GB2312" w:hAnsi="仿宋_GB2312" w:cs="仿宋_GB2312"/>
          <w:szCs w:val="32"/>
          <w:highlight w:val="none"/>
          <w:lang w:val="en-US"/>
        </w:rPr>
        <w:t>，</w:t>
      </w:r>
      <w:r>
        <w:rPr>
          <w:rFonts w:hint="eastAsia" w:ascii="仿宋_GB2312" w:hAnsi="仿宋_GB2312" w:cs="仿宋_GB2312"/>
          <w:szCs w:val="32"/>
          <w:highlight w:val="none"/>
          <w:lang w:val="en-US" w:eastAsia="zh-CN"/>
        </w:rPr>
        <w:t>本项目</w:t>
      </w:r>
      <w:r>
        <w:rPr>
          <w:rFonts w:hint="eastAsia" w:ascii="仿宋_GB2312" w:hAnsi="仿宋_GB2312" w:cs="仿宋_GB2312"/>
          <w:szCs w:val="32"/>
          <w:highlight w:val="none"/>
          <w:lang w:val="en-US"/>
        </w:rPr>
        <w:t>社会效益指标</w:t>
      </w:r>
      <w:r>
        <w:rPr>
          <w:rFonts w:hint="eastAsia" w:ascii="仿宋_GB2312" w:hAnsi="仿宋_GB2312" w:cs="仿宋_GB2312"/>
          <w:szCs w:val="32"/>
          <w:highlight w:val="none"/>
          <w:lang w:val="en-US" w:eastAsia="zh-CN"/>
        </w:rPr>
        <w:t>均</w:t>
      </w:r>
      <w:r>
        <w:rPr>
          <w:rFonts w:hint="eastAsia" w:ascii="仿宋_GB2312" w:hAnsi="仿宋_GB2312" w:cs="仿宋_GB2312"/>
          <w:szCs w:val="32"/>
          <w:highlight w:val="none"/>
          <w:lang w:val="en-US"/>
        </w:rPr>
        <w:t>存在指标值设置不够清晰</w:t>
      </w:r>
      <w:r>
        <w:rPr>
          <w:rFonts w:hint="eastAsia" w:ascii="仿宋_GB2312" w:hAnsi="仿宋_GB2312" w:cs="仿宋_GB2312"/>
          <w:szCs w:val="32"/>
          <w:highlight w:val="none"/>
          <w:lang w:val="en-US" w:eastAsia="zh-CN"/>
        </w:rPr>
        <w:t>、无法量化</w:t>
      </w:r>
      <w:r>
        <w:rPr>
          <w:rFonts w:hint="eastAsia" w:ascii="仿宋_GB2312" w:hAnsi="仿宋_GB2312" w:cs="仿宋_GB2312"/>
          <w:szCs w:val="32"/>
          <w:highlight w:val="none"/>
          <w:lang w:val="en-US"/>
        </w:rPr>
        <w:t>的问题，如“有效推动”“有效督促”“有效提高”</w:t>
      </w:r>
      <w:r>
        <w:rPr>
          <w:rFonts w:hint="eastAsia" w:ascii="仿宋_GB2312" w:hAnsi="仿宋_GB2312" w:cs="仿宋_GB2312"/>
          <w:szCs w:val="32"/>
          <w:highlight w:val="none"/>
          <w:lang w:val="en-US" w:eastAsia="zh-CN"/>
        </w:rPr>
        <w:t>“有效预防”</w:t>
      </w:r>
      <w:r>
        <w:rPr>
          <w:rFonts w:hint="eastAsia" w:ascii="仿宋_GB2312" w:hAnsi="仿宋_GB2312" w:cs="仿宋_GB2312"/>
          <w:szCs w:val="32"/>
          <w:highlight w:val="none"/>
          <w:lang w:val="en-US"/>
        </w:rPr>
        <w:t>等。通过概括性词语设置指标值，导致指标值不可衡量，无法</w:t>
      </w:r>
      <w:r>
        <w:rPr>
          <w:rFonts w:hint="eastAsia" w:ascii="仿宋_GB2312" w:hAnsi="仿宋_GB2312" w:cs="仿宋_GB2312"/>
          <w:szCs w:val="32"/>
          <w:highlight w:val="none"/>
          <w:lang w:val="en-US" w:eastAsia="zh-CN"/>
        </w:rPr>
        <w:t>明确</w:t>
      </w:r>
      <w:r>
        <w:rPr>
          <w:rFonts w:hint="eastAsia" w:ascii="仿宋_GB2312" w:hAnsi="仿宋_GB2312" w:cs="仿宋_GB2312"/>
          <w:szCs w:val="32"/>
          <w:highlight w:val="none"/>
          <w:lang w:val="en-US"/>
        </w:rPr>
        <w:t>考核。同时，对指标的深入性考核无法实现。</w:t>
      </w:r>
    </w:p>
    <w:p>
      <w:pPr>
        <w:pStyle w:val="4"/>
        <w:spacing w:line="579" w:lineRule="exact"/>
        <w:ind w:firstLine="643"/>
        <w:outlineLvl w:val="2"/>
        <w:rPr>
          <w:rFonts w:hint="default" w:ascii="仿宋_GB2312" w:hAnsi="仿宋_GB2312" w:cs="仿宋_GB2312"/>
          <w:b/>
          <w:bCs/>
          <w:highlight w:val="none"/>
          <w:lang w:val="en-US" w:eastAsia="zh-CN"/>
        </w:rPr>
      </w:pPr>
      <w:r>
        <w:rPr>
          <w:rFonts w:hint="eastAsia" w:ascii="仿宋_GB2312" w:hAnsi="仿宋_GB2312" w:cs="仿宋_GB2312"/>
          <w:b/>
          <w:bCs/>
          <w:highlight w:val="none"/>
          <w:lang w:val="en-US" w:eastAsia="zh-CN"/>
        </w:rPr>
        <w:t>2.个别二级项目招标文件和合同的支付条款不一致</w:t>
      </w:r>
    </w:p>
    <w:p>
      <w:pPr>
        <w:pStyle w:val="4"/>
        <w:spacing w:line="579" w:lineRule="exact"/>
        <w:ind w:firstLine="640"/>
        <w:rPr>
          <w:rFonts w:hint="eastAsia" w:ascii="仿宋_GB2312" w:hAnsi="仿宋_GB2312" w:eastAsia="仿宋_GB2312" w:cs="仿宋_GB2312"/>
          <w:szCs w:val="32"/>
          <w:highlight w:val="none"/>
          <w:lang w:val="en-US" w:eastAsia="zh-CN"/>
        </w:rPr>
      </w:pPr>
      <w:r>
        <w:rPr>
          <w:rFonts w:hint="eastAsia" w:ascii="仿宋_GB2312" w:hAnsi="仿宋_GB2312" w:cs="仿宋_GB2312"/>
          <w:szCs w:val="32"/>
          <w:highlight w:val="none"/>
          <w:lang w:val="en-US" w:eastAsia="zh-CN"/>
        </w:rPr>
        <w:t>本项目所包含的二级项目中，有个别项目存在招标文件中的部分支付条款与合同约定支付条款不一致，项目执行时产生偏差</w:t>
      </w:r>
      <w:r>
        <w:rPr>
          <w:rFonts w:hint="eastAsia" w:ascii="仿宋_GB2312" w:hAnsi="仿宋_GB2312" w:cs="仿宋_GB2312"/>
          <w:highlight w:val="none"/>
          <w:lang w:val="en-US" w:eastAsia="zh-CN"/>
        </w:rPr>
        <w:t>。</w:t>
      </w:r>
    </w:p>
    <w:p>
      <w:pPr>
        <w:pStyle w:val="3"/>
        <w:spacing w:before="0" w:after="0" w:line="579" w:lineRule="exact"/>
        <w:ind w:firstLine="640"/>
        <w:rPr>
          <w:highlight w:val="none"/>
        </w:rPr>
      </w:pPr>
      <w:bookmarkStart w:id="26" w:name="_Toc64647758"/>
      <w:bookmarkStart w:id="27" w:name="_Toc4410"/>
      <w:r>
        <w:rPr>
          <w:rFonts w:hint="eastAsia"/>
          <w:highlight w:val="none"/>
          <w:lang w:val="en-US"/>
        </w:rPr>
        <w:t>有关</w:t>
      </w:r>
      <w:r>
        <w:rPr>
          <w:rFonts w:hint="eastAsia"/>
          <w:highlight w:val="none"/>
        </w:rPr>
        <w:t>建议</w:t>
      </w:r>
      <w:bookmarkEnd w:id="26"/>
      <w:bookmarkEnd w:id="27"/>
    </w:p>
    <w:p>
      <w:pPr>
        <w:pStyle w:val="5"/>
        <w:numPr>
          <w:ilvl w:val="1"/>
          <w:numId w:val="0"/>
        </w:numPr>
        <w:spacing w:before="0" w:after="0" w:line="579" w:lineRule="exact"/>
        <w:ind w:leftChars="200"/>
        <w:rPr>
          <w:rFonts w:ascii="楷体_GB2312" w:hAnsi="楷体_GB2312" w:eastAsia="楷体_GB2312" w:cs="楷体_GB2312"/>
          <w:b w:val="0"/>
          <w:bCs w:val="0"/>
          <w:highlight w:val="none"/>
          <w:lang w:val="en-US"/>
        </w:rPr>
      </w:pPr>
      <w:bookmarkStart w:id="28" w:name="_Toc26850"/>
      <w:r>
        <w:rPr>
          <w:rFonts w:hint="eastAsia" w:ascii="楷体_GB2312" w:hAnsi="楷体_GB2312" w:eastAsia="楷体_GB2312" w:cs="楷体_GB2312"/>
          <w:b w:val="0"/>
          <w:bCs w:val="0"/>
          <w:highlight w:val="none"/>
          <w:lang w:val="en-US" w:eastAsia="zh-CN"/>
        </w:rPr>
        <w:t>（一）深入考量</w:t>
      </w:r>
      <w:r>
        <w:rPr>
          <w:rFonts w:hint="eastAsia" w:ascii="楷体_GB2312" w:hAnsi="楷体_GB2312" w:eastAsia="楷体_GB2312" w:cs="楷体_GB2312"/>
          <w:b w:val="0"/>
          <w:bCs w:val="0"/>
          <w:highlight w:val="none"/>
          <w:lang w:val="en-US"/>
        </w:rPr>
        <w:t>指标值</w:t>
      </w:r>
      <w:r>
        <w:rPr>
          <w:rFonts w:hint="eastAsia" w:ascii="楷体_GB2312" w:hAnsi="楷体_GB2312" w:eastAsia="楷体_GB2312" w:cs="楷体_GB2312"/>
          <w:b w:val="0"/>
          <w:bCs w:val="0"/>
          <w:highlight w:val="none"/>
          <w:lang w:val="en-US" w:eastAsia="zh-CN"/>
        </w:rPr>
        <w:t>设置</w:t>
      </w:r>
      <w:r>
        <w:rPr>
          <w:rFonts w:hint="eastAsia" w:ascii="楷体_GB2312" w:hAnsi="楷体_GB2312" w:eastAsia="楷体_GB2312" w:cs="楷体_GB2312"/>
          <w:b w:val="0"/>
          <w:bCs w:val="0"/>
          <w:highlight w:val="none"/>
          <w:lang w:val="en-US"/>
        </w:rPr>
        <w:t>，提高</w:t>
      </w:r>
      <w:bookmarkEnd w:id="28"/>
      <w:r>
        <w:rPr>
          <w:rFonts w:hint="eastAsia" w:ascii="楷体_GB2312" w:hAnsi="楷体_GB2312" w:eastAsia="楷体_GB2312" w:cs="楷体_GB2312"/>
          <w:b w:val="0"/>
          <w:bCs w:val="0"/>
          <w:highlight w:val="none"/>
          <w:lang w:val="en-US" w:eastAsia="zh-CN"/>
        </w:rPr>
        <w:t>目标值可衡量性</w:t>
      </w:r>
    </w:p>
    <w:p>
      <w:pPr>
        <w:pStyle w:val="4"/>
        <w:spacing w:line="579" w:lineRule="exact"/>
        <w:ind w:firstLine="640"/>
        <w:rPr>
          <w:rFonts w:ascii="仿宋_GB2312" w:hAnsi="宋体" w:cs="宋体"/>
          <w:color w:val="000000" w:themeColor="text1"/>
          <w:szCs w:val="32"/>
          <w:highlight w:val="none"/>
          <w:lang w:val="en-US"/>
          <w14:textFill>
            <w14:solidFill>
              <w14:schemeClr w14:val="tx1"/>
            </w14:solidFill>
          </w14:textFill>
        </w:rPr>
      </w:pPr>
      <w:r>
        <w:rPr>
          <w:rFonts w:hint="eastAsia" w:ascii="仿宋_GB2312" w:hAnsi="宋体" w:cs="宋体"/>
          <w:color w:val="000000" w:themeColor="text1"/>
          <w:szCs w:val="32"/>
          <w:highlight w:val="none"/>
          <w:lang w:val="en-US"/>
          <w14:textFill>
            <w14:solidFill>
              <w14:schemeClr w14:val="tx1"/>
            </w14:solidFill>
          </w14:textFill>
        </w:rPr>
        <w:t>根据《深圳市本级预算绩效目标管理工作规程》（深财绩〔2020〕13号）规定，绩效目标需符合“细化量化”要求，“尽量进行定量表述”。以社会效益指标“通过建筑工程施工安全风险管控，预防重特大事故发生”为例，</w:t>
      </w:r>
      <w:r>
        <w:rPr>
          <w:rFonts w:hint="eastAsia" w:ascii="仿宋_GB2312" w:hAnsi="宋体" w:cs="宋体"/>
          <w:color w:val="000000" w:themeColor="text1"/>
          <w:szCs w:val="32"/>
          <w:highlight w:val="none"/>
          <w:lang w:val="en-US" w:eastAsia="zh-CN"/>
          <w14:textFill>
            <w14:solidFill>
              <w14:schemeClr w14:val="tx1"/>
            </w14:solidFill>
          </w14:textFill>
        </w:rPr>
        <w:t>其</w:t>
      </w:r>
      <w:r>
        <w:rPr>
          <w:rFonts w:hint="eastAsia" w:ascii="仿宋_GB2312" w:hAnsi="宋体" w:cs="宋体"/>
          <w:color w:val="000000" w:themeColor="text1"/>
          <w:szCs w:val="32"/>
          <w:highlight w:val="none"/>
          <w:lang w:val="en-US"/>
          <w14:textFill>
            <w14:solidFill>
              <w14:schemeClr w14:val="tx1"/>
            </w14:solidFill>
          </w14:textFill>
        </w:rPr>
        <w:t>指标值设置为“</w:t>
      </w:r>
      <w:r>
        <w:rPr>
          <w:rFonts w:hint="eastAsia" w:ascii="仿宋_GB2312" w:hAnsi="宋体" w:cs="宋体"/>
          <w:color w:val="000000" w:themeColor="text1"/>
          <w:szCs w:val="32"/>
          <w:highlight w:val="none"/>
          <w:lang w:val="en-US" w:eastAsia="zh-CN"/>
          <w14:textFill>
            <w14:solidFill>
              <w14:schemeClr w14:val="tx1"/>
            </w14:solidFill>
          </w14:textFill>
        </w:rPr>
        <w:t>零发生</w:t>
      </w:r>
      <w:r>
        <w:rPr>
          <w:rFonts w:hint="eastAsia" w:ascii="仿宋_GB2312" w:hAnsi="宋体" w:cs="宋体"/>
          <w:color w:val="000000" w:themeColor="text1"/>
          <w:szCs w:val="32"/>
          <w:highlight w:val="none"/>
          <w:lang w:val="en-US"/>
          <w14:textFill>
            <w14:solidFill>
              <w14:schemeClr w14:val="tx1"/>
            </w14:solidFill>
          </w14:textFill>
        </w:rPr>
        <w:t>”。设定标准可以采用行业标准、历史标准、计划标准等。通过细化量化指标值，提高目标明确性和考核深入性。</w:t>
      </w:r>
    </w:p>
    <w:p>
      <w:pPr>
        <w:pStyle w:val="5"/>
        <w:numPr>
          <w:ilvl w:val="1"/>
          <w:numId w:val="0"/>
        </w:numPr>
        <w:spacing w:before="0" w:after="0" w:line="579" w:lineRule="exact"/>
        <w:ind w:leftChars="200"/>
        <w:rPr>
          <w:rFonts w:ascii="楷体_GB2312" w:hAnsi="楷体_GB2312" w:eastAsia="楷体_GB2312" w:cs="楷体_GB2312"/>
          <w:b w:val="0"/>
          <w:bCs w:val="0"/>
          <w:highlight w:val="none"/>
          <w:lang w:val="en-US"/>
        </w:rPr>
      </w:pPr>
      <w:r>
        <w:rPr>
          <w:rFonts w:hint="eastAsia" w:ascii="楷体_GB2312" w:hAnsi="楷体_GB2312" w:eastAsia="楷体_GB2312" w:cs="楷体_GB2312"/>
          <w:b w:val="0"/>
          <w:bCs w:val="0"/>
          <w:highlight w:val="none"/>
          <w:lang w:val="en-US" w:eastAsia="zh-CN"/>
        </w:rPr>
        <w:t>（二）加强项目招投标流程管理</w:t>
      </w:r>
    </w:p>
    <w:p>
      <w:pPr>
        <w:pStyle w:val="4"/>
        <w:ind w:firstLine="640"/>
        <w:rPr>
          <w:rFonts w:hint="eastAsia" w:ascii="仿宋_GB2312" w:hAnsi="仿宋_GB2312" w:cs="仿宋_GB2312"/>
          <w:color w:val="000000" w:themeColor="text1"/>
          <w:szCs w:val="32"/>
          <w:highlight w:val="none"/>
          <w14:textFill>
            <w14:solidFill>
              <w14:schemeClr w14:val="tx1"/>
            </w14:solidFill>
          </w14:textFill>
        </w:rPr>
      </w:pPr>
      <w:r>
        <w:rPr>
          <w:rFonts w:hint="eastAsia" w:ascii="仿宋_GB2312" w:hAnsi="仿宋_GB2312" w:cs="仿宋_GB2312"/>
          <w:color w:val="000000" w:themeColor="text1"/>
          <w:szCs w:val="32"/>
          <w:highlight w:val="none"/>
          <w:lang w:val="en-US" w:eastAsia="zh-CN"/>
          <w14:textFill>
            <w14:solidFill>
              <w14:schemeClr w14:val="tx1"/>
            </w14:solidFill>
          </w14:textFill>
        </w:rPr>
        <w:t>在项目进行招投标时，结合项目实际，加强规范招标文件审核流程，并在签订项目合同时，保持项目实施过程中各类文件各项条款前后一致，同时，督促各业务部门相关工作人员认真执行</w:t>
      </w:r>
      <w:r>
        <w:rPr>
          <w:rFonts w:hint="eastAsia" w:ascii="仿宋_GB2312" w:hAnsi="仿宋_GB2312" w:cs="仿宋_GB2312"/>
          <w:color w:val="000000" w:themeColor="text1"/>
          <w:szCs w:val="32"/>
          <w:highlight w:val="none"/>
          <w14:textFill>
            <w14:solidFill>
              <w14:schemeClr w14:val="tx1"/>
            </w14:solidFill>
          </w14:textFill>
        </w:rPr>
        <w:t>。</w:t>
      </w:r>
    </w:p>
    <w:p>
      <w:pPr>
        <w:pStyle w:val="3"/>
        <w:spacing w:before="0" w:after="0" w:line="579" w:lineRule="exact"/>
        <w:ind w:firstLine="640"/>
        <w:rPr>
          <w:rFonts w:hint="eastAsia" w:ascii="Times New Roman" w:hAnsi="Times New Roman" w:cs="Times New Roman"/>
          <w:szCs w:val="32"/>
          <w:highlight w:val="none"/>
          <w:lang w:val="en-US"/>
        </w:rPr>
      </w:pPr>
      <w:bookmarkStart w:id="29" w:name="_Toc1984"/>
      <w:r>
        <w:rPr>
          <w:rFonts w:hint="eastAsia" w:ascii="Times New Roman" w:hAnsi="Times New Roman" w:cs="Times New Roman"/>
          <w:szCs w:val="32"/>
          <w:highlight w:val="none"/>
          <w:lang w:val="en-US" w:eastAsia="zh-CN"/>
        </w:rPr>
        <w:t>其他需要说明的问题</w:t>
      </w:r>
      <w:bookmarkEnd w:id="29"/>
    </w:p>
    <w:p>
      <w:pPr>
        <w:pStyle w:val="4"/>
        <w:rPr>
          <w:rFonts w:hint="eastAsia" w:ascii="Times New Roman" w:hAnsi="Times New Roman" w:cs="Times New Roman"/>
          <w:szCs w:val="32"/>
          <w:highlight w:val="none"/>
          <w:lang w:val="en-US" w:eastAsia="zh-CN"/>
        </w:rPr>
      </w:pPr>
      <w:r>
        <w:rPr>
          <w:rFonts w:hint="eastAsia" w:ascii="Times New Roman" w:hAnsi="Times New Roman" w:cs="Times New Roman"/>
          <w:szCs w:val="32"/>
          <w:highlight w:val="none"/>
          <w:lang w:val="en-US" w:eastAsia="zh-CN"/>
        </w:rPr>
        <w:t>无。</w:t>
      </w:r>
    </w:p>
    <w:p>
      <w:pPr>
        <w:pStyle w:val="4"/>
        <w:rPr>
          <w:rFonts w:hint="eastAsia" w:ascii="Times New Roman" w:hAnsi="Times New Roman" w:cs="Times New Roman"/>
          <w:szCs w:val="32"/>
          <w:highlight w:val="yellow"/>
          <w:lang w:val="en-US" w:eastAsia="zh-CN"/>
        </w:rPr>
      </w:pPr>
    </w:p>
    <w:p>
      <w:pPr>
        <w:pStyle w:val="4"/>
        <w:keepNext w:val="0"/>
        <w:keepLines w:val="0"/>
        <w:pageBreakBefore w:val="0"/>
        <w:widowControl w:val="0"/>
        <w:kinsoku/>
        <w:wordWrap/>
        <w:overflowPunct/>
        <w:topLinePunct w:val="0"/>
        <w:autoSpaceDE/>
        <w:autoSpaceDN/>
        <w:bidi w:val="0"/>
        <w:adjustRightInd w:val="0"/>
        <w:snapToGrid w:val="0"/>
        <w:ind w:left="0" w:leftChars="0" w:firstLine="640" w:firstLineChars="200"/>
        <w:textAlignment w:val="auto"/>
        <w:rPr>
          <w:highlight w:val="yellow"/>
        </w:rPr>
      </w:pPr>
      <w:bookmarkStart w:id="30" w:name="_Toc22491"/>
      <w:r>
        <w:rPr>
          <w:rFonts w:hint="eastAsia" w:ascii="Times New Roman" w:hAnsi="Times New Roman" w:cs="Times New Roman"/>
          <w:szCs w:val="32"/>
          <w:highlight w:val="none"/>
          <w:lang w:val="en-US" w:eastAsia="zh-CN"/>
        </w:rPr>
        <w:t>附件</w:t>
      </w:r>
      <w:r>
        <w:rPr>
          <w:rFonts w:hint="eastAsia" w:ascii="仿宋_GB2312" w:hAnsi="仿宋_GB2312" w:eastAsia="仿宋_GB2312" w:cs="仿宋_GB2312"/>
          <w:szCs w:val="32"/>
          <w:highlight w:val="none"/>
          <w:lang w:val="en-US" w:eastAsia="zh-CN"/>
        </w:rPr>
        <w:t>1</w:t>
      </w:r>
      <w:bookmarkEnd w:id="30"/>
      <w:r>
        <w:rPr>
          <w:rFonts w:hint="eastAsia" w:ascii="仿宋_GB2312" w:hAnsi="仿宋_GB2312" w:cs="仿宋_GB2312"/>
          <w:szCs w:val="32"/>
          <w:highlight w:val="none"/>
          <w:lang w:val="en-US" w:eastAsia="zh-CN"/>
        </w:rPr>
        <w:t>：2021年度建设工程质量安全监督</w:t>
      </w:r>
      <w:r>
        <w:rPr>
          <w:rFonts w:hint="eastAsia" w:ascii="仿宋_GB2312" w:hAnsi="仿宋_GB2312" w:eastAsia="仿宋_GB2312" w:cs="仿宋_GB2312"/>
          <w:szCs w:val="32"/>
          <w:highlight w:val="none"/>
          <w:lang w:val="en-US" w:eastAsia="zh-CN"/>
        </w:rPr>
        <w:t>项目绩效评价指标评分表</w:t>
      </w:r>
    </w:p>
    <w:p>
      <w:pPr>
        <w:pStyle w:val="4"/>
        <w:ind w:firstLine="198" w:firstLineChars="62"/>
        <w:rPr>
          <w:highlight w:val="yellow"/>
        </w:rPr>
        <w:sectPr>
          <w:footerReference r:id="rId4" w:type="default"/>
          <w:footerReference r:id="rId5" w:type="even"/>
          <w:pgSz w:w="11906" w:h="16838"/>
          <w:pgMar w:top="1440" w:right="1800" w:bottom="1440" w:left="1800" w:header="964" w:footer="850" w:gutter="0"/>
          <w:pgBorders>
            <w:top w:val="none" w:sz="0" w:space="0"/>
            <w:left w:val="none" w:sz="0" w:space="0"/>
            <w:bottom w:val="none" w:sz="0" w:space="0"/>
            <w:right w:val="none" w:sz="0" w:space="0"/>
          </w:pgBorders>
          <w:pgNumType w:fmt="numberInDash" w:start="1"/>
          <w:cols w:space="425" w:num="1"/>
          <w:docGrid w:type="lines" w:linePitch="312" w:charSpace="0"/>
        </w:sectPr>
      </w:pPr>
    </w:p>
    <w:p>
      <w:pPr>
        <w:pStyle w:val="43"/>
        <w:numPr>
          <w:ilvl w:val="5"/>
          <w:numId w:val="0"/>
        </w:numPr>
        <w:spacing w:before="0" w:after="0"/>
        <w:ind w:leftChars="0"/>
        <w:rPr>
          <w:highlight w:val="none"/>
        </w:rPr>
      </w:pPr>
      <w:bookmarkStart w:id="31" w:name="_Toc64647762"/>
      <w:bookmarkStart w:id="32" w:name="_Toc1411"/>
      <w:r>
        <w:rPr>
          <w:rFonts w:hint="eastAsia" w:ascii="仿宋_GB2312" w:hAnsi="仿宋_GB2312" w:eastAsia="仿宋_GB2312" w:cs="仿宋_GB2312"/>
          <w:lang w:val="en-US" w:eastAsia="zh-CN"/>
        </w:rPr>
        <w:t>附件1</w:t>
      </w:r>
      <w:r>
        <w:rPr>
          <w:rFonts w:hint="eastAsia" w:ascii="仿宋_GB2312" w:hAnsi="仿宋_GB2312" w:eastAsia="仿宋_GB2312" w:cs="仿宋_GB2312"/>
        </w:rPr>
        <w:t>：</w:t>
      </w:r>
      <w:bookmarkEnd w:id="31"/>
      <w:bookmarkEnd w:id="32"/>
      <w:r>
        <w:rPr>
          <w:rFonts w:hint="eastAsia" w:ascii="仿宋_GB2312" w:hAnsi="仿宋_GB2312" w:eastAsia="仿宋_GB2312" w:cs="仿宋_GB2312"/>
          <w:highlight w:val="none"/>
        </w:rPr>
        <w:t>2021年度建设工程质量安全监督</w:t>
      </w:r>
      <w:r>
        <w:rPr>
          <w:rFonts w:hint="eastAsia" w:ascii="仿宋_GB2312" w:hAnsi="仿宋_GB2312" w:eastAsia="仿宋_GB2312" w:cs="仿宋_GB2312"/>
          <w:szCs w:val="32"/>
          <w:highlight w:val="none"/>
          <w:lang w:val="en-US" w:eastAsia="zh-CN"/>
        </w:rPr>
        <w:t>项目绩效评价指标评分表</w:t>
      </w:r>
    </w:p>
    <w:tbl>
      <w:tblPr>
        <w:tblStyle w:val="20"/>
        <w:tblW w:w="14168" w:type="dxa"/>
        <w:tblInd w:w="0" w:type="dxa"/>
        <w:shd w:val="clear" w:color="auto" w:fill="auto"/>
        <w:tblLayout w:type="fixed"/>
        <w:tblCellMar>
          <w:top w:w="0" w:type="dxa"/>
          <w:left w:w="108" w:type="dxa"/>
          <w:bottom w:w="0" w:type="dxa"/>
          <w:right w:w="108" w:type="dxa"/>
        </w:tblCellMar>
      </w:tblPr>
      <w:tblGrid>
        <w:gridCol w:w="804"/>
        <w:gridCol w:w="712"/>
        <w:gridCol w:w="828"/>
        <w:gridCol w:w="581"/>
        <w:gridCol w:w="4418"/>
        <w:gridCol w:w="3590"/>
        <w:gridCol w:w="2464"/>
        <w:gridCol w:w="771"/>
      </w:tblGrid>
      <w:tr>
        <w:tblPrEx>
          <w:shd w:val="clear" w:color="auto" w:fill="auto"/>
          <w:tblCellMar>
            <w:top w:w="0" w:type="dxa"/>
            <w:left w:w="108" w:type="dxa"/>
            <w:bottom w:w="0" w:type="dxa"/>
            <w:right w:w="108" w:type="dxa"/>
          </w:tblCellMar>
        </w:tblPrEx>
        <w:trPr>
          <w:trHeight w:val="300" w:hRule="atLeast"/>
          <w:tblHeader/>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b/>
                <w:bCs/>
                <w:color w:val="000000"/>
                <w:sz w:val="22"/>
                <w:szCs w:val="22"/>
              </w:rPr>
            </w:pPr>
            <w:r>
              <w:rPr>
                <w:rFonts w:hint="eastAsia" w:ascii="仿宋_GB2312" w:hAnsi="仿宋_GB2312" w:eastAsia="仿宋_GB2312" w:cs="仿宋_GB2312"/>
                <w:b/>
                <w:bCs/>
                <w:color w:val="000000"/>
                <w:kern w:val="0"/>
                <w:sz w:val="22"/>
                <w:szCs w:val="22"/>
                <w:lang w:bidi="ar"/>
              </w:rPr>
              <w:t>一级指标</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b/>
                <w:bCs/>
                <w:color w:val="000000"/>
                <w:sz w:val="22"/>
                <w:szCs w:val="22"/>
              </w:rPr>
            </w:pPr>
            <w:r>
              <w:rPr>
                <w:rFonts w:hint="eastAsia" w:ascii="仿宋_GB2312" w:hAnsi="仿宋_GB2312" w:eastAsia="仿宋_GB2312" w:cs="仿宋_GB2312"/>
                <w:b/>
                <w:bCs/>
                <w:color w:val="000000"/>
                <w:kern w:val="0"/>
                <w:sz w:val="22"/>
                <w:szCs w:val="22"/>
                <w:lang w:bidi="ar"/>
              </w:rPr>
              <w:t>二级指标</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b/>
                <w:bCs/>
                <w:color w:val="000000"/>
                <w:sz w:val="22"/>
                <w:szCs w:val="22"/>
              </w:rPr>
            </w:pPr>
            <w:r>
              <w:rPr>
                <w:rFonts w:hint="eastAsia" w:ascii="仿宋_GB2312" w:hAnsi="仿宋_GB2312" w:eastAsia="仿宋_GB2312" w:cs="仿宋_GB2312"/>
                <w:b/>
                <w:bCs/>
                <w:color w:val="000000"/>
                <w:kern w:val="0"/>
                <w:sz w:val="22"/>
                <w:szCs w:val="22"/>
                <w:lang w:bidi="ar"/>
              </w:rPr>
              <w:t>三级指标</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b/>
                <w:bCs/>
                <w:color w:val="000000"/>
                <w:sz w:val="22"/>
                <w:szCs w:val="22"/>
              </w:rPr>
            </w:pPr>
            <w:r>
              <w:rPr>
                <w:rFonts w:hint="eastAsia" w:ascii="仿宋_GB2312" w:hAnsi="仿宋_GB2312" w:eastAsia="仿宋_GB2312" w:cs="仿宋_GB2312"/>
                <w:b/>
                <w:bCs/>
                <w:color w:val="000000"/>
                <w:kern w:val="0"/>
                <w:sz w:val="22"/>
                <w:szCs w:val="22"/>
                <w:lang w:bidi="ar"/>
              </w:rPr>
              <w:t>分值</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b/>
                <w:bCs/>
                <w:color w:val="000000"/>
                <w:sz w:val="22"/>
                <w:szCs w:val="22"/>
              </w:rPr>
            </w:pPr>
            <w:r>
              <w:rPr>
                <w:rFonts w:hint="eastAsia" w:ascii="仿宋_GB2312" w:hAnsi="仿宋_GB2312" w:eastAsia="仿宋_GB2312" w:cs="仿宋_GB2312"/>
                <w:b/>
                <w:bCs/>
                <w:color w:val="000000"/>
                <w:kern w:val="0"/>
                <w:sz w:val="22"/>
                <w:szCs w:val="22"/>
                <w:lang w:bidi="ar"/>
              </w:rPr>
              <w:t>指标解释</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b/>
                <w:bCs/>
                <w:color w:val="000000"/>
                <w:sz w:val="22"/>
                <w:szCs w:val="22"/>
              </w:rPr>
            </w:pPr>
            <w:r>
              <w:rPr>
                <w:rFonts w:hint="eastAsia" w:ascii="仿宋_GB2312" w:hAnsi="仿宋_GB2312" w:eastAsia="仿宋_GB2312" w:cs="仿宋_GB2312"/>
                <w:b/>
                <w:bCs/>
                <w:color w:val="000000"/>
                <w:kern w:val="0"/>
                <w:sz w:val="22"/>
                <w:szCs w:val="22"/>
                <w:lang w:bidi="ar"/>
              </w:rPr>
              <w:t>指标说明</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b/>
                <w:bCs/>
                <w:color w:val="000000"/>
                <w:sz w:val="22"/>
                <w:szCs w:val="22"/>
              </w:rPr>
            </w:pPr>
            <w:r>
              <w:rPr>
                <w:rFonts w:hint="eastAsia" w:ascii="仿宋_GB2312" w:hAnsi="仿宋_GB2312" w:eastAsia="仿宋_GB2312" w:cs="仿宋_GB2312"/>
                <w:b/>
                <w:bCs/>
                <w:color w:val="000000"/>
                <w:kern w:val="0"/>
                <w:sz w:val="22"/>
                <w:szCs w:val="22"/>
                <w:lang w:bidi="ar"/>
              </w:rPr>
              <w:t>扣分点描述</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b/>
                <w:bCs/>
                <w:color w:val="000000"/>
                <w:sz w:val="22"/>
                <w:szCs w:val="22"/>
              </w:rPr>
            </w:pPr>
            <w:r>
              <w:rPr>
                <w:rFonts w:hint="eastAsia" w:ascii="仿宋_GB2312" w:hAnsi="仿宋_GB2312" w:eastAsia="仿宋_GB2312" w:cs="仿宋_GB2312"/>
                <w:b/>
                <w:bCs/>
                <w:color w:val="000000"/>
                <w:kern w:val="0"/>
                <w:sz w:val="22"/>
                <w:szCs w:val="22"/>
                <w:lang w:bidi="ar"/>
              </w:rPr>
              <w:t>评分</w:t>
            </w:r>
          </w:p>
        </w:tc>
      </w:tr>
      <w:tr>
        <w:tblPrEx>
          <w:shd w:val="clear" w:color="auto" w:fill="auto"/>
          <w:tblCellMar>
            <w:top w:w="0" w:type="dxa"/>
            <w:left w:w="108" w:type="dxa"/>
            <w:bottom w:w="0" w:type="dxa"/>
            <w:right w:w="108" w:type="dxa"/>
          </w:tblCellMar>
        </w:tblPrEx>
        <w:trPr>
          <w:trHeight w:val="1500" w:hRule="atLeast"/>
        </w:trPr>
        <w:tc>
          <w:tcPr>
            <w:tcW w:w="8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决策</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(20分)</w:t>
            </w:r>
          </w:p>
        </w:tc>
        <w:tc>
          <w:tcPr>
            <w:tcW w:w="7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项目立项</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(6分)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立项依据充分性</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3</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项目立项是否符合法律法规、相关政策、发展规划以及部门职责，用以反映和考核项目立项依据情况。</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①项目立项符合国家法律法规、国民经济发展规划和相关政策（1分）；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②项目立项符合行业发展规划和政策要求（1分）；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③项目立项与部门职责范围相符，属于部门履职所需（0.5分）；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④项目未与相关部门同类项目或部门内部相关项目重复（0.5分）。</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3</w:t>
            </w:r>
          </w:p>
        </w:tc>
      </w:tr>
      <w:tr>
        <w:tblPrEx>
          <w:shd w:val="clear" w:color="auto" w:fill="auto"/>
          <w:tblCellMar>
            <w:top w:w="0" w:type="dxa"/>
            <w:left w:w="108" w:type="dxa"/>
            <w:bottom w:w="0" w:type="dxa"/>
            <w:right w:w="108" w:type="dxa"/>
          </w:tblCellMar>
        </w:tblPrEx>
        <w:trPr>
          <w:trHeight w:val="1200"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立项程序规范性</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3</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项目申请、设立过程是否符合相关要求，用以反映和考核项目立项的规范情况。</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①项目按照规定的程序申请设立（1分）；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②审批文件、材料符合相关要求（1分）；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③事前已经过必要的可行性研究、专家论证、风险评估、绩效评估、集体决策（1分）。</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3</w:t>
            </w:r>
          </w:p>
        </w:tc>
      </w:tr>
      <w:tr>
        <w:tblPrEx>
          <w:shd w:val="clear" w:color="auto" w:fill="auto"/>
          <w:tblCellMar>
            <w:top w:w="0" w:type="dxa"/>
            <w:left w:w="108" w:type="dxa"/>
            <w:bottom w:w="0" w:type="dxa"/>
            <w:right w:w="108" w:type="dxa"/>
          </w:tblCellMar>
        </w:tblPrEx>
        <w:trPr>
          <w:trHeight w:val="1500"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7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绩效目标</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(8分)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绩效目标合理性</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4</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项目所设定的绩效目标是否依据充分，是否符合客观实际，用以反映和考核项目绩效目标与项目实施的相符情况。</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①项目有绩效目标(1分）；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②项目绩效目标与实际工作内容具有相关性(1分）；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③项目预期产出效益和效果符合正常的业绩水平(1分）；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④项目绩效目标与预算确定的项目投资额或资金量相匹配(1分）。</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4</w:t>
            </w:r>
          </w:p>
        </w:tc>
      </w:tr>
      <w:tr>
        <w:tblPrEx>
          <w:shd w:val="clear" w:color="auto" w:fill="auto"/>
          <w:tblCellMar>
            <w:top w:w="0" w:type="dxa"/>
            <w:left w:w="108" w:type="dxa"/>
            <w:bottom w:w="0" w:type="dxa"/>
            <w:right w:w="108" w:type="dxa"/>
          </w:tblCellMar>
        </w:tblPrEx>
        <w:trPr>
          <w:trHeight w:val="1500"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绩效指标明确性</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4</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依据绩效目标设定的绩效指标是否清晰、细化、可衡量等，用以反映和考核项目绩效目标的明细化情况。</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①将项目绩效目标细化分解为具体的绩效指标(1.5分）；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②项目绩效目标通过清晰、可衡量的指标值予以体现(1.5分）；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③项目绩效目标与项目目标任务数或计划数相对应(1分）。</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社会效益指标未通过可衡量的指标值予以体现，扣1分。</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3</w:t>
            </w:r>
          </w:p>
        </w:tc>
      </w:tr>
      <w:tr>
        <w:tblPrEx>
          <w:shd w:val="clear" w:color="auto" w:fill="auto"/>
          <w:tblCellMar>
            <w:top w:w="0" w:type="dxa"/>
            <w:left w:w="108" w:type="dxa"/>
            <w:bottom w:w="0" w:type="dxa"/>
            <w:right w:w="108" w:type="dxa"/>
          </w:tblCellMar>
        </w:tblPrEx>
        <w:trPr>
          <w:trHeight w:val="1800"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7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资金投入</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(6分)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预算编制科学性</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3</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项目预算编制是否经过科学论证、有明确标准，资金额度与年度目标是否相适应，用以反映和考核项目预算编制的科学性、合理性情况。</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①预算编制经过科学论证(1分）；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②预算内容与项目内容匹配(1分）；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③预算额度测算依据充分，按照标准编制(0.5分）；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④预算确定的项目投资额或资金量与工作任务相匹配(0.5分）。</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3</w:t>
            </w:r>
          </w:p>
        </w:tc>
      </w:tr>
      <w:tr>
        <w:tblPrEx>
          <w:shd w:val="clear" w:color="auto" w:fill="auto"/>
          <w:tblCellMar>
            <w:top w:w="0" w:type="dxa"/>
            <w:left w:w="108" w:type="dxa"/>
            <w:bottom w:w="0" w:type="dxa"/>
            <w:right w:w="108" w:type="dxa"/>
          </w:tblCellMar>
        </w:tblPrEx>
        <w:trPr>
          <w:trHeight w:val="1800"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资金分配合理性</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3</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项目预算资金分配是否有测算依据，与补助单位或地方实际是否相适应，用以反映和考核项目预算资金分配的科学性、合理性情况。</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①预算资金分配依据充分，体现厉行节约从严从紧安排的导向(1.5分）；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②资金分配额度合理，与项目单位或地方实际相适应(1.5分）。</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3</w:t>
            </w:r>
          </w:p>
        </w:tc>
      </w:tr>
      <w:tr>
        <w:tblPrEx>
          <w:shd w:val="clear" w:color="auto" w:fill="auto"/>
          <w:tblCellMar>
            <w:top w:w="0" w:type="dxa"/>
            <w:left w:w="108" w:type="dxa"/>
            <w:bottom w:w="0" w:type="dxa"/>
            <w:right w:w="108" w:type="dxa"/>
          </w:tblCellMar>
        </w:tblPrEx>
        <w:trPr>
          <w:trHeight w:val="1200" w:hRule="atLeast"/>
        </w:trPr>
        <w:tc>
          <w:tcPr>
            <w:tcW w:w="804" w:type="dxa"/>
            <w:vMerge w:val="restart"/>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过程</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（20分）</w:t>
            </w:r>
          </w:p>
        </w:tc>
        <w:tc>
          <w:tcPr>
            <w:tcW w:w="712" w:type="dxa"/>
            <w:vMerge w:val="restart"/>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资金管理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(12分)</w:t>
            </w:r>
          </w:p>
        </w:tc>
        <w:tc>
          <w:tcPr>
            <w:tcW w:w="828"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资金到位率</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4</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实际到位资金与预算资金的比率，用以反映和考核资金落实情况对项目实施的总体保障程度。</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指标得分=资金到位率×4分。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资金到位率=（实际到位资金/预算资金）×100%。</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实际到位资金：一定时期（本年度或项目期）内落实到具体项目的资金。</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预算资金：一定时期（本年度或项目期）内预算安排到具体项目的资金。</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4</w:t>
            </w:r>
          </w:p>
        </w:tc>
      </w:tr>
      <w:tr>
        <w:tblPrEx>
          <w:shd w:val="clear" w:color="auto" w:fill="auto"/>
          <w:tblCellMar>
            <w:top w:w="0" w:type="dxa"/>
            <w:left w:w="108" w:type="dxa"/>
            <w:bottom w:w="0" w:type="dxa"/>
            <w:right w:w="108" w:type="dxa"/>
          </w:tblCellMar>
        </w:tblPrEx>
        <w:trPr>
          <w:trHeight w:val="900" w:hRule="atLeast"/>
        </w:trPr>
        <w:tc>
          <w:tcPr>
            <w:tcW w:w="804"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712" w:type="dxa"/>
            <w:vMerge w:val="continue"/>
            <w:tcBorders>
              <w:top w:val="single" w:color="auto" w:sz="4" w:space="0"/>
              <w:left w:val="single" w:color="000000" w:sz="4" w:space="0"/>
              <w:bottom w:val="nil"/>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828"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预算执行率</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4</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项目预算资金是否按照计划执行，用以反映或考核项目预算执行情况。</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指标得分=预算执行率×4分。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预算执行率=（实际支出资金/实际到位资金）×100%。</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实际支出资金：一定时期（本年度或项目期）内项目实际拨付的资金。</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预算执行率为9</w:t>
            </w:r>
            <w:r>
              <w:rPr>
                <w:rFonts w:hint="eastAsia" w:ascii="仿宋_GB2312" w:hAnsi="仿宋_GB2312" w:eastAsia="仿宋_GB2312" w:cs="仿宋_GB2312"/>
                <w:color w:val="000000"/>
                <w:kern w:val="0"/>
                <w:sz w:val="22"/>
                <w:szCs w:val="22"/>
                <w:lang w:val="en-US" w:eastAsia="zh-CN" w:bidi="ar"/>
              </w:rPr>
              <w:t>7.8</w:t>
            </w:r>
            <w:r>
              <w:rPr>
                <w:rFonts w:hint="eastAsia" w:ascii="仿宋_GB2312" w:hAnsi="仿宋_GB2312" w:eastAsia="仿宋_GB2312" w:cs="仿宋_GB2312"/>
                <w:color w:val="000000"/>
                <w:kern w:val="0"/>
                <w:sz w:val="22"/>
                <w:szCs w:val="22"/>
                <w:lang w:bidi="ar"/>
              </w:rPr>
              <w:t>5%，扣0.0</w:t>
            </w:r>
            <w:r>
              <w:rPr>
                <w:rFonts w:hint="eastAsia" w:ascii="仿宋_GB2312" w:hAnsi="仿宋_GB2312" w:eastAsia="仿宋_GB2312" w:cs="仿宋_GB2312"/>
                <w:color w:val="000000"/>
                <w:kern w:val="0"/>
                <w:sz w:val="22"/>
                <w:szCs w:val="22"/>
                <w:lang w:val="en-US" w:eastAsia="zh-CN" w:bidi="ar"/>
              </w:rPr>
              <w:t>9</w:t>
            </w:r>
            <w:r>
              <w:rPr>
                <w:rFonts w:hint="eastAsia" w:ascii="仿宋_GB2312" w:hAnsi="仿宋_GB2312" w:eastAsia="仿宋_GB2312" w:cs="仿宋_GB2312"/>
                <w:color w:val="000000"/>
                <w:kern w:val="0"/>
                <w:sz w:val="22"/>
                <w:szCs w:val="22"/>
                <w:lang w:bidi="ar"/>
              </w:rPr>
              <w:t>分。</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000000"/>
                <w:sz w:val="22"/>
                <w:szCs w:val="22"/>
                <w:lang w:eastAsia="zh-CN"/>
              </w:rPr>
            </w:pPr>
            <w:r>
              <w:rPr>
                <w:rFonts w:hint="eastAsia" w:ascii="仿宋_GB2312" w:hAnsi="仿宋_GB2312" w:eastAsia="仿宋_GB2312" w:cs="仿宋_GB2312"/>
                <w:color w:val="000000"/>
                <w:kern w:val="0"/>
                <w:sz w:val="22"/>
                <w:szCs w:val="22"/>
                <w:lang w:bidi="ar"/>
              </w:rPr>
              <w:t>3.9</w:t>
            </w:r>
            <w:r>
              <w:rPr>
                <w:rFonts w:hint="eastAsia" w:ascii="仿宋_GB2312" w:hAnsi="仿宋_GB2312" w:eastAsia="仿宋_GB2312" w:cs="仿宋_GB2312"/>
                <w:color w:val="000000"/>
                <w:kern w:val="0"/>
                <w:sz w:val="22"/>
                <w:szCs w:val="22"/>
                <w:lang w:val="en-US" w:eastAsia="zh-CN" w:bidi="ar"/>
              </w:rPr>
              <w:t>1</w:t>
            </w:r>
          </w:p>
        </w:tc>
      </w:tr>
      <w:tr>
        <w:tblPrEx>
          <w:shd w:val="clear" w:color="auto" w:fill="auto"/>
          <w:tblCellMar>
            <w:top w:w="0" w:type="dxa"/>
            <w:left w:w="108" w:type="dxa"/>
            <w:bottom w:w="0" w:type="dxa"/>
            <w:right w:w="108" w:type="dxa"/>
          </w:tblCellMar>
        </w:tblPrEx>
        <w:trPr>
          <w:trHeight w:val="1700"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71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资金使用合规性</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4</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项目资金使用是否符合相关的财务管理制度规定，用以反映和考核项目资金的规范运行情况。</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①符合国家财经法规和财务管理制度以及有关专项资金管理规程的规定(1分）；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②资金的拨付有完整的审批程序和手续(1分）；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③符合项目预算批复或合同规定的用途(1分）；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④不存在截留、挤占、挪用、虚列支出等情况(1分）。</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4</w:t>
            </w:r>
          </w:p>
        </w:tc>
      </w:tr>
      <w:tr>
        <w:tblPrEx>
          <w:shd w:val="clear" w:color="auto" w:fill="auto"/>
          <w:tblCellMar>
            <w:top w:w="0" w:type="dxa"/>
            <w:left w:w="108" w:type="dxa"/>
            <w:bottom w:w="0" w:type="dxa"/>
            <w:right w:w="108" w:type="dxa"/>
          </w:tblCellMar>
        </w:tblPrEx>
        <w:trPr>
          <w:trHeight w:val="1500"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7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组织实施</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(8分)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管理制度健全性</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4</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项目实施单位的财务和业务管理制度是否健全，用以反映和考核财务和业务管理制度对项目顺利实施的保障情况。</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①已制定或具有相应的财务和业务管理制度(2分）；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②财务和业务管理制度合法、合规、完整(2分）。</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000000"/>
                <w:sz w:val="22"/>
                <w:szCs w:val="22"/>
                <w:lang w:eastAsia="zh-CN"/>
              </w:rPr>
            </w:pPr>
            <w:r>
              <w:rPr>
                <w:rFonts w:hint="eastAsia" w:ascii="仿宋_GB2312" w:hAnsi="仿宋_GB2312" w:eastAsia="仿宋_GB2312" w:cs="仿宋_GB2312"/>
                <w:color w:val="000000"/>
                <w:kern w:val="0"/>
                <w:sz w:val="22"/>
                <w:szCs w:val="22"/>
                <w:lang w:val="en-US" w:eastAsia="zh-CN" w:bidi="ar"/>
              </w:rPr>
              <w:t>-</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000000"/>
                <w:sz w:val="22"/>
                <w:szCs w:val="22"/>
                <w:lang w:eastAsia="zh-CN"/>
              </w:rPr>
            </w:pPr>
            <w:r>
              <w:rPr>
                <w:rFonts w:hint="eastAsia" w:ascii="仿宋_GB2312" w:hAnsi="仿宋_GB2312" w:eastAsia="仿宋_GB2312" w:cs="仿宋_GB2312"/>
                <w:color w:val="000000"/>
                <w:kern w:val="0"/>
                <w:sz w:val="22"/>
                <w:szCs w:val="22"/>
                <w:lang w:val="en-US" w:eastAsia="zh-CN" w:bidi="ar"/>
              </w:rPr>
              <w:t>4</w:t>
            </w:r>
          </w:p>
        </w:tc>
      </w:tr>
      <w:tr>
        <w:tblPrEx>
          <w:shd w:val="clear" w:color="auto" w:fill="auto"/>
          <w:tblCellMar>
            <w:top w:w="0" w:type="dxa"/>
            <w:left w:w="108" w:type="dxa"/>
            <w:bottom w:w="0" w:type="dxa"/>
            <w:right w:w="108" w:type="dxa"/>
          </w:tblCellMar>
        </w:tblPrEx>
        <w:trPr>
          <w:trHeight w:val="1340"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制度执行有效性</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4</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项目实施是否符合相关管理规定，用以反映和考核相关管理制度的有效执行情况。</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①遵守相关法律法规和相关管理规定(1分）；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②项目调整及支出调整手续完备(1分）；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③项目合同书、验收报告、技术鉴定等资料齐全并及时归档(1分）；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④项目实施的人员条件、场地设备、信息支撑等落实到位(1分）。</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4</w:t>
            </w:r>
          </w:p>
        </w:tc>
      </w:tr>
      <w:tr>
        <w:tblPrEx>
          <w:shd w:val="clear" w:color="auto" w:fill="auto"/>
          <w:tblCellMar>
            <w:top w:w="0" w:type="dxa"/>
            <w:left w:w="108" w:type="dxa"/>
            <w:bottom w:w="0" w:type="dxa"/>
            <w:right w:w="108" w:type="dxa"/>
          </w:tblCellMar>
        </w:tblPrEx>
        <w:trPr>
          <w:trHeight w:val="2660" w:hRule="atLeast"/>
        </w:trPr>
        <w:tc>
          <w:tcPr>
            <w:tcW w:w="8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产出</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(30分)</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产出数量</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(9分)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实际完成率</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9</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项目实施的实际产出数与计划产出数的比率，用以反映和考核项目产出数量目标的实现程度。</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bidi="ar"/>
              </w:rPr>
              <w:t>①完成《深圳市建筑施工专用机动车辆安全监督管理办法》编制工作（0.69分）；</w:t>
            </w:r>
          </w:p>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val="en-US" w:eastAsia="zh-CN" w:bidi="ar"/>
              </w:rPr>
              <w:t>②</w:t>
            </w:r>
            <w:r>
              <w:rPr>
                <w:rFonts w:hint="eastAsia" w:ascii="仿宋_GB2312" w:hAnsi="仿宋_GB2312" w:eastAsia="仿宋_GB2312" w:cs="仿宋_GB2312"/>
                <w:color w:val="000000"/>
                <w:kern w:val="0"/>
                <w:sz w:val="22"/>
                <w:szCs w:val="22"/>
                <w:lang w:bidi="ar"/>
              </w:rPr>
              <w:t>巡查全市在建工地次数（次）（0.69分）；</w:t>
            </w:r>
          </w:p>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val="en-US" w:eastAsia="zh-CN" w:bidi="ar"/>
              </w:rPr>
              <w:t>③</w:t>
            </w:r>
            <w:r>
              <w:rPr>
                <w:rFonts w:hint="eastAsia" w:ascii="仿宋_GB2312" w:hAnsi="仿宋_GB2312" w:eastAsia="仿宋_GB2312" w:cs="仿宋_GB2312"/>
                <w:color w:val="000000"/>
                <w:kern w:val="0"/>
                <w:sz w:val="22"/>
                <w:szCs w:val="22"/>
                <w:lang w:bidi="ar"/>
              </w:rPr>
              <w:t>在建项目进行安全巡查次（次）（0.69分）；</w:t>
            </w:r>
          </w:p>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val="en-US" w:eastAsia="zh-CN" w:bidi="ar"/>
              </w:rPr>
              <w:t>④</w:t>
            </w:r>
            <w:r>
              <w:rPr>
                <w:rFonts w:hint="eastAsia" w:ascii="仿宋_GB2312" w:hAnsi="仿宋_GB2312" w:eastAsia="仿宋_GB2312" w:cs="仿宋_GB2312"/>
                <w:color w:val="000000"/>
                <w:kern w:val="0"/>
                <w:sz w:val="22"/>
                <w:szCs w:val="22"/>
                <w:lang w:bidi="ar"/>
              </w:rPr>
              <w:t>抽检主要建筑材料组数量（组）（0.69分）；</w:t>
            </w:r>
          </w:p>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val="en-US" w:eastAsia="zh-CN" w:bidi="ar"/>
              </w:rPr>
              <w:t>⑤</w:t>
            </w:r>
            <w:r>
              <w:rPr>
                <w:rFonts w:hint="eastAsia" w:ascii="仿宋_GB2312" w:hAnsi="仿宋_GB2312" w:eastAsia="仿宋_GB2312" w:cs="仿宋_GB2312"/>
                <w:color w:val="000000"/>
                <w:kern w:val="0"/>
                <w:sz w:val="22"/>
                <w:szCs w:val="22"/>
                <w:lang w:bidi="ar"/>
              </w:rPr>
              <w:t>抽检工程结构实体组数量（组）（0.69分）；</w:t>
            </w:r>
          </w:p>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val="en-US" w:eastAsia="zh-CN" w:bidi="ar"/>
              </w:rPr>
              <w:t>⑥</w:t>
            </w:r>
            <w:r>
              <w:rPr>
                <w:rFonts w:hint="eastAsia" w:ascii="仿宋_GB2312" w:hAnsi="仿宋_GB2312" w:eastAsia="仿宋_GB2312" w:cs="仿宋_GB2312"/>
                <w:color w:val="000000"/>
                <w:kern w:val="0"/>
                <w:sz w:val="22"/>
                <w:szCs w:val="22"/>
                <w:lang w:bidi="ar"/>
              </w:rPr>
              <w:t>抽检工程桩基根数量（根）（0.69分）；</w:t>
            </w:r>
          </w:p>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val="en-US" w:eastAsia="zh-CN" w:bidi="ar"/>
              </w:rPr>
              <w:t>⑦</w:t>
            </w:r>
            <w:r>
              <w:rPr>
                <w:rFonts w:hint="eastAsia" w:ascii="仿宋_GB2312" w:hAnsi="仿宋_GB2312" w:eastAsia="仿宋_GB2312" w:cs="仿宋_GB2312"/>
                <w:color w:val="000000"/>
                <w:kern w:val="0"/>
                <w:sz w:val="22"/>
                <w:szCs w:val="22"/>
                <w:lang w:bidi="ar"/>
              </w:rPr>
              <w:t>抽检建筑起重机械实体数量（台）（0.69分）；</w:t>
            </w:r>
          </w:p>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val="en-US" w:eastAsia="zh-CN" w:bidi="ar"/>
              </w:rPr>
              <w:t>⑧</w:t>
            </w:r>
            <w:r>
              <w:rPr>
                <w:rFonts w:hint="eastAsia" w:ascii="仿宋_GB2312" w:hAnsi="仿宋_GB2312" w:eastAsia="仿宋_GB2312" w:cs="仿宋_GB2312"/>
                <w:color w:val="000000"/>
                <w:kern w:val="0"/>
                <w:sz w:val="22"/>
                <w:szCs w:val="22"/>
                <w:lang w:bidi="ar"/>
              </w:rPr>
              <w:t>深基坑、高边坡项目现场专项抽查次数（次）（0.69分）；</w:t>
            </w:r>
          </w:p>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val="en-US" w:eastAsia="zh-CN" w:bidi="ar"/>
              </w:rPr>
              <w:t>⑨</w:t>
            </w:r>
            <w:r>
              <w:rPr>
                <w:rFonts w:hint="eastAsia" w:ascii="仿宋_GB2312" w:hAnsi="仿宋_GB2312" w:eastAsia="仿宋_GB2312" w:cs="仿宋_GB2312"/>
                <w:color w:val="000000"/>
                <w:kern w:val="0"/>
                <w:sz w:val="22"/>
                <w:szCs w:val="22"/>
                <w:lang w:bidi="ar"/>
              </w:rPr>
              <w:t>平均每月专项巡查危大工程项次（次）（0.69分）；</w:t>
            </w:r>
          </w:p>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val="en-US" w:eastAsia="zh-CN" w:bidi="ar"/>
              </w:rPr>
              <w:t>⑩</w:t>
            </w:r>
            <w:r>
              <w:rPr>
                <w:rFonts w:hint="eastAsia" w:ascii="仿宋_GB2312" w:hAnsi="仿宋_GB2312" w:eastAsia="仿宋_GB2312" w:cs="仿宋_GB2312"/>
                <w:color w:val="000000"/>
                <w:kern w:val="0"/>
                <w:sz w:val="22"/>
                <w:szCs w:val="22"/>
                <w:lang w:bidi="ar"/>
              </w:rPr>
              <w:t>培训建筑特种作业人员数（人）（0.69分）；</w:t>
            </w:r>
          </w:p>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bidi="ar"/>
              </w:rPr>
              <w:t>⑪开展施工安全宣传培训教育次数（0.69分）；</w:t>
            </w:r>
          </w:p>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bidi="ar"/>
              </w:rPr>
              <w:t>⑫监督员平均每人每月巡查项目数（个）（0.69分）；</w:t>
            </w:r>
          </w:p>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⑬第三方出具市政工程质量安全巡查评估报告次数（次）（0.</w:t>
            </w:r>
            <w:r>
              <w:rPr>
                <w:rFonts w:hint="eastAsia" w:ascii="仿宋_GB2312" w:hAnsi="仿宋_GB2312" w:eastAsia="仿宋_GB2312" w:cs="仿宋_GB2312"/>
                <w:color w:val="000000"/>
                <w:kern w:val="0"/>
                <w:sz w:val="22"/>
                <w:szCs w:val="22"/>
                <w:lang w:val="en-US" w:eastAsia="zh-CN" w:bidi="ar"/>
              </w:rPr>
              <w:t>72</w:t>
            </w:r>
            <w:r>
              <w:rPr>
                <w:rFonts w:hint="eastAsia" w:ascii="仿宋_GB2312" w:hAnsi="仿宋_GB2312" w:eastAsia="仿宋_GB2312" w:cs="仿宋_GB2312"/>
                <w:color w:val="000000"/>
                <w:kern w:val="0"/>
                <w:sz w:val="22"/>
                <w:szCs w:val="22"/>
                <w:lang w:bidi="ar"/>
              </w:rPr>
              <w:t>分）。</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000000"/>
                <w:sz w:val="22"/>
                <w:szCs w:val="22"/>
                <w:lang w:eastAsia="zh-CN"/>
              </w:rPr>
            </w:pPr>
            <w:r>
              <w:rPr>
                <w:rFonts w:hint="eastAsia" w:ascii="仿宋_GB2312" w:hAnsi="仿宋_GB2312" w:eastAsia="仿宋_GB2312" w:cs="仿宋_GB2312"/>
                <w:color w:val="000000"/>
                <w:sz w:val="22"/>
                <w:szCs w:val="22"/>
                <w:lang w:val="en-US" w:eastAsia="zh-CN"/>
              </w:rPr>
              <w:t>-</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000000"/>
                <w:sz w:val="22"/>
                <w:szCs w:val="22"/>
                <w:lang w:eastAsia="zh-CN"/>
              </w:rPr>
            </w:pPr>
            <w:r>
              <w:rPr>
                <w:rFonts w:hint="eastAsia" w:ascii="仿宋_GB2312" w:hAnsi="仿宋_GB2312" w:eastAsia="仿宋_GB2312" w:cs="仿宋_GB2312"/>
                <w:color w:val="000000"/>
                <w:kern w:val="0"/>
                <w:sz w:val="22"/>
                <w:szCs w:val="22"/>
                <w:lang w:val="en-US" w:eastAsia="zh-CN" w:bidi="ar"/>
              </w:rPr>
              <w:t>9</w:t>
            </w:r>
          </w:p>
        </w:tc>
      </w:tr>
      <w:tr>
        <w:tblPrEx>
          <w:shd w:val="clear" w:color="auto" w:fill="auto"/>
          <w:tblCellMar>
            <w:top w:w="0" w:type="dxa"/>
            <w:left w:w="108" w:type="dxa"/>
            <w:bottom w:w="0" w:type="dxa"/>
            <w:right w:w="108" w:type="dxa"/>
          </w:tblCellMar>
        </w:tblPrEx>
        <w:trPr>
          <w:trHeight w:val="1800"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产出质量</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(9分)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质量达标率</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9</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项目完成的质量达标产出数与实际产出数的比率，用以反映和考核项目产出质量目标的实现程度。</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仿宋_GB2312" w:hAnsi="仿宋_GB2312" w:eastAsia="仿宋_GB2312" w:cs="仿宋_GB2312"/>
                <w:color w:val="000000"/>
                <w:kern w:val="0"/>
                <w:sz w:val="22"/>
                <w:szCs w:val="22"/>
                <w:lang w:eastAsia="zh-CN" w:bidi="ar"/>
              </w:rPr>
            </w:pPr>
            <w:r>
              <w:rPr>
                <w:rFonts w:hint="eastAsia" w:ascii="仿宋_GB2312" w:hAnsi="仿宋_GB2312" w:eastAsia="仿宋_GB2312" w:cs="仿宋_GB2312"/>
                <w:color w:val="000000"/>
                <w:kern w:val="0"/>
                <w:sz w:val="22"/>
                <w:szCs w:val="22"/>
                <w:lang w:bidi="ar"/>
              </w:rPr>
              <w:t>①审批工作完成率（0.</w:t>
            </w:r>
            <w:r>
              <w:rPr>
                <w:rFonts w:hint="eastAsia" w:ascii="仿宋_GB2312" w:hAnsi="仿宋_GB2312" w:eastAsia="仿宋_GB2312" w:cs="仿宋_GB2312"/>
                <w:color w:val="000000"/>
                <w:kern w:val="0"/>
                <w:sz w:val="22"/>
                <w:szCs w:val="22"/>
                <w:lang w:val="en-US" w:eastAsia="zh-CN" w:bidi="ar"/>
              </w:rPr>
              <w:t>75</w:t>
            </w:r>
            <w:r>
              <w:rPr>
                <w:rFonts w:hint="eastAsia" w:ascii="仿宋_GB2312" w:hAnsi="仿宋_GB2312" w:eastAsia="仿宋_GB2312" w:cs="仿宋_GB2312"/>
                <w:color w:val="000000"/>
                <w:kern w:val="0"/>
                <w:sz w:val="22"/>
                <w:szCs w:val="22"/>
                <w:lang w:bidi="ar"/>
              </w:rPr>
              <w:t>分）</w:t>
            </w:r>
            <w:r>
              <w:rPr>
                <w:rFonts w:hint="eastAsia" w:ascii="仿宋_GB2312" w:hAnsi="仿宋_GB2312" w:eastAsia="仿宋_GB2312" w:cs="仿宋_GB2312"/>
                <w:color w:val="000000"/>
                <w:kern w:val="0"/>
                <w:sz w:val="22"/>
                <w:szCs w:val="22"/>
                <w:lang w:eastAsia="zh-CN" w:bidi="ar"/>
              </w:rPr>
              <w:t>；</w:t>
            </w:r>
          </w:p>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val="en-US" w:eastAsia="zh-CN" w:bidi="ar"/>
              </w:rPr>
              <w:t>②</w:t>
            </w:r>
            <w:r>
              <w:rPr>
                <w:rFonts w:hint="eastAsia" w:ascii="仿宋_GB2312" w:hAnsi="仿宋_GB2312" w:eastAsia="仿宋_GB2312" w:cs="仿宋_GB2312"/>
                <w:color w:val="000000"/>
                <w:kern w:val="0"/>
                <w:sz w:val="22"/>
                <w:szCs w:val="22"/>
                <w:lang w:bidi="ar"/>
              </w:rPr>
              <w:t>第三方提交巡查报告达标率（0.</w:t>
            </w:r>
            <w:r>
              <w:rPr>
                <w:rFonts w:hint="eastAsia" w:ascii="仿宋_GB2312" w:hAnsi="仿宋_GB2312" w:eastAsia="仿宋_GB2312" w:cs="仿宋_GB2312"/>
                <w:color w:val="000000"/>
                <w:kern w:val="0"/>
                <w:sz w:val="22"/>
                <w:szCs w:val="22"/>
                <w:lang w:val="en-US" w:eastAsia="zh-CN" w:bidi="ar"/>
              </w:rPr>
              <w:t>75</w:t>
            </w:r>
            <w:r>
              <w:rPr>
                <w:rFonts w:hint="eastAsia" w:ascii="仿宋_GB2312" w:hAnsi="仿宋_GB2312" w:eastAsia="仿宋_GB2312" w:cs="仿宋_GB2312"/>
                <w:color w:val="000000"/>
                <w:kern w:val="0"/>
                <w:sz w:val="22"/>
                <w:szCs w:val="22"/>
                <w:lang w:bidi="ar"/>
              </w:rPr>
              <w:t>分）</w:t>
            </w:r>
            <w:r>
              <w:rPr>
                <w:rFonts w:hint="eastAsia" w:ascii="仿宋_GB2312" w:hAnsi="仿宋_GB2312" w:eastAsia="仿宋_GB2312" w:cs="仿宋_GB2312"/>
                <w:color w:val="000000"/>
                <w:kern w:val="0"/>
                <w:sz w:val="22"/>
                <w:szCs w:val="22"/>
                <w:lang w:eastAsia="zh-CN" w:bidi="ar"/>
              </w:rPr>
              <w:t>；</w:t>
            </w:r>
          </w:p>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val="en-US" w:eastAsia="zh-CN" w:bidi="ar"/>
              </w:rPr>
              <w:t>③</w:t>
            </w:r>
            <w:r>
              <w:rPr>
                <w:rFonts w:hint="eastAsia" w:ascii="仿宋_GB2312" w:hAnsi="仿宋_GB2312" w:eastAsia="仿宋_GB2312" w:cs="仿宋_GB2312"/>
                <w:color w:val="000000"/>
                <w:kern w:val="0"/>
                <w:sz w:val="22"/>
                <w:szCs w:val="22"/>
                <w:lang w:bidi="ar"/>
              </w:rPr>
              <w:t>在建项目安全问题整改率（0.</w:t>
            </w:r>
            <w:r>
              <w:rPr>
                <w:rFonts w:hint="eastAsia" w:ascii="仿宋_GB2312" w:hAnsi="仿宋_GB2312" w:eastAsia="仿宋_GB2312" w:cs="仿宋_GB2312"/>
                <w:color w:val="000000"/>
                <w:kern w:val="0"/>
                <w:sz w:val="22"/>
                <w:szCs w:val="22"/>
                <w:lang w:val="en-US" w:eastAsia="zh-CN" w:bidi="ar"/>
              </w:rPr>
              <w:t>75</w:t>
            </w:r>
            <w:r>
              <w:rPr>
                <w:rFonts w:hint="eastAsia" w:ascii="仿宋_GB2312" w:hAnsi="仿宋_GB2312" w:eastAsia="仿宋_GB2312" w:cs="仿宋_GB2312"/>
                <w:color w:val="000000"/>
                <w:kern w:val="0"/>
                <w:sz w:val="22"/>
                <w:szCs w:val="22"/>
                <w:lang w:bidi="ar"/>
              </w:rPr>
              <w:t>分）</w:t>
            </w:r>
            <w:r>
              <w:rPr>
                <w:rFonts w:hint="eastAsia" w:ascii="仿宋_GB2312" w:hAnsi="仿宋_GB2312" w:eastAsia="仿宋_GB2312" w:cs="仿宋_GB2312"/>
                <w:color w:val="000000"/>
                <w:kern w:val="0"/>
                <w:sz w:val="22"/>
                <w:szCs w:val="22"/>
                <w:lang w:eastAsia="zh-CN" w:bidi="ar"/>
              </w:rPr>
              <w:t>；</w:t>
            </w:r>
          </w:p>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val="en-US" w:eastAsia="zh-CN" w:bidi="ar"/>
              </w:rPr>
              <w:t>④</w:t>
            </w:r>
            <w:r>
              <w:rPr>
                <w:rFonts w:hint="eastAsia" w:ascii="仿宋_GB2312" w:hAnsi="仿宋_GB2312" w:eastAsia="仿宋_GB2312" w:cs="仿宋_GB2312"/>
                <w:color w:val="000000"/>
                <w:kern w:val="0"/>
                <w:sz w:val="22"/>
                <w:szCs w:val="22"/>
                <w:lang w:bidi="ar"/>
              </w:rPr>
              <w:t>发现不合格建材责令整改率（0.</w:t>
            </w:r>
            <w:r>
              <w:rPr>
                <w:rFonts w:hint="eastAsia" w:ascii="仿宋_GB2312" w:hAnsi="仿宋_GB2312" w:eastAsia="仿宋_GB2312" w:cs="仿宋_GB2312"/>
                <w:color w:val="000000"/>
                <w:kern w:val="0"/>
                <w:sz w:val="22"/>
                <w:szCs w:val="22"/>
                <w:lang w:val="en-US" w:eastAsia="zh-CN" w:bidi="ar"/>
              </w:rPr>
              <w:t>75</w:t>
            </w:r>
            <w:r>
              <w:rPr>
                <w:rFonts w:hint="eastAsia" w:ascii="仿宋_GB2312" w:hAnsi="仿宋_GB2312" w:eastAsia="仿宋_GB2312" w:cs="仿宋_GB2312"/>
                <w:color w:val="000000"/>
                <w:kern w:val="0"/>
                <w:sz w:val="22"/>
                <w:szCs w:val="22"/>
                <w:lang w:bidi="ar"/>
              </w:rPr>
              <w:t>分）</w:t>
            </w:r>
            <w:r>
              <w:rPr>
                <w:rFonts w:hint="eastAsia" w:ascii="仿宋_GB2312" w:hAnsi="仿宋_GB2312" w:eastAsia="仿宋_GB2312" w:cs="仿宋_GB2312"/>
                <w:color w:val="000000"/>
                <w:kern w:val="0"/>
                <w:sz w:val="22"/>
                <w:szCs w:val="22"/>
                <w:lang w:eastAsia="zh-CN" w:bidi="ar"/>
              </w:rPr>
              <w:t>；</w:t>
            </w:r>
          </w:p>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val="en-US" w:eastAsia="zh-CN" w:bidi="ar"/>
              </w:rPr>
              <w:t>⑤</w:t>
            </w:r>
            <w:r>
              <w:rPr>
                <w:rFonts w:hint="eastAsia" w:ascii="仿宋_GB2312" w:hAnsi="仿宋_GB2312" w:eastAsia="仿宋_GB2312" w:cs="仿宋_GB2312"/>
                <w:color w:val="000000"/>
                <w:kern w:val="0"/>
                <w:sz w:val="22"/>
                <w:szCs w:val="22"/>
                <w:lang w:bidi="ar"/>
              </w:rPr>
              <w:t>发现建筑起重机械实体缺陷和隐患责令整改率（0.</w:t>
            </w:r>
            <w:r>
              <w:rPr>
                <w:rFonts w:hint="eastAsia" w:ascii="仿宋_GB2312" w:hAnsi="仿宋_GB2312" w:eastAsia="仿宋_GB2312" w:cs="仿宋_GB2312"/>
                <w:color w:val="000000"/>
                <w:kern w:val="0"/>
                <w:sz w:val="22"/>
                <w:szCs w:val="22"/>
                <w:lang w:val="en-US" w:eastAsia="zh-CN" w:bidi="ar"/>
              </w:rPr>
              <w:t>75</w:t>
            </w:r>
            <w:r>
              <w:rPr>
                <w:rFonts w:hint="eastAsia" w:ascii="仿宋_GB2312" w:hAnsi="仿宋_GB2312" w:eastAsia="仿宋_GB2312" w:cs="仿宋_GB2312"/>
                <w:color w:val="000000"/>
                <w:kern w:val="0"/>
                <w:sz w:val="22"/>
                <w:szCs w:val="22"/>
                <w:lang w:bidi="ar"/>
              </w:rPr>
              <w:t>分）</w:t>
            </w:r>
            <w:r>
              <w:rPr>
                <w:rFonts w:hint="eastAsia" w:ascii="仿宋_GB2312" w:hAnsi="仿宋_GB2312" w:eastAsia="仿宋_GB2312" w:cs="仿宋_GB2312"/>
                <w:color w:val="000000"/>
                <w:kern w:val="0"/>
                <w:sz w:val="22"/>
                <w:szCs w:val="22"/>
                <w:lang w:eastAsia="zh-CN" w:bidi="ar"/>
              </w:rPr>
              <w:t>；</w:t>
            </w:r>
          </w:p>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val="en-US" w:eastAsia="zh-CN" w:bidi="ar"/>
              </w:rPr>
              <w:t>⑥</w:t>
            </w:r>
            <w:r>
              <w:rPr>
                <w:rFonts w:hint="eastAsia" w:ascii="仿宋_GB2312" w:hAnsi="仿宋_GB2312" w:eastAsia="仿宋_GB2312" w:cs="仿宋_GB2312"/>
                <w:color w:val="000000"/>
                <w:kern w:val="0"/>
                <w:sz w:val="22"/>
                <w:szCs w:val="22"/>
                <w:lang w:bidi="ar"/>
              </w:rPr>
              <w:t>发现深基坑、高边坡隐匿风险点责令整改率（0.</w:t>
            </w:r>
            <w:r>
              <w:rPr>
                <w:rFonts w:hint="eastAsia" w:ascii="仿宋_GB2312" w:hAnsi="仿宋_GB2312" w:eastAsia="仿宋_GB2312" w:cs="仿宋_GB2312"/>
                <w:color w:val="000000"/>
                <w:kern w:val="0"/>
                <w:sz w:val="22"/>
                <w:szCs w:val="22"/>
                <w:lang w:val="en-US" w:eastAsia="zh-CN" w:bidi="ar"/>
              </w:rPr>
              <w:t>75</w:t>
            </w:r>
            <w:r>
              <w:rPr>
                <w:rFonts w:hint="eastAsia" w:ascii="仿宋_GB2312" w:hAnsi="仿宋_GB2312" w:eastAsia="仿宋_GB2312" w:cs="仿宋_GB2312"/>
                <w:color w:val="000000"/>
                <w:kern w:val="0"/>
                <w:sz w:val="22"/>
                <w:szCs w:val="22"/>
                <w:lang w:bidi="ar"/>
              </w:rPr>
              <w:t>分）</w:t>
            </w:r>
            <w:r>
              <w:rPr>
                <w:rFonts w:hint="eastAsia" w:ascii="仿宋_GB2312" w:hAnsi="仿宋_GB2312" w:eastAsia="仿宋_GB2312" w:cs="仿宋_GB2312"/>
                <w:color w:val="000000"/>
                <w:kern w:val="0"/>
                <w:sz w:val="22"/>
                <w:szCs w:val="22"/>
                <w:lang w:eastAsia="zh-CN" w:bidi="ar"/>
              </w:rPr>
              <w:t>；</w:t>
            </w:r>
          </w:p>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val="en-US" w:eastAsia="zh-CN" w:bidi="ar"/>
              </w:rPr>
              <w:t>⑦</w:t>
            </w:r>
            <w:r>
              <w:rPr>
                <w:rFonts w:hint="eastAsia" w:ascii="仿宋_GB2312" w:hAnsi="仿宋_GB2312" w:eastAsia="仿宋_GB2312" w:cs="仿宋_GB2312"/>
                <w:color w:val="000000"/>
                <w:kern w:val="0"/>
                <w:sz w:val="22"/>
                <w:szCs w:val="22"/>
                <w:lang w:bidi="ar"/>
              </w:rPr>
              <w:t>专项巡查识别危大工程的日常隐患责令整改率（0.</w:t>
            </w:r>
            <w:r>
              <w:rPr>
                <w:rFonts w:hint="eastAsia" w:ascii="仿宋_GB2312" w:hAnsi="仿宋_GB2312" w:eastAsia="仿宋_GB2312" w:cs="仿宋_GB2312"/>
                <w:color w:val="000000"/>
                <w:kern w:val="0"/>
                <w:sz w:val="22"/>
                <w:szCs w:val="22"/>
                <w:lang w:val="en-US" w:eastAsia="zh-CN" w:bidi="ar"/>
              </w:rPr>
              <w:t>75</w:t>
            </w:r>
            <w:r>
              <w:rPr>
                <w:rFonts w:hint="eastAsia" w:ascii="仿宋_GB2312" w:hAnsi="仿宋_GB2312" w:eastAsia="仿宋_GB2312" w:cs="仿宋_GB2312"/>
                <w:color w:val="000000"/>
                <w:kern w:val="0"/>
                <w:sz w:val="22"/>
                <w:szCs w:val="22"/>
                <w:lang w:bidi="ar"/>
              </w:rPr>
              <w:t>分）</w:t>
            </w:r>
            <w:r>
              <w:rPr>
                <w:rFonts w:hint="eastAsia" w:ascii="仿宋_GB2312" w:hAnsi="仿宋_GB2312" w:eastAsia="仿宋_GB2312" w:cs="仿宋_GB2312"/>
                <w:color w:val="000000"/>
                <w:kern w:val="0"/>
                <w:sz w:val="22"/>
                <w:szCs w:val="22"/>
                <w:lang w:eastAsia="zh-CN" w:bidi="ar"/>
              </w:rPr>
              <w:t>；</w:t>
            </w:r>
          </w:p>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val="en-US" w:eastAsia="zh-CN" w:bidi="ar"/>
              </w:rPr>
              <w:t>⑧</w:t>
            </w:r>
            <w:r>
              <w:rPr>
                <w:rFonts w:hint="eastAsia" w:ascii="仿宋_GB2312" w:hAnsi="仿宋_GB2312" w:eastAsia="仿宋_GB2312" w:cs="仿宋_GB2312"/>
                <w:color w:val="000000"/>
                <w:kern w:val="0"/>
                <w:sz w:val="22"/>
                <w:szCs w:val="22"/>
                <w:lang w:bidi="ar"/>
              </w:rPr>
              <w:t>建筑特种作业人员培训考核不合格责令离岗率（0.</w:t>
            </w:r>
            <w:r>
              <w:rPr>
                <w:rFonts w:hint="eastAsia" w:ascii="仿宋_GB2312" w:hAnsi="仿宋_GB2312" w:eastAsia="仿宋_GB2312" w:cs="仿宋_GB2312"/>
                <w:color w:val="000000"/>
                <w:kern w:val="0"/>
                <w:sz w:val="22"/>
                <w:szCs w:val="22"/>
                <w:lang w:val="en-US" w:eastAsia="zh-CN" w:bidi="ar"/>
              </w:rPr>
              <w:t>75</w:t>
            </w:r>
            <w:r>
              <w:rPr>
                <w:rFonts w:hint="eastAsia" w:ascii="仿宋_GB2312" w:hAnsi="仿宋_GB2312" w:eastAsia="仿宋_GB2312" w:cs="仿宋_GB2312"/>
                <w:color w:val="000000"/>
                <w:kern w:val="0"/>
                <w:sz w:val="22"/>
                <w:szCs w:val="22"/>
                <w:lang w:bidi="ar"/>
              </w:rPr>
              <w:t>分）</w:t>
            </w:r>
            <w:r>
              <w:rPr>
                <w:rFonts w:hint="eastAsia" w:ascii="仿宋_GB2312" w:hAnsi="仿宋_GB2312" w:eastAsia="仿宋_GB2312" w:cs="仿宋_GB2312"/>
                <w:color w:val="000000"/>
                <w:kern w:val="0"/>
                <w:sz w:val="22"/>
                <w:szCs w:val="22"/>
                <w:lang w:eastAsia="zh-CN" w:bidi="ar"/>
              </w:rPr>
              <w:t>；</w:t>
            </w:r>
          </w:p>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val="en-US" w:eastAsia="zh-CN" w:bidi="ar"/>
              </w:rPr>
              <w:t>⑨</w:t>
            </w:r>
            <w:r>
              <w:rPr>
                <w:rFonts w:hint="eastAsia" w:ascii="仿宋_GB2312" w:hAnsi="仿宋_GB2312" w:eastAsia="仿宋_GB2312" w:cs="仿宋_GB2312"/>
                <w:color w:val="000000"/>
                <w:kern w:val="0"/>
                <w:sz w:val="22"/>
                <w:szCs w:val="22"/>
                <w:lang w:bidi="ar"/>
              </w:rPr>
              <w:t>施工现场发现质量安全问题督促整改率（0.</w:t>
            </w:r>
            <w:r>
              <w:rPr>
                <w:rFonts w:hint="eastAsia" w:ascii="仿宋_GB2312" w:hAnsi="仿宋_GB2312" w:eastAsia="仿宋_GB2312" w:cs="仿宋_GB2312"/>
                <w:color w:val="000000"/>
                <w:kern w:val="0"/>
                <w:sz w:val="22"/>
                <w:szCs w:val="22"/>
                <w:lang w:val="en-US" w:eastAsia="zh-CN" w:bidi="ar"/>
              </w:rPr>
              <w:t>75</w:t>
            </w:r>
            <w:r>
              <w:rPr>
                <w:rFonts w:hint="eastAsia" w:ascii="仿宋_GB2312" w:hAnsi="仿宋_GB2312" w:eastAsia="仿宋_GB2312" w:cs="仿宋_GB2312"/>
                <w:color w:val="000000"/>
                <w:kern w:val="0"/>
                <w:sz w:val="22"/>
                <w:szCs w:val="22"/>
                <w:lang w:bidi="ar"/>
              </w:rPr>
              <w:t>分）</w:t>
            </w:r>
            <w:r>
              <w:rPr>
                <w:rFonts w:hint="eastAsia" w:ascii="仿宋_GB2312" w:hAnsi="仿宋_GB2312" w:eastAsia="仿宋_GB2312" w:cs="仿宋_GB2312"/>
                <w:color w:val="000000"/>
                <w:kern w:val="0"/>
                <w:sz w:val="22"/>
                <w:szCs w:val="22"/>
                <w:lang w:eastAsia="zh-CN" w:bidi="ar"/>
              </w:rPr>
              <w:t>；</w:t>
            </w:r>
          </w:p>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val="en-US" w:eastAsia="zh-CN" w:bidi="ar"/>
              </w:rPr>
              <w:t>⑩</w:t>
            </w:r>
            <w:r>
              <w:rPr>
                <w:rFonts w:hint="eastAsia" w:ascii="仿宋_GB2312" w:hAnsi="仿宋_GB2312" w:eastAsia="仿宋_GB2312" w:cs="仿宋_GB2312"/>
                <w:color w:val="000000"/>
                <w:kern w:val="0"/>
                <w:sz w:val="22"/>
                <w:szCs w:val="22"/>
                <w:lang w:bidi="ar"/>
              </w:rPr>
              <w:t>在监市政项目质量安全监督覆盖率（0.</w:t>
            </w:r>
            <w:r>
              <w:rPr>
                <w:rFonts w:hint="eastAsia" w:ascii="仿宋_GB2312" w:hAnsi="仿宋_GB2312" w:eastAsia="仿宋_GB2312" w:cs="仿宋_GB2312"/>
                <w:color w:val="000000"/>
                <w:kern w:val="0"/>
                <w:sz w:val="22"/>
                <w:szCs w:val="22"/>
                <w:lang w:val="en-US" w:eastAsia="zh-CN" w:bidi="ar"/>
              </w:rPr>
              <w:t>75</w:t>
            </w:r>
            <w:r>
              <w:rPr>
                <w:rFonts w:hint="eastAsia" w:ascii="仿宋_GB2312" w:hAnsi="仿宋_GB2312" w:eastAsia="仿宋_GB2312" w:cs="仿宋_GB2312"/>
                <w:color w:val="000000"/>
                <w:kern w:val="0"/>
                <w:sz w:val="22"/>
                <w:szCs w:val="22"/>
                <w:lang w:bidi="ar"/>
              </w:rPr>
              <w:t>分）</w:t>
            </w:r>
            <w:r>
              <w:rPr>
                <w:rFonts w:hint="eastAsia" w:ascii="仿宋_GB2312" w:hAnsi="仿宋_GB2312" w:eastAsia="仿宋_GB2312" w:cs="仿宋_GB2312"/>
                <w:color w:val="000000"/>
                <w:kern w:val="0"/>
                <w:sz w:val="22"/>
                <w:szCs w:val="22"/>
                <w:lang w:eastAsia="zh-CN" w:bidi="ar"/>
              </w:rPr>
              <w:t>；</w:t>
            </w:r>
          </w:p>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bidi="ar"/>
              </w:rPr>
              <w:t>⑪举办安全培训活动培训讲师资质（0.</w:t>
            </w:r>
            <w:r>
              <w:rPr>
                <w:rFonts w:hint="eastAsia" w:ascii="仿宋_GB2312" w:hAnsi="仿宋_GB2312" w:eastAsia="仿宋_GB2312" w:cs="仿宋_GB2312"/>
                <w:color w:val="000000"/>
                <w:kern w:val="0"/>
                <w:sz w:val="22"/>
                <w:szCs w:val="22"/>
                <w:lang w:val="en-US" w:eastAsia="zh-CN" w:bidi="ar"/>
              </w:rPr>
              <w:t>75</w:t>
            </w:r>
            <w:r>
              <w:rPr>
                <w:rFonts w:hint="eastAsia" w:ascii="仿宋_GB2312" w:hAnsi="仿宋_GB2312" w:eastAsia="仿宋_GB2312" w:cs="仿宋_GB2312"/>
                <w:color w:val="000000"/>
                <w:kern w:val="0"/>
                <w:sz w:val="22"/>
                <w:szCs w:val="22"/>
                <w:lang w:bidi="ar"/>
              </w:rPr>
              <w:t>分）</w:t>
            </w:r>
            <w:r>
              <w:rPr>
                <w:rFonts w:hint="eastAsia" w:ascii="仿宋_GB2312" w:hAnsi="仿宋_GB2312" w:eastAsia="仿宋_GB2312" w:cs="仿宋_GB2312"/>
                <w:color w:val="000000"/>
                <w:kern w:val="0"/>
                <w:sz w:val="22"/>
                <w:szCs w:val="22"/>
                <w:lang w:eastAsia="zh-CN" w:bidi="ar"/>
              </w:rPr>
              <w:t>；</w:t>
            </w:r>
          </w:p>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⑫建筑起重机械抽查覆盖率（0.</w:t>
            </w:r>
            <w:r>
              <w:rPr>
                <w:rFonts w:hint="eastAsia" w:ascii="仿宋_GB2312" w:hAnsi="仿宋_GB2312" w:eastAsia="仿宋_GB2312" w:cs="仿宋_GB2312"/>
                <w:color w:val="000000"/>
                <w:kern w:val="0"/>
                <w:sz w:val="22"/>
                <w:szCs w:val="22"/>
                <w:lang w:val="en-US" w:eastAsia="zh-CN" w:bidi="ar"/>
              </w:rPr>
              <w:t>75</w:t>
            </w:r>
            <w:r>
              <w:rPr>
                <w:rFonts w:hint="eastAsia" w:ascii="仿宋_GB2312" w:hAnsi="仿宋_GB2312" w:eastAsia="仿宋_GB2312" w:cs="仿宋_GB2312"/>
                <w:color w:val="000000"/>
                <w:kern w:val="0"/>
                <w:sz w:val="22"/>
                <w:szCs w:val="22"/>
                <w:lang w:bidi="ar"/>
              </w:rPr>
              <w:t>分）</w:t>
            </w:r>
            <w:r>
              <w:rPr>
                <w:rFonts w:hint="eastAsia" w:ascii="仿宋_GB2312" w:hAnsi="仿宋_GB2312" w:eastAsia="仿宋_GB2312" w:cs="仿宋_GB2312"/>
                <w:color w:val="000000"/>
                <w:kern w:val="0"/>
                <w:sz w:val="22"/>
                <w:szCs w:val="22"/>
                <w:lang w:eastAsia="zh-CN" w:bidi="ar"/>
              </w:rPr>
              <w:t>。</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9</w:t>
            </w:r>
          </w:p>
        </w:tc>
      </w:tr>
      <w:tr>
        <w:tblPrEx>
          <w:shd w:val="clear" w:color="auto" w:fill="auto"/>
          <w:tblCellMar>
            <w:top w:w="0" w:type="dxa"/>
            <w:left w:w="108" w:type="dxa"/>
            <w:bottom w:w="0" w:type="dxa"/>
            <w:right w:w="108" w:type="dxa"/>
          </w:tblCellMar>
        </w:tblPrEx>
        <w:trPr>
          <w:trHeight w:val="1200"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产出时效</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(8分)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完成及时性</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8</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项目实际完成时间与计划完成时间的比较，用以反映和考核项目产出时效目标的实现程度。</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①及时性绩效目标达成（4分）；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②项目进度按计划进行，无明显滞后（4分）</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sz w:val="22"/>
                <w:szCs w:val="22"/>
              </w:rPr>
              <w:t>本项目共设有11个时效指标，其中10个指标及时性绩效目标已达成，剩余1个指标“每季度工程“红黑榜”刊登及时性”未能完成，扣0.73分。</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仿宋_GB2312" w:hAnsi="仿宋_GB2312" w:eastAsia="仿宋_GB2312" w:cs="仿宋_GB2312"/>
                <w:color w:val="000000"/>
                <w:sz w:val="22"/>
                <w:szCs w:val="22"/>
                <w:lang w:val="en-US" w:eastAsia="zh-CN"/>
              </w:rPr>
            </w:pPr>
            <w:r>
              <w:rPr>
                <w:rFonts w:hint="eastAsia" w:ascii="仿宋_GB2312" w:hAnsi="仿宋_GB2312" w:eastAsia="仿宋_GB2312" w:cs="仿宋_GB2312"/>
                <w:color w:val="000000"/>
                <w:kern w:val="0"/>
                <w:sz w:val="22"/>
                <w:szCs w:val="22"/>
                <w:lang w:val="en-US" w:eastAsia="zh-CN" w:bidi="ar"/>
              </w:rPr>
              <w:t>7.27</w:t>
            </w:r>
          </w:p>
        </w:tc>
      </w:tr>
      <w:tr>
        <w:tblPrEx>
          <w:shd w:val="clear" w:color="auto" w:fill="auto"/>
          <w:tblCellMar>
            <w:top w:w="0" w:type="dxa"/>
            <w:left w:w="108" w:type="dxa"/>
            <w:bottom w:w="0" w:type="dxa"/>
            <w:right w:w="108" w:type="dxa"/>
          </w:tblCellMar>
        </w:tblPrEx>
        <w:trPr>
          <w:trHeight w:val="1500"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产出成本</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(4分)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成本节约情率</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4</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项目成本情况，以及完成项目计划工作目标的实际节约成本与计划成本的比率，用以反映和考核项目的成本节约程度。</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成本节约率=[（计划成本-实际成本）/计划成本]×100%。</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实际成本：项目实施单位如期、保质、保量完成既定工作目标实际所耗费的支出。</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计划成本：项目实施单位为完成工作目标计划安排的支出，一般以项目预算为参考。</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_GB2312" w:hAnsi="仿宋_GB2312" w:eastAsia="仿宋_GB2312" w:cs="仿宋_GB2312"/>
                <w:color w:val="000000"/>
                <w:sz w:val="22"/>
                <w:szCs w:val="22"/>
              </w:rPr>
            </w:pPr>
            <w:r>
              <w:rPr>
                <w:rFonts w:hint="eastAsia" w:ascii="仿宋_GB2312" w:hAnsi="宋体" w:eastAsia="仿宋_GB2312" w:cs="仿宋_GB2312"/>
                <w:i w:val="0"/>
                <w:iCs w:val="0"/>
                <w:color w:val="000000"/>
                <w:kern w:val="0"/>
                <w:sz w:val="22"/>
                <w:szCs w:val="22"/>
                <w:u w:val="none"/>
                <w:lang w:val="en-US" w:eastAsia="zh-CN" w:bidi="ar"/>
              </w:rPr>
              <w:t>成本节约率为2.15%，扣2.28分。</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color w:val="000000"/>
                <w:sz w:val="22"/>
                <w:szCs w:val="22"/>
                <w:lang w:val="en-US"/>
              </w:rPr>
            </w:pPr>
            <w:r>
              <w:rPr>
                <w:rFonts w:hint="eastAsia" w:ascii="仿宋_GB2312" w:hAnsi="宋体" w:eastAsia="仿宋_GB2312" w:cs="仿宋_GB2312"/>
                <w:i w:val="0"/>
                <w:iCs w:val="0"/>
                <w:color w:val="000000"/>
                <w:kern w:val="0"/>
                <w:sz w:val="22"/>
                <w:szCs w:val="22"/>
                <w:u w:val="none"/>
                <w:lang w:val="en-US" w:eastAsia="zh-CN" w:bidi="ar"/>
              </w:rPr>
              <w:t>1.72</w:t>
            </w:r>
          </w:p>
        </w:tc>
      </w:tr>
      <w:tr>
        <w:tblPrEx>
          <w:shd w:val="clear" w:color="auto" w:fill="auto"/>
          <w:tblCellMar>
            <w:top w:w="0" w:type="dxa"/>
            <w:left w:w="108" w:type="dxa"/>
            <w:bottom w:w="0" w:type="dxa"/>
            <w:right w:w="108" w:type="dxa"/>
          </w:tblCellMar>
        </w:tblPrEx>
        <w:trPr>
          <w:trHeight w:val="1500" w:hRule="atLeast"/>
        </w:trPr>
        <w:tc>
          <w:tcPr>
            <w:tcW w:w="8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效益</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(30分)</w:t>
            </w:r>
          </w:p>
        </w:tc>
        <w:tc>
          <w:tcPr>
            <w:tcW w:w="7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项目效益</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(30分)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实施效益</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20</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项目实施所产生的效益</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bidi="ar"/>
              </w:rPr>
              <w:t>①社会效益：推动深圳市建筑施工专用机动车辆安全的监督管理（</w:t>
            </w:r>
            <w:r>
              <w:rPr>
                <w:rFonts w:hint="eastAsia" w:ascii="仿宋_GB2312" w:hAnsi="仿宋_GB2312" w:eastAsia="仿宋_GB2312" w:cs="仿宋_GB2312"/>
                <w:color w:val="000000"/>
                <w:kern w:val="0"/>
                <w:sz w:val="22"/>
                <w:szCs w:val="22"/>
                <w:lang w:val="en-US" w:eastAsia="zh-CN" w:bidi="ar"/>
              </w:rPr>
              <w:t>3.33</w:t>
            </w:r>
            <w:r>
              <w:rPr>
                <w:rFonts w:hint="eastAsia" w:ascii="仿宋_GB2312" w:hAnsi="仿宋_GB2312" w:eastAsia="仿宋_GB2312" w:cs="仿宋_GB2312"/>
                <w:color w:val="000000"/>
                <w:kern w:val="0"/>
                <w:sz w:val="22"/>
                <w:szCs w:val="22"/>
                <w:lang w:bidi="ar"/>
              </w:rPr>
              <w:t>分）；</w:t>
            </w:r>
          </w:p>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val="en-US" w:eastAsia="zh-CN" w:bidi="ar"/>
              </w:rPr>
              <w:t>②</w:t>
            </w:r>
            <w:r>
              <w:rPr>
                <w:rFonts w:hint="eastAsia" w:ascii="仿宋_GB2312" w:hAnsi="仿宋_GB2312" w:eastAsia="仿宋_GB2312" w:cs="仿宋_GB2312"/>
                <w:color w:val="000000"/>
                <w:kern w:val="0"/>
                <w:sz w:val="22"/>
                <w:szCs w:val="22"/>
                <w:lang w:bidi="ar"/>
              </w:rPr>
              <w:t>社会效益：督促施工项目整改安全隐患（</w:t>
            </w:r>
            <w:r>
              <w:rPr>
                <w:rFonts w:hint="eastAsia" w:ascii="仿宋_GB2312" w:hAnsi="仿宋_GB2312" w:eastAsia="仿宋_GB2312" w:cs="仿宋_GB2312"/>
                <w:color w:val="000000"/>
                <w:kern w:val="0"/>
                <w:sz w:val="22"/>
                <w:szCs w:val="22"/>
                <w:lang w:val="en-US" w:eastAsia="zh-CN" w:bidi="ar"/>
              </w:rPr>
              <w:t>3.33</w:t>
            </w:r>
            <w:r>
              <w:rPr>
                <w:rFonts w:hint="eastAsia" w:ascii="仿宋_GB2312" w:hAnsi="仿宋_GB2312" w:eastAsia="仿宋_GB2312" w:cs="仿宋_GB2312"/>
                <w:color w:val="000000"/>
                <w:kern w:val="0"/>
                <w:sz w:val="22"/>
                <w:szCs w:val="22"/>
                <w:lang w:bidi="ar"/>
              </w:rPr>
              <w:t>分）；</w:t>
            </w:r>
          </w:p>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val="en-US" w:eastAsia="zh-CN" w:bidi="ar"/>
              </w:rPr>
              <w:t>③</w:t>
            </w:r>
            <w:r>
              <w:rPr>
                <w:rFonts w:hint="eastAsia" w:ascii="仿宋_GB2312" w:hAnsi="仿宋_GB2312" w:eastAsia="仿宋_GB2312" w:cs="仿宋_GB2312"/>
                <w:color w:val="000000"/>
                <w:kern w:val="0"/>
                <w:sz w:val="22"/>
                <w:szCs w:val="22"/>
                <w:lang w:bidi="ar"/>
              </w:rPr>
              <w:t>社会效益：提高工人安全防范意识（</w:t>
            </w:r>
            <w:r>
              <w:rPr>
                <w:rFonts w:hint="eastAsia" w:ascii="仿宋_GB2312" w:hAnsi="仿宋_GB2312" w:eastAsia="仿宋_GB2312" w:cs="仿宋_GB2312"/>
                <w:color w:val="000000"/>
                <w:kern w:val="0"/>
                <w:sz w:val="22"/>
                <w:szCs w:val="22"/>
                <w:lang w:val="en-US" w:eastAsia="zh-CN" w:bidi="ar"/>
              </w:rPr>
              <w:t>3.33</w:t>
            </w:r>
            <w:r>
              <w:rPr>
                <w:rFonts w:hint="eastAsia" w:ascii="仿宋_GB2312" w:hAnsi="仿宋_GB2312" w:eastAsia="仿宋_GB2312" w:cs="仿宋_GB2312"/>
                <w:color w:val="000000"/>
                <w:kern w:val="0"/>
                <w:sz w:val="22"/>
                <w:szCs w:val="22"/>
                <w:lang w:bidi="ar"/>
              </w:rPr>
              <w:t>分）；</w:t>
            </w:r>
          </w:p>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val="en-US" w:eastAsia="zh-CN" w:bidi="ar"/>
              </w:rPr>
              <w:t>④</w:t>
            </w:r>
            <w:r>
              <w:rPr>
                <w:rFonts w:hint="eastAsia" w:ascii="仿宋_GB2312" w:hAnsi="仿宋_GB2312" w:eastAsia="仿宋_GB2312" w:cs="仿宋_GB2312"/>
                <w:color w:val="000000"/>
                <w:kern w:val="0"/>
                <w:sz w:val="22"/>
                <w:szCs w:val="22"/>
                <w:lang w:bidi="ar"/>
              </w:rPr>
              <w:t>社会效益：通过建筑工程施工质量监督管控，提升房建工程质量水平（</w:t>
            </w:r>
            <w:r>
              <w:rPr>
                <w:rFonts w:hint="eastAsia" w:ascii="仿宋_GB2312" w:hAnsi="仿宋_GB2312" w:eastAsia="仿宋_GB2312" w:cs="仿宋_GB2312"/>
                <w:color w:val="000000"/>
                <w:kern w:val="0"/>
                <w:sz w:val="22"/>
                <w:szCs w:val="22"/>
                <w:lang w:val="en-US" w:eastAsia="zh-CN" w:bidi="ar"/>
              </w:rPr>
              <w:t>3.33</w:t>
            </w:r>
            <w:r>
              <w:rPr>
                <w:rFonts w:hint="eastAsia" w:ascii="仿宋_GB2312" w:hAnsi="仿宋_GB2312" w:eastAsia="仿宋_GB2312" w:cs="仿宋_GB2312"/>
                <w:color w:val="000000"/>
                <w:kern w:val="0"/>
                <w:sz w:val="22"/>
                <w:szCs w:val="22"/>
                <w:lang w:bidi="ar"/>
              </w:rPr>
              <w:t>分）；</w:t>
            </w:r>
          </w:p>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val="en-US" w:eastAsia="zh-CN" w:bidi="ar"/>
              </w:rPr>
              <w:t>⑤</w:t>
            </w:r>
            <w:r>
              <w:rPr>
                <w:rFonts w:hint="eastAsia" w:ascii="仿宋_GB2312" w:hAnsi="仿宋_GB2312" w:eastAsia="仿宋_GB2312" w:cs="仿宋_GB2312"/>
                <w:color w:val="000000"/>
                <w:kern w:val="0"/>
                <w:sz w:val="22"/>
                <w:szCs w:val="22"/>
                <w:lang w:bidi="ar"/>
              </w:rPr>
              <w:t>社会效益：通过建筑工程施工安全风险管控，预防重特大事故发生（</w:t>
            </w:r>
            <w:r>
              <w:rPr>
                <w:rFonts w:hint="eastAsia" w:ascii="仿宋_GB2312" w:hAnsi="仿宋_GB2312" w:eastAsia="仿宋_GB2312" w:cs="仿宋_GB2312"/>
                <w:color w:val="000000"/>
                <w:kern w:val="0"/>
                <w:sz w:val="22"/>
                <w:szCs w:val="22"/>
                <w:lang w:val="en-US" w:eastAsia="zh-CN" w:bidi="ar"/>
              </w:rPr>
              <w:t>3.33</w:t>
            </w:r>
            <w:r>
              <w:rPr>
                <w:rFonts w:hint="eastAsia" w:ascii="仿宋_GB2312" w:hAnsi="仿宋_GB2312" w:eastAsia="仿宋_GB2312" w:cs="仿宋_GB2312"/>
                <w:color w:val="000000"/>
                <w:kern w:val="0"/>
                <w:sz w:val="22"/>
                <w:szCs w:val="22"/>
                <w:lang w:bidi="ar"/>
              </w:rPr>
              <w:t>分）；</w:t>
            </w:r>
          </w:p>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val="en-US" w:eastAsia="zh-CN" w:bidi="ar"/>
              </w:rPr>
              <w:t>⑥</w:t>
            </w:r>
            <w:r>
              <w:rPr>
                <w:rFonts w:hint="eastAsia" w:ascii="仿宋_GB2312" w:hAnsi="仿宋_GB2312" w:eastAsia="仿宋_GB2312" w:cs="仿宋_GB2312"/>
                <w:color w:val="000000"/>
                <w:kern w:val="0"/>
                <w:sz w:val="22"/>
                <w:szCs w:val="22"/>
                <w:lang w:bidi="ar"/>
              </w:rPr>
              <w:t>社会效益：提高监督水平，遏制重特大质量安全事故发生，保障人民生命安全（</w:t>
            </w:r>
            <w:r>
              <w:rPr>
                <w:rFonts w:hint="eastAsia" w:ascii="仿宋_GB2312" w:hAnsi="仿宋_GB2312" w:eastAsia="仿宋_GB2312" w:cs="仿宋_GB2312"/>
                <w:color w:val="000000"/>
                <w:kern w:val="0"/>
                <w:sz w:val="22"/>
                <w:szCs w:val="22"/>
                <w:lang w:val="en-US" w:eastAsia="zh-CN" w:bidi="ar"/>
              </w:rPr>
              <w:t>3.35</w:t>
            </w:r>
            <w:r>
              <w:rPr>
                <w:rFonts w:hint="eastAsia" w:ascii="仿宋_GB2312" w:hAnsi="仿宋_GB2312" w:eastAsia="仿宋_GB2312" w:cs="仿宋_GB2312"/>
                <w:color w:val="000000"/>
                <w:kern w:val="0"/>
                <w:sz w:val="22"/>
                <w:szCs w:val="22"/>
                <w:lang w:bidi="ar"/>
              </w:rPr>
              <w:t>分）</w:t>
            </w:r>
            <w:r>
              <w:rPr>
                <w:rFonts w:hint="eastAsia" w:ascii="仿宋_GB2312" w:hAnsi="仿宋_GB2312" w:eastAsia="仿宋_GB2312" w:cs="仿宋_GB2312"/>
                <w:color w:val="000000"/>
                <w:kern w:val="0"/>
                <w:sz w:val="22"/>
                <w:szCs w:val="22"/>
                <w:lang w:eastAsia="zh-CN" w:bidi="ar"/>
              </w:rPr>
              <w:t>。</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000000"/>
                <w:sz w:val="22"/>
                <w:szCs w:val="22"/>
                <w:lang w:eastAsia="zh-CN"/>
              </w:rPr>
            </w:pPr>
            <w:r>
              <w:rPr>
                <w:rFonts w:hint="eastAsia" w:ascii="仿宋_GB2312" w:hAnsi="仿宋_GB2312" w:eastAsia="仿宋_GB2312" w:cs="仿宋_GB2312"/>
                <w:color w:val="000000"/>
                <w:kern w:val="0"/>
                <w:sz w:val="22"/>
                <w:szCs w:val="22"/>
                <w:lang w:bidi="ar"/>
              </w:rPr>
              <w:t>酌情扣1分</w:t>
            </w:r>
            <w:r>
              <w:rPr>
                <w:rFonts w:hint="eastAsia" w:ascii="仿宋_GB2312" w:hAnsi="仿宋_GB2312" w:eastAsia="仿宋_GB2312" w:cs="仿宋_GB2312"/>
                <w:color w:val="000000"/>
                <w:kern w:val="0"/>
                <w:sz w:val="22"/>
                <w:szCs w:val="22"/>
                <w:lang w:eastAsia="zh-CN" w:bidi="ar"/>
              </w:rPr>
              <w:t>。</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19</w:t>
            </w:r>
          </w:p>
        </w:tc>
      </w:tr>
      <w:tr>
        <w:tblPrEx>
          <w:shd w:val="clear" w:color="auto" w:fill="auto"/>
          <w:tblCellMar>
            <w:top w:w="0" w:type="dxa"/>
            <w:left w:w="108" w:type="dxa"/>
            <w:bottom w:w="0" w:type="dxa"/>
            <w:right w:w="108" w:type="dxa"/>
          </w:tblCellMar>
        </w:tblPrEx>
        <w:trPr>
          <w:trHeight w:val="600"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满意度</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10</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社会公众或服务对象对项目实施效果的满意度</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i w:val="0"/>
                <w:iCs w:val="0"/>
                <w:color w:val="000000"/>
                <w:kern w:val="0"/>
                <w:sz w:val="21"/>
                <w:szCs w:val="21"/>
                <w:highlight w:val="none"/>
                <w:u w:val="none"/>
                <w:lang w:val="en-US" w:eastAsia="zh-CN" w:bidi="ar"/>
              </w:rPr>
              <w:t>服务委托方满意度（10分）</w:t>
            </w:r>
            <w:r>
              <w:rPr>
                <w:rFonts w:hint="eastAsia" w:ascii="仿宋_GB2312" w:hAnsi="仿宋_GB2312" w:eastAsia="仿宋_GB2312" w:cs="仿宋_GB2312"/>
                <w:color w:val="000000"/>
                <w:kern w:val="0"/>
                <w:sz w:val="22"/>
                <w:szCs w:val="22"/>
                <w:lang w:bidi="ar"/>
              </w:rPr>
              <w:t>。</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10</w:t>
            </w:r>
          </w:p>
        </w:tc>
      </w:tr>
      <w:tr>
        <w:tblPrEx>
          <w:shd w:val="clear" w:color="auto" w:fill="auto"/>
          <w:tblCellMar>
            <w:top w:w="0" w:type="dxa"/>
            <w:left w:w="108" w:type="dxa"/>
            <w:bottom w:w="0" w:type="dxa"/>
            <w:right w:w="108" w:type="dxa"/>
          </w:tblCellMar>
        </w:tblPrEx>
        <w:trPr>
          <w:trHeight w:val="280" w:hRule="atLeast"/>
        </w:trPr>
        <w:tc>
          <w:tcPr>
            <w:tcW w:w="234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b/>
                <w:bCs/>
                <w:color w:val="000000"/>
                <w:sz w:val="22"/>
                <w:szCs w:val="22"/>
              </w:rPr>
            </w:pPr>
            <w:r>
              <w:rPr>
                <w:rFonts w:hint="eastAsia" w:ascii="仿宋_GB2312" w:hAnsi="仿宋_GB2312" w:eastAsia="仿宋_GB2312" w:cs="仿宋_GB2312"/>
                <w:b/>
                <w:bCs/>
                <w:color w:val="000000"/>
                <w:kern w:val="0"/>
                <w:sz w:val="22"/>
                <w:szCs w:val="22"/>
                <w:lang w:bidi="ar"/>
              </w:rPr>
              <w:t>总分</w:t>
            </w:r>
          </w:p>
        </w:tc>
        <w:tc>
          <w:tcPr>
            <w:tcW w:w="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b/>
                <w:bCs/>
                <w:color w:val="000000"/>
                <w:sz w:val="22"/>
                <w:szCs w:val="22"/>
              </w:rPr>
            </w:pPr>
            <w:r>
              <w:rPr>
                <w:rFonts w:hint="eastAsia" w:ascii="仿宋_GB2312" w:hAnsi="仿宋_GB2312" w:eastAsia="仿宋_GB2312" w:cs="仿宋_GB2312"/>
                <w:b/>
                <w:bCs/>
                <w:color w:val="000000"/>
                <w:kern w:val="0"/>
                <w:sz w:val="22"/>
                <w:szCs w:val="22"/>
                <w:lang w:bidi="ar"/>
              </w:rPr>
              <w:t>100</w:t>
            </w:r>
          </w:p>
        </w:tc>
        <w:tc>
          <w:tcPr>
            <w:tcW w:w="4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仿宋_GB2312" w:hAnsi="仿宋_GB2312" w:eastAsia="仿宋_GB2312" w:cs="仿宋_GB2312"/>
                <w:b/>
                <w:bCs/>
                <w:color w:val="000000"/>
                <w:sz w:val="22"/>
                <w:szCs w:val="22"/>
                <w:lang w:val="en-US" w:eastAsia="zh-CN"/>
              </w:rPr>
            </w:pPr>
            <w:r>
              <w:rPr>
                <w:rFonts w:hint="eastAsia" w:ascii="仿宋_GB2312" w:hAnsi="仿宋_GB2312" w:eastAsia="仿宋_GB2312" w:cs="仿宋_GB2312"/>
                <w:b/>
                <w:bCs/>
                <w:color w:val="000000"/>
                <w:kern w:val="0"/>
                <w:sz w:val="22"/>
                <w:szCs w:val="22"/>
                <w:lang w:val="en-US" w:eastAsia="zh-CN" w:bidi="ar"/>
              </w:rPr>
              <w:t>-</w:t>
            </w:r>
          </w:p>
        </w:tc>
        <w:tc>
          <w:tcPr>
            <w:tcW w:w="3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仿宋_GB2312" w:hAnsi="仿宋_GB2312" w:eastAsia="仿宋_GB2312" w:cs="仿宋_GB2312"/>
                <w:b/>
                <w:bCs/>
                <w:color w:val="000000"/>
                <w:sz w:val="22"/>
                <w:szCs w:val="22"/>
                <w:lang w:val="en-US" w:eastAsia="zh-CN"/>
              </w:rPr>
            </w:pPr>
            <w:r>
              <w:rPr>
                <w:rFonts w:hint="eastAsia" w:ascii="仿宋_GB2312" w:hAnsi="仿宋_GB2312" w:eastAsia="仿宋_GB2312" w:cs="仿宋_GB2312"/>
                <w:b/>
                <w:bCs/>
                <w:color w:val="000000"/>
                <w:sz w:val="22"/>
                <w:szCs w:val="22"/>
                <w:lang w:val="en-US" w:eastAsia="zh-CN"/>
              </w:rPr>
              <w:t>-</w:t>
            </w:r>
          </w:p>
        </w:tc>
        <w:tc>
          <w:tcPr>
            <w:tcW w:w="24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b/>
                <w:bCs/>
                <w:color w:val="000000"/>
                <w:kern w:val="0"/>
                <w:sz w:val="22"/>
                <w:szCs w:val="22"/>
                <w:lang w:val="en-US" w:eastAsia="zh-CN" w:bidi="ar"/>
              </w:rPr>
            </w:pPr>
            <w:r>
              <w:rPr>
                <w:rFonts w:hint="eastAsia" w:ascii="仿宋_GB2312" w:hAnsi="仿宋_GB2312" w:eastAsia="仿宋_GB2312" w:cs="仿宋_GB2312"/>
                <w:b/>
                <w:bCs/>
                <w:color w:val="000000"/>
                <w:kern w:val="0"/>
                <w:sz w:val="22"/>
                <w:szCs w:val="22"/>
                <w:lang w:val="en-US" w:eastAsia="zh-CN" w:bidi="ar"/>
              </w:rPr>
              <w:t>-</w:t>
            </w: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仿宋_GB2312" w:hAnsi="仿宋_GB2312" w:eastAsia="仿宋_GB2312" w:cs="仿宋_GB2312"/>
                <w:b/>
                <w:bCs/>
                <w:color w:val="000000"/>
                <w:kern w:val="0"/>
                <w:sz w:val="22"/>
                <w:szCs w:val="22"/>
                <w:lang w:val="en-US" w:eastAsia="zh-CN" w:bidi="ar"/>
              </w:rPr>
            </w:pPr>
            <w:r>
              <w:rPr>
                <w:rFonts w:hint="eastAsia" w:ascii="仿宋_GB2312" w:hAnsi="仿宋_GB2312" w:eastAsia="仿宋_GB2312" w:cs="仿宋_GB2312"/>
                <w:b/>
                <w:bCs/>
                <w:color w:val="000000"/>
                <w:kern w:val="0"/>
                <w:sz w:val="22"/>
                <w:szCs w:val="22"/>
                <w:lang w:val="en-US" w:eastAsia="zh-CN" w:bidi="ar"/>
              </w:rPr>
              <w:t>94.9</w:t>
            </w:r>
          </w:p>
        </w:tc>
      </w:tr>
    </w:tbl>
    <w:p>
      <w:pPr>
        <w:pStyle w:val="4"/>
        <w:ind w:firstLine="0" w:firstLineChars="0"/>
      </w:pPr>
    </w:p>
    <w:sectPr>
      <w:footerReference r:id="rId6" w:type="default"/>
      <w:pgSz w:w="16838" w:h="11906" w:orient="landscape"/>
      <w:pgMar w:top="1800" w:right="1440" w:bottom="1800" w:left="1440" w:header="1020" w:footer="1191" w:gutter="0"/>
      <w:pgBorders>
        <w:top w:val="none" w:sz="0" w:space="0"/>
        <w:left w:val="none" w:sz="0" w:space="0"/>
        <w:bottom w:val="none" w:sz="0" w:space="0"/>
        <w:right w:val="none" w:sz="0" w:space="0"/>
      </w:pgBorders>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86"/>
    <w:family w:val="auto"/>
    <w:pitch w:val="default"/>
    <w:sig w:usb0="00000000" w:usb1="00000000" w:usb2="00000009" w:usb3="00000000" w:csb0="400001FF" w:csb1="FFFF0000"/>
  </w:font>
  <w:font w:name="宋体">
    <w:altName w:val="方正书宋_GBK"/>
    <w:panose1 w:val="02010600030101010101"/>
    <w:charset w:val="7A"/>
    <w:family w:val="auto"/>
    <w:pitch w:val="default"/>
    <w:sig w:usb0="00000000" w:usb1="00000000" w:usb2="00000006" w:usb3="00000000" w:csb0="00040001" w:csb1="00000000"/>
  </w:font>
  <w:font w:name="Wingdings">
    <w:altName w:val="Standard Symbols PS"/>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Standard Symbols PS"/>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等线">
    <w:altName w:val="华文仿宋"/>
    <w:panose1 w:val="02010600030101010101"/>
    <w:charset w:val="86"/>
    <w:family w:val="auto"/>
    <w:pitch w:val="default"/>
    <w:sig w:usb0="00000000" w:usb1="00000000" w:usb2="00000016" w:usb3="00000000" w:csb0="0004000F" w:csb1="00000000"/>
  </w:font>
  <w:font w:name="楷体_GB2312">
    <w:altName w:val="方正楷体_GBK"/>
    <w:panose1 w:val="02010609030101010101"/>
    <w:charset w:val="86"/>
    <w:family w:val="auto"/>
    <w:pitch w:val="default"/>
    <w:sig w:usb0="00000000" w:usb1="00000000" w:usb2="00000000" w:usb3="00000000" w:csb0="00040000" w:csb1="00000000"/>
  </w:font>
  <w:font w:name="楷体">
    <w:altName w:val="方正楷体_GBK"/>
    <w:panose1 w:val="02010609060101010101"/>
    <w:charset w:val="86"/>
    <w:family w:val="modern"/>
    <w:pitch w:val="default"/>
    <w:sig w:usb0="00000000" w:usb1="00000000" w:usb2="00000016" w:usb3="00000000" w:csb0="00040001" w:csb1="00000000"/>
  </w:font>
  <w:font w:name="仿宋_GB2312">
    <w:altName w:val="方正仿宋_GBK"/>
    <w:panose1 w:val="02010609030101010101"/>
    <w:charset w:val="86"/>
    <w:family w:val="modern"/>
    <w:pitch w:val="default"/>
    <w:sig w:usb0="00000000" w:usb1="00000000" w:usb2="00000000" w:usb3="00000000" w:csb0="00040000" w:csb1="00000000"/>
  </w:font>
  <w:font w:name="等线 Light">
    <w:altName w:val="华文仿宋"/>
    <w:panose1 w:val="02010600030101010101"/>
    <w:charset w:val="86"/>
    <w:family w:val="auto"/>
    <w:pitch w:val="default"/>
    <w:sig w:usb0="00000000" w:usb1="00000000" w:usb2="00000016" w:usb3="00000000" w:csb0="0004000F" w:csb1="00000000"/>
  </w:font>
  <w:font w:name="仿宋">
    <w:altName w:val="方正仿宋_GBK"/>
    <w:panose1 w:val="02010609060101010101"/>
    <w:charset w:val="86"/>
    <w:family w:val="modern"/>
    <w:pitch w:val="default"/>
    <w:sig w:usb0="00000000" w:usb1="00000000" w:usb2="00000016" w:usb3="00000000" w:csb0="00040001" w:csb1="00000000"/>
  </w:font>
  <w:font w:name="方正小标宋简体">
    <w:panose1 w:val="02000000000000000000"/>
    <w:charset w:val="86"/>
    <w:family w:val="script"/>
    <w:pitch w:val="default"/>
    <w:sig w:usb0="A00002BF" w:usb1="184F6CFA"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Liberation Serif">
    <w:panose1 w:val="02020603050405020304"/>
    <w:charset w:val="00"/>
    <w:family w:val="auto"/>
    <w:pitch w:val="default"/>
    <w:sig w:usb0="A00002AF" w:usb1="500078FB" w:usb2="00000000" w:usb3="00000000" w:csb0="6000009F" w:csb1="DFD70000"/>
  </w:font>
  <w:font w:name="等线">
    <w:altName w:val="URW Bookman"/>
    <w:panose1 w:val="00000000000000000000"/>
    <w:charset w:val="00"/>
    <w:family w:val="auto"/>
    <w:pitch w:val="default"/>
    <w:sig w:usb0="00000000" w:usb1="00000000" w:usb2="00000000" w:usb3="00000000" w:csb0="00000000" w:csb1="00000000"/>
  </w:font>
  <w:font w:name="URW Bookman">
    <w:panose1 w:val="00000400000000000000"/>
    <w:charset w:val="00"/>
    <w:family w:val="auto"/>
    <w:pitch w:val="default"/>
    <w:sig w:usb0="00000287" w:usb1="00000800" w:usb2="00000000" w:usb3="00000000" w:csb0="6000009F" w:csb1="00000000"/>
  </w:font>
  <w:font w:name="方正楷体_GBK">
    <w:panose1 w:val="02000000000000000000"/>
    <w:charset w:val="86"/>
    <w:family w:val="auto"/>
    <w:pitch w:val="default"/>
    <w:sig w:usb0="00000001" w:usb1="08000000" w:usb2="00000000" w:usb3="00000000" w:csb0="00040000" w:csb1="00000000"/>
  </w:font>
  <w:font w:name="等线 Light">
    <w:altName w:val="URW Bookman"/>
    <w:panose1 w:val="00000000000000000000"/>
    <w:charset w:val="00"/>
    <w:family w:val="auto"/>
    <w:pitch w:val="default"/>
    <w:sig w:usb0="00000000" w:usb1="00000000" w:usb2="00000000" w:usb3="00000000" w:csb0="00000000" w:csb1="00000000"/>
  </w:font>
  <w:font w:name="Noto Sans CJK HK">
    <w:panose1 w:val="020B0600000000000000"/>
    <w:charset w:val="88"/>
    <w:family w:val="auto"/>
    <w:pitch w:val="default"/>
    <w:sig w:usb0="30000083" w:usb1="2BDF3C10" w:usb2="00000016" w:usb3="00000000" w:csb0="603A0107"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60025151"/>
    </w:sdtPr>
    <w:sdtEndPr>
      <w:rPr>
        <w:rFonts w:ascii="宋体" w:hAnsi="宋体"/>
        <w:sz w:val="28"/>
        <w:szCs w:val="28"/>
      </w:rPr>
    </w:sdtEndPr>
    <w:sdtContent>
      <w:p>
        <w:pPr>
          <w:pStyle w:val="14"/>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2</w:t>
        </w:r>
        <w:r>
          <w:rPr>
            <w:rFonts w:ascii="宋体" w:hAnsi="宋体"/>
            <w:sz w:val="28"/>
            <w:szCs w:val="28"/>
          </w:rPr>
          <w:fldChar w:fldCharType="end"/>
        </w:r>
      </w:p>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50979640"/>
    </w:sdtPr>
    <w:sdtEndPr>
      <w:rPr>
        <w:rFonts w:ascii="宋体" w:hAnsi="宋体"/>
        <w:sz w:val="28"/>
        <w:szCs w:val="28"/>
      </w:rPr>
    </w:sdtEndPr>
    <w:sdtContent>
      <w:p>
        <w:pPr>
          <w:pStyle w:val="14"/>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2</w:t>
        </w:r>
        <w:r>
          <w:rPr>
            <w:rFonts w:ascii="宋体" w:hAnsi="宋体"/>
            <w:sz w:val="28"/>
            <w:szCs w:val="28"/>
          </w:rPr>
          <w:fldChar w:fldCharType="end"/>
        </w:r>
      </w:p>
    </w:sdtContent>
  </w:sdt>
  <w:p>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26452400"/>
    </w:sdtPr>
    <w:sdtContent>
      <w:p>
        <w:pPr>
          <w:pStyle w:val="1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2</w:t>
        </w:r>
        <w:r>
          <w:rPr>
            <w:rFonts w:ascii="宋体" w:hAnsi="宋体"/>
            <w:sz w:val="28"/>
            <w:szCs w:val="28"/>
          </w:rPr>
          <w:fldChar w:fldCharType="end"/>
        </w:r>
      </w:p>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8">
    <w:p>
      <w:r>
        <w:separator/>
      </w:r>
    </w:p>
  </w:footnote>
  <w:footnote w:type="continuationSeparator" w:id="9">
    <w:p>
      <w:r>
        <w:continuationSeparator/>
      </w:r>
    </w:p>
  </w:footnote>
  <w:footnote w:id="0">
    <w:p>
      <w:pPr>
        <w:pStyle w:val="17"/>
        <w:keepNext w:val="0"/>
        <w:keepLines w:val="0"/>
        <w:pageBreakBefore w:val="0"/>
        <w:widowControl w:val="0"/>
        <w:kinsoku/>
        <w:wordWrap/>
        <w:overflowPunct/>
        <w:topLinePunct w:val="0"/>
        <w:autoSpaceDE/>
        <w:autoSpaceDN/>
        <w:bidi w:val="0"/>
        <w:adjustRightInd w:val="0"/>
        <w:snapToGrid w:val="0"/>
        <w:textAlignment w:val="auto"/>
        <w:rPr>
          <w:rFonts w:hint="eastAsia" w:ascii="宋体" w:hAnsi="宋体" w:eastAsia="宋体" w:cs="宋体"/>
          <w:lang w:val="en-US" w:eastAsia="zh-CN"/>
        </w:rPr>
      </w:pPr>
      <w:r>
        <w:rPr>
          <w:rStyle w:val="25"/>
          <w:rFonts w:hint="eastAsia" w:ascii="宋体" w:hAnsi="宋体" w:eastAsia="宋体" w:cs="宋体"/>
        </w:rPr>
        <w:footnoteRef/>
      </w:r>
      <w:r>
        <w:rPr>
          <w:rFonts w:hint="eastAsia" w:ascii="宋体" w:hAnsi="宋体" w:eastAsia="宋体" w:cs="宋体"/>
        </w:rPr>
        <w:t xml:space="preserve"> </w:t>
      </w:r>
      <w:r>
        <w:rPr>
          <w:rFonts w:hint="eastAsia" w:ascii="宋体" w:hAnsi="宋体" w:eastAsia="宋体" w:cs="宋体"/>
          <w:lang w:val="en-US" w:eastAsia="zh-CN"/>
        </w:rPr>
        <w:t>33个项目详见本报告第一部分“（一）项目概况 2.主要内容及实施情况”。</w:t>
      </w:r>
    </w:p>
  </w:footnote>
  <w:footnote w:id="1">
    <w:p>
      <w:pPr>
        <w:pStyle w:val="17"/>
        <w:snapToGrid w:val="0"/>
      </w:pPr>
      <w:r>
        <w:rPr>
          <w:rStyle w:val="25"/>
        </w:rPr>
        <w:footnoteRef/>
      </w:r>
      <w:r>
        <w:t xml:space="preserve"> </w:t>
      </w:r>
      <w:r>
        <w:rPr>
          <w:rFonts w:hint="eastAsia"/>
          <w:lang w:val="en-US" w:eastAsia="zh-CN"/>
        </w:rPr>
        <w:t>建筑站除“办公设备购置”外的所有二级项目均属于</w:t>
      </w:r>
      <w:r>
        <w:rPr>
          <w:rFonts w:hint="eastAsia"/>
        </w:rPr>
        <w:t>本项目，包括</w:t>
      </w:r>
      <w:r>
        <w:rPr>
          <w:rFonts w:hint="eastAsia"/>
          <w:lang w:val="en-US" w:eastAsia="zh-CN"/>
        </w:rPr>
        <w:t>1</w:t>
      </w:r>
      <w:r>
        <w:rPr>
          <w:rFonts w:hint="eastAsia"/>
        </w:rPr>
        <w:t>个</w:t>
      </w:r>
      <w:r>
        <w:rPr>
          <w:rFonts w:hint="eastAsia"/>
          <w:lang w:val="en-US" w:eastAsia="zh-CN"/>
        </w:rPr>
        <w:t>基层党建</w:t>
      </w:r>
      <w:r>
        <w:rPr>
          <w:rFonts w:hint="eastAsia"/>
        </w:rPr>
        <w:t>工作项目，</w:t>
      </w:r>
      <w:r>
        <w:rPr>
          <w:rFonts w:hint="eastAsia"/>
          <w:lang w:val="en-US" w:eastAsia="zh-CN"/>
        </w:rPr>
        <w:t>名称</w:t>
      </w:r>
      <w:r>
        <w:rPr>
          <w:rFonts w:hint="eastAsia"/>
        </w:rPr>
        <w:t>为“基层党组织活动经费”</w:t>
      </w:r>
      <w:r>
        <w:rPr>
          <w:rFonts w:hint="eastAsia"/>
          <w:lang w:eastAsia="zh-CN"/>
        </w:rPr>
        <w:t>，</w:t>
      </w:r>
      <w:r>
        <w:rPr>
          <w:rFonts w:hint="eastAsia"/>
          <w:lang w:val="en-US" w:eastAsia="zh-CN"/>
        </w:rPr>
        <w:t>主要目标</w:t>
      </w:r>
      <w:r>
        <w:rPr>
          <w:rFonts w:hint="eastAsia"/>
        </w:rPr>
        <w:t>为提高建筑站党员队伍的整体素质</w:t>
      </w:r>
      <w:r>
        <w:rPr>
          <w:rFonts w:hint="eastAsia"/>
          <w:lang w:eastAsia="zh-CN"/>
        </w:rPr>
        <w:t>，</w:t>
      </w:r>
      <w:r>
        <w:rPr>
          <w:rFonts w:hint="eastAsia"/>
        </w:rPr>
        <w:t>有效保障建筑站履职工作正常运转。鉴于其项目内容的特殊性，报告主体部分不予赘述。</w:t>
      </w:r>
    </w:p>
  </w:footnote>
  <w:footnote w:id="2">
    <w:p>
      <w:pPr>
        <w:pStyle w:val="17"/>
        <w:keepNext w:val="0"/>
        <w:keepLines w:val="0"/>
        <w:pageBreakBefore w:val="0"/>
        <w:widowControl w:val="0"/>
        <w:kinsoku/>
        <w:wordWrap/>
        <w:overflowPunct/>
        <w:topLinePunct w:val="0"/>
        <w:autoSpaceDE/>
        <w:autoSpaceDN/>
        <w:bidi w:val="0"/>
        <w:adjustRightInd w:val="0"/>
        <w:snapToGrid w:val="0"/>
        <w:textAlignment w:val="auto"/>
        <w:rPr>
          <w:rFonts w:hint="default" w:ascii="宋体" w:hAnsi="宋体" w:eastAsia="宋体" w:cs="宋体"/>
          <w:lang w:val="en-US" w:eastAsia="zh-CN"/>
        </w:rPr>
      </w:pPr>
      <w:r>
        <w:rPr>
          <w:rStyle w:val="25"/>
          <w:rFonts w:hint="eastAsia" w:ascii="宋体" w:hAnsi="宋体" w:eastAsia="宋体" w:cs="宋体"/>
        </w:rPr>
        <w:footnoteRef/>
      </w:r>
      <w:r>
        <w:rPr>
          <w:rFonts w:hint="eastAsia" w:ascii="宋体" w:hAnsi="宋体" w:eastAsia="宋体" w:cs="宋体"/>
        </w:rPr>
        <w:t xml:space="preserve"> </w:t>
      </w:r>
      <w:r>
        <w:rPr>
          <w:rFonts w:hint="eastAsia" w:ascii="宋体" w:hAnsi="宋体" w:eastAsia="宋体" w:cs="宋体"/>
          <w:lang w:val="en-US" w:eastAsia="zh-CN"/>
        </w:rPr>
        <w:t>市政站所有二级项目均在</w:t>
      </w:r>
      <w:r>
        <w:rPr>
          <w:rFonts w:hint="eastAsia" w:ascii="宋体" w:hAnsi="宋体" w:cs="宋体"/>
          <w:lang w:val="en-US" w:eastAsia="zh-CN"/>
        </w:rPr>
        <w:t>本项目下，包括</w:t>
      </w:r>
      <w:r>
        <w:rPr>
          <w:rFonts w:hint="eastAsia" w:ascii="宋体" w:hAnsi="宋体" w:eastAsia="宋体" w:cs="宋体"/>
          <w:lang w:val="en-US" w:eastAsia="zh-CN"/>
        </w:rPr>
        <w:t>3个保障日常工作项目，分别为“办公设备购置”“税金及附加费用”和“信息网络及软件购置更新”，上述项目目标为为市政站办公提供及时、可靠的硬件支撑和软件支撑，提高市政站办公效率，有效保证建设工程质量安全监督工作正常、规范开展。鉴于其项目内容的特殊性，报告主体部分不予赘述。</w:t>
      </w:r>
    </w:p>
  </w:footnote>
  <w:footnote w:id="3">
    <w:p>
      <w:pPr>
        <w:pStyle w:val="17"/>
      </w:pPr>
      <w:r>
        <w:rPr>
          <w:rStyle w:val="25"/>
        </w:rPr>
        <w:footnoteRef/>
      </w:r>
      <w:r>
        <w:rPr>
          <w:rFonts w:hint="eastAsia"/>
        </w:rPr>
        <w:t>《深圳市财政局关于印发&lt;深圳市市级项目支出绩效评价工作规程&gt;的通知</w:t>
      </w:r>
      <w:r>
        <w:t>》（</w:t>
      </w:r>
      <w:r>
        <w:rPr>
          <w:rFonts w:hint="eastAsia"/>
        </w:rPr>
        <w:t>深财绩〔2020〕14号</w:t>
      </w:r>
      <w:r>
        <w:t>），</w:t>
      </w:r>
      <w:r>
        <w:rPr>
          <w:rFonts w:hint="eastAsia"/>
        </w:rPr>
        <w:t>总分一般设置为100分，等级一般划分为四档：90（含）-100分为优、80（含）-90分为良、60（含）-80分为中、60分以下为差。</w:t>
      </w:r>
    </w:p>
    <w:p>
      <w:pPr>
        <w:pStyle w:val="17"/>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0671B8"/>
    <w:multiLevelType w:val="multilevel"/>
    <w:tmpl w:val="610671B8"/>
    <w:lvl w:ilvl="0" w:tentative="0">
      <w:start w:val="1"/>
      <w:numFmt w:val="chineseCountingThousand"/>
      <w:pStyle w:val="3"/>
      <w:suff w:val="nothing"/>
      <w:lvlText w:val="%1、"/>
      <w:lvlJc w:val="left"/>
      <w:pPr>
        <w:ind w:left="425" w:hanging="425"/>
      </w:pPr>
      <w:rPr>
        <w:rFonts w:hint="eastAsia"/>
      </w:rPr>
    </w:lvl>
    <w:lvl w:ilvl="1" w:tentative="0">
      <w:start w:val="1"/>
      <w:numFmt w:val="chineseCountingThousand"/>
      <w:pStyle w:val="5"/>
      <w:suff w:val="nothing"/>
      <w:lvlText w:val="（%2）"/>
      <w:lvlJc w:val="left"/>
      <w:pPr>
        <w:ind w:left="5388" w:hanging="567"/>
      </w:pPr>
      <w:rPr>
        <w:rFonts w:hint="eastAsia" w:ascii="楷体_GB2312" w:hAnsi="楷体_GB2312" w:eastAsia="楷体_GB2312" w:cs="楷体_GB2312"/>
        <w:b w:val="0"/>
        <w:bCs w:val="0"/>
        <w:i w:val="0"/>
        <w:iCs w:val="0"/>
        <w:caps w:val="0"/>
        <w:smallCaps w:val="0"/>
        <w:strike w:val="0"/>
        <w:dstrike w:val="0"/>
        <w:outline w:val="0"/>
        <w:shadow w:val="0"/>
        <w:emboss w:val="0"/>
        <w:imprint w:val="0"/>
        <w:vanish w:val="0"/>
        <w:spacing w:val="0"/>
        <w:position w:val="0"/>
        <w:sz w:val="32"/>
        <w:szCs w:val="32"/>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2" w:tentative="0">
      <w:start w:val="1"/>
      <w:numFmt w:val="decimal"/>
      <w:pStyle w:val="6"/>
      <w:suff w:val="nothing"/>
      <w:lvlText w:val="%3. "/>
      <w:lvlJc w:val="left"/>
      <w:pPr>
        <w:ind w:left="992" w:hanging="567"/>
      </w:pPr>
      <w:rPr>
        <w:rFonts w:hint="eastAsia"/>
      </w:rPr>
    </w:lvl>
    <w:lvl w:ilvl="3" w:tentative="0">
      <w:start w:val="1"/>
      <w:numFmt w:val="decimal"/>
      <w:pStyle w:val="7"/>
      <w:suff w:val="nothing"/>
      <w:lvlText w:val="（%4）"/>
      <w:lvlJc w:val="left"/>
      <w:pPr>
        <w:ind w:left="992" w:hanging="425"/>
      </w:pPr>
      <w:rPr>
        <w:rFonts w:hint="eastAsia"/>
      </w:rPr>
    </w:lvl>
    <w:lvl w:ilvl="4" w:tentative="0">
      <w:start w:val="1"/>
      <w:numFmt w:val="decimal"/>
      <w:pStyle w:val="8"/>
      <w:suff w:val="nothing"/>
      <w:lvlText w:val="%5）"/>
      <w:lvlJc w:val="left"/>
      <w:pPr>
        <w:ind w:left="992" w:hanging="113"/>
      </w:pPr>
      <w:rPr>
        <w:rFonts w:hint="eastAsia"/>
      </w:rPr>
    </w:lvl>
    <w:lvl w:ilvl="5" w:tentative="0">
      <w:start w:val="1"/>
      <w:numFmt w:val="decimal"/>
      <w:pStyle w:val="43"/>
      <w:suff w:val="nothing"/>
      <w:lvlText w:val="附件%6 "/>
      <w:lvlJc w:val="left"/>
      <w:pPr>
        <w:ind w:left="0" w:firstLine="0"/>
      </w:pPr>
      <w:rPr>
        <w:rFonts w:hint="eastAsia"/>
      </w:rPr>
    </w:lvl>
    <w:lvl w:ilvl="6" w:tentative="0">
      <w:start w:val="1"/>
      <w:numFmt w:val="chineseCountingThousand"/>
      <w:suff w:val="nothing"/>
      <w:lvlText w:val="%7、"/>
      <w:lvlJc w:val="left"/>
      <w:pPr>
        <w:ind w:left="992" w:hanging="567"/>
      </w:pPr>
      <w:rPr>
        <w:rFonts w:hint="eastAsia"/>
      </w:rPr>
    </w:lvl>
    <w:lvl w:ilvl="7" w:tentative="0">
      <w:start w:val="1"/>
      <w:numFmt w:val="chineseCountingThousand"/>
      <w:suff w:val="nothing"/>
      <w:lvlText w:val="（%8）"/>
      <w:lvlJc w:val="left"/>
      <w:pPr>
        <w:ind w:left="992" w:hanging="567"/>
      </w:pPr>
      <w:rPr>
        <w:rFonts w:hint="eastAsia"/>
      </w:rPr>
    </w:lvl>
    <w:lvl w:ilvl="8" w:tentative="0">
      <w:start w:val="1"/>
      <w:numFmt w:val="decimal"/>
      <w:suff w:val="nothing"/>
      <w:lvlText w:val="%9. "/>
      <w:lvlJc w:val="left"/>
      <w:pPr>
        <w:ind w:left="992" w:hanging="567"/>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oNotDisplayPageBoundaries w:val="true"/>
  <w:bordersDoNotSurroundHeader w:val="false"/>
  <w:bordersDoNotSurroundFooter w:val="false"/>
  <w:documentProtection w:enforcement="0"/>
  <w:defaultTabStop w:val="420"/>
  <w:evenAndOddHeaders w:val="true"/>
  <w:drawingGridHorizontalSpacing w:val="105"/>
  <w:drawingGridVerticalSpacing w:val="156"/>
  <w:displayHorizontalDrawingGridEvery w:val="1"/>
  <w:displayVerticalDrawingGridEvery w:val="1"/>
  <w:noPunctuationKerning w:val="true"/>
  <w:characterSpacingControl w:val="compressPunctuation"/>
  <w:footnotePr>
    <w:footnote w:id="8"/>
    <w:footnote w:id="9"/>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BmNzFhNTE2ODA4NWNjMzY3MDUyM2Q1MGJjODVmODYifQ=="/>
  </w:docVars>
  <w:rsids>
    <w:rsidRoot w:val="35747EEC"/>
    <w:rsid w:val="0000372D"/>
    <w:rsid w:val="00006500"/>
    <w:rsid w:val="00006878"/>
    <w:rsid w:val="00006D0C"/>
    <w:rsid w:val="0001274E"/>
    <w:rsid w:val="000140D8"/>
    <w:rsid w:val="000151FD"/>
    <w:rsid w:val="00015FD7"/>
    <w:rsid w:val="00017DAD"/>
    <w:rsid w:val="000272B8"/>
    <w:rsid w:val="0003406E"/>
    <w:rsid w:val="00035C58"/>
    <w:rsid w:val="0004194F"/>
    <w:rsid w:val="00042277"/>
    <w:rsid w:val="00042F15"/>
    <w:rsid w:val="00044534"/>
    <w:rsid w:val="0005304B"/>
    <w:rsid w:val="000540C9"/>
    <w:rsid w:val="0005634B"/>
    <w:rsid w:val="00057D23"/>
    <w:rsid w:val="00066C9A"/>
    <w:rsid w:val="00071965"/>
    <w:rsid w:val="00076E6D"/>
    <w:rsid w:val="00083FCC"/>
    <w:rsid w:val="00087F3A"/>
    <w:rsid w:val="000A06A8"/>
    <w:rsid w:val="000A2586"/>
    <w:rsid w:val="000A54DC"/>
    <w:rsid w:val="000B61E9"/>
    <w:rsid w:val="000C0DDB"/>
    <w:rsid w:val="000C748F"/>
    <w:rsid w:val="000C796B"/>
    <w:rsid w:val="000E7518"/>
    <w:rsid w:val="000E7F1A"/>
    <w:rsid w:val="000F099B"/>
    <w:rsid w:val="000F2B10"/>
    <w:rsid w:val="00102E6B"/>
    <w:rsid w:val="001129DA"/>
    <w:rsid w:val="00114DEE"/>
    <w:rsid w:val="00121E22"/>
    <w:rsid w:val="0013021A"/>
    <w:rsid w:val="00134901"/>
    <w:rsid w:val="00146A17"/>
    <w:rsid w:val="00147A7E"/>
    <w:rsid w:val="00153E1C"/>
    <w:rsid w:val="00162AE4"/>
    <w:rsid w:val="00172053"/>
    <w:rsid w:val="001804FE"/>
    <w:rsid w:val="001807D4"/>
    <w:rsid w:val="00182C86"/>
    <w:rsid w:val="0019568B"/>
    <w:rsid w:val="0019781C"/>
    <w:rsid w:val="001A114C"/>
    <w:rsid w:val="001A11C6"/>
    <w:rsid w:val="001B24EE"/>
    <w:rsid w:val="001B3487"/>
    <w:rsid w:val="001B486E"/>
    <w:rsid w:val="001B5EC6"/>
    <w:rsid w:val="001D08B5"/>
    <w:rsid w:val="001D0A7E"/>
    <w:rsid w:val="001E4440"/>
    <w:rsid w:val="00205845"/>
    <w:rsid w:val="0020720F"/>
    <w:rsid w:val="002077E2"/>
    <w:rsid w:val="0021302C"/>
    <w:rsid w:val="002133E7"/>
    <w:rsid w:val="00213B66"/>
    <w:rsid w:val="00217A62"/>
    <w:rsid w:val="00220818"/>
    <w:rsid w:val="0022213C"/>
    <w:rsid w:val="00222A88"/>
    <w:rsid w:val="0023442A"/>
    <w:rsid w:val="00237C0D"/>
    <w:rsid w:val="0024330C"/>
    <w:rsid w:val="00254549"/>
    <w:rsid w:val="002616C2"/>
    <w:rsid w:val="00270F7F"/>
    <w:rsid w:val="00272D30"/>
    <w:rsid w:val="00277770"/>
    <w:rsid w:val="00280DA2"/>
    <w:rsid w:val="00281BB1"/>
    <w:rsid w:val="00291D2F"/>
    <w:rsid w:val="002A25E0"/>
    <w:rsid w:val="002A4B8C"/>
    <w:rsid w:val="002A706D"/>
    <w:rsid w:val="002A70CE"/>
    <w:rsid w:val="002B01E4"/>
    <w:rsid w:val="002B1BDA"/>
    <w:rsid w:val="002B41A0"/>
    <w:rsid w:val="002B4447"/>
    <w:rsid w:val="002C573F"/>
    <w:rsid w:val="002C62F6"/>
    <w:rsid w:val="002D0190"/>
    <w:rsid w:val="002D20F7"/>
    <w:rsid w:val="002D24DE"/>
    <w:rsid w:val="002D35B0"/>
    <w:rsid w:val="002E12DF"/>
    <w:rsid w:val="002E1CAE"/>
    <w:rsid w:val="002E396A"/>
    <w:rsid w:val="002E777C"/>
    <w:rsid w:val="002F2114"/>
    <w:rsid w:val="002F3B1A"/>
    <w:rsid w:val="002F5C0C"/>
    <w:rsid w:val="003002D8"/>
    <w:rsid w:val="00303D21"/>
    <w:rsid w:val="00306E74"/>
    <w:rsid w:val="00325501"/>
    <w:rsid w:val="00327A69"/>
    <w:rsid w:val="003310EB"/>
    <w:rsid w:val="00332F36"/>
    <w:rsid w:val="00335DAF"/>
    <w:rsid w:val="00337CD7"/>
    <w:rsid w:val="0034355A"/>
    <w:rsid w:val="00345744"/>
    <w:rsid w:val="00345DA4"/>
    <w:rsid w:val="00345EF3"/>
    <w:rsid w:val="00351421"/>
    <w:rsid w:val="00356990"/>
    <w:rsid w:val="00356FCE"/>
    <w:rsid w:val="003610C4"/>
    <w:rsid w:val="00364793"/>
    <w:rsid w:val="003675EB"/>
    <w:rsid w:val="0037780A"/>
    <w:rsid w:val="003828E5"/>
    <w:rsid w:val="0039002F"/>
    <w:rsid w:val="00390FDC"/>
    <w:rsid w:val="00394649"/>
    <w:rsid w:val="0039624B"/>
    <w:rsid w:val="00396FAE"/>
    <w:rsid w:val="00397DBF"/>
    <w:rsid w:val="003A1144"/>
    <w:rsid w:val="003A3494"/>
    <w:rsid w:val="003B06BC"/>
    <w:rsid w:val="003B44D3"/>
    <w:rsid w:val="003B45AE"/>
    <w:rsid w:val="003B5622"/>
    <w:rsid w:val="003C5AB2"/>
    <w:rsid w:val="003D3060"/>
    <w:rsid w:val="003D5E34"/>
    <w:rsid w:val="003E3FCA"/>
    <w:rsid w:val="003E5E49"/>
    <w:rsid w:val="003E67AE"/>
    <w:rsid w:val="003F0176"/>
    <w:rsid w:val="003F3495"/>
    <w:rsid w:val="003F6588"/>
    <w:rsid w:val="0041161A"/>
    <w:rsid w:val="00412277"/>
    <w:rsid w:val="00416147"/>
    <w:rsid w:val="00420116"/>
    <w:rsid w:val="004266F1"/>
    <w:rsid w:val="004408E8"/>
    <w:rsid w:val="004531F9"/>
    <w:rsid w:val="004605C1"/>
    <w:rsid w:val="00461EC2"/>
    <w:rsid w:val="00474E96"/>
    <w:rsid w:val="00475C42"/>
    <w:rsid w:val="00477F73"/>
    <w:rsid w:val="00486DBC"/>
    <w:rsid w:val="0048764E"/>
    <w:rsid w:val="00491525"/>
    <w:rsid w:val="00493F68"/>
    <w:rsid w:val="00496E3A"/>
    <w:rsid w:val="004A1269"/>
    <w:rsid w:val="004A5E40"/>
    <w:rsid w:val="004A7453"/>
    <w:rsid w:val="004B1DB1"/>
    <w:rsid w:val="004C1572"/>
    <w:rsid w:val="004C23FA"/>
    <w:rsid w:val="004C4555"/>
    <w:rsid w:val="004D515D"/>
    <w:rsid w:val="004D5BB2"/>
    <w:rsid w:val="004E294C"/>
    <w:rsid w:val="004E5422"/>
    <w:rsid w:val="004F1170"/>
    <w:rsid w:val="00510791"/>
    <w:rsid w:val="00516F0E"/>
    <w:rsid w:val="005172DD"/>
    <w:rsid w:val="005176AA"/>
    <w:rsid w:val="00522C62"/>
    <w:rsid w:val="0052613F"/>
    <w:rsid w:val="005261D8"/>
    <w:rsid w:val="0053230A"/>
    <w:rsid w:val="00534D4B"/>
    <w:rsid w:val="00535B45"/>
    <w:rsid w:val="00546D71"/>
    <w:rsid w:val="00546E78"/>
    <w:rsid w:val="00547F0E"/>
    <w:rsid w:val="00550593"/>
    <w:rsid w:val="00550DBC"/>
    <w:rsid w:val="00551552"/>
    <w:rsid w:val="00560DED"/>
    <w:rsid w:val="00562AB9"/>
    <w:rsid w:val="00562BBE"/>
    <w:rsid w:val="00563D91"/>
    <w:rsid w:val="00585352"/>
    <w:rsid w:val="005865EA"/>
    <w:rsid w:val="00594876"/>
    <w:rsid w:val="00595F34"/>
    <w:rsid w:val="005A67F5"/>
    <w:rsid w:val="005B11C8"/>
    <w:rsid w:val="005B3D96"/>
    <w:rsid w:val="005C0526"/>
    <w:rsid w:val="005C4184"/>
    <w:rsid w:val="005C7243"/>
    <w:rsid w:val="005C7953"/>
    <w:rsid w:val="005D2D9A"/>
    <w:rsid w:val="005D3B5F"/>
    <w:rsid w:val="005D6FA3"/>
    <w:rsid w:val="005E16C6"/>
    <w:rsid w:val="005E2149"/>
    <w:rsid w:val="005F2B69"/>
    <w:rsid w:val="005F363F"/>
    <w:rsid w:val="005F4C42"/>
    <w:rsid w:val="00604B75"/>
    <w:rsid w:val="00607F4F"/>
    <w:rsid w:val="00610C44"/>
    <w:rsid w:val="00615CB0"/>
    <w:rsid w:val="006161C5"/>
    <w:rsid w:val="0062031A"/>
    <w:rsid w:val="0062793E"/>
    <w:rsid w:val="006468EC"/>
    <w:rsid w:val="00651F02"/>
    <w:rsid w:val="006612A1"/>
    <w:rsid w:val="00670309"/>
    <w:rsid w:val="00672BF2"/>
    <w:rsid w:val="00681991"/>
    <w:rsid w:val="006852C1"/>
    <w:rsid w:val="00687549"/>
    <w:rsid w:val="006916EB"/>
    <w:rsid w:val="00692BE5"/>
    <w:rsid w:val="00696363"/>
    <w:rsid w:val="006A515F"/>
    <w:rsid w:val="006B06E6"/>
    <w:rsid w:val="006B1DEF"/>
    <w:rsid w:val="006B5747"/>
    <w:rsid w:val="006B6D34"/>
    <w:rsid w:val="006C0552"/>
    <w:rsid w:val="006D38B2"/>
    <w:rsid w:val="006D6D05"/>
    <w:rsid w:val="006E1680"/>
    <w:rsid w:val="006E3C10"/>
    <w:rsid w:val="006F0784"/>
    <w:rsid w:val="006F0874"/>
    <w:rsid w:val="006F117D"/>
    <w:rsid w:val="0073585A"/>
    <w:rsid w:val="00744BAE"/>
    <w:rsid w:val="0075187C"/>
    <w:rsid w:val="007527A3"/>
    <w:rsid w:val="00753AE2"/>
    <w:rsid w:val="00762975"/>
    <w:rsid w:val="0076568F"/>
    <w:rsid w:val="0076762C"/>
    <w:rsid w:val="007810D1"/>
    <w:rsid w:val="0078337F"/>
    <w:rsid w:val="00790042"/>
    <w:rsid w:val="007A4A13"/>
    <w:rsid w:val="007B64E2"/>
    <w:rsid w:val="007C1028"/>
    <w:rsid w:val="007C46E2"/>
    <w:rsid w:val="007C5DBA"/>
    <w:rsid w:val="007D2BF8"/>
    <w:rsid w:val="007D34AD"/>
    <w:rsid w:val="007E42B8"/>
    <w:rsid w:val="007E44F0"/>
    <w:rsid w:val="007E4D59"/>
    <w:rsid w:val="0080270A"/>
    <w:rsid w:val="00811E62"/>
    <w:rsid w:val="00814CB2"/>
    <w:rsid w:val="008301E8"/>
    <w:rsid w:val="0084030D"/>
    <w:rsid w:val="00843E70"/>
    <w:rsid w:val="008451DF"/>
    <w:rsid w:val="008454A4"/>
    <w:rsid w:val="0084599A"/>
    <w:rsid w:val="008461D5"/>
    <w:rsid w:val="00851BE1"/>
    <w:rsid w:val="00854CC0"/>
    <w:rsid w:val="00864B0D"/>
    <w:rsid w:val="008656D4"/>
    <w:rsid w:val="00865A64"/>
    <w:rsid w:val="00866B8A"/>
    <w:rsid w:val="00870FCE"/>
    <w:rsid w:val="00875970"/>
    <w:rsid w:val="00876C42"/>
    <w:rsid w:val="008822AB"/>
    <w:rsid w:val="008909AF"/>
    <w:rsid w:val="008928C4"/>
    <w:rsid w:val="008A384D"/>
    <w:rsid w:val="008A4DAC"/>
    <w:rsid w:val="008A5D44"/>
    <w:rsid w:val="008A7CA7"/>
    <w:rsid w:val="008C1C4A"/>
    <w:rsid w:val="008C56C4"/>
    <w:rsid w:val="008F14EB"/>
    <w:rsid w:val="008F3407"/>
    <w:rsid w:val="008F3C77"/>
    <w:rsid w:val="008F3F0C"/>
    <w:rsid w:val="008F51FF"/>
    <w:rsid w:val="00910FBE"/>
    <w:rsid w:val="00911590"/>
    <w:rsid w:val="0091217C"/>
    <w:rsid w:val="00912511"/>
    <w:rsid w:val="00932EA2"/>
    <w:rsid w:val="00934749"/>
    <w:rsid w:val="00936529"/>
    <w:rsid w:val="00944FA3"/>
    <w:rsid w:val="00945CB2"/>
    <w:rsid w:val="00946953"/>
    <w:rsid w:val="009535A2"/>
    <w:rsid w:val="00955D3D"/>
    <w:rsid w:val="0096155B"/>
    <w:rsid w:val="009616F6"/>
    <w:rsid w:val="00970C82"/>
    <w:rsid w:val="009740A2"/>
    <w:rsid w:val="00977054"/>
    <w:rsid w:val="00987A81"/>
    <w:rsid w:val="00993EFB"/>
    <w:rsid w:val="00994DD9"/>
    <w:rsid w:val="00996D8B"/>
    <w:rsid w:val="009A45A0"/>
    <w:rsid w:val="009A6EC2"/>
    <w:rsid w:val="009B506F"/>
    <w:rsid w:val="009B5C0F"/>
    <w:rsid w:val="009B6DDE"/>
    <w:rsid w:val="009C2455"/>
    <w:rsid w:val="009C3E17"/>
    <w:rsid w:val="009C456A"/>
    <w:rsid w:val="009E5B2A"/>
    <w:rsid w:val="009F31E9"/>
    <w:rsid w:val="009F536F"/>
    <w:rsid w:val="009F5961"/>
    <w:rsid w:val="00A04CEC"/>
    <w:rsid w:val="00A05231"/>
    <w:rsid w:val="00A05699"/>
    <w:rsid w:val="00A134E9"/>
    <w:rsid w:val="00A14591"/>
    <w:rsid w:val="00A15EBF"/>
    <w:rsid w:val="00A16EF8"/>
    <w:rsid w:val="00A231F7"/>
    <w:rsid w:val="00A264BB"/>
    <w:rsid w:val="00A313CE"/>
    <w:rsid w:val="00A315AF"/>
    <w:rsid w:val="00A31E86"/>
    <w:rsid w:val="00A36967"/>
    <w:rsid w:val="00A4228C"/>
    <w:rsid w:val="00A42809"/>
    <w:rsid w:val="00A45EB3"/>
    <w:rsid w:val="00A47F5F"/>
    <w:rsid w:val="00A52399"/>
    <w:rsid w:val="00A53AB1"/>
    <w:rsid w:val="00A64AFB"/>
    <w:rsid w:val="00A6677A"/>
    <w:rsid w:val="00A670C7"/>
    <w:rsid w:val="00A724DF"/>
    <w:rsid w:val="00A735D6"/>
    <w:rsid w:val="00A81B30"/>
    <w:rsid w:val="00A8283F"/>
    <w:rsid w:val="00A90A48"/>
    <w:rsid w:val="00A91A1E"/>
    <w:rsid w:val="00AA0205"/>
    <w:rsid w:val="00AA4DC5"/>
    <w:rsid w:val="00AA6DFA"/>
    <w:rsid w:val="00AB308A"/>
    <w:rsid w:val="00AB339C"/>
    <w:rsid w:val="00AB35FD"/>
    <w:rsid w:val="00AB4A8D"/>
    <w:rsid w:val="00AC0039"/>
    <w:rsid w:val="00AC77DC"/>
    <w:rsid w:val="00AD3D90"/>
    <w:rsid w:val="00AD47F0"/>
    <w:rsid w:val="00AE1035"/>
    <w:rsid w:val="00AF2E37"/>
    <w:rsid w:val="00B02376"/>
    <w:rsid w:val="00B030FC"/>
    <w:rsid w:val="00B14B55"/>
    <w:rsid w:val="00B2050E"/>
    <w:rsid w:val="00B22A7E"/>
    <w:rsid w:val="00B274E4"/>
    <w:rsid w:val="00B347A4"/>
    <w:rsid w:val="00B4122F"/>
    <w:rsid w:val="00B41E08"/>
    <w:rsid w:val="00B44896"/>
    <w:rsid w:val="00B45619"/>
    <w:rsid w:val="00B53126"/>
    <w:rsid w:val="00B53D21"/>
    <w:rsid w:val="00B66129"/>
    <w:rsid w:val="00B66F45"/>
    <w:rsid w:val="00B75F53"/>
    <w:rsid w:val="00B76B39"/>
    <w:rsid w:val="00B77990"/>
    <w:rsid w:val="00B806EB"/>
    <w:rsid w:val="00B81A30"/>
    <w:rsid w:val="00B82711"/>
    <w:rsid w:val="00B87DFC"/>
    <w:rsid w:val="00B924E2"/>
    <w:rsid w:val="00B934BC"/>
    <w:rsid w:val="00BA7537"/>
    <w:rsid w:val="00BB1B50"/>
    <w:rsid w:val="00BB5C63"/>
    <w:rsid w:val="00BB6DE3"/>
    <w:rsid w:val="00BC35C6"/>
    <w:rsid w:val="00BC6C7A"/>
    <w:rsid w:val="00BC6E4B"/>
    <w:rsid w:val="00BD31FF"/>
    <w:rsid w:val="00BD3244"/>
    <w:rsid w:val="00BD5790"/>
    <w:rsid w:val="00BD65BA"/>
    <w:rsid w:val="00BE05D4"/>
    <w:rsid w:val="00BE0C60"/>
    <w:rsid w:val="00BE2449"/>
    <w:rsid w:val="00BF5B0B"/>
    <w:rsid w:val="00C04EED"/>
    <w:rsid w:val="00C0701C"/>
    <w:rsid w:val="00C14179"/>
    <w:rsid w:val="00C149BF"/>
    <w:rsid w:val="00C20481"/>
    <w:rsid w:val="00C222DD"/>
    <w:rsid w:val="00C23D2E"/>
    <w:rsid w:val="00C32C0F"/>
    <w:rsid w:val="00C32CB0"/>
    <w:rsid w:val="00C334B0"/>
    <w:rsid w:val="00C35EF5"/>
    <w:rsid w:val="00C41F05"/>
    <w:rsid w:val="00C42E0E"/>
    <w:rsid w:val="00C4459E"/>
    <w:rsid w:val="00C47486"/>
    <w:rsid w:val="00C515BC"/>
    <w:rsid w:val="00C5209B"/>
    <w:rsid w:val="00C52C54"/>
    <w:rsid w:val="00C53172"/>
    <w:rsid w:val="00C5751C"/>
    <w:rsid w:val="00C57D10"/>
    <w:rsid w:val="00C705E2"/>
    <w:rsid w:val="00C71C8D"/>
    <w:rsid w:val="00C71F06"/>
    <w:rsid w:val="00C772DF"/>
    <w:rsid w:val="00C7785A"/>
    <w:rsid w:val="00C77E87"/>
    <w:rsid w:val="00C9453F"/>
    <w:rsid w:val="00C94566"/>
    <w:rsid w:val="00CA53E1"/>
    <w:rsid w:val="00CA7294"/>
    <w:rsid w:val="00CB287A"/>
    <w:rsid w:val="00CB3D5E"/>
    <w:rsid w:val="00CC10C4"/>
    <w:rsid w:val="00CC2F11"/>
    <w:rsid w:val="00CC5370"/>
    <w:rsid w:val="00CC7695"/>
    <w:rsid w:val="00CD5214"/>
    <w:rsid w:val="00CE34B5"/>
    <w:rsid w:val="00CE4282"/>
    <w:rsid w:val="00CE7600"/>
    <w:rsid w:val="00CF4C36"/>
    <w:rsid w:val="00CF64E6"/>
    <w:rsid w:val="00D00867"/>
    <w:rsid w:val="00D025D3"/>
    <w:rsid w:val="00D07462"/>
    <w:rsid w:val="00D12E76"/>
    <w:rsid w:val="00D24507"/>
    <w:rsid w:val="00D3096C"/>
    <w:rsid w:val="00D32DBF"/>
    <w:rsid w:val="00D404FC"/>
    <w:rsid w:val="00D40793"/>
    <w:rsid w:val="00D452C5"/>
    <w:rsid w:val="00D55623"/>
    <w:rsid w:val="00D732C7"/>
    <w:rsid w:val="00D74E79"/>
    <w:rsid w:val="00D8110D"/>
    <w:rsid w:val="00D8113E"/>
    <w:rsid w:val="00D91C27"/>
    <w:rsid w:val="00D92D98"/>
    <w:rsid w:val="00DB1A23"/>
    <w:rsid w:val="00DB4599"/>
    <w:rsid w:val="00DC2E99"/>
    <w:rsid w:val="00DD544F"/>
    <w:rsid w:val="00DE254C"/>
    <w:rsid w:val="00E04113"/>
    <w:rsid w:val="00E041C3"/>
    <w:rsid w:val="00E11575"/>
    <w:rsid w:val="00E20797"/>
    <w:rsid w:val="00E22233"/>
    <w:rsid w:val="00E223C2"/>
    <w:rsid w:val="00E331BB"/>
    <w:rsid w:val="00E34DC0"/>
    <w:rsid w:val="00E427DD"/>
    <w:rsid w:val="00E43199"/>
    <w:rsid w:val="00E4467C"/>
    <w:rsid w:val="00E449A7"/>
    <w:rsid w:val="00E472D0"/>
    <w:rsid w:val="00E5701D"/>
    <w:rsid w:val="00E627D4"/>
    <w:rsid w:val="00E63648"/>
    <w:rsid w:val="00E63A5E"/>
    <w:rsid w:val="00E6498D"/>
    <w:rsid w:val="00E67459"/>
    <w:rsid w:val="00E76BE2"/>
    <w:rsid w:val="00E81226"/>
    <w:rsid w:val="00E83A65"/>
    <w:rsid w:val="00E874F2"/>
    <w:rsid w:val="00E90F75"/>
    <w:rsid w:val="00E9227A"/>
    <w:rsid w:val="00E93E5C"/>
    <w:rsid w:val="00E95B73"/>
    <w:rsid w:val="00E979F4"/>
    <w:rsid w:val="00EA5937"/>
    <w:rsid w:val="00EA64FF"/>
    <w:rsid w:val="00EA6C50"/>
    <w:rsid w:val="00EC1253"/>
    <w:rsid w:val="00EC2DCA"/>
    <w:rsid w:val="00EC42B2"/>
    <w:rsid w:val="00ED6BAA"/>
    <w:rsid w:val="00EE3167"/>
    <w:rsid w:val="00EF1D4A"/>
    <w:rsid w:val="00EF1FA9"/>
    <w:rsid w:val="00F03FE3"/>
    <w:rsid w:val="00F0575E"/>
    <w:rsid w:val="00F076D3"/>
    <w:rsid w:val="00F114F1"/>
    <w:rsid w:val="00F116C4"/>
    <w:rsid w:val="00F11C75"/>
    <w:rsid w:val="00F14EA6"/>
    <w:rsid w:val="00F14FFC"/>
    <w:rsid w:val="00F177AD"/>
    <w:rsid w:val="00F17C49"/>
    <w:rsid w:val="00F23020"/>
    <w:rsid w:val="00F2368F"/>
    <w:rsid w:val="00F23AF7"/>
    <w:rsid w:val="00F24ACB"/>
    <w:rsid w:val="00F31CE1"/>
    <w:rsid w:val="00F34735"/>
    <w:rsid w:val="00F42595"/>
    <w:rsid w:val="00F44014"/>
    <w:rsid w:val="00F45F74"/>
    <w:rsid w:val="00F56148"/>
    <w:rsid w:val="00F70430"/>
    <w:rsid w:val="00F72106"/>
    <w:rsid w:val="00F770B2"/>
    <w:rsid w:val="00F81E35"/>
    <w:rsid w:val="00F8405D"/>
    <w:rsid w:val="00F8591A"/>
    <w:rsid w:val="00F9243B"/>
    <w:rsid w:val="00F9498E"/>
    <w:rsid w:val="00F95D73"/>
    <w:rsid w:val="00FA1902"/>
    <w:rsid w:val="00FA41F0"/>
    <w:rsid w:val="00FB0E3D"/>
    <w:rsid w:val="00FB7FE8"/>
    <w:rsid w:val="00FC36AB"/>
    <w:rsid w:val="00FC4AAB"/>
    <w:rsid w:val="00FD2FA2"/>
    <w:rsid w:val="00FD4734"/>
    <w:rsid w:val="00FE3A09"/>
    <w:rsid w:val="00FE55CA"/>
    <w:rsid w:val="00FF3792"/>
    <w:rsid w:val="00FF42FB"/>
    <w:rsid w:val="00FF4B3C"/>
    <w:rsid w:val="00FF4D39"/>
    <w:rsid w:val="00FF79BB"/>
    <w:rsid w:val="015005B6"/>
    <w:rsid w:val="02DF577D"/>
    <w:rsid w:val="03D746CC"/>
    <w:rsid w:val="04357808"/>
    <w:rsid w:val="055A2C19"/>
    <w:rsid w:val="061A6358"/>
    <w:rsid w:val="06E60815"/>
    <w:rsid w:val="071C0D73"/>
    <w:rsid w:val="08007CD1"/>
    <w:rsid w:val="081D1E29"/>
    <w:rsid w:val="0826182D"/>
    <w:rsid w:val="086C3C1F"/>
    <w:rsid w:val="089D62AA"/>
    <w:rsid w:val="08AB292D"/>
    <w:rsid w:val="08AD0B63"/>
    <w:rsid w:val="08D92ACA"/>
    <w:rsid w:val="09277C06"/>
    <w:rsid w:val="09340749"/>
    <w:rsid w:val="09911B94"/>
    <w:rsid w:val="09B364FD"/>
    <w:rsid w:val="09F55E51"/>
    <w:rsid w:val="0A1C3E91"/>
    <w:rsid w:val="0AD656B8"/>
    <w:rsid w:val="0B537C8B"/>
    <w:rsid w:val="0B847C88"/>
    <w:rsid w:val="0C213C1D"/>
    <w:rsid w:val="0C3E18BB"/>
    <w:rsid w:val="0D3D2D1A"/>
    <w:rsid w:val="0E6B6C93"/>
    <w:rsid w:val="0E996129"/>
    <w:rsid w:val="0EC61BEC"/>
    <w:rsid w:val="0F980C02"/>
    <w:rsid w:val="0F9E5DBA"/>
    <w:rsid w:val="0FB25439"/>
    <w:rsid w:val="11C24942"/>
    <w:rsid w:val="11D010D8"/>
    <w:rsid w:val="12703E7A"/>
    <w:rsid w:val="1296445D"/>
    <w:rsid w:val="12DC7DE1"/>
    <w:rsid w:val="12F212F3"/>
    <w:rsid w:val="13544571"/>
    <w:rsid w:val="138F0A28"/>
    <w:rsid w:val="13DD5E98"/>
    <w:rsid w:val="14072DAB"/>
    <w:rsid w:val="15426C00"/>
    <w:rsid w:val="15907A93"/>
    <w:rsid w:val="15DA5A1A"/>
    <w:rsid w:val="1626532D"/>
    <w:rsid w:val="167E0249"/>
    <w:rsid w:val="16AC4FC3"/>
    <w:rsid w:val="182911AB"/>
    <w:rsid w:val="183E69C7"/>
    <w:rsid w:val="188C5481"/>
    <w:rsid w:val="19483C4A"/>
    <w:rsid w:val="19C91A81"/>
    <w:rsid w:val="1A515342"/>
    <w:rsid w:val="1AE234AE"/>
    <w:rsid w:val="1B4145C3"/>
    <w:rsid w:val="1B873652"/>
    <w:rsid w:val="1BB51929"/>
    <w:rsid w:val="1C01741A"/>
    <w:rsid w:val="1CAF419E"/>
    <w:rsid w:val="1CCD09D4"/>
    <w:rsid w:val="1D36049C"/>
    <w:rsid w:val="1D890952"/>
    <w:rsid w:val="1DBD6351"/>
    <w:rsid w:val="1EC37D91"/>
    <w:rsid w:val="1F371F8C"/>
    <w:rsid w:val="1F703221"/>
    <w:rsid w:val="1FD2088D"/>
    <w:rsid w:val="200F2878"/>
    <w:rsid w:val="207E7A85"/>
    <w:rsid w:val="208D3D83"/>
    <w:rsid w:val="2100034D"/>
    <w:rsid w:val="210417B3"/>
    <w:rsid w:val="212C3FD0"/>
    <w:rsid w:val="222F70F0"/>
    <w:rsid w:val="228A14FD"/>
    <w:rsid w:val="23F77F5B"/>
    <w:rsid w:val="24285115"/>
    <w:rsid w:val="24AD0C4E"/>
    <w:rsid w:val="251351C1"/>
    <w:rsid w:val="25CA7A0A"/>
    <w:rsid w:val="25F25669"/>
    <w:rsid w:val="26DF1779"/>
    <w:rsid w:val="284D56EE"/>
    <w:rsid w:val="28765197"/>
    <w:rsid w:val="28E219C5"/>
    <w:rsid w:val="29FC5A63"/>
    <w:rsid w:val="2B114AD0"/>
    <w:rsid w:val="2BBD3679"/>
    <w:rsid w:val="2BCF2500"/>
    <w:rsid w:val="2BE439E1"/>
    <w:rsid w:val="2C847896"/>
    <w:rsid w:val="2CB03B88"/>
    <w:rsid w:val="2CC94C4A"/>
    <w:rsid w:val="2D265BF9"/>
    <w:rsid w:val="2D8C42FC"/>
    <w:rsid w:val="2E1A0DD2"/>
    <w:rsid w:val="2E627104"/>
    <w:rsid w:val="2F753724"/>
    <w:rsid w:val="2F7A696B"/>
    <w:rsid w:val="2FA568CC"/>
    <w:rsid w:val="2FCB375B"/>
    <w:rsid w:val="2FF905AE"/>
    <w:rsid w:val="31181CFC"/>
    <w:rsid w:val="314948A2"/>
    <w:rsid w:val="31CD6F8B"/>
    <w:rsid w:val="31F97FD7"/>
    <w:rsid w:val="32AB1481"/>
    <w:rsid w:val="332F0BAC"/>
    <w:rsid w:val="334E5EA9"/>
    <w:rsid w:val="339C3307"/>
    <w:rsid w:val="34AC1D99"/>
    <w:rsid w:val="35344AA0"/>
    <w:rsid w:val="35620545"/>
    <w:rsid w:val="35747EEC"/>
    <w:rsid w:val="358075D8"/>
    <w:rsid w:val="35874F44"/>
    <w:rsid w:val="35A679AF"/>
    <w:rsid w:val="35AD0248"/>
    <w:rsid w:val="35BB3A30"/>
    <w:rsid w:val="35D76BCF"/>
    <w:rsid w:val="37006F0E"/>
    <w:rsid w:val="37175F9A"/>
    <w:rsid w:val="372D239E"/>
    <w:rsid w:val="375810A4"/>
    <w:rsid w:val="38050870"/>
    <w:rsid w:val="382A20F4"/>
    <w:rsid w:val="383507FF"/>
    <w:rsid w:val="38545AF1"/>
    <w:rsid w:val="38746E53"/>
    <w:rsid w:val="39227BBC"/>
    <w:rsid w:val="3ABF500F"/>
    <w:rsid w:val="3AD71050"/>
    <w:rsid w:val="3B836D17"/>
    <w:rsid w:val="3C362F17"/>
    <w:rsid w:val="3C7C4824"/>
    <w:rsid w:val="3D4A69A7"/>
    <w:rsid w:val="3DA355EA"/>
    <w:rsid w:val="3DB640EF"/>
    <w:rsid w:val="3DF243FA"/>
    <w:rsid w:val="3E04510D"/>
    <w:rsid w:val="3E8D3F69"/>
    <w:rsid w:val="3E961E9E"/>
    <w:rsid w:val="3ED55D46"/>
    <w:rsid w:val="3ED81536"/>
    <w:rsid w:val="3FF66669"/>
    <w:rsid w:val="3FFD53D5"/>
    <w:rsid w:val="402F7339"/>
    <w:rsid w:val="413A6614"/>
    <w:rsid w:val="41595C19"/>
    <w:rsid w:val="419D4283"/>
    <w:rsid w:val="41FD1E21"/>
    <w:rsid w:val="426A4F93"/>
    <w:rsid w:val="42B77E51"/>
    <w:rsid w:val="42DD7CFD"/>
    <w:rsid w:val="433D51AC"/>
    <w:rsid w:val="43462E94"/>
    <w:rsid w:val="435A0B77"/>
    <w:rsid w:val="437B02C5"/>
    <w:rsid w:val="43DB6096"/>
    <w:rsid w:val="4407668B"/>
    <w:rsid w:val="44E2087B"/>
    <w:rsid w:val="459C7567"/>
    <w:rsid w:val="464D51F9"/>
    <w:rsid w:val="46C2536A"/>
    <w:rsid w:val="46DD4053"/>
    <w:rsid w:val="47855EE6"/>
    <w:rsid w:val="47A5198F"/>
    <w:rsid w:val="47AB1014"/>
    <w:rsid w:val="47B13701"/>
    <w:rsid w:val="47B87180"/>
    <w:rsid w:val="48215EC2"/>
    <w:rsid w:val="494D4BE0"/>
    <w:rsid w:val="49F3676E"/>
    <w:rsid w:val="4AFD6820"/>
    <w:rsid w:val="4B0B4286"/>
    <w:rsid w:val="4BB4400B"/>
    <w:rsid w:val="4BDB0596"/>
    <w:rsid w:val="4C724B4A"/>
    <w:rsid w:val="4CE7404F"/>
    <w:rsid w:val="4D897DB2"/>
    <w:rsid w:val="4D92622E"/>
    <w:rsid w:val="4E140D17"/>
    <w:rsid w:val="4E142FF1"/>
    <w:rsid w:val="4E4A7B4B"/>
    <w:rsid w:val="4E5C3732"/>
    <w:rsid w:val="4E6E49B6"/>
    <w:rsid w:val="4E7445BE"/>
    <w:rsid w:val="4EA647B1"/>
    <w:rsid w:val="50130042"/>
    <w:rsid w:val="50257857"/>
    <w:rsid w:val="50831E9E"/>
    <w:rsid w:val="50CF219D"/>
    <w:rsid w:val="518F170F"/>
    <w:rsid w:val="51B61C9B"/>
    <w:rsid w:val="51C07B1A"/>
    <w:rsid w:val="523E1F05"/>
    <w:rsid w:val="52D031EB"/>
    <w:rsid w:val="52D04281"/>
    <w:rsid w:val="53204D14"/>
    <w:rsid w:val="53596341"/>
    <w:rsid w:val="53FB308C"/>
    <w:rsid w:val="54BD75DE"/>
    <w:rsid w:val="54D16E0B"/>
    <w:rsid w:val="553601AB"/>
    <w:rsid w:val="557B55AE"/>
    <w:rsid w:val="5592481B"/>
    <w:rsid w:val="55CA5277"/>
    <w:rsid w:val="560E52F8"/>
    <w:rsid w:val="576B3B68"/>
    <w:rsid w:val="57971D58"/>
    <w:rsid w:val="57FB0FCC"/>
    <w:rsid w:val="58205B4E"/>
    <w:rsid w:val="58821FA0"/>
    <w:rsid w:val="5899208B"/>
    <w:rsid w:val="58C60DE9"/>
    <w:rsid w:val="59364835"/>
    <w:rsid w:val="599B43A8"/>
    <w:rsid w:val="59A438D8"/>
    <w:rsid w:val="5A5D1E6E"/>
    <w:rsid w:val="5A931906"/>
    <w:rsid w:val="5B740456"/>
    <w:rsid w:val="5BFE5E0F"/>
    <w:rsid w:val="5C8A31FF"/>
    <w:rsid w:val="5D07136C"/>
    <w:rsid w:val="5D213B63"/>
    <w:rsid w:val="5D735EC7"/>
    <w:rsid w:val="5DA17EB3"/>
    <w:rsid w:val="5E0811D2"/>
    <w:rsid w:val="5E351F28"/>
    <w:rsid w:val="5E6B02C1"/>
    <w:rsid w:val="5E6E58BD"/>
    <w:rsid w:val="5EBA6970"/>
    <w:rsid w:val="5FA90305"/>
    <w:rsid w:val="601A410A"/>
    <w:rsid w:val="602B013E"/>
    <w:rsid w:val="60D033D7"/>
    <w:rsid w:val="60D74C98"/>
    <w:rsid w:val="61773F82"/>
    <w:rsid w:val="6177741F"/>
    <w:rsid w:val="61957AEC"/>
    <w:rsid w:val="626544F2"/>
    <w:rsid w:val="62820E1A"/>
    <w:rsid w:val="62DA2435"/>
    <w:rsid w:val="62EA69F7"/>
    <w:rsid w:val="633E6B34"/>
    <w:rsid w:val="63C312C7"/>
    <w:rsid w:val="63C3175B"/>
    <w:rsid w:val="63D97F2E"/>
    <w:rsid w:val="63DF6526"/>
    <w:rsid w:val="644365A7"/>
    <w:rsid w:val="64484A2B"/>
    <w:rsid w:val="645E7643"/>
    <w:rsid w:val="64F02DD2"/>
    <w:rsid w:val="64F703AD"/>
    <w:rsid w:val="64FD2FB0"/>
    <w:rsid w:val="650A3F82"/>
    <w:rsid w:val="6527753B"/>
    <w:rsid w:val="6548644D"/>
    <w:rsid w:val="66BC0878"/>
    <w:rsid w:val="67CC0954"/>
    <w:rsid w:val="67D10EE6"/>
    <w:rsid w:val="68076E81"/>
    <w:rsid w:val="680B501F"/>
    <w:rsid w:val="68240CB9"/>
    <w:rsid w:val="685110E6"/>
    <w:rsid w:val="686E673A"/>
    <w:rsid w:val="687037CE"/>
    <w:rsid w:val="688A59BD"/>
    <w:rsid w:val="68AA58E1"/>
    <w:rsid w:val="692C58E1"/>
    <w:rsid w:val="69333EF2"/>
    <w:rsid w:val="6949061E"/>
    <w:rsid w:val="698D7A39"/>
    <w:rsid w:val="6A794FDE"/>
    <w:rsid w:val="6A8B500F"/>
    <w:rsid w:val="6A8C3054"/>
    <w:rsid w:val="6AB9525A"/>
    <w:rsid w:val="6AC75DBF"/>
    <w:rsid w:val="6B1765A5"/>
    <w:rsid w:val="6B5C5C1E"/>
    <w:rsid w:val="6B745B6A"/>
    <w:rsid w:val="6C1902C4"/>
    <w:rsid w:val="6C256AA0"/>
    <w:rsid w:val="6C303F19"/>
    <w:rsid w:val="6C754D02"/>
    <w:rsid w:val="6CE61C97"/>
    <w:rsid w:val="6D0A0936"/>
    <w:rsid w:val="6D11628A"/>
    <w:rsid w:val="6DBF6E90"/>
    <w:rsid w:val="6E095765"/>
    <w:rsid w:val="6E3B415D"/>
    <w:rsid w:val="6E870E63"/>
    <w:rsid w:val="6FDF3454"/>
    <w:rsid w:val="6FEC07B8"/>
    <w:rsid w:val="6FF42A15"/>
    <w:rsid w:val="6FFE5E92"/>
    <w:rsid w:val="71A86D0C"/>
    <w:rsid w:val="71F238C8"/>
    <w:rsid w:val="7285496F"/>
    <w:rsid w:val="72B764AF"/>
    <w:rsid w:val="731D2A38"/>
    <w:rsid w:val="731E2BC7"/>
    <w:rsid w:val="74934D54"/>
    <w:rsid w:val="74E5050C"/>
    <w:rsid w:val="752D0011"/>
    <w:rsid w:val="760C0016"/>
    <w:rsid w:val="7690678D"/>
    <w:rsid w:val="771F3DE8"/>
    <w:rsid w:val="77E9143E"/>
    <w:rsid w:val="782D15D9"/>
    <w:rsid w:val="788E09A9"/>
    <w:rsid w:val="78B039E4"/>
    <w:rsid w:val="78B2014E"/>
    <w:rsid w:val="78EE1A1C"/>
    <w:rsid w:val="792C5BFB"/>
    <w:rsid w:val="79F426E3"/>
    <w:rsid w:val="7A5F328D"/>
    <w:rsid w:val="7A62598D"/>
    <w:rsid w:val="7AF34EF2"/>
    <w:rsid w:val="7B0B3EAF"/>
    <w:rsid w:val="7C5236A2"/>
    <w:rsid w:val="7C8B28F9"/>
    <w:rsid w:val="7CAC6DF2"/>
    <w:rsid w:val="7DA16716"/>
    <w:rsid w:val="7DE05FA4"/>
    <w:rsid w:val="7E012797"/>
    <w:rsid w:val="7E130E4E"/>
    <w:rsid w:val="7E160CCF"/>
    <w:rsid w:val="7E63694D"/>
    <w:rsid w:val="FE6D3DC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2" w:semiHidden="0" w:name="heading 3"/>
    <w:lsdException w:qFormat="1" w:unhideWhenUsed="0" w:uiPriority="3" w:semiHidden="0" w:name="heading 4"/>
    <w:lsdException w:qFormat="1" w:uiPriority="9" w:semiHidden="0" w:name="heading 5"/>
    <w:lsdException w:qFormat="1"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qFormat="1" w:unhideWhenUsed="0"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nhideWhenUsed="0" w:uiPriority="22" w:semiHidden="0" w:name="Strong"/>
    <w:lsdException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3">
    <w:name w:val="heading 1"/>
    <w:basedOn w:val="4"/>
    <w:next w:val="4"/>
    <w:link w:val="27"/>
    <w:qFormat/>
    <w:uiPriority w:val="0"/>
    <w:pPr>
      <w:numPr>
        <w:ilvl w:val="0"/>
        <w:numId w:val="1"/>
      </w:numPr>
      <w:spacing w:before="120" w:after="60"/>
      <w:ind w:left="0" w:firstLine="200"/>
      <w:outlineLvl w:val="0"/>
    </w:pPr>
    <w:rPr>
      <w:rFonts w:eastAsia="黑体"/>
      <w:bCs/>
      <w:kern w:val="44"/>
      <w:szCs w:val="44"/>
    </w:rPr>
  </w:style>
  <w:style w:type="paragraph" w:styleId="5">
    <w:name w:val="heading 2"/>
    <w:basedOn w:val="4"/>
    <w:next w:val="4"/>
    <w:link w:val="28"/>
    <w:qFormat/>
    <w:uiPriority w:val="1"/>
    <w:pPr>
      <w:keepNext/>
      <w:keepLines/>
      <w:numPr>
        <w:ilvl w:val="1"/>
        <w:numId w:val="1"/>
      </w:numPr>
      <w:spacing w:before="120" w:after="60"/>
      <w:ind w:left="0" w:firstLine="200"/>
      <w:outlineLvl w:val="1"/>
    </w:pPr>
    <w:rPr>
      <w:rFonts w:eastAsia="楷体" w:cstheme="majorBidi"/>
      <w:b/>
      <w:bCs/>
      <w:szCs w:val="32"/>
    </w:rPr>
  </w:style>
  <w:style w:type="paragraph" w:styleId="6">
    <w:name w:val="heading 3"/>
    <w:basedOn w:val="4"/>
    <w:next w:val="4"/>
    <w:link w:val="29"/>
    <w:qFormat/>
    <w:uiPriority w:val="2"/>
    <w:pPr>
      <w:keepNext/>
      <w:keepLines/>
      <w:numPr>
        <w:ilvl w:val="2"/>
        <w:numId w:val="1"/>
      </w:numPr>
      <w:spacing w:before="120" w:after="60"/>
      <w:ind w:left="0" w:firstLine="200"/>
      <w:outlineLvl w:val="2"/>
    </w:pPr>
    <w:rPr>
      <w:b/>
      <w:bCs/>
      <w:szCs w:val="32"/>
    </w:rPr>
  </w:style>
  <w:style w:type="paragraph" w:styleId="7">
    <w:name w:val="heading 4"/>
    <w:basedOn w:val="4"/>
    <w:next w:val="1"/>
    <w:link w:val="30"/>
    <w:qFormat/>
    <w:uiPriority w:val="3"/>
    <w:pPr>
      <w:keepNext/>
      <w:keepLines/>
      <w:numPr>
        <w:ilvl w:val="3"/>
        <w:numId w:val="1"/>
      </w:numPr>
      <w:spacing w:before="120" w:after="60"/>
      <w:ind w:left="0" w:firstLine="200"/>
      <w:outlineLvl w:val="3"/>
    </w:pPr>
    <w:rPr>
      <w:rFonts w:cstheme="majorBidi"/>
      <w:b/>
      <w:bCs/>
    </w:rPr>
  </w:style>
  <w:style w:type="paragraph" w:styleId="8">
    <w:name w:val="heading 5"/>
    <w:basedOn w:val="4"/>
    <w:next w:val="4"/>
    <w:link w:val="31"/>
    <w:unhideWhenUsed/>
    <w:qFormat/>
    <w:uiPriority w:val="9"/>
    <w:pPr>
      <w:keepNext/>
      <w:keepLines/>
      <w:numPr>
        <w:ilvl w:val="4"/>
        <w:numId w:val="1"/>
      </w:numPr>
      <w:spacing w:before="120" w:after="60"/>
      <w:ind w:firstLine="0" w:firstLineChars="0"/>
      <w:outlineLvl w:val="4"/>
    </w:pPr>
    <w:rPr>
      <w:b/>
      <w:bCs/>
    </w:rPr>
  </w:style>
  <w:style w:type="paragraph" w:styleId="9">
    <w:name w:val="heading 6"/>
    <w:basedOn w:val="1"/>
    <w:next w:val="1"/>
    <w:unhideWhenUsed/>
    <w:qFormat/>
    <w:uiPriority w:val="9"/>
    <w:pPr>
      <w:keepNext/>
      <w:keepLines/>
      <w:spacing w:before="240" w:after="64" w:line="317" w:lineRule="auto"/>
      <w:outlineLvl w:val="5"/>
    </w:pPr>
    <w:rPr>
      <w:rFonts w:ascii="Arial" w:hAnsi="Arial" w:eastAsia="黑体"/>
      <w:b/>
      <w:sz w:val="24"/>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widowControl/>
      <w:spacing w:before="100" w:beforeAutospacing="1" w:after="100" w:afterAutospacing="1"/>
      <w:jc w:val="left"/>
    </w:pPr>
    <w:rPr>
      <w:rFonts w:ascii="宋体" w:hAnsi="宋体" w:cs="宋体"/>
      <w:kern w:val="0"/>
      <w:sz w:val="24"/>
    </w:rPr>
  </w:style>
  <w:style w:type="paragraph" w:customStyle="1" w:styleId="4">
    <w:name w:val="日浩正文"/>
    <w:basedOn w:val="1"/>
    <w:link w:val="37"/>
    <w:qFormat/>
    <w:uiPriority w:val="0"/>
    <w:pPr>
      <w:spacing w:line="560" w:lineRule="exact"/>
      <w:ind w:firstLine="200" w:firstLineChars="200"/>
    </w:pPr>
    <w:rPr>
      <w:rFonts w:ascii="Times New Roman" w:hAnsi="Times New Roman" w:eastAsia="仿宋_GB2312" w:cs="Times New Roman"/>
      <w:kern w:val="0"/>
      <w:sz w:val="32"/>
      <w:szCs w:val="28"/>
      <w:lang w:val="zh-CN"/>
    </w:rPr>
  </w:style>
  <w:style w:type="paragraph" w:styleId="10">
    <w:name w:val="caption"/>
    <w:basedOn w:val="1"/>
    <w:next w:val="1"/>
    <w:unhideWhenUsed/>
    <w:qFormat/>
    <w:uiPriority w:val="35"/>
    <w:rPr>
      <w:rFonts w:eastAsia="黑体" w:asciiTheme="majorHAnsi" w:hAnsiTheme="majorHAnsi" w:cstheme="majorBidi"/>
      <w:sz w:val="20"/>
      <w:szCs w:val="20"/>
    </w:rPr>
  </w:style>
  <w:style w:type="paragraph" w:styleId="11">
    <w:name w:val="annotation text"/>
    <w:basedOn w:val="1"/>
    <w:link w:val="58"/>
    <w:unhideWhenUsed/>
    <w:qFormat/>
    <w:uiPriority w:val="99"/>
    <w:pPr>
      <w:jc w:val="left"/>
    </w:pPr>
  </w:style>
  <w:style w:type="paragraph" w:styleId="12">
    <w:name w:val="toc 3"/>
    <w:basedOn w:val="1"/>
    <w:next w:val="1"/>
    <w:unhideWhenUsed/>
    <w:qFormat/>
    <w:uiPriority w:val="39"/>
    <w:pPr>
      <w:ind w:left="840" w:leftChars="400"/>
    </w:pPr>
  </w:style>
  <w:style w:type="paragraph" w:styleId="13">
    <w:name w:val="Balloon Text"/>
    <w:basedOn w:val="1"/>
    <w:link w:val="33"/>
    <w:unhideWhenUsed/>
    <w:qFormat/>
    <w:uiPriority w:val="99"/>
    <w:rPr>
      <w:sz w:val="18"/>
      <w:szCs w:val="18"/>
    </w:rPr>
  </w:style>
  <w:style w:type="paragraph" w:styleId="14">
    <w:name w:val="footer"/>
    <w:basedOn w:val="1"/>
    <w:link w:val="34"/>
    <w:unhideWhenUsed/>
    <w:qFormat/>
    <w:uiPriority w:val="99"/>
    <w:pPr>
      <w:tabs>
        <w:tab w:val="center" w:pos="4153"/>
        <w:tab w:val="right" w:pos="8306"/>
      </w:tabs>
      <w:snapToGrid w:val="0"/>
      <w:jc w:val="left"/>
    </w:pPr>
    <w:rPr>
      <w:rFonts w:ascii="Calibri" w:hAnsi="Calibri" w:eastAsia="宋体" w:cs="Times New Roman"/>
      <w:sz w:val="18"/>
      <w:szCs w:val="18"/>
    </w:rPr>
  </w:style>
  <w:style w:type="paragraph" w:styleId="15">
    <w:name w:val="header"/>
    <w:basedOn w:val="1"/>
    <w:link w:val="53"/>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4"/>
    <w:next w:val="4"/>
    <w:unhideWhenUsed/>
    <w:qFormat/>
    <w:uiPriority w:val="39"/>
    <w:pPr>
      <w:tabs>
        <w:tab w:val="right" w:leader="dot" w:pos="8296"/>
      </w:tabs>
      <w:spacing w:line="460" w:lineRule="exact"/>
      <w:ind w:firstLine="0" w:firstLineChars="0"/>
    </w:pPr>
    <w:rPr>
      <w:b/>
    </w:rPr>
  </w:style>
  <w:style w:type="paragraph" w:styleId="17">
    <w:name w:val="footnote text"/>
    <w:basedOn w:val="1"/>
    <w:link w:val="50"/>
    <w:qFormat/>
    <w:uiPriority w:val="99"/>
    <w:pPr>
      <w:snapToGrid w:val="0"/>
      <w:jc w:val="left"/>
    </w:pPr>
    <w:rPr>
      <w:rFonts w:ascii="Times New Roman" w:hAnsi="Times New Roman" w:eastAsia="宋体"/>
      <w:szCs w:val="18"/>
    </w:rPr>
  </w:style>
  <w:style w:type="paragraph" w:styleId="18">
    <w:name w:val="toc 2"/>
    <w:basedOn w:val="4"/>
    <w:next w:val="4"/>
    <w:unhideWhenUsed/>
    <w:qFormat/>
    <w:uiPriority w:val="39"/>
    <w:pPr>
      <w:tabs>
        <w:tab w:val="right" w:leader="dot" w:pos="8296"/>
      </w:tabs>
      <w:spacing w:line="460" w:lineRule="exact"/>
      <w:ind w:left="200" w:leftChars="200" w:firstLine="0" w:firstLineChars="0"/>
    </w:pPr>
  </w:style>
  <w:style w:type="paragraph" w:styleId="19">
    <w:name w:val="annotation subject"/>
    <w:basedOn w:val="11"/>
    <w:next w:val="11"/>
    <w:link w:val="59"/>
    <w:unhideWhenUsed/>
    <w:qFormat/>
    <w:uiPriority w:val="99"/>
    <w:rPr>
      <w:b/>
      <w:bCs/>
    </w:rPr>
  </w:style>
  <w:style w:type="table" w:styleId="21">
    <w:name w:val="Table Grid"/>
    <w:basedOn w:val="20"/>
    <w:qFormat/>
    <w:uiPriority w:val="99"/>
    <w:pPr>
      <w:spacing w:line="300" w:lineRule="exact"/>
      <w:jc w:val="center"/>
    </w:pPr>
    <w:rPr>
      <w:rFonts w:eastAsia="仿宋_GB231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blHeader/>
    </w:trPr>
    <w:tcPr>
      <w:vAlign w:val="center"/>
    </w:tcPr>
  </w:style>
  <w:style w:type="character" w:styleId="23">
    <w:name w:val="Hyperlink"/>
    <w:basedOn w:val="22"/>
    <w:unhideWhenUsed/>
    <w:qFormat/>
    <w:uiPriority w:val="99"/>
    <w:rPr>
      <w:color w:val="0563C1" w:themeColor="hyperlink"/>
      <w:u w:val="single"/>
      <w14:textFill>
        <w14:solidFill>
          <w14:schemeClr w14:val="hlink"/>
        </w14:solidFill>
      </w14:textFill>
    </w:rPr>
  </w:style>
  <w:style w:type="character" w:styleId="24">
    <w:name w:val="annotation reference"/>
    <w:basedOn w:val="22"/>
    <w:unhideWhenUsed/>
    <w:qFormat/>
    <w:uiPriority w:val="99"/>
    <w:rPr>
      <w:sz w:val="21"/>
      <w:szCs w:val="21"/>
    </w:rPr>
  </w:style>
  <w:style w:type="character" w:styleId="25">
    <w:name w:val="footnote reference"/>
    <w:qFormat/>
    <w:uiPriority w:val="99"/>
    <w:rPr>
      <w:vertAlign w:val="superscript"/>
    </w:rPr>
  </w:style>
  <w:style w:type="paragraph" w:customStyle="1" w:styleId="26">
    <w:name w:val="Default"/>
    <w:unhideWhenUsed/>
    <w:qFormat/>
    <w:uiPriority w:val="99"/>
    <w:pPr>
      <w:widowControl w:val="0"/>
      <w:autoSpaceDE w:val="0"/>
      <w:autoSpaceDN w:val="0"/>
      <w:adjustRightInd w:val="0"/>
    </w:pPr>
    <w:rPr>
      <w:rFonts w:hint="eastAsia" w:ascii="宋体" w:hAnsi="宋体" w:eastAsia="宋体" w:cs="Times New Roman"/>
      <w:color w:val="000000"/>
      <w:sz w:val="24"/>
      <w:lang w:val="en-US" w:eastAsia="zh-CN" w:bidi="ar-SA"/>
    </w:rPr>
  </w:style>
  <w:style w:type="character" w:customStyle="1" w:styleId="27">
    <w:name w:val="标题 1 字符"/>
    <w:basedOn w:val="22"/>
    <w:link w:val="3"/>
    <w:qFormat/>
    <w:uiPriority w:val="0"/>
    <w:rPr>
      <w:rFonts w:ascii="Times New Roman" w:hAnsi="Times New Roman" w:eastAsia="黑体" w:cs="Times New Roman"/>
      <w:bCs/>
      <w:kern w:val="44"/>
      <w:sz w:val="32"/>
      <w:szCs w:val="44"/>
      <w:lang w:val="zh-CN" w:eastAsia="zh-CN"/>
    </w:rPr>
  </w:style>
  <w:style w:type="character" w:customStyle="1" w:styleId="28">
    <w:name w:val="标题 2 字符"/>
    <w:basedOn w:val="22"/>
    <w:link w:val="5"/>
    <w:qFormat/>
    <w:uiPriority w:val="1"/>
    <w:rPr>
      <w:rFonts w:ascii="Times New Roman" w:hAnsi="Times New Roman" w:eastAsia="楷体" w:cstheme="majorBidi"/>
      <w:b/>
      <w:bCs/>
      <w:kern w:val="0"/>
      <w:sz w:val="28"/>
      <w:szCs w:val="32"/>
      <w:lang w:val="zh-CN" w:eastAsia="zh-CN"/>
    </w:rPr>
  </w:style>
  <w:style w:type="character" w:customStyle="1" w:styleId="29">
    <w:name w:val="标题 3 字符"/>
    <w:basedOn w:val="22"/>
    <w:link w:val="6"/>
    <w:qFormat/>
    <w:uiPriority w:val="2"/>
    <w:rPr>
      <w:rFonts w:ascii="Times New Roman" w:hAnsi="Times New Roman" w:eastAsia="仿宋_GB2312" w:cs="Times New Roman"/>
      <w:b/>
      <w:bCs/>
      <w:kern w:val="0"/>
      <w:sz w:val="28"/>
      <w:szCs w:val="32"/>
      <w:lang w:val="zh-CN" w:eastAsia="zh-CN"/>
    </w:rPr>
  </w:style>
  <w:style w:type="character" w:customStyle="1" w:styleId="30">
    <w:name w:val="标题 4 字符"/>
    <w:basedOn w:val="22"/>
    <w:link w:val="7"/>
    <w:qFormat/>
    <w:uiPriority w:val="3"/>
    <w:rPr>
      <w:rFonts w:ascii="Times New Roman" w:hAnsi="Times New Roman" w:eastAsia="仿宋_GB2312" w:cstheme="majorBidi"/>
      <w:b/>
      <w:bCs/>
      <w:kern w:val="0"/>
      <w:sz w:val="28"/>
      <w:szCs w:val="28"/>
      <w:lang w:val="zh-CN" w:eastAsia="zh-CN"/>
    </w:rPr>
  </w:style>
  <w:style w:type="character" w:customStyle="1" w:styleId="31">
    <w:name w:val="标题 5 字符"/>
    <w:basedOn w:val="22"/>
    <w:link w:val="8"/>
    <w:qFormat/>
    <w:uiPriority w:val="9"/>
    <w:rPr>
      <w:rFonts w:ascii="Times New Roman" w:hAnsi="Times New Roman" w:eastAsia="仿宋_GB2312" w:cs="Times New Roman"/>
      <w:b/>
      <w:bCs/>
      <w:kern w:val="0"/>
      <w:sz w:val="28"/>
      <w:szCs w:val="28"/>
      <w:lang w:val="zh-CN" w:eastAsia="zh-CN"/>
    </w:rPr>
  </w:style>
  <w:style w:type="paragraph" w:customStyle="1" w:styleId="32">
    <w:name w:val="TOC 标题1"/>
    <w:basedOn w:val="3"/>
    <w:next w:val="1"/>
    <w:unhideWhenUsed/>
    <w:qFormat/>
    <w:uiPriority w:val="39"/>
    <w:pPr>
      <w:widowControl/>
      <w:numPr>
        <w:numId w:val="0"/>
      </w:numPr>
      <w:spacing w:before="240" w:after="0" w:line="259" w:lineRule="auto"/>
      <w:outlineLvl w:val="9"/>
    </w:pPr>
    <w:rPr>
      <w:rFonts w:asciiTheme="majorHAnsi" w:hAnsiTheme="majorHAnsi" w:eastAsiaTheme="majorEastAsia" w:cstheme="majorBidi"/>
      <w:b/>
      <w:bCs w:val="0"/>
      <w:color w:val="2F5597" w:themeColor="accent1" w:themeShade="BF"/>
      <w:kern w:val="0"/>
      <w:szCs w:val="32"/>
    </w:rPr>
  </w:style>
  <w:style w:type="character" w:customStyle="1" w:styleId="33">
    <w:name w:val="批注框文本 字符"/>
    <w:basedOn w:val="22"/>
    <w:link w:val="13"/>
    <w:semiHidden/>
    <w:qFormat/>
    <w:uiPriority w:val="99"/>
    <w:rPr>
      <w:sz w:val="18"/>
      <w:szCs w:val="18"/>
    </w:rPr>
  </w:style>
  <w:style w:type="character" w:customStyle="1" w:styleId="34">
    <w:name w:val="页脚 字符"/>
    <w:basedOn w:val="22"/>
    <w:link w:val="14"/>
    <w:qFormat/>
    <w:uiPriority w:val="99"/>
    <w:rPr>
      <w:rFonts w:ascii="Calibri" w:hAnsi="Calibri" w:eastAsia="宋体" w:cs="Times New Roman"/>
      <w:sz w:val="18"/>
      <w:szCs w:val="18"/>
    </w:rPr>
  </w:style>
  <w:style w:type="paragraph" w:customStyle="1" w:styleId="35">
    <w:name w:val="日浩封面标题"/>
    <w:basedOn w:val="1"/>
    <w:next w:val="36"/>
    <w:qFormat/>
    <w:uiPriority w:val="0"/>
    <w:pPr>
      <w:jc w:val="center"/>
    </w:pPr>
    <w:rPr>
      <w:rFonts w:ascii="Times New Roman" w:hAnsi="Times New Roman" w:eastAsia="黑体" w:cs="Times New Roman"/>
      <w:snapToGrid w:val="0"/>
      <w:sz w:val="48"/>
      <w:szCs w:val="24"/>
    </w:rPr>
  </w:style>
  <w:style w:type="paragraph" w:customStyle="1" w:styleId="36">
    <w:name w:val="日浩封面项目信息"/>
    <w:basedOn w:val="1"/>
    <w:qFormat/>
    <w:uiPriority w:val="0"/>
    <w:pPr>
      <w:spacing w:before="120"/>
      <w:ind w:left="800" w:leftChars="800"/>
      <w:jc w:val="left"/>
    </w:pPr>
    <w:rPr>
      <w:rFonts w:ascii="Times New Roman" w:hAnsi="Times New Roman" w:eastAsia="仿宋_GB2312" w:cs="Times New Roman"/>
      <w:kern w:val="0"/>
      <w:sz w:val="32"/>
      <w:szCs w:val="28"/>
      <w:lang w:val="zh-CN"/>
    </w:rPr>
  </w:style>
  <w:style w:type="character" w:customStyle="1" w:styleId="37">
    <w:name w:val="闻政正文 Char"/>
    <w:link w:val="4"/>
    <w:qFormat/>
    <w:uiPriority w:val="0"/>
    <w:rPr>
      <w:rFonts w:eastAsia="仿宋_GB2312"/>
      <w:sz w:val="32"/>
      <w:szCs w:val="28"/>
      <w:lang w:val="zh-CN"/>
    </w:rPr>
  </w:style>
  <w:style w:type="paragraph" w:customStyle="1" w:styleId="38">
    <w:name w:val="日浩图（表）注"/>
    <w:basedOn w:val="1"/>
    <w:link w:val="39"/>
    <w:qFormat/>
    <w:uiPriority w:val="5"/>
    <w:pPr>
      <w:spacing w:before="120"/>
    </w:pPr>
    <w:rPr>
      <w:rFonts w:ascii="Times New Roman" w:hAnsi="Times New Roman" w:eastAsia="仿宋_GB2312" w:cs="Arial"/>
      <w:kern w:val="0"/>
    </w:rPr>
  </w:style>
  <w:style w:type="character" w:customStyle="1" w:styleId="39">
    <w:name w:val="闻政图（表）注 Char"/>
    <w:link w:val="38"/>
    <w:qFormat/>
    <w:uiPriority w:val="5"/>
    <w:rPr>
      <w:rFonts w:ascii="Times New Roman" w:hAnsi="Times New Roman" w:eastAsia="仿宋_GB2312" w:cs="Arial"/>
      <w:kern w:val="0"/>
    </w:rPr>
  </w:style>
  <w:style w:type="paragraph" w:customStyle="1" w:styleId="40">
    <w:name w:val="日浩图表名"/>
    <w:basedOn w:val="1"/>
    <w:link w:val="41"/>
    <w:qFormat/>
    <w:uiPriority w:val="0"/>
    <w:pPr>
      <w:spacing w:before="60" w:after="60"/>
      <w:jc w:val="center"/>
    </w:pPr>
    <w:rPr>
      <w:rFonts w:ascii="Times New Roman" w:hAnsi="Times New Roman" w:eastAsia="仿宋_GB2312" w:cs="Times New Roman"/>
      <w:b/>
      <w:kern w:val="0"/>
      <w:sz w:val="24"/>
      <w:szCs w:val="28"/>
    </w:rPr>
  </w:style>
  <w:style w:type="character" w:customStyle="1" w:styleId="41">
    <w:name w:val="闻政图表名 字符"/>
    <w:link w:val="40"/>
    <w:qFormat/>
    <w:uiPriority w:val="4"/>
    <w:rPr>
      <w:rFonts w:ascii="Times New Roman" w:hAnsi="Times New Roman" w:eastAsia="仿宋_GB2312" w:cs="Times New Roman"/>
      <w:b/>
      <w:kern w:val="0"/>
      <w:sz w:val="24"/>
      <w:szCs w:val="28"/>
    </w:rPr>
  </w:style>
  <w:style w:type="paragraph" w:customStyle="1" w:styleId="42">
    <w:name w:val="日浩备注类"/>
    <w:basedOn w:val="4"/>
    <w:qFormat/>
    <w:uiPriority w:val="5"/>
    <w:pPr>
      <w:spacing w:line="240" w:lineRule="auto"/>
      <w:jc w:val="left"/>
    </w:pPr>
    <w:rPr>
      <w:rFonts w:cs="宋体"/>
      <w:sz w:val="21"/>
    </w:rPr>
  </w:style>
  <w:style w:type="paragraph" w:customStyle="1" w:styleId="43">
    <w:name w:val="日浩附件标题"/>
    <w:basedOn w:val="4"/>
    <w:qFormat/>
    <w:uiPriority w:val="6"/>
    <w:pPr>
      <w:numPr>
        <w:ilvl w:val="5"/>
        <w:numId w:val="1"/>
      </w:numPr>
      <w:spacing w:before="120" w:after="60" w:line="240" w:lineRule="auto"/>
      <w:ind w:firstLineChars="0"/>
      <w:outlineLvl w:val="0"/>
    </w:pPr>
    <w:rPr>
      <w:rFonts w:eastAsia="黑体"/>
      <w:b/>
    </w:rPr>
  </w:style>
  <w:style w:type="paragraph" w:customStyle="1" w:styleId="44">
    <w:name w:val="日浩附件正文"/>
    <w:basedOn w:val="4"/>
    <w:qFormat/>
    <w:uiPriority w:val="6"/>
    <w:rPr>
      <w:sz w:val="28"/>
    </w:rPr>
  </w:style>
  <w:style w:type="paragraph" w:customStyle="1" w:styleId="45">
    <w:name w:val="日浩附件报告名"/>
    <w:basedOn w:val="4"/>
    <w:qFormat/>
    <w:uiPriority w:val="9"/>
    <w:pPr>
      <w:spacing w:before="120" w:after="60"/>
      <w:ind w:firstLine="0" w:firstLineChars="0"/>
      <w:jc w:val="center"/>
    </w:pPr>
    <w:rPr>
      <w:b/>
    </w:rPr>
  </w:style>
  <w:style w:type="paragraph" w:customStyle="1" w:styleId="46">
    <w:name w:val="日浩附件一级标题"/>
    <w:basedOn w:val="45"/>
    <w:next w:val="44"/>
    <w:qFormat/>
    <w:uiPriority w:val="6"/>
    <w:pPr>
      <w:ind w:firstLine="200" w:firstLineChars="200"/>
      <w:jc w:val="left"/>
    </w:pPr>
    <w:rPr>
      <w:rFonts w:cs="宋体"/>
      <w:sz w:val="28"/>
    </w:rPr>
  </w:style>
  <w:style w:type="paragraph" w:customStyle="1" w:styleId="47">
    <w:name w:val="日浩附件二级标题"/>
    <w:basedOn w:val="46"/>
    <w:qFormat/>
    <w:uiPriority w:val="8"/>
    <w:rPr>
      <w:rFonts w:ascii="宋体" w:hAnsi="宋体" w:eastAsia="宋体"/>
    </w:rPr>
  </w:style>
  <w:style w:type="paragraph" w:customStyle="1" w:styleId="48">
    <w:name w:val="日浩附件三级标题"/>
    <w:basedOn w:val="47"/>
    <w:qFormat/>
    <w:uiPriority w:val="8"/>
    <w:rPr>
      <w:rFonts w:ascii="Times New Roman" w:hAnsi="Times New Roman" w:eastAsia="仿宋_GB2312"/>
    </w:rPr>
  </w:style>
  <w:style w:type="paragraph" w:customStyle="1" w:styleId="49">
    <w:name w:val="日浩附件四级标题"/>
    <w:basedOn w:val="48"/>
    <w:qFormat/>
    <w:uiPriority w:val="9"/>
    <w:pPr>
      <w:spacing w:before="0" w:after="0"/>
    </w:pPr>
  </w:style>
  <w:style w:type="character" w:customStyle="1" w:styleId="50">
    <w:name w:val="脚注文本 字符"/>
    <w:basedOn w:val="22"/>
    <w:link w:val="17"/>
    <w:qFormat/>
    <w:uiPriority w:val="99"/>
    <w:rPr>
      <w:rFonts w:cstheme="minorBidi"/>
      <w:kern w:val="2"/>
      <w:sz w:val="21"/>
      <w:szCs w:val="18"/>
    </w:rPr>
  </w:style>
  <w:style w:type="paragraph" w:customStyle="1" w:styleId="51">
    <w:name w:val="日浩脚注"/>
    <w:basedOn w:val="4"/>
    <w:qFormat/>
    <w:uiPriority w:val="9"/>
    <w:pPr>
      <w:spacing w:line="400" w:lineRule="exact"/>
      <w:ind w:firstLine="0" w:firstLineChars="0"/>
    </w:pPr>
    <w:rPr>
      <w:sz w:val="18"/>
    </w:rPr>
  </w:style>
  <w:style w:type="paragraph" w:customStyle="1" w:styleId="52">
    <w:name w:val="日浩目录标题"/>
    <w:basedOn w:val="35"/>
    <w:qFormat/>
    <w:uiPriority w:val="1"/>
  </w:style>
  <w:style w:type="character" w:customStyle="1" w:styleId="53">
    <w:name w:val="页眉 字符"/>
    <w:basedOn w:val="22"/>
    <w:link w:val="15"/>
    <w:qFormat/>
    <w:uiPriority w:val="99"/>
    <w:rPr>
      <w:sz w:val="18"/>
      <w:szCs w:val="18"/>
    </w:rPr>
  </w:style>
  <w:style w:type="table" w:customStyle="1" w:styleId="54">
    <w:name w:val="网格型浅色1"/>
    <w:basedOn w:val="20"/>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 w:type="table" w:customStyle="1" w:styleId="55">
    <w:name w:val="无格式表格 11"/>
    <w:basedOn w:val="20"/>
    <w:qFormat/>
    <w:uiPriority w:val="41"/>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tblStylePr w:type="firstRow">
      <w:rPr>
        <w:b/>
        <w:bCs/>
      </w:rPr>
    </w:tblStylePr>
    <w:tblStylePr w:type="lastRow">
      <w:rPr>
        <w:b/>
        <w:bCs/>
      </w:rPr>
      <w:tcPr>
        <w:tcBorders>
          <w:top w:val="double" w:color="BEBEBE" w:themeColor="background1" w:themeShade="BF" w:sz="4" w:space="0"/>
        </w:tcBorders>
      </w:tc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paragraph" w:customStyle="1" w:styleId="56">
    <w:name w:val="日浩表文字"/>
    <w:basedOn w:val="4"/>
    <w:link w:val="57"/>
    <w:qFormat/>
    <w:uiPriority w:val="0"/>
    <w:pPr>
      <w:widowControl/>
      <w:spacing w:line="320" w:lineRule="exact"/>
      <w:ind w:firstLine="0" w:firstLineChars="0"/>
      <w:jc w:val="center"/>
    </w:pPr>
    <w:rPr>
      <w:rFonts w:cs="宋体"/>
      <w:bCs/>
      <w:color w:val="000000"/>
      <w:sz w:val="22"/>
      <w:szCs w:val="22"/>
    </w:rPr>
  </w:style>
  <w:style w:type="character" w:customStyle="1" w:styleId="57">
    <w:name w:val="闻政表文字 字符"/>
    <w:basedOn w:val="37"/>
    <w:link w:val="56"/>
    <w:qFormat/>
    <w:uiPriority w:val="0"/>
    <w:rPr>
      <w:rFonts w:ascii="Times New Roman" w:hAnsi="Times New Roman" w:eastAsia="仿宋_GB2312" w:cs="宋体"/>
      <w:bCs/>
      <w:color w:val="000000"/>
      <w:kern w:val="0"/>
      <w:sz w:val="22"/>
      <w:szCs w:val="22"/>
      <w:lang w:val="zh-CN" w:eastAsia="zh-CN"/>
    </w:rPr>
  </w:style>
  <w:style w:type="character" w:customStyle="1" w:styleId="58">
    <w:name w:val="批注文字 字符"/>
    <w:basedOn w:val="22"/>
    <w:link w:val="11"/>
    <w:qFormat/>
    <w:uiPriority w:val="99"/>
  </w:style>
  <w:style w:type="character" w:customStyle="1" w:styleId="59">
    <w:name w:val="批注主题 字符"/>
    <w:basedOn w:val="58"/>
    <w:link w:val="19"/>
    <w:semiHidden/>
    <w:qFormat/>
    <w:uiPriority w:val="99"/>
    <w:rPr>
      <w:b/>
      <w:bCs/>
    </w:rPr>
  </w:style>
  <w:style w:type="paragraph" w:customStyle="1" w:styleId="60">
    <w:name w:val="日浩评价小组人员名单"/>
    <w:basedOn w:val="1"/>
    <w:qFormat/>
    <w:uiPriority w:val="0"/>
    <w:pPr>
      <w:jc w:val="left"/>
    </w:pPr>
    <w:rPr>
      <w:rFonts w:eastAsia="仿宋_GB2312"/>
      <w:sz w:val="32"/>
    </w:rPr>
  </w:style>
  <w:style w:type="paragraph" w:customStyle="1" w:styleId="61">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62">
    <w:name w:val="闻政表文字"/>
    <w:basedOn w:val="1"/>
    <w:qFormat/>
    <w:uiPriority w:val="0"/>
    <w:rPr>
      <w:rFonts w:ascii="Calibri" w:hAnsi="Calibri" w:eastAsia="宋体" w:cs="Times New Roman"/>
    </w:rPr>
  </w:style>
  <w:style w:type="paragraph" w:customStyle="1" w:styleId="63">
    <w:name w:val="WPSOffice手动目录 1"/>
    <w:qFormat/>
    <w:uiPriority w:val="0"/>
    <w:rPr>
      <w:rFonts w:ascii="Times New Roman" w:hAnsi="Times New Roman" w:eastAsia="宋体" w:cs="Times New Roman"/>
      <w:lang w:val="en-US" w:eastAsia="zh-CN" w:bidi="ar-SA"/>
    </w:rPr>
  </w:style>
  <w:style w:type="paragraph" w:customStyle="1" w:styleId="64">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65">
    <w:name w:val="图表标题-四号仿宋加粗"/>
    <w:basedOn w:val="40"/>
    <w:link w:val="67"/>
    <w:qFormat/>
    <w:uiPriority w:val="0"/>
    <w:rPr>
      <w:rFonts w:eastAsia="仿宋"/>
      <w:sz w:val="28"/>
      <w:shd w:val="clear" w:color="auto" w:fill="FFFFFF"/>
    </w:rPr>
  </w:style>
  <w:style w:type="paragraph" w:customStyle="1" w:styleId="66">
    <w:name w:val="表格文字-仿宋四号"/>
    <w:basedOn w:val="56"/>
    <w:link w:val="68"/>
    <w:qFormat/>
    <w:uiPriority w:val="0"/>
    <w:rPr>
      <w:rFonts w:eastAsia="仿宋"/>
      <w:bCs w:val="0"/>
      <w:color w:val="auto"/>
      <w:sz w:val="28"/>
    </w:rPr>
  </w:style>
  <w:style w:type="character" w:customStyle="1" w:styleId="67">
    <w:name w:val="图表标题-四号仿宋加粗 字符"/>
    <w:basedOn w:val="41"/>
    <w:link w:val="65"/>
    <w:qFormat/>
    <w:uiPriority w:val="0"/>
    <w:rPr>
      <w:rFonts w:ascii="Times New Roman" w:hAnsi="Times New Roman" w:eastAsia="仿宋" w:cs="Times New Roman"/>
      <w:kern w:val="0"/>
      <w:sz w:val="28"/>
      <w:szCs w:val="28"/>
    </w:rPr>
  </w:style>
  <w:style w:type="character" w:customStyle="1" w:styleId="68">
    <w:name w:val="表格文字-仿宋四号 字符"/>
    <w:basedOn w:val="57"/>
    <w:link w:val="66"/>
    <w:qFormat/>
    <w:uiPriority w:val="0"/>
    <w:rPr>
      <w:rFonts w:ascii="Times New Roman" w:hAnsi="Times New Roman" w:eastAsia="仿宋" w:cs="宋体"/>
      <w:bCs w:val="0"/>
      <w:color w:val="000000"/>
      <w:kern w:val="0"/>
      <w:sz w:val="28"/>
      <w:szCs w:val="22"/>
      <w:lang w:val="zh-CN" w:eastAsia="zh-CN"/>
    </w:rPr>
  </w:style>
  <w:style w:type="character" w:customStyle="1" w:styleId="69">
    <w:name w:val="未处理的提及1"/>
    <w:basedOn w:val="22"/>
    <w:unhideWhenUsed/>
    <w:qFormat/>
    <w:uiPriority w:val="99"/>
    <w:rPr>
      <w:color w:val="605E5C"/>
      <w:shd w:val="clear" w:color="auto" w:fill="E1DFDD"/>
    </w:rPr>
  </w:style>
  <w:style w:type="paragraph" w:customStyle="1" w:styleId="70">
    <w:name w:val="Body text|1"/>
    <w:basedOn w:val="1"/>
    <w:qFormat/>
    <w:uiPriority w:val="0"/>
    <w:pPr>
      <w:spacing w:line="434" w:lineRule="auto"/>
      <w:ind w:firstLine="400"/>
    </w:pPr>
    <w:rPr>
      <w:rFonts w:ascii="宋体" w:hAnsi="宋体" w:eastAsia="宋体" w:cs="宋体"/>
      <w:sz w:val="30"/>
      <w:szCs w:val="30"/>
      <w:lang w:val="zh-TW" w:eastAsia="zh-TW" w:bidi="zh-TW"/>
    </w:rPr>
  </w:style>
  <w:style w:type="paragraph" w:customStyle="1" w:styleId="71">
    <w:name w:val="Heading #1|1"/>
    <w:basedOn w:val="1"/>
    <w:qFormat/>
    <w:uiPriority w:val="0"/>
    <w:pPr>
      <w:spacing w:after="700"/>
      <w:jc w:val="center"/>
      <w:outlineLvl w:val="0"/>
    </w:pPr>
    <w:rPr>
      <w:rFonts w:ascii="宋体" w:hAnsi="宋体" w:eastAsia="宋体" w:cs="宋体"/>
      <w:color w:val="DD012C"/>
      <w:sz w:val="88"/>
      <w:szCs w:val="88"/>
      <w:lang w:val="zh-TW" w:eastAsia="zh-TW" w:bidi="zh-TW"/>
    </w:rPr>
  </w:style>
  <w:style w:type="paragraph" w:customStyle="1" w:styleId="72">
    <w:name w:val="Header or footer|1"/>
    <w:basedOn w:val="1"/>
    <w:qFormat/>
    <w:uiPriority w:val="0"/>
    <w:rPr>
      <w:rFonts w:ascii="宋体" w:hAnsi="宋体" w:eastAsia="宋体" w:cs="宋体"/>
      <w:sz w:val="28"/>
      <w:szCs w:val="28"/>
      <w:lang w:val="zh-TW" w:eastAsia="zh-TW" w:bidi="zh-TW"/>
    </w:rPr>
  </w:style>
  <w:style w:type="character" w:customStyle="1" w:styleId="73">
    <w:name w:val="l-btn-left"/>
    <w:basedOn w:val="22"/>
    <w:qFormat/>
    <w:uiPriority w:val="0"/>
  </w:style>
  <w:style w:type="character" w:customStyle="1" w:styleId="74">
    <w:name w:val="l-btn-left1"/>
    <w:basedOn w:val="22"/>
    <w:qFormat/>
    <w:uiPriority w:val="0"/>
  </w:style>
  <w:style w:type="character" w:customStyle="1" w:styleId="75">
    <w:name w:val="l-btn-left2"/>
    <w:basedOn w:val="22"/>
    <w:qFormat/>
    <w:uiPriority w:val="0"/>
  </w:style>
  <w:style w:type="character" w:customStyle="1" w:styleId="76">
    <w:name w:val="l-btn-left3"/>
    <w:basedOn w:val="22"/>
    <w:qFormat/>
    <w:uiPriority w:val="0"/>
  </w:style>
  <w:style w:type="character" w:customStyle="1" w:styleId="77">
    <w:name w:val="l-btn-text"/>
    <w:basedOn w:val="22"/>
    <w:qFormat/>
    <w:uiPriority w:val="0"/>
  </w:style>
  <w:style w:type="character" w:customStyle="1" w:styleId="78">
    <w:name w:val="l-btn-empty"/>
    <w:basedOn w:val="22"/>
    <w:qFormat/>
    <w:uiPriority w:val="0"/>
  </w:style>
  <w:style w:type="character" w:customStyle="1" w:styleId="79">
    <w:name w:val="font11"/>
    <w:basedOn w:val="22"/>
    <w:qFormat/>
    <w:uiPriority w:val="0"/>
    <w:rPr>
      <w:rFonts w:hint="eastAsia" w:ascii="等线" w:hAnsi="等线" w:eastAsia="等线" w:cs="等线"/>
      <w:color w:val="000000"/>
      <w:sz w:val="48"/>
      <w:szCs w:val="48"/>
      <w:u w:val="none"/>
    </w:rPr>
  </w:style>
  <w:style w:type="character" w:customStyle="1" w:styleId="80">
    <w:name w:val="font41"/>
    <w:basedOn w:val="22"/>
    <w:qFormat/>
    <w:uiPriority w:val="0"/>
    <w:rPr>
      <w:rFonts w:ascii="Calibri" w:hAnsi="Calibri" w:cs="Calibri"/>
      <w:color w:val="FF0000"/>
      <w:sz w:val="48"/>
      <w:szCs w:val="48"/>
      <w:u w:val="none"/>
    </w:rPr>
  </w:style>
  <w:style w:type="paragraph" w:customStyle="1" w:styleId="81">
    <w:name w:val="Table Paragraph"/>
    <w:basedOn w:val="1"/>
    <w:qFormat/>
    <w:uiPriority w:val="1"/>
    <w:rPr>
      <w:rFonts w:ascii="等线" w:hAnsi="等线" w:eastAsia="等线" w:cs="等线"/>
      <w:lang w:val="zh-CN" w:eastAsia="zh-CN" w:bidi="zh-CN"/>
    </w:rPr>
  </w:style>
  <w:style w:type="character" w:customStyle="1" w:styleId="82">
    <w:name w:val="BZWFS Char"/>
    <w:link w:val="83"/>
    <w:qFormat/>
    <w:uiPriority w:val="0"/>
    <w:rPr>
      <w:rFonts w:ascii="仿宋_GB2312" w:hAnsi="仿宋_GB2312" w:eastAsia="仿宋_GB2312" w:cs="Times New Roman"/>
      <w:sz w:val="32"/>
      <w:szCs w:val="32"/>
      <w:lang w:val="en-US" w:eastAsia="zh-CN" w:bidi="ar-SA"/>
    </w:rPr>
  </w:style>
  <w:style w:type="paragraph" w:customStyle="1" w:styleId="83">
    <w:name w:val="BZWFS"/>
    <w:link w:val="82"/>
    <w:qFormat/>
    <w:uiPriority w:val="0"/>
    <w:pPr>
      <w:widowControl w:val="0"/>
      <w:spacing w:line="560" w:lineRule="exact"/>
      <w:ind w:firstLine="880" w:firstLineChars="200"/>
      <w:jc w:val="both"/>
    </w:pPr>
    <w:rPr>
      <w:rFonts w:ascii="仿宋_GB2312" w:hAnsi="仿宋_GB2312" w:eastAsia="仿宋_GB2312" w:cs="Times New Roman"/>
      <w:sz w:val="32"/>
      <w:szCs w:val="3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false"/>
        </a:gradFill>
        <a:gradFill rotWithShape="true">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false"/>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true">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false"/>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29</Pages>
  <Words>12152</Words>
  <Characters>13311</Characters>
  <Lines>88</Lines>
  <Paragraphs>24</Paragraphs>
  <TotalTime>4</TotalTime>
  <ScaleCrop>false</ScaleCrop>
  <LinksUpToDate>false</LinksUpToDate>
  <CharactersWithSpaces>13319</CharactersWithSpaces>
  <Application>WPS Office_11.8.2.10337_F1E327BC-269C-435d-A152-05C5408002CA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2021-02-20T19:04:00Z</dcterms:created>
  <dc:creator>sunshine</dc:creator>
  <cp:lastModifiedBy>zhengNuanting</cp:lastModifiedBy>
  <cp:lastPrinted>2020-12-25T23:11:00Z</cp:lastPrinted>
  <dcterms:modified xsi:type="dcterms:W3CDTF">2025-08-27T16:03:00Z</dcterms:modified>
  <cp:revision>109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2052-11.8.2.10337</vt:lpwstr>
  </property>
  <property fmtid="{D5CDD505-2E9C-101B-9397-08002B2CF9AE}" pid="3" name="ICV">
    <vt:lpwstr>15B0ADA87EF14D328B4EED7CCEA92434</vt:lpwstr>
  </property>
</Properties>
</file>