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7"/>
        <w:spacing w:line="360" w:lineRule="auto"/>
        <w:rPr>
          <w:rFonts w:hint="eastAsia"/>
          <w:color w:val="auto"/>
        </w:rPr>
      </w:pPr>
      <w:bookmarkStart w:id="0" w:name="_Toc91669232"/>
      <w:bookmarkStart w:id="1" w:name="_Toc91669266"/>
      <w:bookmarkStart w:id="2" w:name="_Toc91670292"/>
      <w:bookmarkStart w:id="3" w:name="_Toc91669300"/>
      <w:bookmarkStart w:id="4" w:name="_Toc91657320"/>
      <w:bookmarkStart w:id="5" w:name="_Toc91670394"/>
      <w:bookmarkStart w:id="6" w:name="_Toc91655939"/>
      <w:bookmarkStart w:id="7" w:name="_Toc91669715"/>
      <w:bookmarkStart w:id="8" w:name="_Toc91655633"/>
    </w:p>
    <w:p>
      <w:pPr>
        <w:pStyle w:val="52"/>
        <w:spacing w:line="360" w:lineRule="auto"/>
        <w:jc w:val="center"/>
        <w:rPr>
          <w:rFonts w:ascii="Times New Roman" w:hAnsi="Times New Roman"/>
        </w:rPr>
      </w:pPr>
      <w:r>
        <w:rPr>
          <w:rFonts w:ascii="Times New Roman" w:hAnsi="Times New Roman"/>
        </w:rPr>
        <w:t>深圳</w:t>
      </w:r>
      <w:r>
        <w:rPr>
          <w:rFonts w:hint="eastAsia" w:ascii="Times New Roman" w:hAnsi="Times New Roman"/>
        </w:rPr>
        <w:t>市技术规范</w:t>
      </w:r>
    </w:p>
    <w:p>
      <w:pPr>
        <w:pStyle w:val="57"/>
        <w:spacing w:after="240" w:line="360" w:lineRule="auto"/>
        <w:jc w:val="right"/>
        <w:rPr>
          <w:rFonts w:eastAsia="黑体e眠副浡渀."/>
          <w:color w:val="auto"/>
          <w:sz w:val="28"/>
          <w:szCs w:val="28"/>
        </w:rPr>
      </w:pPr>
      <w:r>
        <w:rPr>
          <w:rFonts w:ascii="Times New Roman" w:hAnsi="Times New Roman" w:eastAsia="黑体e眠副浡渀." w:cs="Times New Roman"/>
          <w:color w:val="auto"/>
          <w:sz w:val="28"/>
          <w:szCs w:val="28"/>
          <w:lang w:val="en-US" w:eastAsia="zh-CN" w:bidi="ar-SA"/>
        </w:rPr>
        <w:pict>
          <v:shape id="AutoShape 81" o:spid="_x0000_s1026" o:spt="32" type="#_x0000_t32" style="position:absolute;left:0pt;margin-left:0.15pt;margin-top:39.55pt;height:0.05pt;width:421.35pt;z-index:251658240;mso-width-relative:page;mso-height-relative:page;" fillcolor="#FFFFFF" filled="t" o:preferrelative="t" stroked="t" coordsize="21600,21600">
            <v:path arrowok="t"/>
            <v:fill on="t" focussize="0,0"/>
            <v:stroke color="#000000" color2="#FFFFFF" joinstyle="round"/>
            <v:imagedata gain="65536f" blacklevel="0f" gamma="0" o:title=""/>
            <o:lock v:ext="edit" position="f" selection="f" grouping="f" rotation="f" cropping="f" text="f" aspectratio="f"/>
          </v:shape>
        </w:pict>
      </w:r>
      <w:r>
        <w:rPr>
          <w:rFonts w:eastAsia="黑体e眠副浡渀."/>
          <w:color w:val="auto"/>
          <w:sz w:val="28"/>
          <w:szCs w:val="28"/>
        </w:rPr>
        <w:t xml:space="preserve">SJG </w:t>
      </w:r>
      <w:r>
        <w:rPr>
          <w:rFonts w:hint="eastAsia" w:eastAsia="黑体"/>
          <w:color w:val="auto"/>
          <w:sz w:val="28"/>
          <w:szCs w:val="28"/>
        </w:rPr>
        <w:t>30</w:t>
      </w:r>
      <w:r>
        <w:rPr>
          <w:rFonts w:eastAsia="黑体e眠副浡渀."/>
          <w:color w:val="auto"/>
          <w:sz w:val="28"/>
          <w:szCs w:val="28"/>
        </w:rPr>
        <w:t>—20</w:t>
      </w:r>
      <w:r>
        <w:rPr>
          <w:rFonts w:hint="eastAsia" w:eastAsia="黑体e眠副浡渀."/>
          <w:color w:val="auto"/>
          <w:sz w:val="28"/>
          <w:szCs w:val="28"/>
        </w:rPr>
        <w:t>XX</w:t>
      </w:r>
    </w:p>
    <w:p>
      <w:pPr>
        <w:pStyle w:val="57"/>
        <w:spacing w:before="240" w:after="240" w:line="360" w:lineRule="auto"/>
        <w:jc w:val="right"/>
        <w:rPr>
          <w:rFonts w:eastAsia="黑体e眠副浡渀."/>
          <w:color w:val="auto"/>
          <w:sz w:val="28"/>
          <w:szCs w:val="28"/>
        </w:rPr>
      </w:pPr>
    </w:p>
    <w:p>
      <w:pPr>
        <w:pStyle w:val="71"/>
        <w:spacing w:line="360" w:lineRule="auto"/>
        <w:jc w:val="right"/>
        <w:rPr>
          <w:rFonts w:eastAsia="黑体e眠副浡渀."/>
          <w:sz w:val="96"/>
          <w:szCs w:val="96"/>
        </w:rPr>
      </w:pPr>
    </w:p>
    <w:p>
      <w:pPr>
        <w:pStyle w:val="57"/>
        <w:spacing w:line="360" w:lineRule="auto"/>
        <w:jc w:val="center"/>
        <w:rPr>
          <w:rFonts w:eastAsia="黑体"/>
          <w:color w:val="auto"/>
          <w:sz w:val="44"/>
          <w:szCs w:val="52"/>
        </w:rPr>
      </w:pPr>
      <w:r>
        <w:rPr>
          <w:rFonts w:eastAsia="黑体"/>
          <w:color w:val="auto"/>
          <w:sz w:val="44"/>
          <w:szCs w:val="52"/>
        </w:rPr>
        <w:t>深圳绿色建筑</w:t>
      </w:r>
      <w:r>
        <w:rPr>
          <w:rFonts w:hint="eastAsia" w:eastAsia="黑体"/>
          <w:color w:val="auto"/>
          <w:sz w:val="44"/>
          <w:szCs w:val="52"/>
        </w:rPr>
        <w:t>评价规范</w:t>
      </w:r>
    </w:p>
    <w:p>
      <w:pPr>
        <w:pStyle w:val="57"/>
        <w:spacing w:line="360" w:lineRule="auto"/>
        <w:jc w:val="center"/>
        <w:rPr>
          <w:rFonts w:eastAsia="黑体e眠副浡渀."/>
          <w:color w:val="auto"/>
          <w:sz w:val="22"/>
          <w:szCs w:val="28"/>
        </w:rPr>
      </w:pPr>
      <w:r>
        <w:rPr>
          <w:rFonts w:eastAsia="黑体"/>
          <w:color w:val="auto"/>
          <w:sz w:val="44"/>
          <w:szCs w:val="52"/>
        </w:rPr>
        <w:t>（</w:t>
      </w:r>
      <w:r>
        <w:rPr>
          <w:rFonts w:hint="eastAsia" w:eastAsia="黑体"/>
          <w:color w:val="auto"/>
          <w:sz w:val="44"/>
          <w:szCs w:val="52"/>
        </w:rPr>
        <w:t>征求意见稿</w:t>
      </w:r>
      <w:r>
        <w:rPr>
          <w:rFonts w:eastAsia="黑体"/>
          <w:color w:val="auto"/>
          <w:sz w:val="44"/>
          <w:szCs w:val="52"/>
        </w:rPr>
        <w:t>）</w:t>
      </w:r>
    </w:p>
    <w:p>
      <w:pPr>
        <w:pStyle w:val="81"/>
        <w:spacing w:line="360" w:lineRule="auto"/>
        <w:ind w:right="560"/>
        <w:rPr>
          <w:rFonts w:eastAsia="黑体e眠副浡渀."/>
          <w:sz w:val="28"/>
          <w:szCs w:val="28"/>
        </w:rPr>
      </w:pPr>
    </w:p>
    <w:p>
      <w:pPr>
        <w:pStyle w:val="57"/>
        <w:spacing w:line="360" w:lineRule="auto"/>
        <w:rPr>
          <w:color w:val="auto"/>
        </w:rPr>
      </w:pPr>
    </w:p>
    <w:p>
      <w:pPr>
        <w:pStyle w:val="57"/>
        <w:spacing w:line="360" w:lineRule="auto"/>
        <w:rPr>
          <w:color w:val="auto"/>
        </w:rPr>
      </w:pPr>
    </w:p>
    <w:p>
      <w:pPr>
        <w:pStyle w:val="57"/>
        <w:spacing w:line="360" w:lineRule="auto"/>
        <w:rPr>
          <w:color w:val="auto"/>
        </w:rPr>
      </w:pPr>
    </w:p>
    <w:p>
      <w:pPr>
        <w:pStyle w:val="57"/>
        <w:spacing w:line="360" w:lineRule="auto"/>
        <w:rPr>
          <w:color w:val="auto"/>
        </w:rPr>
      </w:pPr>
    </w:p>
    <w:p>
      <w:pPr>
        <w:pStyle w:val="57"/>
        <w:spacing w:line="360" w:lineRule="auto"/>
        <w:rPr>
          <w:rFonts w:eastAsia="黑体e眠副浡渀."/>
          <w:color w:val="auto"/>
          <w:sz w:val="28"/>
          <w:szCs w:val="28"/>
        </w:rPr>
      </w:pPr>
    </w:p>
    <w:p>
      <w:pPr>
        <w:pStyle w:val="65"/>
        <w:spacing w:line="360" w:lineRule="auto"/>
        <w:rPr>
          <w:rFonts w:eastAsia="黑体e眠副浡渀."/>
          <w:sz w:val="28"/>
          <w:szCs w:val="28"/>
        </w:rPr>
      </w:pPr>
    </w:p>
    <w:p>
      <w:pPr>
        <w:pStyle w:val="65"/>
        <w:spacing w:line="360" w:lineRule="auto"/>
        <w:rPr>
          <w:rFonts w:eastAsia="黑体"/>
          <w:sz w:val="28"/>
          <w:szCs w:val="28"/>
        </w:rPr>
      </w:pPr>
    </w:p>
    <w:p>
      <w:pPr>
        <w:pStyle w:val="57"/>
      </w:pPr>
    </w:p>
    <w:p>
      <w:pPr>
        <w:pStyle w:val="57"/>
      </w:pPr>
    </w:p>
    <w:p>
      <w:pPr>
        <w:pStyle w:val="57"/>
      </w:pPr>
    </w:p>
    <w:p>
      <w:pPr>
        <w:pStyle w:val="57"/>
      </w:pPr>
    </w:p>
    <w:p>
      <w:pPr>
        <w:pStyle w:val="57"/>
        <w:spacing w:line="360" w:lineRule="auto"/>
        <w:rPr>
          <w:color w:val="auto"/>
        </w:rPr>
      </w:pPr>
    </w:p>
    <w:p>
      <w:pPr>
        <w:pStyle w:val="57"/>
        <w:spacing w:line="360" w:lineRule="auto"/>
        <w:rPr>
          <w:color w:val="auto"/>
        </w:rPr>
      </w:pPr>
      <w:r>
        <w:rPr>
          <w:rFonts w:ascii="Times New Roman" w:hAnsi="Times New Roman" w:eastAsia="黑体e眠副浡渀." w:cs="Times New Roman"/>
          <w:color w:val="auto"/>
          <w:sz w:val="28"/>
          <w:szCs w:val="28"/>
          <w:lang w:val="en-US" w:eastAsia="zh-CN" w:bidi="ar-SA"/>
        </w:rPr>
        <w:pict>
          <v:shape id="AutoShape 83" o:spid="_x0000_s1027" o:spt="32" type="#_x0000_t32" style="position:absolute;left:0pt;margin-left:0.15pt;margin-top:25.9pt;height:0.05pt;width:421.35pt;z-index:251659264;mso-width-relative:page;mso-height-relative:page;" fillcolor="#FFFFFF" filled="t" o:preferrelative="t" stroked="t" coordsize="21600,21600">
            <v:path arrowok="t"/>
            <v:fill on="t" focussize="0,0"/>
            <v:stroke color="#000000" color2="#FFFFFF" joinstyle="round"/>
            <v:imagedata gain="65536f" blacklevel="0f" gamma="0" o:title=""/>
            <o:lock v:ext="edit" position="f" selection="f" grouping="f" rotation="f" cropping="f" text="f" aspectratio="f"/>
          </v:shape>
        </w:pict>
      </w:r>
      <w:r>
        <w:rPr>
          <w:rFonts w:eastAsia="黑体"/>
          <w:color w:val="auto"/>
          <w:sz w:val="28"/>
          <w:szCs w:val="28"/>
        </w:rPr>
        <w:t>201×-××-××发布                               201×-××-××实施</w:t>
      </w:r>
    </w:p>
    <w:p>
      <w:pPr>
        <w:spacing w:line="360" w:lineRule="auto"/>
        <w:jc w:val="center"/>
        <w:rPr>
          <w:b/>
          <w:sz w:val="48"/>
          <w:szCs w:val="48"/>
        </w:rPr>
      </w:pPr>
      <w:r>
        <w:rPr>
          <w:rFonts w:eastAsia="黑体"/>
          <w:sz w:val="36"/>
          <w:szCs w:val="36"/>
        </w:rPr>
        <w:t>深圳市</w:t>
      </w:r>
      <w:r>
        <w:rPr>
          <w:rFonts w:hint="eastAsia" w:eastAsia="黑体"/>
          <w:sz w:val="36"/>
          <w:szCs w:val="36"/>
        </w:rPr>
        <w:t>住房和建设局</w:t>
      </w:r>
      <w:r>
        <w:rPr>
          <w:rFonts w:eastAsia="黑体"/>
          <w:sz w:val="36"/>
          <w:szCs w:val="36"/>
        </w:rPr>
        <w:t xml:space="preserve"> </w:t>
      </w:r>
      <w:r>
        <w:rPr>
          <w:rFonts w:eastAsia="黑体"/>
          <w:sz w:val="28"/>
          <w:szCs w:val="28"/>
        </w:rPr>
        <w:t>发布</w:t>
      </w:r>
    </w:p>
    <w:p>
      <w:pPr>
        <w:spacing w:line="360" w:lineRule="auto"/>
        <w:rPr>
          <w:szCs w:val="21"/>
        </w:rPr>
        <w:sectPr>
          <w:footerReference r:id="rId3" w:type="even"/>
          <w:pgSz w:w="11906" w:h="16838"/>
          <w:pgMar w:top="1440" w:right="1800" w:bottom="1440" w:left="1800" w:header="851" w:footer="992" w:gutter="0"/>
          <w:pgNumType w:start="1"/>
          <w:cols w:space="720" w:num="1"/>
          <w:docGrid w:type="lines" w:linePitch="312" w:charSpace="0"/>
        </w:sectPr>
      </w:pPr>
    </w:p>
    <w:bookmarkEnd w:id="0"/>
    <w:bookmarkEnd w:id="1"/>
    <w:bookmarkEnd w:id="2"/>
    <w:bookmarkEnd w:id="3"/>
    <w:bookmarkEnd w:id="4"/>
    <w:bookmarkEnd w:id="5"/>
    <w:bookmarkEnd w:id="6"/>
    <w:bookmarkEnd w:id="7"/>
    <w:bookmarkEnd w:id="8"/>
    <w:p>
      <w:pPr>
        <w:pStyle w:val="85"/>
        <w:jc w:val="center"/>
        <w:rPr>
          <w:rFonts w:ascii="Times New Roman" w:hAnsi="Times New Roman" w:eastAsia="黑体"/>
          <w:color w:val="auto"/>
        </w:rPr>
      </w:pPr>
      <w:bookmarkStart w:id="9" w:name="_Toc388023664"/>
      <w:bookmarkStart w:id="10" w:name="_Toc237346221"/>
      <w:r>
        <w:rPr>
          <w:rFonts w:ascii="Times New Roman" w:hAnsi="Times New Roman" w:eastAsia="黑体"/>
          <w:color w:val="auto"/>
          <w:lang w:val="zh-CN"/>
        </w:rPr>
        <w:t>目录</w:t>
      </w:r>
    </w:p>
    <w:p>
      <w:pPr>
        <w:pStyle w:val="26"/>
        <w:rPr>
          <w:rFonts w:ascii="Calibri" w:hAnsi="Calibri" w:eastAsia="宋体" w:cs="黑体"/>
          <w:b w:val="0"/>
          <w:sz w:val="21"/>
          <w:szCs w:val="22"/>
        </w:rPr>
      </w:pPr>
      <w:r>
        <w:rPr>
          <w:bCs/>
        </w:rPr>
        <w:fldChar w:fldCharType="begin"/>
      </w:r>
      <w:r>
        <w:rPr>
          <w:bCs/>
        </w:rPr>
        <w:instrText xml:space="preserve"> TOC \o "1-3" \h \z \u </w:instrText>
      </w:r>
      <w:r>
        <w:rPr>
          <w:bCs/>
        </w:rPr>
        <w:fldChar w:fldCharType="separate"/>
      </w:r>
      <w:r>
        <w:fldChar w:fldCharType="begin"/>
      </w:r>
      <w:r>
        <w:instrText xml:space="preserve">HYPERLINK  \l "_Toc449111646" </w:instrText>
      </w:r>
      <w:r>
        <w:fldChar w:fldCharType="separate"/>
      </w:r>
      <w:r>
        <w:rPr>
          <w:rStyle w:val="45"/>
          <w:rFonts w:hint="eastAsia" w:eastAsia="黑体"/>
        </w:rPr>
        <w:t>前言</w:t>
      </w:r>
      <w:r>
        <w:tab/>
      </w:r>
      <w:r>
        <w:fldChar w:fldCharType="begin"/>
      </w:r>
      <w:r>
        <w:instrText xml:space="preserve"> PAGEREF _Toc449111646 \h </w:instrText>
      </w:r>
      <w:r>
        <w:fldChar w:fldCharType="separate"/>
      </w:r>
      <w:r>
        <w:t>I</w:t>
      </w:r>
      <w:r>
        <w:fldChar w:fldCharType="end"/>
      </w:r>
      <w:r>
        <w:fldChar w:fldCharType="end"/>
      </w:r>
    </w:p>
    <w:p>
      <w:pPr>
        <w:pStyle w:val="26"/>
        <w:rPr>
          <w:rFonts w:ascii="Calibri" w:hAnsi="Calibri" w:eastAsia="宋体" w:cs="黑体"/>
          <w:b w:val="0"/>
          <w:sz w:val="21"/>
          <w:szCs w:val="22"/>
        </w:rPr>
      </w:pPr>
      <w:r>
        <w:fldChar w:fldCharType="begin"/>
      </w:r>
      <w:r>
        <w:instrText xml:space="preserve">HYPERLINK  \l "_Toc449111647" </w:instrText>
      </w:r>
      <w:r>
        <w:fldChar w:fldCharType="separate"/>
      </w:r>
      <w:r>
        <w:rPr>
          <w:rStyle w:val="45"/>
          <w:rFonts w:hint="eastAsia" w:eastAsia="黑体"/>
        </w:rPr>
        <w:t>引言</w:t>
      </w:r>
      <w:r>
        <w:tab/>
      </w:r>
      <w:r>
        <w:fldChar w:fldCharType="begin"/>
      </w:r>
      <w:r>
        <w:instrText xml:space="preserve"> PAGEREF _Toc449111647 \h </w:instrText>
      </w:r>
      <w:r>
        <w:fldChar w:fldCharType="separate"/>
      </w:r>
      <w:r>
        <w:t>II</w:t>
      </w:r>
      <w:r>
        <w:fldChar w:fldCharType="end"/>
      </w:r>
      <w:r>
        <w:fldChar w:fldCharType="end"/>
      </w:r>
    </w:p>
    <w:p>
      <w:pPr>
        <w:pStyle w:val="26"/>
        <w:rPr>
          <w:rFonts w:ascii="Calibri" w:hAnsi="Calibri" w:eastAsia="宋体" w:cs="黑体"/>
          <w:b w:val="0"/>
          <w:sz w:val="21"/>
          <w:szCs w:val="22"/>
        </w:rPr>
      </w:pPr>
      <w:r>
        <w:fldChar w:fldCharType="begin"/>
      </w:r>
      <w:r>
        <w:instrText xml:space="preserve">HYPERLINK  \l "_Toc449111648" </w:instrText>
      </w:r>
      <w:r>
        <w:fldChar w:fldCharType="separate"/>
      </w:r>
      <w:r>
        <w:rPr>
          <w:rStyle w:val="45"/>
          <w:rFonts w:eastAsia="黑体"/>
        </w:rPr>
        <w:t>1</w:t>
      </w:r>
      <w:r>
        <w:rPr>
          <w:rStyle w:val="45"/>
          <w:rFonts w:hint="eastAsia" w:eastAsia="黑体"/>
        </w:rPr>
        <w:t>范围</w:t>
      </w:r>
      <w:r>
        <w:tab/>
      </w:r>
      <w:r>
        <w:fldChar w:fldCharType="begin"/>
      </w:r>
      <w:r>
        <w:instrText xml:space="preserve"> PAGEREF _Toc449111648 \h </w:instrText>
      </w:r>
      <w:r>
        <w:fldChar w:fldCharType="separate"/>
      </w:r>
      <w:r>
        <w:t>1</w:t>
      </w:r>
      <w:r>
        <w:fldChar w:fldCharType="end"/>
      </w:r>
      <w:r>
        <w:fldChar w:fldCharType="end"/>
      </w:r>
    </w:p>
    <w:p>
      <w:pPr>
        <w:pStyle w:val="26"/>
        <w:rPr>
          <w:rFonts w:ascii="Calibri" w:hAnsi="Calibri" w:eastAsia="宋体" w:cs="黑体"/>
          <w:b w:val="0"/>
          <w:sz w:val="21"/>
          <w:szCs w:val="22"/>
        </w:rPr>
      </w:pPr>
      <w:r>
        <w:fldChar w:fldCharType="begin"/>
      </w:r>
      <w:r>
        <w:instrText xml:space="preserve">HYPERLINK  \l "_Toc449111649" </w:instrText>
      </w:r>
      <w:r>
        <w:fldChar w:fldCharType="separate"/>
      </w:r>
      <w:r>
        <w:rPr>
          <w:rStyle w:val="45"/>
        </w:rPr>
        <w:t>2</w:t>
      </w:r>
      <w:r>
        <w:rPr>
          <w:rStyle w:val="45"/>
          <w:rFonts w:hint="eastAsia"/>
        </w:rPr>
        <w:t>规范性引用文件</w:t>
      </w:r>
      <w:r>
        <w:tab/>
      </w:r>
      <w:r>
        <w:fldChar w:fldCharType="begin"/>
      </w:r>
      <w:r>
        <w:instrText xml:space="preserve"> PAGEREF _Toc449111649 \h </w:instrText>
      </w:r>
      <w:r>
        <w:fldChar w:fldCharType="separate"/>
      </w:r>
      <w:r>
        <w:t>2</w:t>
      </w:r>
      <w:r>
        <w:fldChar w:fldCharType="end"/>
      </w:r>
      <w:r>
        <w:fldChar w:fldCharType="end"/>
      </w:r>
    </w:p>
    <w:p>
      <w:pPr>
        <w:pStyle w:val="26"/>
        <w:rPr>
          <w:rFonts w:ascii="Calibri" w:hAnsi="Calibri" w:eastAsia="宋体" w:cs="黑体"/>
          <w:b w:val="0"/>
          <w:sz w:val="21"/>
          <w:szCs w:val="22"/>
        </w:rPr>
      </w:pPr>
      <w:r>
        <w:fldChar w:fldCharType="begin"/>
      </w:r>
      <w:r>
        <w:instrText xml:space="preserve">HYPERLINK  \l "_Toc449111650" </w:instrText>
      </w:r>
      <w:r>
        <w:fldChar w:fldCharType="separate"/>
      </w:r>
      <w:r>
        <w:rPr>
          <w:rStyle w:val="45"/>
          <w:rFonts w:eastAsia="黑体"/>
        </w:rPr>
        <w:t>3</w:t>
      </w:r>
      <w:r>
        <w:rPr>
          <w:rStyle w:val="45"/>
          <w:rFonts w:hint="eastAsia" w:eastAsia="黑体"/>
        </w:rPr>
        <w:t>总则</w:t>
      </w:r>
      <w:r>
        <w:tab/>
      </w:r>
      <w:r>
        <w:fldChar w:fldCharType="begin"/>
      </w:r>
      <w:r>
        <w:instrText xml:space="preserve"> PAGEREF _Toc449111650 \h </w:instrText>
      </w:r>
      <w:r>
        <w:fldChar w:fldCharType="separate"/>
      </w:r>
      <w:r>
        <w:t>4</w:t>
      </w:r>
      <w:r>
        <w:fldChar w:fldCharType="end"/>
      </w:r>
      <w:r>
        <w:fldChar w:fldCharType="end"/>
      </w:r>
    </w:p>
    <w:p>
      <w:pPr>
        <w:pStyle w:val="26"/>
        <w:rPr>
          <w:rFonts w:ascii="Calibri" w:hAnsi="Calibri" w:eastAsia="宋体" w:cs="黑体"/>
          <w:b w:val="0"/>
          <w:sz w:val="21"/>
          <w:szCs w:val="22"/>
        </w:rPr>
      </w:pPr>
      <w:r>
        <w:fldChar w:fldCharType="begin"/>
      </w:r>
      <w:r>
        <w:instrText xml:space="preserve">HYPERLINK  \l "_Toc449111651" </w:instrText>
      </w:r>
      <w:r>
        <w:fldChar w:fldCharType="separate"/>
      </w:r>
      <w:r>
        <w:rPr>
          <w:rStyle w:val="45"/>
          <w:rFonts w:eastAsia="黑体"/>
        </w:rPr>
        <w:t>4</w:t>
      </w:r>
      <w:r>
        <w:rPr>
          <w:rStyle w:val="45"/>
          <w:rFonts w:hint="eastAsia" w:eastAsia="黑体"/>
        </w:rPr>
        <w:t>术语</w:t>
      </w:r>
      <w:r>
        <w:tab/>
      </w:r>
      <w:r>
        <w:fldChar w:fldCharType="begin"/>
      </w:r>
      <w:r>
        <w:instrText xml:space="preserve"> PAGEREF _Toc449111651 \h </w:instrText>
      </w:r>
      <w:r>
        <w:fldChar w:fldCharType="separate"/>
      </w:r>
      <w:r>
        <w:t>5</w:t>
      </w:r>
      <w:r>
        <w:fldChar w:fldCharType="end"/>
      </w:r>
      <w:r>
        <w:fldChar w:fldCharType="end"/>
      </w:r>
    </w:p>
    <w:p>
      <w:pPr>
        <w:pStyle w:val="26"/>
        <w:rPr>
          <w:rFonts w:ascii="Calibri" w:hAnsi="Calibri" w:eastAsia="宋体" w:cs="黑体"/>
          <w:b w:val="0"/>
          <w:sz w:val="21"/>
          <w:szCs w:val="22"/>
        </w:rPr>
      </w:pPr>
      <w:r>
        <w:fldChar w:fldCharType="begin"/>
      </w:r>
      <w:r>
        <w:instrText xml:space="preserve">HYPERLINK  \l "_Toc449111652" </w:instrText>
      </w:r>
      <w:r>
        <w:fldChar w:fldCharType="separate"/>
      </w:r>
      <w:r>
        <w:rPr>
          <w:rStyle w:val="45"/>
          <w:rFonts w:eastAsia="黑体"/>
        </w:rPr>
        <w:t xml:space="preserve">5 </w:t>
      </w:r>
      <w:r>
        <w:rPr>
          <w:rStyle w:val="45"/>
          <w:rFonts w:hint="eastAsia" w:eastAsia="黑体"/>
        </w:rPr>
        <w:t>基本规定</w:t>
      </w:r>
      <w:r>
        <w:tab/>
      </w:r>
      <w:r>
        <w:fldChar w:fldCharType="begin"/>
      </w:r>
      <w:r>
        <w:instrText xml:space="preserve"> PAGEREF _Toc449111652 \h </w:instrText>
      </w:r>
      <w:r>
        <w:fldChar w:fldCharType="separate"/>
      </w:r>
      <w:r>
        <w:t>7</w:t>
      </w:r>
      <w:r>
        <w:fldChar w:fldCharType="end"/>
      </w:r>
      <w:r>
        <w:fldChar w:fldCharType="end"/>
      </w:r>
    </w:p>
    <w:p>
      <w:pPr>
        <w:pStyle w:val="30"/>
        <w:rPr>
          <w:rFonts w:ascii="Calibri" w:hAnsi="Calibri" w:eastAsia="宋体" w:cs="黑体"/>
          <w:szCs w:val="22"/>
        </w:rPr>
      </w:pPr>
      <w:r>
        <w:fldChar w:fldCharType="begin"/>
      </w:r>
      <w:r>
        <w:instrText xml:space="preserve">HYPERLINK  \l "_Toc449111653" </w:instrText>
      </w:r>
      <w:r>
        <w:fldChar w:fldCharType="separate"/>
      </w:r>
      <w:r>
        <w:rPr>
          <w:rStyle w:val="45"/>
        </w:rPr>
        <w:t xml:space="preserve">5.1 </w:t>
      </w:r>
      <w:r>
        <w:rPr>
          <w:rStyle w:val="45"/>
          <w:rFonts w:hint="eastAsia"/>
        </w:rPr>
        <w:t>一般规定</w:t>
      </w:r>
      <w:r>
        <w:tab/>
      </w:r>
      <w:r>
        <w:fldChar w:fldCharType="begin"/>
      </w:r>
      <w:r>
        <w:instrText xml:space="preserve"> PAGEREF _Toc449111653 \h </w:instrText>
      </w:r>
      <w:r>
        <w:fldChar w:fldCharType="separate"/>
      </w:r>
      <w:r>
        <w:t>7</w:t>
      </w:r>
      <w:r>
        <w:fldChar w:fldCharType="end"/>
      </w:r>
      <w:r>
        <w:fldChar w:fldCharType="end"/>
      </w:r>
    </w:p>
    <w:p>
      <w:pPr>
        <w:pStyle w:val="30"/>
        <w:rPr>
          <w:rFonts w:ascii="Calibri" w:hAnsi="Calibri" w:eastAsia="宋体" w:cs="黑体"/>
          <w:szCs w:val="22"/>
        </w:rPr>
      </w:pPr>
      <w:r>
        <w:fldChar w:fldCharType="begin"/>
      </w:r>
      <w:r>
        <w:instrText xml:space="preserve">HYPERLINK  \l "_Toc449111654" </w:instrText>
      </w:r>
      <w:r>
        <w:fldChar w:fldCharType="separate"/>
      </w:r>
      <w:r>
        <w:rPr>
          <w:rStyle w:val="45"/>
        </w:rPr>
        <w:t xml:space="preserve">5.2 </w:t>
      </w:r>
      <w:r>
        <w:rPr>
          <w:rStyle w:val="45"/>
          <w:rFonts w:hint="eastAsia"/>
        </w:rPr>
        <w:t>评价与等级划分</w:t>
      </w:r>
      <w:r>
        <w:tab/>
      </w:r>
      <w:r>
        <w:fldChar w:fldCharType="begin"/>
      </w:r>
      <w:r>
        <w:instrText xml:space="preserve"> PAGEREF _Toc449111654 \h </w:instrText>
      </w:r>
      <w:r>
        <w:fldChar w:fldCharType="separate"/>
      </w:r>
      <w:r>
        <w:t>8</w:t>
      </w:r>
      <w:r>
        <w:fldChar w:fldCharType="end"/>
      </w:r>
      <w:r>
        <w:fldChar w:fldCharType="end"/>
      </w:r>
    </w:p>
    <w:p>
      <w:pPr>
        <w:pStyle w:val="26"/>
        <w:rPr>
          <w:rFonts w:ascii="Calibri" w:hAnsi="Calibri" w:eastAsia="宋体" w:cs="黑体"/>
          <w:b w:val="0"/>
          <w:sz w:val="21"/>
          <w:szCs w:val="22"/>
        </w:rPr>
      </w:pPr>
      <w:r>
        <w:fldChar w:fldCharType="begin"/>
      </w:r>
      <w:r>
        <w:instrText xml:space="preserve">HYPERLINK  \l "_Toc449111655" </w:instrText>
      </w:r>
      <w:r>
        <w:fldChar w:fldCharType="separate"/>
      </w:r>
      <w:r>
        <w:rPr>
          <w:rStyle w:val="45"/>
          <w:rFonts w:eastAsia="黑体"/>
        </w:rPr>
        <w:t>6</w:t>
      </w:r>
      <w:r>
        <w:rPr>
          <w:rStyle w:val="45"/>
          <w:rFonts w:hint="eastAsia" w:eastAsia="黑体"/>
        </w:rPr>
        <w:t>节地与室外环境</w:t>
      </w:r>
      <w:r>
        <w:tab/>
      </w:r>
      <w:r>
        <w:fldChar w:fldCharType="begin"/>
      </w:r>
      <w:r>
        <w:instrText xml:space="preserve"> PAGEREF _Toc449111655 \h </w:instrText>
      </w:r>
      <w:r>
        <w:fldChar w:fldCharType="separate"/>
      </w:r>
      <w:r>
        <w:t>12</w:t>
      </w:r>
      <w:r>
        <w:fldChar w:fldCharType="end"/>
      </w:r>
      <w:r>
        <w:fldChar w:fldCharType="end"/>
      </w:r>
    </w:p>
    <w:p>
      <w:pPr>
        <w:pStyle w:val="30"/>
        <w:rPr>
          <w:rFonts w:ascii="Calibri" w:hAnsi="Calibri" w:eastAsia="宋体" w:cs="黑体"/>
          <w:szCs w:val="22"/>
        </w:rPr>
      </w:pPr>
      <w:r>
        <w:fldChar w:fldCharType="begin"/>
      </w:r>
      <w:r>
        <w:instrText xml:space="preserve">HYPERLINK  \l "_Toc449111656" </w:instrText>
      </w:r>
      <w:r>
        <w:fldChar w:fldCharType="separate"/>
      </w:r>
      <w:r>
        <w:rPr>
          <w:rStyle w:val="45"/>
        </w:rPr>
        <w:t xml:space="preserve">6.1 </w:t>
      </w:r>
      <w:r>
        <w:rPr>
          <w:rStyle w:val="45"/>
          <w:rFonts w:hint="eastAsia"/>
        </w:rPr>
        <w:t>控制项</w:t>
      </w:r>
      <w:r>
        <w:tab/>
      </w:r>
      <w:r>
        <w:fldChar w:fldCharType="begin"/>
      </w:r>
      <w:r>
        <w:instrText xml:space="preserve"> PAGEREF _Toc449111656 \h </w:instrText>
      </w:r>
      <w:r>
        <w:fldChar w:fldCharType="separate"/>
      </w:r>
      <w:r>
        <w:t>12</w:t>
      </w:r>
      <w:r>
        <w:fldChar w:fldCharType="end"/>
      </w:r>
      <w:r>
        <w:fldChar w:fldCharType="end"/>
      </w:r>
    </w:p>
    <w:p>
      <w:pPr>
        <w:pStyle w:val="30"/>
        <w:rPr>
          <w:rFonts w:ascii="Calibri" w:hAnsi="Calibri" w:eastAsia="宋体" w:cs="黑体"/>
          <w:szCs w:val="22"/>
        </w:rPr>
      </w:pPr>
      <w:r>
        <w:fldChar w:fldCharType="begin"/>
      </w:r>
      <w:r>
        <w:instrText xml:space="preserve">HYPERLINK  \l "_Toc449111657" </w:instrText>
      </w:r>
      <w:r>
        <w:fldChar w:fldCharType="separate"/>
      </w:r>
      <w:r>
        <w:rPr>
          <w:rStyle w:val="45"/>
        </w:rPr>
        <w:t xml:space="preserve">6.2 </w:t>
      </w:r>
      <w:r>
        <w:rPr>
          <w:rStyle w:val="45"/>
          <w:rFonts w:hint="eastAsia"/>
        </w:rPr>
        <w:t>评分项</w:t>
      </w:r>
      <w:r>
        <w:tab/>
      </w:r>
      <w:r>
        <w:fldChar w:fldCharType="begin"/>
      </w:r>
      <w:r>
        <w:instrText xml:space="preserve"> PAGEREF _Toc449111657 \h </w:instrText>
      </w:r>
      <w:r>
        <w:fldChar w:fldCharType="separate"/>
      </w:r>
      <w:r>
        <w:t>13</w:t>
      </w:r>
      <w:r>
        <w:fldChar w:fldCharType="end"/>
      </w:r>
      <w:r>
        <w:fldChar w:fldCharType="end"/>
      </w:r>
    </w:p>
    <w:p>
      <w:pPr>
        <w:pStyle w:val="18"/>
        <w:tabs>
          <w:tab w:val="right" w:leader="dot" w:pos="8296"/>
        </w:tabs>
        <w:rPr>
          <w:rFonts w:ascii="Calibri" w:hAnsi="Calibri" w:eastAsia="宋体" w:cs="黑体"/>
          <w:szCs w:val="22"/>
        </w:rPr>
      </w:pPr>
      <w:r>
        <w:fldChar w:fldCharType="begin"/>
      </w:r>
      <w:r>
        <w:instrText xml:space="preserve">HYPERLINK  \l "_Toc449111658" </w:instrText>
      </w:r>
      <w:r>
        <w:fldChar w:fldCharType="separate"/>
      </w:r>
      <w:r>
        <w:rPr>
          <w:rStyle w:val="45"/>
          <w:rFonts w:hint="eastAsia" w:ascii="宋体" w:hAnsi="宋体"/>
        </w:rPr>
        <w:t>Ⅰ</w:t>
      </w:r>
      <w:r>
        <w:rPr>
          <w:rStyle w:val="45"/>
          <w:rFonts w:ascii="宋体" w:hAnsi="宋体"/>
        </w:rPr>
        <w:t xml:space="preserve"> </w:t>
      </w:r>
      <w:r>
        <w:rPr>
          <w:rStyle w:val="45"/>
          <w:rFonts w:hint="eastAsia" w:ascii="宋体" w:hAnsi="宋体"/>
        </w:rPr>
        <w:t>土地利用（</w:t>
      </w:r>
      <w:r>
        <w:rPr>
          <w:rStyle w:val="45"/>
          <w:rFonts w:ascii="宋体" w:hAnsi="宋体"/>
        </w:rPr>
        <w:t>29</w:t>
      </w:r>
      <w:r>
        <w:rPr>
          <w:rStyle w:val="45"/>
          <w:rFonts w:hint="eastAsia" w:ascii="宋体" w:hAnsi="宋体"/>
        </w:rPr>
        <w:t>分）</w:t>
      </w:r>
      <w:r>
        <w:tab/>
      </w:r>
      <w:r>
        <w:fldChar w:fldCharType="begin"/>
      </w:r>
      <w:r>
        <w:instrText xml:space="preserve"> PAGEREF _Toc449111658 \h </w:instrText>
      </w:r>
      <w:r>
        <w:fldChar w:fldCharType="separate"/>
      </w:r>
      <w:r>
        <w:t>13</w:t>
      </w:r>
      <w:r>
        <w:fldChar w:fldCharType="end"/>
      </w:r>
      <w:r>
        <w:fldChar w:fldCharType="end"/>
      </w:r>
    </w:p>
    <w:p>
      <w:pPr>
        <w:pStyle w:val="18"/>
        <w:tabs>
          <w:tab w:val="right" w:leader="dot" w:pos="8296"/>
        </w:tabs>
        <w:rPr>
          <w:rFonts w:ascii="Calibri" w:hAnsi="Calibri" w:eastAsia="宋体" w:cs="黑体"/>
          <w:szCs w:val="22"/>
        </w:rPr>
      </w:pPr>
      <w:r>
        <w:fldChar w:fldCharType="begin"/>
      </w:r>
      <w:r>
        <w:instrText xml:space="preserve">HYPERLINK  \l "_Toc449111659" </w:instrText>
      </w:r>
      <w:r>
        <w:fldChar w:fldCharType="separate"/>
      </w:r>
      <w:r>
        <w:rPr>
          <w:rStyle w:val="45"/>
          <w:rFonts w:hint="eastAsia" w:ascii="宋体" w:hAnsi="宋体"/>
        </w:rPr>
        <w:t>Ⅱ</w:t>
      </w:r>
      <w:r>
        <w:rPr>
          <w:rStyle w:val="45"/>
          <w:rFonts w:ascii="宋体" w:hAnsi="宋体"/>
        </w:rPr>
        <w:t xml:space="preserve"> </w:t>
      </w:r>
      <w:r>
        <w:rPr>
          <w:rStyle w:val="45"/>
          <w:rFonts w:hint="eastAsia" w:hAnsi="宋体"/>
        </w:rPr>
        <w:t>室外环境（</w:t>
      </w:r>
      <w:r>
        <w:rPr>
          <w:rStyle w:val="45"/>
          <w:rFonts w:hAnsi="宋体"/>
        </w:rPr>
        <w:t>21</w:t>
      </w:r>
      <w:r>
        <w:rPr>
          <w:rStyle w:val="45"/>
          <w:rFonts w:hint="eastAsia" w:hAnsi="宋体"/>
        </w:rPr>
        <w:t>分）</w:t>
      </w:r>
      <w:r>
        <w:tab/>
      </w:r>
      <w:r>
        <w:fldChar w:fldCharType="begin"/>
      </w:r>
      <w:r>
        <w:instrText xml:space="preserve"> PAGEREF _Toc449111659 \h </w:instrText>
      </w:r>
      <w:r>
        <w:fldChar w:fldCharType="separate"/>
      </w:r>
      <w:r>
        <w:t>16</w:t>
      </w:r>
      <w:r>
        <w:fldChar w:fldCharType="end"/>
      </w:r>
      <w:r>
        <w:fldChar w:fldCharType="end"/>
      </w:r>
    </w:p>
    <w:p>
      <w:pPr>
        <w:pStyle w:val="18"/>
        <w:tabs>
          <w:tab w:val="right" w:leader="dot" w:pos="8296"/>
        </w:tabs>
        <w:rPr>
          <w:rFonts w:ascii="Calibri" w:hAnsi="Calibri" w:eastAsia="宋体" w:cs="黑体"/>
          <w:szCs w:val="22"/>
        </w:rPr>
      </w:pPr>
      <w:r>
        <w:fldChar w:fldCharType="begin"/>
      </w:r>
      <w:r>
        <w:instrText xml:space="preserve">HYPERLINK  \l "_Toc449111660" </w:instrText>
      </w:r>
      <w:r>
        <w:fldChar w:fldCharType="separate"/>
      </w:r>
      <w:r>
        <w:rPr>
          <w:rStyle w:val="45"/>
          <w:rFonts w:hint="eastAsia" w:ascii="宋体" w:hAnsi="宋体"/>
        </w:rPr>
        <w:t>Ⅲ</w:t>
      </w:r>
      <w:r>
        <w:rPr>
          <w:rStyle w:val="45"/>
          <w:rFonts w:ascii="宋体" w:hAnsi="宋体"/>
        </w:rPr>
        <w:t xml:space="preserve"> </w:t>
      </w:r>
      <w:r>
        <w:rPr>
          <w:rStyle w:val="45"/>
          <w:rFonts w:hint="eastAsia" w:hAnsi="宋体"/>
        </w:rPr>
        <w:t>交通设施与公共服务（</w:t>
      </w:r>
      <w:r>
        <w:rPr>
          <w:rStyle w:val="45"/>
          <w:rFonts w:hAnsi="宋体"/>
        </w:rPr>
        <w:t>27</w:t>
      </w:r>
      <w:r>
        <w:rPr>
          <w:rStyle w:val="45"/>
          <w:rFonts w:hint="eastAsia" w:hAnsi="宋体"/>
        </w:rPr>
        <w:t>）</w:t>
      </w:r>
      <w:r>
        <w:tab/>
      </w:r>
      <w:r>
        <w:fldChar w:fldCharType="begin"/>
      </w:r>
      <w:r>
        <w:instrText xml:space="preserve"> PAGEREF _Toc449111660 \h </w:instrText>
      </w:r>
      <w:r>
        <w:fldChar w:fldCharType="separate"/>
      </w:r>
      <w:r>
        <w:t>18</w:t>
      </w:r>
      <w:r>
        <w:fldChar w:fldCharType="end"/>
      </w:r>
      <w:r>
        <w:fldChar w:fldCharType="end"/>
      </w:r>
    </w:p>
    <w:p>
      <w:pPr>
        <w:pStyle w:val="18"/>
        <w:tabs>
          <w:tab w:val="right" w:leader="dot" w:pos="8296"/>
        </w:tabs>
        <w:rPr>
          <w:rFonts w:ascii="Calibri" w:hAnsi="Calibri" w:eastAsia="宋体" w:cs="黑体"/>
          <w:szCs w:val="22"/>
        </w:rPr>
      </w:pPr>
      <w:r>
        <w:fldChar w:fldCharType="begin"/>
      </w:r>
      <w:r>
        <w:instrText xml:space="preserve">HYPERLINK  \l "_Toc449111661" </w:instrText>
      </w:r>
      <w:r>
        <w:fldChar w:fldCharType="separate"/>
      </w:r>
      <w:r>
        <w:rPr>
          <w:rStyle w:val="45"/>
          <w:rFonts w:hint="eastAsia" w:ascii="宋体" w:hAnsi="宋体"/>
        </w:rPr>
        <w:t>Ⅳ</w:t>
      </w:r>
      <w:r>
        <w:rPr>
          <w:rStyle w:val="45"/>
          <w:rFonts w:ascii="宋体" w:hAnsi="宋体"/>
        </w:rPr>
        <w:t xml:space="preserve"> </w:t>
      </w:r>
      <w:r>
        <w:rPr>
          <w:rStyle w:val="45"/>
          <w:rFonts w:hint="eastAsia" w:hAnsi="宋体"/>
        </w:rPr>
        <w:t>场地设计与场地生态（</w:t>
      </w:r>
      <w:r>
        <w:rPr>
          <w:rStyle w:val="45"/>
          <w:rFonts w:hAnsi="宋体"/>
        </w:rPr>
        <w:t>23</w:t>
      </w:r>
      <w:r>
        <w:rPr>
          <w:rStyle w:val="45"/>
          <w:rFonts w:hint="eastAsia" w:hAnsi="宋体"/>
        </w:rPr>
        <w:t>）</w:t>
      </w:r>
      <w:r>
        <w:tab/>
      </w:r>
      <w:r>
        <w:fldChar w:fldCharType="begin"/>
      </w:r>
      <w:r>
        <w:instrText xml:space="preserve"> PAGEREF _Toc449111661 \h </w:instrText>
      </w:r>
      <w:r>
        <w:fldChar w:fldCharType="separate"/>
      </w:r>
      <w:r>
        <w:t>21</w:t>
      </w:r>
      <w:r>
        <w:fldChar w:fldCharType="end"/>
      </w:r>
      <w:r>
        <w:fldChar w:fldCharType="end"/>
      </w:r>
    </w:p>
    <w:p>
      <w:pPr>
        <w:pStyle w:val="26"/>
        <w:rPr>
          <w:rFonts w:ascii="Calibri" w:hAnsi="Calibri" w:eastAsia="宋体" w:cs="黑体"/>
          <w:b w:val="0"/>
          <w:sz w:val="21"/>
          <w:szCs w:val="22"/>
        </w:rPr>
      </w:pPr>
      <w:r>
        <w:fldChar w:fldCharType="begin"/>
      </w:r>
      <w:r>
        <w:instrText xml:space="preserve">HYPERLINK  \l "_Toc449111662" </w:instrText>
      </w:r>
      <w:r>
        <w:fldChar w:fldCharType="separate"/>
      </w:r>
      <w:r>
        <w:rPr>
          <w:rStyle w:val="45"/>
          <w:rFonts w:eastAsia="黑体"/>
        </w:rPr>
        <w:t xml:space="preserve">7 </w:t>
      </w:r>
      <w:r>
        <w:rPr>
          <w:rStyle w:val="45"/>
          <w:rFonts w:hint="eastAsia" w:eastAsia="黑体"/>
        </w:rPr>
        <w:t>节能与能源利用</w:t>
      </w:r>
      <w:r>
        <w:tab/>
      </w:r>
      <w:r>
        <w:fldChar w:fldCharType="begin"/>
      </w:r>
      <w:r>
        <w:instrText xml:space="preserve"> PAGEREF _Toc449111662 \h </w:instrText>
      </w:r>
      <w:r>
        <w:fldChar w:fldCharType="separate"/>
      </w:r>
      <w:r>
        <w:t>24</w:t>
      </w:r>
      <w:r>
        <w:fldChar w:fldCharType="end"/>
      </w:r>
      <w:r>
        <w:fldChar w:fldCharType="end"/>
      </w:r>
    </w:p>
    <w:p>
      <w:pPr>
        <w:pStyle w:val="30"/>
        <w:rPr>
          <w:rFonts w:ascii="Calibri" w:hAnsi="Calibri" w:eastAsia="宋体" w:cs="黑体"/>
          <w:szCs w:val="22"/>
        </w:rPr>
      </w:pPr>
      <w:r>
        <w:fldChar w:fldCharType="begin"/>
      </w:r>
      <w:r>
        <w:instrText xml:space="preserve">HYPERLINK  \l "_Toc449111663" </w:instrText>
      </w:r>
      <w:r>
        <w:fldChar w:fldCharType="separate"/>
      </w:r>
      <w:r>
        <w:rPr>
          <w:rStyle w:val="45"/>
        </w:rPr>
        <w:t xml:space="preserve">7.1 </w:t>
      </w:r>
      <w:r>
        <w:rPr>
          <w:rStyle w:val="45"/>
          <w:rFonts w:hint="eastAsia"/>
        </w:rPr>
        <w:t>控制项</w:t>
      </w:r>
      <w:r>
        <w:tab/>
      </w:r>
      <w:r>
        <w:fldChar w:fldCharType="begin"/>
      </w:r>
      <w:r>
        <w:instrText xml:space="preserve"> PAGEREF _Toc449111663 \h </w:instrText>
      </w:r>
      <w:r>
        <w:fldChar w:fldCharType="separate"/>
      </w:r>
      <w:r>
        <w:t>24</w:t>
      </w:r>
      <w:r>
        <w:fldChar w:fldCharType="end"/>
      </w:r>
      <w:r>
        <w:fldChar w:fldCharType="end"/>
      </w:r>
    </w:p>
    <w:p>
      <w:pPr>
        <w:pStyle w:val="30"/>
        <w:rPr>
          <w:rFonts w:ascii="Calibri" w:hAnsi="Calibri" w:eastAsia="宋体" w:cs="黑体"/>
          <w:szCs w:val="22"/>
        </w:rPr>
      </w:pPr>
      <w:r>
        <w:fldChar w:fldCharType="begin"/>
      </w:r>
      <w:r>
        <w:instrText xml:space="preserve">HYPERLINK  \l "_Toc449111664" </w:instrText>
      </w:r>
      <w:r>
        <w:fldChar w:fldCharType="separate"/>
      </w:r>
      <w:r>
        <w:rPr>
          <w:rStyle w:val="45"/>
        </w:rPr>
        <w:t xml:space="preserve">7.2 </w:t>
      </w:r>
      <w:r>
        <w:rPr>
          <w:rStyle w:val="45"/>
          <w:rFonts w:hint="eastAsia"/>
        </w:rPr>
        <w:t>评分项</w:t>
      </w:r>
      <w:r>
        <w:tab/>
      </w:r>
      <w:r>
        <w:fldChar w:fldCharType="begin"/>
      </w:r>
      <w:r>
        <w:instrText xml:space="preserve"> PAGEREF _Toc449111664 \h </w:instrText>
      </w:r>
      <w:r>
        <w:fldChar w:fldCharType="separate"/>
      </w:r>
      <w:r>
        <w:t>25</w:t>
      </w:r>
      <w:r>
        <w:fldChar w:fldCharType="end"/>
      </w:r>
      <w:r>
        <w:fldChar w:fldCharType="end"/>
      </w:r>
    </w:p>
    <w:p>
      <w:pPr>
        <w:pStyle w:val="18"/>
        <w:tabs>
          <w:tab w:val="right" w:leader="dot" w:pos="8296"/>
        </w:tabs>
        <w:rPr>
          <w:rFonts w:ascii="Calibri" w:hAnsi="Calibri" w:eastAsia="宋体" w:cs="黑体"/>
          <w:szCs w:val="22"/>
        </w:rPr>
      </w:pPr>
      <w:r>
        <w:fldChar w:fldCharType="begin"/>
      </w:r>
      <w:r>
        <w:instrText xml:space="preserve">HYPERLINK  \l "_Toc449111665" </w:instrText>
      </w:r>
      <w:r>
        <w:fldChar w:fldCharType="separate"/>
      </w:r>
      <w:r>
        <w:rPr>
          <w:rStyle w:val="45"/>
          <w:rFonts w:hint="eastAsia" w:ascii="宋体" w:hAnsi="宋体"/>
        </w:rPr>
        <w:t>Ⅰ</w:t>
      </w:r>
      <w:r>
        <w:rPr>
          <w:rStyle w:val="45"/>
          <w:rFonts w:ascii="宋体" w:hAnsi="宋体"/>
        </w:rPr>
        <w:t xml:space="preserve"> </w:t>
      </w:r>
      <w:r>
        <w:rPr>
          <w:rStyle w:val="45"/>
          <w:rFonts w:hint="eastAsia" w:hAnsi="宋体"/>
        </w:rPr>
        <w:t>建筑能耗指标（</w:t>
      </w:r>
      <w:r>
        <w:rPr>
          <w:rStyle w:val="45"/>
          <w:rFonts w:hAnsi="宋体"/>
        </w:rPr>
        <w:t>40</w:t>
      </w:r>
      <w:r>
        <w:rPr>
          <w:rStyle w:val="45"/>
          <w:rFonts w:hint="eastAsia" w:hAnsi="宋体"/>
        </w:rPr>
        <w:t>）</w:t>
      </w:r>
      <w:r>
        <w:tab/>
      </w:r>
      <w:r>
        <w:fldChar w:fldCharType="begin"/>
      </w:r>
      <w:r>
        <w:instrText xml:space="preserve"> PAGEREF _Toc449111665 \h </w:instrText>
      </w:r>
      <w:r>
        <w:fldChar w:fldCharType="separate"/>
      </w:r>
      <w:r>
        <w:t>25</w:t>
      </w:r>
      <w:r>
        <w:fldChar w:fldCharType="end"/>
      </w:r>
      <w:r>
        <w:fldChar w:fldCharType="end"/>
      </w:r>
    </w:p>
    <w:p>
      <w:pPr>
        <w:pStyle w:val="18"/>
        <w:tabs>
          <w:tab w:val="right" w:leader="dot" w:pos="8296"/>
        </w:tabs>
        <w:rPr>
          <w:rFonts w:ascii="Calibri" w:hAnsi="Calibri" w:eastAsia="宋体" w:cs="黑体"/>
          <w:szCs w:val="22"/>
        </w:rPr>
      </w:pPr>
      <w:r>
        <w:fldChar w:fldCharType="begin"/>
      </w:r>
      <w:r>
        <w:instrText xml:space="preserve">HYPERLINK  \l "_Toc449111666" </w:instrText>
      </w:r>
      <w:r>
        <w:fldChar w:fldCharType="separate"/>
      </w:r>
      <w:r>
        <w:rPr>
          <w:rStyle w:val="45"/>
          <w:rFonts w:hint="eastAsia" w:ascii="宋体" w:hAnsi="宋体"/>
        </w:rPr>
        <w:t>Ⅱ</w:t>
      </w:r>
      <w:r>
        <w:rPr>
          <w:rStyle w:val="45"/>
          <w:rFonts w:ascii="宋体" w:hAnsi="宋体"/>
        </w:rPr>
        <w:t xml:space="preserve"> </w:t>
      </w:r>
      <w:r>
        <w:rPr>
          <w:rStyle w:val="45"/>
          <w:rFonts w:hint="eastAsia" w:hAnsi="宋体"/>
        </w:rPr>
        <w:t>建筑与围护结构（</w:t>
      </w:r>
      <w:r>
        <w:rPr>
          <w:rStyle w:val="45"/>
          <w:rFonts w:hAnsi="宋体"/>
        </w:rPr>
        <w:t>12</w:t>
      </w:r>
      <w:r>
        <w:rPr>
          <w:rStyle w:val="45"/>
          <w:rFonts w:hint="eastAsia" w:hAnsi="宋体"/>
        </w:rPr>
        <w:t>）</w:t>
      </w:r>
      <w:r>
        <w:tab/>
      </w:r>
      <w:r>
        <w:fldChar w:fldCharType="begin"/>
      </w:r>
      <w:r>
        <w:instrText xml:space="preserve"> PAGEREF _Toc449111666 \h </w:instrText>
      </w:r>
      <w:r>
        <w:fldChar w:fldCharType="separate"/>
      </w:r>
      <w:r>
        <w:t>26</w:t>
      </w:r>
      <w:r>
        <w:fldChar w:fldCharType="end"/>
      </w:r>
      <w:r>
        <w:fldChar w:fldCharType="end"/>
      </w:r>
    </w:p>
    <w:p>
      <w:pPr>
        <w:pStyle w:val="18"/>
        <w:tabs>
          <w:tab w:val="right" w:leader="dot" w:pos="8296"/>
        </w:tabs>
        <w:rPr>
          <w:rFonts w:ascii="Calibri" w:hAnsi="Calibri" w:eastAsia="宋体" w:cs="黑体"/>
          <w:szCs w:val="22"/>
        </w:rPr>
      </w:pPr>
      <w:r>
        <w:fldChar w:fldCharType="begin"/>
      </w:r>
      <w:r>
        <w:instrText xml:space="preserve">HYPERLINK  \l "_Toc449111667" </w:instrText>
      </w:r>
      <w:r>
        <w:fldChar w:fldCharType="separate"/>
      </w:r>
      <w:r>
        <w:rPr>
          <w:rStyle w:val="45"/>
          <w:rFonts w:hint="eastAsia" w:ascii="宋体" w:hAnsi="宋体"/>
        </w:rPr>
        <w:t>Ⅲ</w:t>
      </w:r>
      <w:r>
        <w:rPr>
          <w:rStyle w:val="45"/>
          <w:rFonts w:ascii="宋体" w:hAnsi="宋体"/>
        </w:rPr>
        <w:t xml:space="preserve"> </w:t>
      </w:r>
      <w:r>
        <w:rPr>
          <w:rStyle w:val="45"/>
          <w:rFonts w:hint="eastAsia" w:hAnsi="宋体"/>
        </w:rPr>
        <w:t>通风与空调（</w:t>
      </w:r>
      <w:r>
        <w:rPr>
          <w:rStyle w:val="45"/>
          <w:rFonts w:hAnsi="宋体"/>
        </w:rPr>
        <w:t>11</w:t>
      </w:r>
      <w:r>
        <w:rPr>
          <w:rStyle w:val="45"/>
          <w:rFonts w:hint="eastAsia" w:hAnsi="宋体"/>
        </w:rPr>
        <w:t>）</w:t>
      </w:r>
      <w:r>
        <w:tab/>
      </w:r>
      <w:r>
        <w:fldChar w:fldCharType="begin"/>
      </w:r>
      <w:r>
        <w:instrText xml:space="preserve"> PAGEREF _Toc449111667 \h </w:instrText>
      </w:r>
      <w:r>
        <w:fldChar w:fldCharType="separate"/>
      </w:r>
      <w:r>
        <w:t>27</w:t>
      </w:r>
      <w:r>
        <w:fldChar w:fldCharType="end"/>
      </w:r>
      <w:r>
        <w:fldChar w:fldCharType="end"/>
      </w:r>
    </w:p>
    <w:p>
      <w:pPr>
        <w:pStyle w:val="18"/>
        <w:tabs>
          <w:tab w:val="right" w:leader="dot" w:pos="8296"/>
        </w:tabs>
        <w:rPr>
          <w:rFonts w:ascii="Calibri" w:hAnsi="Calibri" w:eastAsia="宋体" w:cs="黑体"/>
          <w:szCs w:val="22"/>
        </w:rPr>
      </w:pPr>
      <w:r>
        <w:fldChar w:fldCharType="begin"/>
      </w:r>
      <w:r>
        <w:instrText xml:space="preserve">HYPERLINK  \l "_Toc449111668" </w:instrText>
      </w:r>
      <w:r>
        <w:fldChar w:fldCharType="separate"/>
      </w:r>
      <w:r>
        <w:rPr>
          <w:rStyle w:val="45"/>
          <w:rFonts w:hint="eastAsia" w:ascii="宋体" w:hAnsi="宋体"/>
        </w:rPr>
        <w:t>Ⅳ</w:t>
      </w:r>
      <w:r>
        <w:rPr>
          <w:rStyle w:val="45"/>
          <w:rFonts w:ascii="宋体" w:hAnsi="宋体"/>
        </w:rPr>
        <w:t xml:space="preserve"> </w:t>
      </w:r>
      <w:r>
        <w:rPr>
          <w:rStyle w:val="45"/>
          <w:rFonts w:hint="eastAsia" w:hAnsi="宋体"/>
        </w:rPr>
        <w:t>照明与电气（</w:t>
      </w:r>
      <w:r>
        <w:rPr>
          <w:rStyle w:val="45"/>
          <w:rFonts w:hAnsi="宋体"/>
        </w:rPr>
        <w:t>20</w:t>
      </w:r>
      <w:r>
        <w:rPr>
          <w:rStyle w:val="45"/>
          <w:rFonts w:hint="eastAsia" w:hAnsi="宋体"/>
        </w:rPr>
        <w:t>）</w:t>
      </w:r>
      <w:r>
        <w:tab/>
      </w:r>
      <w:r>
        <w:fldChar w:fldCharType="begin"/>
      </w:r>
      <w:r>
        <w:instrText xml:space="preserve"> PAGEREF _Toc449111668 \h </w:instrText>
      </w:r>
      <w:r>
        <w:fldChar w:fldCharType="separate"/>
      </w:r>
      <w:r>
        <w:t>29</w:t>
      </w:r>
      <w:r>
        <w:fldChar w:fldCharType="end"/>
      </w:r>
      <w:r>
        <w:fldChar w:fldCharType="end"/>
      </w:r>
    </w:p>
    <w:p>
      <w:pPr>
        <w:pStyle w:val="18"/>
        <w:tabs>
          <w:tab w:val="right" w:leader="dot" w:pos="8296"/>
        </w:tabs>
        <w:rPr>
          <w:rFonts w:ascii="Calibri" w:hAnsi="Calibri" w:eastAsia="宋体" w:cs="黑体"/>
          <w:szCs w:val="22"/>
        </w:rPr>
      </w:pPr>
      <w:r>
        <w:fldChar w:fldCharType="begin"/>
      </w:r>
      <w:r>
        <w:instrText xml:space="preserve">HYPERLINK  \l "_Toc449111669" </w:instrText>
      </w:r>
      <w:r>
        <w:fldChar w:fldCharType="separate"/>
      </w:r>
      <w:r>
        <w:rPr>
          <w:rStyle w:val="45"/>
          <w:rFonts w:hint="eastAsia" w:ascii="宋体" w:hAnsi="宋体"/>
        </w:rPr>
        <w:t>Ⅴ</w:t>
      </w:r>
      <w:r>
        <w:rPr>
          <w:rStyle w:val="45"/>
          <w:rFonts w:ascii="宋体" w:hAnsi="宋体"/>
        </w:rPr>
        <w:t xml:space="preserve"> </w:t>
      </w:r>
      <w:r>
        <w:rPr>
          <w:rStyle w:val="45"/>
          <w:rFonts w:hint="eastAsia" w:hAnsi="宋体"/>
        </w:rPr>
        <w:t>能量综合利用（</w:t>
      </w:r>
      <w:r>
        <w:rPr>
          <w:rStyle w:val="45"/>
          <w:rFonts w:hAnsi="宋体"/>
        </w:rPr>
        <w:t>17</w:t>
      </w:r>
      <w:r>
        <w:rPr>
          <w:rStyle w:val="45"/>
          <w:rFonts w:hint="eastAsia" w:hAnsi="宋体"/>
        </w:rPr>
        <w:t>）</w:t>
      </w:r>
      <w:r>
        <w:tab/>
      </w:r>
      <w:r>
        <w:fldChar w:fldCharType="begin"/>
      </w:r>
      <w:r>
        <w:instrText xml:space="preserve"> PAGEREF _Toc449111669 \h </w:instrText>
      </w:r>
      <w:r>
        <w:fldChar w:fldCharType="separate"/>
      </w:r>
      <w:r>
        <w:t>32</w:t>
      </w:r>
      <w:r>
        <w:fldChar w:fldCharType="end"/>
      </w:r>
      <w:r>
        <w:fldChar w:fldCharType="end"/>
      </w:r>
    </w:p>
    <w:p>
      <w:pPr>
        <w:pStyle w:val="26"/>
        <w:rPr>
          <w:rFonts w:ascii="Calibri" w:hAnsi="Calibri" w:eastAsia="宋体" w:cs="黑体"/>
          <w:b w:val="0"/>
          <w:sz w:val="21"/>
          <w:szCs w:val="22"/>
        </w:rPr>
      </w:pPr>
      <w:r>
        <w:fldChar w:fldCharType="begin"/>
      </w:r>
      <w:r>
        <w:instrText xml:space="preserve">HYPERLINK  \l "_Toc449111670" </w:instrText>
      </w:r>
      <w:r>
        <w:fldChar w:fldCharType="separate"/>
      </w:r>
      <w:r>
        <w:rPr>
          <w:rStyle w:val="45"/>
          <w:rFonts w:eastAsia="黑体"/>
        </w:rPr>
        <w:t xml:space="preserve">8 </w:t>
      </w:r>
      <w:r>
        <w:rPr>
          <w:rStyle w:val="45"/>
          <w:rFonts w:hint="eastAsia" w:eastAsia="黑体"/>
        </w:rPr>
        <w:t>节水与水资源利用</w:t>
      </w:r>
      <w:r>
        <w:tab/>
      </w:r>
      <w:r>
        <w:fldChar w:fldCharType="begin"/>
      </w:r>
      <w:r>
        <w:instrText xml:space="preserve"> PAGEREF _Toc449111670 \h </w:instrText>
      </w:r>
      <w:r>
        <w:fldChar w:fldCharType="separate"/>
      </w:r>
      <w:r>
        <w:t>36</w:t>
      </w:r>
      <w:r>
        <w:fldChar w:fldCharType="end"/>
      </w:r>
      <w:r>
        <w:fldChar w:fldCharType="end"/>
      </w:r>
    </w:p>
    <w:p>
      <w:pPr>
        <w:pStyle w:val="30"/>
        <w:rPr>
          <w:rFonts w:ascii="Calibri" w:hAnsi="Calibri" w:eastAsia="宋体" w:cs="黑体"/>
          <w:szCs w:val="22"/>
        </w:rPr>
      </w:pPr>
      <w:r>
        <w:fldChar w:fldCharType="begin"/>
      </w:r>
      <w:r>
        <w:instrText xml:space="preserve">HYPERLINK  \l "_Toc449111671" </w:instrText>
      </w:r>
      <w:r>
        <w:fldChar w:fldCharType="separate"/>
      </w:r>
      <w:r>
        <w:rPr>
          <w:rStyle w:val="45"/>
        </w:rPr>
        <w:t xml:space="preserve">8.1 </w:t>
      </w:r>
      <w:r>
        <w:rPr>
          <w:rStyle w:val="45"/>
          <w:rFonts w:hint="eastAsia"/>
        </w:rPr>
        <w:t>控制项</w:t>
      </w:r>
      <w:r>
        <w:tab/>
      </w:r>
      <w:r>
        <w:fldChar w:fldCharType="begin"/>
      </w:r>
      <w:r>
        <w:instrText xml:space="preserve"> PAGEREF _Toc449111671 \h </w:instrText>
      </w:r>
      <w:r>
        <w:fldChar w:fldCharType="separate"/>
      </w:r>
      <w:r>
        <w:t>36</w:t>
      </w:r>
      <w:r>
        <w:fldChar w:fldCharType="end"/>
      </w:r>
      <w:r>
        <w:fldChar w:fldCharType="end"/>
      </w:r>
    </w:p>
    <w:p>
      <w:pPr>
        <w:pStyle w:val="30"/>
        <w:rPr>
          <w:rFonts w:ascii="Calibri" w:hAnsi="Calibri" w:eastAsia="宋体" w:cs="黑体"/>
          <w:szCs w:val="22"/>
        </w:rPr>
      </w:pPr>
      <w:r>
        <w:fldChar w:fldCharType="begin"/>
      </w:r>
      <w:r>
        <w:instrText xml:space="preserve">HYPERLINK  \l "_Toc449111672" </w:instrText>
      </w:r>
      <w:r>
        <w:fldChar w:fldCharType="separate"/>
      </w:r>
      <w:r>
        <w:rPr>
          <w:rStyle w:val="45"/>
        </w:rPr>
        <w:t xml:space="preserve">8.2 </w:t>
      </w:r>
      <w:r>
        <w:rPr>
          <w:rStyle w:val="45"/>
          <w:rFonts w:hint="eastAsia"/>
        </w:rPr>
        <w:t>评分项</w:t>
      </w:r>
      <w:r>
        <w:tab/>
      </w:r>
      <w:r>
        <w:fldChar w:fldCharType="begin"/>
      </w:r>
      <w:r>
        <w:instrText xml:space="preserve"> PAGEREF _Toc449111672 \h </w:instrText>
      </w:r>
      <w:r>
        <w:fldChar w:fldCharType="separate"/>
      </w:r>
      <w:r>
        <w:t>37</w:t>
      </w:r>
      <w:r>
        <w:fldChar w:fldCharType="end"/>
      </w:r>
      <w:r>
        <w:fldChar w:fldCharType="end"/>
      </w:r>
    </w:p>
    <w:p>
      <w:pPr>
        <w:pStyle w:val="18"/>
        <w:tabs>
          <w:tab w:val="right" w:leader="dot" w:pos="8296"/>
        </w:tabs>
        <w:rPr>
          <w:rFonts w:ascii="Calibri" w:hAnsi="Calibri" w:eastAsia="宋体" w:cs="黑体"/>
          <w:szCs w:val="22"/>
        </w:rPr>
      </w:pPr>
      <w:r>
        <w:fldChar w:fldCharType="begin"/>
      </w:r>
      <w:r>
        <w:instrText xml:space="preserve">HYPERLINK  \l "_Toc449111673" </w:instrText>
      </w:r>
      <w:r>
        <w:fldChar w:fldCharType="separate"/>
      </w:r>
      <w:r>
        <w:rPr>
          <w:rStyle w:val="45"/>
          <w:rFonts w:hint="eastAsia" w:ascii="宋体" w:hAnsi="宋体"/>
        </w:rPr>
        <w:t>Ⅰ</w:t>
      </w:r>
      <w:r>
        <w:rPr>
          <w:rStyle w:val="45"/>
          <w:rFonts w:ascii="宋体" w:hAnsi="宋体"/>
        </w:rPr>
        <w:t xml:space="preserve"> </w:t>
      </w:r>
      <w:r>
        <w:rPr>
          <w:rStyle w:val="45"/>
          <w:rFonts w:hint="eastAsia" w:hAnsi="宋体"/>
        </w:rPr>
        <w:t>建筑水耗指标（</w:t>
      </w:r>
      <w:r>
        <w:rPr>
          <w:rStyle w:val="45"/>
          <w:rFonts w:hAnsi="宋体"/>
        </w:rPr>
        <w:t>30</w:t>
      </w:r>
      <w:r>
        <w:rPr>
          <w:rStyle w:val="45"/>
          <w:rFonts w:hint="eastAsia" w:hAnsi="宋体"/>
        </w:rPr>
        <w:t>）</w:t>
      </w:r>
      <w:r>
        <w:tab/>
      </w:r>
      <w:r>
        <w:fldChar w:fldCharType="begin"/>
      </w:r>
      <w:r>
        <w:instrText xml:space="preserve"> PAGEREF _Toc449111673 \h </w:instrText>
      </w:r>
      <w:r>
        <w:fldChar w:fldCharType="separate"/>
      </w:r>
      <w:r>
        <w:t>37</w:t>
      </w:r>
      <w:r>
        <w:fldChar w:fldCharType="end"/>
      </w:r>
      <w:r>
        <w:fldChar w:fldCharType="end"/>
      </w:r>
    </w:p>
    <w:p>
      <w:pPr>
        <w:pStyle w:val="18"/>
        <w:tabs>
          <w:tab w:val="right" w:leader="dot" w:pos="8296"/>
        </w:tabs>
        <w:rPr>
          <w:rFonts w:ascii="Calibri" w:hAnsi="Calibri" w:eastAsia="宋体" w:cs="黑体"/>
          <w:szCs w:val="22"/>
        </w:rPr>
      </w:pPr>
      <w:r>
        <w:fldChar w:fldCharType="begin"/>
      </w:r>
      <w:r>
        <w:instrText xml:space="preserve">HYPERLINK  \l "_Toc449111674" </w:instrText>
      </w:r>
      <w:r>
        <w:fldChar w:fldCharType="separate"/>
      </w:r>
      <w:r>
        <w:rPr>
          <w:rStyle w:val="45"/>
          <w:rFonts w:hint="eastAsia" w:ascii="宋体" w:hAnsi="宋体"/>
        </w:rPr>
        <w:t>Ⅱ</w:t>
      </w:r>
      <w:r>
        <w:rPr>
          <w:rStyle w:val="45"/>
          <w:rFonts w:ascii="宋体" w:hAnsi="宋体"/>
        </w:rPr>
        <w:t xml:space="preserve"> </w:t>
      </w:r>
      <w:r>
        <w:rPr>
          <w:rStyle w:val="45"/>
          <w:rFonts w:hint="eastAsia" w:hAnsi="宋体"/>
        </w:rPr>
        <w:t>节水系统（</w:t>
      </w:r>
      <w:r>
        <w:rPr>
          <w:rStyle w:val="45"/>
          <w:rFonts w:hAnsi="宋体"/>
        </w:rPr>
        <w:t>21</w:t>
      </w:r>
      <w:r>
        <w:rPr>
          <w:rStyle w:val="45"/>
          <w:rFonts w:hint="eastAsia" w:hAnsi="宋体"/>
        </w:rPr>
        <w:t>）</w:t>
      </w:r>
      <w:r>
        <w:tab/>
      </w:r>
      <w:r>
        <w:fldChar w:fldCharType="begin"/>
      </w:r>
      <w:r>
        <w:instrText xml:space="preserve"> PAGEREF _Toc449111674 \h </w:instrText>
      </w:r>
      <w:r>
        <w:fldChar w:fldCharType="separate"/>
      </w:r>
      <w:r>
        <w:t>37</w:t>
      </w:r>
      <w:r>
        <w:fldChar w:fldCharType="end"/>
      </w:r>
      <w:r>
        <w:fldChar w:fldCharType="end"/>
      </w:r>
    </w:p>
    <w:p>
      <w:pPr>
        <w:pStyle w:val="18"/>
        <w:tabs>
          <w:tab w:val="right" w:leader="dot" w:pos="8296"/>
        </w:tabs>
        <w:rPr>
          <w:rFonts w:ascii="Calibri" w:hAnsi="Calibri" w:eastAsia="宋体" w:cs="黑体"/>
          <w:szCs w:val="22"/>
        </w:rPr>
      </w:pPr>
      <w:r>
        <w:fldChar w:fldCharType="begin"/>
      </w:r>
      <w:r>
        <w:instrText xml:space="preserve">HYPERLINK  \l "_Toc449111675" </w:instrText>
      </w:r>
      <w:r>
        <w:fldChar w:fldCharType="separate"/>
      </w:r>
      <w:r>
        <w:rPr>
          <w:rStyle w:val="45"/>
          <w:rFonts w:hint="eastAsia" w:ascii="宋体" w:hAnsi="宋体"/>
        </w:rPr>
        <w:t>Ⅲ</w:t>
      </w:r>
      <w:r>
        <w:rPr>
          <w:rStyle w:val="45"/>
          <w:rFonts w:ascii="宋体" w:hAnsi="宋体"/>
        </w:rPr>
        <w:t xml:space="preserve"> </w:t>
      </w:r>
      <w:r>
        <w:rPr>
          <w:rStyle w:val="45"/>
          <w:rFonts w:hint="eastAsia" w:hAnsi="宋体"/>
        </w:rPr>
        <w:t>节水器具与设备（</w:t>
      </w:r>
      <w:r>
        <w:rPr>
          <w:rStyle w:val="45"/>
          <w:rFonts w:hAnsi="宋体"/>
        </w:rPr>
        <w:t>25</w:t>
      </w:r>
      <w:r>
        <w:rPr>
          <w:rStyle w:val="45"/>
          <w:rFonts w:hint="eastAsia" w:hAnsi="宋体"/>
        </w:rPr>
        <w:t>）</w:t>
      </w:r>
      <w:r>
        <w:tab/>
      </w:r>
      <w:r>
        <w:fldChar w:fldCharType="begin"/>
      </w:r>
      <w:r>
        <w:instrText xml:space="preserve"> PAGEREF _Toc449111675 \h </w:instrText>
      </w:r>
      <w:r>
        <w:fldChar w:fldCharType="separate"/>
      </w:r>
      <w:r>
        <w:t>39</w:t>
      </w:r>
      <w:r>
        <w:fldChar w:fldCharType="end"/>
      </w:r>
      <w:r>
        <w:fldChar w:fldCharType="end"/>
      </w:r>
    </w:p>
    <w:p>
      <w:pPr>
        <w:pStyle w:val="18"/>
        <w:tabs>
          <w:tab w:val="right" w:leader="dot" w:pos="8296"/>
        </w:tabs>
        <w:rPr>
          <w:rFonts w:ascii="Calibri" w:hAnsi="Calibri" w:eastAsia="宋体" w:cs="黑体"/>
          <w:szCs w:val="22"/>
        </w:rPr>
      </w:pPr>
      <w:r>
        <w:fldChar w:fldCharType="begin"/>
      </w:r>
      <w:r>
        <w:instrText xml:space="preserve">HYPERLINK  \l "_Toc449111676" </w:instrText>
      </w:r>
      <w:r>
        <w:fldChar w:fldCharType="separate"/>
      </w:r>
      <w:r>
        <w:rPr>
          <w:rStyle w:val="45"/>
          <w:rFonts w:hint="eastAsia" w:ascii="宋体" w:hAnsi="宋体"/>
        </w:rPr>
        <w:t>Ⅳ</w:t>
      </w:r>
      <w:r>
        <w:rPr>
          <w:rStyle w:val="45"/>
          <w:rFonts w:ascii="宋体" w:hAnsi="宋体"/>
        </w:rPr>
        <w:t xml:space="preserve"> </w:t>
      </w:r>
      <w:r>
        <w:rPr>
          <w:rStyle w:val="45"/>
          <w:rFonts w:hint="eastAsia" w:hAnsi="宋体"/>
        </w:rPr>
        <w:t>非传统水源利用（</w:t>
      </w:r>
      <w:r>
        <w:rPr>
          <w:rStyle w:val="45"/>
          <w:rFonts w:hAnsi="宋体"/>
        </w:rPr>
        <w:t>24</w:t>
      </w:r>
      <w:r>
        <w:rPr>
          <w:rStyle w:val="45"/>
          <w:rFonts w:hint="eastAsia" w:hAnsi="宋体"/>
        </w:rPr>
        <w:t>）</w:t>
      </w:r>
      <w:r>
        <w:tab/>
      </w:r>
      <w:r>
        <w:fldChar w:fldCharType="begin"/>
      </w:r>
      <w:r>
        <w:instrText xml:space="preserve"> PAGEREF _Toc449111676 \h </w:instrText>
      </w:r>
      <w:r>
        <w:fldChar w:fldCharType="separate"/>
      </w:r>
      <w:r>
        <w:t>40</w:t>
      </w:r>
      <w:r>
        <w:fldChar w:fldCharType="end"/>
      </w:r>
      <w:r>
        <w:fldChar w:fldCharType="end"/>
      </w:r>
    </w:p>
    <w:p>
      <w:pPr>
        <w:pStyle w:val="26"/>
        <w:rPr>
          <w:rFonts w:ascii="Calibri" w:hAnsi="Calibri" w:eastAsia="宋体" w:cs="黑体"/>
          <w:b w:val="0"/>
          <w:sz w:val="21"/>
          <w:szCs w:val="22"/>
        </w:rPr>
      </w:pPr>
      <w:r>
        <w:fldChar w:fldCharType="begin"/>
      </w:r>
      <w:r>
        <w:instrText xml:space="preserve">HYPERLINK  \l "_Toc449111677" </w:instrText>
      </w:r>
      <w:r>
        <w:fldChar w:fldCharType="separate"/>
      </w:r>
      <w:r>
        <w:rPr>
          <w:rStyle w:val="45"/>
          <w:rFonts w:eastAsia="黑体"/>
        </w:rPr>
        <w:t xml:space="preserve">9 </w:t>
      </w:r>
      <w:r>
        <w:rPr>
          <w:rStyle w:val="45"/>
          <w:rFonts w:hint="eastAsia" w:eastAsia="黑体"/>
        </w:rPr>
        <w:t>节材与材料资源利用</w:t>
      </w:r>
      <w:r>
        <w:tab/>
      </w:r>
      <w:r>
        <w:fldChar w:fldCharType="begin"/>
      </w:r>
      <w:r>
        <w:instrText xml:space="preserve"> PAGEREF _Toc449111677 \h </w:instrText>
      </w:r>
      <w:r>
        <w:fldChar w:fldCharType="separate"/>
      </w:r>
      <w:r>
        <w:t>43</w:t>
      </w:r>
      <w:r>
        <w:fldChar w:fldCharType="end"/>
      </w:r>
      <w:r>
        <w:fldChar w:fldCharType="end"/>
      </w:r>
    </w:p>
    <w:p>
      <w:pPr>
        <w:pStyle w:val="30"/>
        <w:rPr>
          <w:rFonts w:ascii="Calibri" w:hAnsi="Calibri" w:eastAsia="宋体" w:cs="黑体"/>
          <w:szCs w:val="22"/>
        </w:rPr>
      </w:pPr>
      <w:r>
        <w:fldChar w:fldCharType="begin"/>
      </w:r>
      <w:r>
        <w:instrText xml:space="preserve">HYPERLINK  \l "_Toc449111678" </w:instrText>
      </w:r>
      <w:r>
        <w:fldChar w:fldCharType="separate"/>
      </w:r>
      <w:r>
        <w:rPr>
          <w:rStyle w:val="45"/>
        </w:rPr>
        <w:t xml:space="preserve">9.1 </w:t>
      </w:r>
      <w:r>
        <w:rPr>
          <w:rStyle w:val="45"/>
          <w:rFonts w:hint="eastAsia"/>
        </w:rPr>
        <w:t>控制项</w:t>
      </w:r>
      <w:r>
        <w:tab/>
      </w:r>
      <w:r>
        <w:fldChar w:fldCharType="begin"/>
      </w:r>
      <w:r>
        <w:instrText xml:space="preserve"> PAGEREF _Toc449111678 \h </w:instrText>
      </w:r>
      <w:r>
        <w:fldChar w:fldCharType="separate"/>
      </w:r>
      <w:r>
        <w:t>43</w:t>
      </w:r>
      <w:r>
        <w:fldChar w:fldCharType="end"/>
      </w:r>
      <w:r>
        <w:fldChar w:fldCharType="end"/>
      </w:r>
    </w:p>
    <w:p>
      <w:pPr>
        <w:pStyle w:val="30"/>
        <w:rPr>
          <w:rFonts w:ascii="Calibri" w:hAnsi="Calibri" w:eastAsia="宋体" w:cs="黑体"/>
          <w:szCs w:val="22"/>
        </w:rPr>
      </w:pPr>
      <w:r>
        <w:fldChar w:fldCharType="begin"/>
      </w:r>
      <w:r>
        <w:instrText xml:space="preserve">HYPERLINK  \l "_Toc449111679" </w:instrText>
      </w:r>
      <w:r>
        <w:fldChar w:fldCharType="separate"/>
      </w:r>
      <w:r>
        <w:rPr>
          <w:rStyle w:val="45"/>
        </w:rPr>
        <w:t xml:space="preserve">9.2 </w:t>
      </w:r>
      <w:r>
        <w:rPr>
          <w:rStyle w:val="45"/>
          <w:rFonts w:hint="eastAsia"/>
        </w:rPr>
        <w:t>评分项</w:t>
      </w:r>
      <w:r>
        <w:tab/>
      </w:r>
      <w:r>
        <w:fldChar w:fldCharType="begin"/>
      </w:r>
      <w:r>
        <w:instrText xml:space="preserve"> PAGEREF _Toc449111679 \h </w:instrText>
      </w:r>
      <w:r>
        <w:fldChar w:fldCharType="separate"/>
      </w:r>
      <w:r>
        <w:t>43</w:t>
      </w:r>
      <w:r>
        <w:fldChar w:fldCharType="end"/>
      </w:r>
      <w:r>
        <w:fldChar w:fldCharType="end"/>
      </w:r>
    </w:p>
    <w:p>
      <w:pPr>
        <w:pStyle w:val="18"/>
        <w:tabs>
          <w:tab w:val="right" w:leader="dot" w:pos="8296"/>
        </w:tabs>
        <w:rPr>
          <w:rFonts w:ascii="Calibri" w:hAnsi="Calibri" w:eastAsia="宋体" w:cs="黑体"/>
          <w:szCs w:val="22"/>
        </w:rPr>
      </w:pPr>
      <w:r>
        <w:fldChar w:fldCharType="begin"/>
      </w:r>
      <w:r>
        <w:instrText xml:space="preserve">HYPERLINK  \l "_Toc449111680" </w:instrText>
      </w:r>
      <w:r>
        <w:fldChar w:fldCharType="separate"/>
      </w:r>
      <w:r>
        <w:rPr>
          <w:rStyle w:val="45"/>
          <w:rFonts w:hint="eastAsia" w:ascii="宋体" w:hAnsi="宋体"/>
        </w:rPr>
        <w:t>Ⅰ</w:t>
      </w:r>
      <w:r>
        <w:rPr>
          <w:rStyle w:val="45"/>
          <w:rFonts w:ascii="宋体" w:hAnsi="宋体"/>
        </w:rPr>
        <w:t xml:space="preserve"> </w:t>
      </w:r>
      <w:r>
        <w:rPr>
          <w:rStyle w:val="45"/>
          <w:rFonts w:hint="eastAsia" w:hAnsi="宋体"/>
        </w:rPr>
        <w:t>节材设计（</w:t>
      </w:r>
      <w:r>
        <w:rPr>
          <w:rStyle w:val="45"/>
          <w:rFonts w:hAnsi="宋体"/>
        </w:rPr>
        <w:t>40</w:t>
      </w:r>
      <w:r>
        <w:rPr>
          <w:rStyle w:val="45"/>
          <w:rFonts w:hint="eastAsia" w:hAnsi="宋体"/>
        </w:rPr>
        <w:t>）</w:t>
      </w:r>
      <w:r>
        <w:tab/>
      </w:r>
      <w:r>
        <w:fldChar w:fldCharType="begin"/>
      </w:r>
      <w:r>
        <w:instrText xml:space="preserve"> PAGEREF _Toc449111680 \h </w:instrText>
      </w:r>
      <w:r>
        <w:fldChar w:fldCharType="separate"/>
      </w:r>
      <w:r>
        <w:t>43</w:t>
      </w:r>
      <w:r>
        <w:fldChar w:fldCharType="end"/>
      </w:r>
      <w:r>
        <w:fldChar w:fldCharType="end"/>
      </w:r>
    </w:p>
    <w:p>
      <w:pPr>
        <w:pStyle w:val="18"/>
        <w:tabs>
          <w:tab w:val="right" w:leader="dot" w:pos="8296"/>
        </w:tabs>
        <w:rPr>
          <w:rFonts w:ascii="Calibri" w:hAnsi="Calibri" w:eastAsia="宋体" w:cs="黑体"/>
          <w:szCs w:val="22"/>
        </w:rPr>
      </w:pPr>
      <w:r>
        <w:fldChar w:fldCharType="begin"/>
      </w:r>
      <w:r>
        <w:instrText xml:space="preserve">HYPERLINK  \l "_Toc449111681" </w:instrText>
      </w:r>
      <w:r>
        <w:fldChar w:fldCharType="separate"/>
      </w:r>
      <w:r>
        <w:rPr>
          <w:rStyle w:val="45"/>
          <w:rFonts w:hint="eastAsia" w:ascii="宋体" w:hAnsi="宋体"/>
        </w:rPr>
        <w:t>Ⅱ</w:t>
      </w:r>
      <w:r>
        <w:rPr>
          <w:rStyle w:val="45"/>
          <w:rFonts w:ascii="宋体" w:hAnsi="宋体"/>
        </w:rPr>
        <w:t xml:space="preserve"> </w:t>
      </w:r>
      <w:r>
        <w:rPr>
          <w:rStyle w:val="45"/>
          <w:rFonts w:hint="eastAsia" w:hAnsi="宋体"/>
        </w:rPr>
        <w:t>材料选用（</w:t>
      </w:r>
      <w:r>
        <w:rPr>
          <w:rStyle w:val="45"/>
          <w:rFonts w:hAnsi="宋体"/>
        </w:rPr>
        <w:t>60</w:t>
      </w:r>
      <w:r>
        <w:rPr>
          <w:rStyle w:val="45"/>
          <w:rFonts w:hint="eastAsia" w:hAnsi="宋体"/>
        </w:rPr>
        <w:t>）</w:t>
      </w:r>
      <w:r>
        <w:tab/>
      </w:r>
      <w:r>
        <w:fldChar w:fldCharType="begin"/>
      </w:r>
      <w:r>
        <w:instrText xml:space="preserve"> PAGEREF _Toc449111681 \h </w:instrText>
      </w:r>
      <w:r>
        <w:fldChar w:fldCharType="separate"/>
      </w:r>
      <w:r>
        <w:t>47</w:t>
      </w:r>
      <w:r>
        <w:fldChar w:fldCharType="end"/>
      </w:r>
      <w:r>
        <w:fldChar w:fldCharType="end"/>
      </w:r>
    </w:p>
    <w:p>
      <w:pPr>
        <w:pStyle w:val="26"/>
        <w:rPr>
          <w:rFonts w:ascii="Calibri" w:hAnsi="Calibri" w:eastAsia="宋体" w:cs="黑体"/>
          <w:b w:val="0"/>
          <w:sz w:val="21"/>
          <w:szCs w:val="22"/>
        </w:rPr>
      </w:pPr>
      <w:r>
        <w:fldChar w:fldCharType="begin"/>
      </w:r>
      <w:r>
        <w:instrText xml:space="preserve">HYPERLINK  \l "_Toc449111682" </w:instrText>
      </w:r>
      <w:r>
        <w:fldChar w:fldCharType="separate"/>
      </w:r>
      <w:r>
        <w:rPr>
          <w:rStyle w:val="45"/>
          <w:rFonts w:eastAsia="黑体"/>
        </w:rPr>
        <w:t xml:space="preserve">10 </w:t>
      </w:r>
      <w:r>
        <w:rPr>
          <w:rStyle w:val="45"/>
          <w:rFonts w:hint="eastAsia" w:eastAsia="黑体"/>
        </w:rPr>
        <w:t>室内环境质量</w:t>
      </w:r>
      <w:r>
        <w:tab/>
      </w:r>
      <w:r>
        <w:fldChar w:fldCharType="begin"/>
      </w:r>
      <w:r>
        <w:instrText xml:space="preserve"> PAGEREF _Toc449111682 \h </w:instrText>
      </w:r>
      <w:r>
        <w:fldChar w:fldCharType="separate"/>
      </w:r>
      <w:r>
        <w:t>52</w:t>
      </w:r>
      <w:r>
        <w:fldChar w:fldCharType="end"/>
      </w:r>
      <w:r>
        <w:fldChar w:fldCharType="end"/>
      </w:r>
    </w:p>
    <w:p>
      <w:pPr>
        <w:pStyle w:val="30"/>
        <w:rPr>
          <w:rFonts w:ascii="Calibri" w:hAnsi="Calibri" w:eastAsia="宋体" w:cs="黑体"/>
          <w:szCs w:val="22"/>
        </w:rPr>
      </w:pPr>
      <w:r>
        <w:fldChar w:fldCharType="begin"/>
      </w:r>
      <w:r>
        <w:instrText xml:space="preserve">HYPERLINK  \l "_Toc449111683" </w:instrText>
      </w:r>
      <w:r>
        <w:fldChar w:fldCharType="separate"/>
      </w:r>
      <w:r>
        <w:rPr>
          <w:rStyle w:val="45"/>
        </w:rPr>
        <w:t xml:space="preserve">10.1 </w:t>
      </w:r>
      <w:r>
        <w:rPr>
          <w:rStyle w:val="45"/>
          <w:rFonts w:hint="eastAsia"/>
        </w:rPr>
        <w:t>控制项</w:t>
      </w:r>
      <w:r>
        <w:tab/>
      </w:r>
      <w:r>
        <w:fldChar w:fldCharType="begin"/>
      </w:r>
      <w:r>
        <w:instrText xml:space="preserve"> PAGEREF _Toc449111683 \h </w:instrText>
      </w:r>
      <w:r>
        <w:fldChar w:fldCharType="separate"/>
      </w:r>
      <w:r>
        <w:t>52</w:t>
      </w:r>
      <w:r>
        <w:fldChar w:fldCharType="end"/>
      </w:r>
      <w:r>
        <w:fldChar w:fldCharType="end"/>
      </w:r>
    </w:p>
    <w:p>
      <w:pPr>
        <w:pStyle w:val="30"/>
        <w:rPr>
          <w:rFonts w:ascii="Calibri" w:hAnsi="Calibri" w:eastAsia="宋体" w:cs="黑体"/>
          <w:szCs w:val="22"/>
        </w:rPr>
      </w:pPr>
      <w:r>
        <w:fldChar w:fldCharType="begin"/>
      </w:r>
      <w:r>
        <w:instrText xml:space="preserve">HYPERLINK  \l "_Toc449111684" </w:instrText>
      </w:r>
      <w:r>
        <w:fldChar w:fldCharType="separate"/>
      </w:r>
      <w:r>
        <w:rPr>
          <w:rStyle w:val="45"/>
        </w:rPr>
        <w:t xml:space="preserve">10.2 </w:t>
      </w:r>
      <w:r>
        <w:rPr>
          <w:rStyle w:val="45"/>
          <w:rFonts w:hint="eastAsia"/>
        </w:rPr>
        <w:t>评分项</w:t>
      </w:r>
      <w:r>
        <w:tab/>
      </w:r>
      <w:r>
        <w:fldChar w:fldCharType="begin"/>
      </w:r>
      <w:r>
        <w:instrText xml:space="preserve"> PAGEREF _Toc449111684 \h </w:instrText>
      </w:r>
      <w:r>
        <w:fldChar w:fldCharType="separate"/>
      </w:r>
      <w:r>
        <w:t>53</w:t>
      </w:r>
      <w:r>
        <w:fldChar w:fldCharType="end"/>
      </w:r>
      <w:r>
        <w:fldChar w:fldCharType="end"/>
      </w:r>
    </w:p>
    <w:p>
      <w:pPr>
        <w:pStyle w:val="18"/>
        <w:tabs>
          <w:tab w:val="right" w:leader="dot" w:pos="8296"/>
        </w:tabs>
        <w:rPr>
          <w:rFonts w:ascii="Calibri" w:hAnsi="Calibri" w:eastAsia="宋体" w:cs="黑体"/>
          <w:szCs w:val="22"/>
        </w:rPr>
      </w:pPr>
      <w:r>
        <w:fldChar w:fldCharType="begin"/>
      </w:r>
      <w:r>
        <w:instrText xml:space="preserve">HYPERLINK  \l "_Toc449111685" </w:instrText>
      </w:r>
      <w:r>
        <w:fldChar w:fldCharType="separate"/>
      </w:r>
      <w:r>
        <w:rPr>
          <w:rStyle w:val="45"/>
          <w:rFonts w:hint="eastAsia" w:ascii="宋体" w:hAnsi="宋体"/>
        </w:rPr>
        <w:t>Ⅰ</w:t>
      </w:r>
      <w:r>
        <w:rPr>
          <w:rStyle w:val="45"/>
          <w:rFonts w:ascii="宋体" w:hAnsi="宋体"/>
        </w:rPr>
        <w:t xml:space="preserve"> </w:t>
      </w:r>
      <w:r>
        <w:rPr>
          <w:rStyle w:val="45"/>
          <w:rFonts w:hint="eastAsia" w:hAnsi="宋体"/>
        </w:rPr>
        <w:t>室内声环境（</w:t>
      </w:r>
      <w:r>
        <w:rPr>
          <w:rStyle w:val="45"/>
          <w:rFonts w:hAnsi="宋体"/>
        </w:rPr>
        <w:t>19</w:t>
      </w:r>
      <w:r>
        <w:rPr>
          <w:rStyle w:val="45"/>
          <w:rFonts w:hint="eastAsia" w:hAnsi="宋体"/>
        </w:rPr>
        <w:t>）</w:t>
      </w:r>
      <w:r>
        <w:tab/>
      </w:r>
      <w:r>
        <w:fldChar w:fldCharType="begin"/>
      </w:r>
      <w:r>
        <w:instrText xml:space="preserve"> PAGEREF _Toc449111685 \h </w:instrText>
      </w:r>
      <w:r>
        <w:fldChar w:fldCharType="separate"/>
      </w:r>
      <w:r>
        <w:t>53</w:t>
      </w:r>
      <w:r>
        <w:fldChar w:fldCharType="end"/>
      </w:r>
      <w:r>
        <w:fldChar w:fldCharType="end"/>
      </w:r>
    </w:p>
    <w:p>
      <w:pPr>
        <w:pStyle w:val="18"/>
        <w:tabs>
          <w:tab w:val="right" w:leader="dot" w:pos="8296"/>
        </w:tabs>
        <w:rPr>
          <w:rFonts w:ascii="Calibri" w:hAnsi="Calibri" w:eastAsia="宋体" w:cs="黑体"/>
          <w:szCs w:val="22"/>
        </w:rPr>
      </w:pPr>
      <w:r>
        <w:fldChar w:fldCharType="begin"/>
      </w:r>
      <w:r>
        <w:instrText xml:space="preserve">HYPERLINK  \l "_Toc449111686" </w:instrText>
      </w:r>
      <w:r>
        <w:fldChar w:fldCharType="separate"/>
      </w:r>
      <w:r>
        <w:rPr>
          <w:rStyle w:val="45"/>
          <w:rFonts w:hint="eastAsia" w:ascii="宋体" w:hAnsi="宋体"/>
        </w:rPr>
        <w:t>Ⅱ</w:t>
      </w:r>
      <w:r>
        <w:rPr>
          <w:rStyle w:val="45"/>
          <w:rFonts w:ascii="宋体" w:hAnsi="宋体"/>
        </w:rPr>
        <w:t xml:space="preserve"> </w:t>
      </w:r>
      <w:r>
        <w:rPr>
          <w:rStyle w:val="45"/>
          <w:rFonts w:hint="eastAsia" w:hAnsi="宋体"/>
        </w:rPr>
        <w:t>室内光环境与视野（</w:t>
      </w:r>
      <w:r>
        <w:rPr>
          <w:rStyle w:val="45"/>
          <w:rFonts w:hAnsi="宋体"/>
        </w:rPr>
        <w:t>23</w:t>
      </w:r>
      <w:r>
        <w:rPr>
          <w:rStyle w:val="45"/>
          <w:rFonts w:hint="eastAsia" w:hAnsi="宋体"/>
        </w:rPr>
        <w:t>）</w:t>
      </w:r>
      <w:r>
        <w:tab/>
      </w:r>
      <w:r>
        <w:fldChar w:fldCharType="begin"/>
      </w:r>
      <w:r>
        <w:instrText xml:space="preserve"> PAGEREF _Toc449111686 \h </w:instrText>
      </w:r>
      <w:r>
        <w:fldChar w:fldCharType="separate"/>
      </w:r>
      <w:r>
        <w:t>55</w:t>
      </w:r>
      <w:r>
        <w:fldChar w:fldCharType="end"/>
      </w:r>
      <w:r>
        <w:fldChar w:fldCharType="end"/>
      </w:r>
    </w:p>
    <w:p>
      <w:pPr>
        <w:pStyle w:val="18"/>
        <w:tabs>
          <w:tab w:val="right" w:leader="dot" w:pos="8296"/>
        </w:tabs>
        <w:rPr>
          <w:rFonts w:ascii="Calibri" w:hAnsi="Calibri" w:eastAsia="宋体" w:cs="黑体"/>
          <w:szCs w:val="22"/>
        </w:rPr>
      </w:pPr>
      <w:r>
        <w:fldChar w:fldCharType="begin"/>
      </w:r>
      <w:r>
        <w:instrText xml:space="preserve">HYPERLINK  \l "_Toc449111687" </w:instrText>
      </w:r>
      <w:r>
        <w:fldChar w:fldCharType="separate"/>
      </w:r>
      <w:r>
        <w:rPr>
          <w:rStyle w:val="45"/>
          <w:rFonts w:hint="eastAsia" w:ascii="宋体" w:hAnsi="宋体"/>
        </w:rPr>
        <w:t>Ⅲ</w:t>
      </w:r>
      <w:r>
        <w:rPr>
          <w:rStyle w:val="45"/>
          <w:rFonts w:ascii="宋体" w:hAnsi="宋体"/>
        </w:rPr>
        <w:t xml:space="preserve"> </w:t>
      </w:r>
      <w:r>
        <w:rPr>
          <w:rStyle w:val="45"/>
          <w:rFonts w:hint="eastAsia" w:hAnsi="宋体"/>
        </w:rPr>
        <w:t>室内热湿环境（</w:t>
      </w:r>
      <w:r>
        <w:rPr>
          <w:rStyle w:val="45"/>
          <w:rFonts w:hAnsi="宋体"/>
        </w:rPr>
        <w:t>20</w:t>
      </w:r>
      <w:r>
        <w:rPr>
          <w:rStyle w:val="45"/>
          <w:rFonts w:hint="eastAsia" w:hAnsi="宋体"/>
        </w:rPr>
        <w:t>）</w:t>
      </w:r>
      <w:r>
        <w:tab/>
      </w:r>
      <w:r>
        <w:fldChar w:fldCharType="begin"/>
      </w:r>
      <w:r>
        <w:instrText xml:space="preserve"> PAGEREF _Toc449111687 \h </w:instrText>
      </w:r>
      <w:r>
        <w:fldChar w:fldCharType="separate"/>
      </w:r>
      <w:r>
        <w:t>57</w:t>
      </w:r>
      <w:r>
        <w:fldChar w:fldCharType="end"/>
      </w:r>
      <w:r>
        <w:fldChar w:fldCharType="end"/>
      </w:r>
    </w:p>
    <w:p>
      <w:pPr>
        <w:pStyle w:val="18"/>
        <w:tabs>
          <w:tab w:val="right" w:leader="dot" w:pos="8296"/>
        </w:tabs>
        <w:rPr>
          <w:rFonts w:ascii="Calibri" w:hAnsi="Calibri" w:eastAsia="宋体" w:cs="黑体"/>
          <w:szCs w:val="22"/>
        </w:rPr>
      </w:pPr>
      <w:r>
        <w:fldChar w:fldCharType="begin"/>
      </w:r>
      <w:r>
        <w:instrText xml:space="preserve">HYPERLINK  \l "_Toc449111688" </w:instrText>
      </w:r>
      <w:r>
        <w:fldChar w:fldCharType="separate"/>
      </w:r>
      <w:r>
        <w:rPr>
          <w:rStyle w:val="45"/>
          <w:rFonts w:hint="eastAsia" w:ascii="宋体" w:hAnsi="宋体"/>
        </w:rPr>
        <w:t>Ⅳ</w:t>
      </w:r>
      <w:r>
        <w:rPr>
          <w:rStyle w:val="45"/>
          <w:rFonts w:ascii="宋体" w:hAnsi="宋体"/>
        </w:rPr>
        <w:t xml:space="preserve"> </w:t>
      </w:r>
      <w:r>
        <w:rPr>
          <w:rStyle w:val="45"/>
          <w:rFonts w:hint="eastAsia" w:hAnsi="宋体"/>
        </w:rPr>
        <w:t>室内空气质量（</w:t>
      </w:r>
      <w:r>
        <w:rPr>
          <w:rStyle w:val="45"/>
          <w:rFonts w:hAnsi="宋体"/>
        </w:rPr>
        <w:t>38</w:t>
      </w:r>
      <w:r>
        <w:rPr>
          <w:rStyle w:val="45"/>
          <w:rFonts w:hint="eastAsia" w:hAnsi="宋体"/>
        </w:rPr>
        <w:t>）</w:t>
      </w:r>
      <w:r>
        <w:tab/>
      </w:r>
      <w:r>
        <w:fldChar w:fldCharType="begin"/>
      </w:r>
      <w:r>
        <w:instrText xml:space="preserve"> PAGEREF _Toc449111688 \h </w:instrText>
      </w:r>
      <w:r>
        <w:fldChar w:fldCharType="separate"/>
      </w:r>
      <w:r>
        <w:t>57</w:t>
      </w:r>
      <w:r>
        <w:fldChar w:fldCharType="end"/>
      </w:r>
      <w:r>
        <w:fldChar w:fldCharType="end"/>
      </w:r>
    </w:p>
    <w:p>
      <w:pPr>
        <w:pStyle w:val="26"/>
        <w:rPr>
          <w:rFonts w:ascii="Calibri" w:hAnsi="Calibri" w:eastAsia="宋体" w:cs="黑体"/>
          <w:b w:val="0"/>
          <w:sz w:val="21"/>
          <w:szCs w:val="22"/>
        </w:rPr>
      </w:pPr>
      <w:r>
        <w:fldChar w:fldCharType="begin"/>
      </w:r>
      <w:r>
        <w:instrText xml:space="preserve">HYPERLINK  \l "_Toc449111689" </w:instrText>
      </w:r>
      <w:r>
        <w:fldChar w:fldCharType="separate"/>
      </w:r>
      <w:r>
        <w:rPr>
          <w:rStyle w:val="45"/>
          <w:rFonts w:eastAsia="黑体"/>
        </w:rPr>
        <w:t xml:space="preserve">11 </w:t>
      </w:r>
      <w:r>
        <w:rPr>
          <w:rStyle w:val="45"/>
          <w:rFonts w:hint="eastAsia" w:eastAsia="黑体"/>
        </w:rPr>
        <w:t>施工管理</w:t>
      </w:r>
      <w:r>
        <w:tab/>
      </w:r>
      <w:r>
        <w:fldChar w:fldCharType="begin"/>
      </w:r>
      <w:r>
        <w:instrText xml:space="preserve"> PAGEREF _Toc449111689 \h </w:instrText>
      </w:r>
      <w:r>
        <w:fldChar w:fldCharType="separate"/>
      </w:r>
      <w:r>
        <w:t>61</w:t>
      </w:r>
      <w:r>
        <w:fldChar w:fldCharType="end"/>
      </w:r>
      <w:r>
        <w:fldChar w:fldCharType="end"/>
      </w:r>
    </w:p>
    <w:p>
      <w:pPr>
        <w:pStyle w:val="30"/>
        <w:rPr>
          <w:rFonts w:ascii="Calibri" w:hAnsi="Calibri" w:eastAsia="宋体" w:cs="黑体"/>
          <w:szCs w:val="22"/>
        </w:rPr>
      </w:pPr>
      <w:r>
        <w:fldChar w:fldCharType="begin"/>
      </w:r>
      <w:r>
        <w:instrText xml:space="preserve">HYPERLINK  \l "_Toc449111690" </w:instrText>
      </w:r>
      <w:r>
        <w:fldChar w:fldCharType="separate"/>
      </w:r>
      <w:r>
        <w:rPr>
          <w:rStyle w:val="45"/>
        </w:rPr>
        <w:t xml:space="preserve">11.1 </w:t>
      </w:r>
      <w:r>
        <w:rPr>
          <w:rStyle w:val="45"/>
          <w:rFonts w:hint="eastAsia"/>
        </w:rPr>
        <w:t>控制项</w:t>
      </w:r>
      <w:r>
        <w:tab/>
      </w:r>
      <w:r>
        <w:fldChar w:fldCharType="begin"/>
      </w:r>
      <w:r>
        <w:instrText xml:space="preserve"> PAGEREF _Toc449111690 \h </w:instrText>
      </w:r>
      <w:r>
        <w:fldChar w:fldCharType="separate"/>
      </w:r>
      <w:r>
        <w:t>61</w:t>
      </w:r>
      <w:r>
        <w:fldChar w:fldCharType="end"/>
      </w:r>
      <w:r>
        <w:fldChar w:fldCharType="end"/>
      </w:r>
    </w:p>
    <w:p>
      <w:pPr>
        <w:pStyle w:val="30"/>
        <w:rPr>
          <w:rFonts w:ascii="Calibri" w:hAnsi="Calibri" w:eastAsia="宋体" w:cs="黑体"/>
          <w:szCs w:val="22"/>
        </w:rPr>
      </w:pPr>
      <w:r>
        <w:fldChar w:fldCharType="begin"/>
      </w:r>
      <w:r>
        <w:instrText xml:space="preserve">HYPERLINK  \l "_Toc449111691" </w:instrText>
      </w:r>
      <w:r>
        <w:fldChar w:fldCharType="separate"/>
      </w:r>
      <w:r>
        <w:rPr>
          <w:rStyle w:val="45"/>
        </w:rPr>
        <w:t xml:space="preserve">11.2 </w:t>
      </w:r>
      <w:r>
        <w:rPr>
          <w:rStyle w:val="45"/>
          <w:rFonts w:hint="eastAsia"/>
        </w:rPr>
        <w:t>评分项</w:t>
      </w:r>
      <w:r>
        <w:tab/>
      </w:r>
      <w:r>
        <w:fldChar w:fldCharType="begin"/>
      </w:r>
      <w:r>
        <w:instrText xml:space="preserve"> PAGEREF _Toc449111691 \h </w:instrText>
      </w:r>
      <w:r>
        <w:fldChar w:fldCharType="separate"/>
      </w:r>
      <w:r>
        <w:t>61</w:t>
      </w:r>
      <w:r>
        <w:fldChar w:fldCharType="end"/>
      </w:r>
      <w:r>
        <w:fldChar w:fldCharType="end"/>
      </w:r>
    </w:p>
    <w:p>
      <w:pPr>
        <w:pStyle w:val="18"/>
        <w:tabs>
          <w:tab w:val="right" w:leader="dot" w:pos="8296"/>
        </w:tabs>
        <w:rPr>
          <w:rFonts w:ascii="Calibri" w:hAnsi="Calibri" w:eastAsia="宋体" w:cs="黑体"/>
          <w:szCs w:val="22"/>
        </w:rPr>
      </w:pPr>
      <w:r>
        <w:fldChar w:fldCharType="begin"/>
      </w:r>
      <w:r>
        <w:instrText xml:space="preserve">HYPERLINK  \l "_Toc449111692" </w:instrText>
      </w:r>
      <w:r>
        <w:fldChar w:fldCharType="separate"/>
      </w:r>
      <w:r>
        <w:rPr>
          <w:rStyle w:val="45"/>
          <w:rFonts w:hint="eastAsia" w:ascii="宋体" w:hAnsi="宋体"/>
        </w:rPr>
        <w:t>Ⅰ</w:t>
      </w:r>
      <w:r>
        <w:rPr>
          <w:rStyle w:val="45"/>
          <w:rFonts w:ascii="宋体" w:hAnsi="宋体"/>
        </w:rPr>
        <w:t xml:space="preserve"> </w:t>
      </w:r>
      <w:r>
        <w:rPr>
          <w:rStyle w:val="45"/>
          <w:rFonts w:hint="eastAsia" w:hAnsi="宋体"/>
        </w:rPr>
        <w:t>环境保护（</w:t>
      </w:r>
      <w:r>
        <w:rPr>
          <w:rStyle w:val="45"/>
          <w:rFonts w:hAnsi="宋体"/>
        </w:rPr>
        <w:t>25</w:t>
      </w:r>
      <w:r>
        <w:rPr>
          <w:rStyle w:val="45"/>
          <w:rFonts w:hint="eastAsia" w:hAnsi="宋体"/>
        </w:rPr>
        <w:t>）</w:t>
      </w:r>
      <w:r>
        <w:tab/>
      </w:r>
      <w:r>
        <w:fldChar w:fldCharType="begin"/>
      </w:r>
      <w:r>
        <w:instrText xml:space="preserve"> PAGEREF _Toc449111692 \h </w:instrText>
      </w:r>
      <w:r>
        <w:fldChar w:fldCharType="separate"/>
      </w:r>
      <w:r>
        <w:t>61</w:t>
      </w:r>
      <w:r>
        <w:fldChar w:fldCharType="end"/>
      </w:r>
      <w:r>
        <w:fldChar w:fldCharType="end"/>
      </w:r>
    </w:p>
    <w:p>
      <w:pPr>
        <w:pStyle w:val="18"/>
        <w:tabs>
          <w:tab w:val="right" w:leader="dot" w:pos="8296"/>
        </w:tabs>
        <w:rPr>
          <w:rFonts w:ascii="Calibri" w:hAnsi="Calibri" w:eastAsia="宋体" w:cs="黑体"/>
          <w:szCs w:val="22"/>
        </w:rPr>
      </w:pPr>
      <w:r>
        <w:fldChar w:fldCharType="begin"/>
      </w:r>
      <w:r>
        <w:instrText xml:space="preserve">HYPERLINK  \l "_Toc449111693" </w:instrText>
      </w:r>
      <w:r>
        <w:fldChar w:fldCharType="separate"/>
      </w:r>
      <w:r>
        <w:rPr>
          <w:rStyle w:val="45"/>
          <w:rFonts w:hint="eastAsia" w:ascii="宋体" w:hAnsi="宋体"/>
        </w:rPr>
        <w:t>Ⅱ</w:t>
      </w:r>
      <w:r>
        <w:rPr>
          <w:rStyle w:val="45"/>
          <w:rFonts w:ascii="宋体" w:hAnsi="宋体"/>
        </w:rPr>
        <w:t xml:space="preserve"> </w:t>
      </w:r>
      <w:r>
        <w:rPr>
          <w:rStyle w:val="45"/>
          <w:rFonts w:hint="eastAsia" w:hAnsi="宋体"/>
        </w:rPr>
        <w:t>资源节约（</w:t>
      </w:r>
      <w:r>
        <w:rPr>
          <w:rStyle w:val="45"/>
          <w:rFonts w:hAnsi="宋体"/>
        </w:rPr>
        <w:t>37</w:t>
      </w:r>
      <w:r>
        <w:rPr>
          <w:rStyle w:val="45"/>
          <w:rFonts w:hint="eastAsia" w:hAnsi="宋体"/>
        </w:rPr>
        <w:t>）</w:t>
      </w:r>
      <w:r>
        <w:tab/>
      </w:r>
      <w:r>
        <w:fldChar w:fldCharType="begin"/>
      </w:r>
      <w:r>
        <w:instrText xml:space="preserve"> PAGEREF _Toc449111693 \h </w:instrText>
      </w:r>
      <w:r>
        <w:fldChar w:fldCharType="separate"/>
      </w:r>
      <w:r>
        <w:t>64</w:t>
      </w:r>
      <w:r>
        <w:fldChar w:fldCharType="end"/>
      </w:r>
      <w:r>
        <w:fldChar w:fldCharType="end"/>
      </w:r>
    </w:p>
    <w:p>
      <w:pPr>
        <w:pStyle w:val="18"/>
        <w:tabs>
          <w:tab w:val="right" w:leader="dot" w:pos="8296"/>
        </w:tabs>
        <w:rPr>
          <w:rFonts w:ascii="Calibri" w:hAnsi="Calibri" w:eastAsia="宋体" w:cs="黑体"/>
          <w:szCs w:val="22"/>
        </w:rPr>
      </w:pPr>
      <w:r>
        <w:fldChar w:fldCharType="begin"/>
      </w:r>
      <w:r>
        <w:instrText xml:space="preserve">HYPERLINK  \l "_Toc449111694" </w:instrText>
      </w:r>
      <w:r>
        <w:fldChar w:fldCharType="separate"/>
      </w:r>
      <w:r>
        <w:rPr>
          <w:rStyle w:val="45"/>
          <w:rFonts w:hint="eastAsia" w:ascii="宋体" w:hAnsi="宋体"/>
        </w:rPr>
        <w:t>Ⅲ</w:t>
      </w:r>
      <w:r>
        <w:rPr>
          <w:rStyle w:val="45"/>
          <w:rFonts w:ascii="宋体" w:hAnsi="宋体"/>
        </w:rPr>
        <w:t xml:space="preserve"> </w:t>
      </w:r>
      <w:r>
        <w:rPr>
          <w:rStyle w:val="45"/>
          <w:rFonts w:hint="eastAsia" w:ascii="宋体" w:hAnsi="宋体"/>
        </w:rPr>
        <w:t>过程管理（</w:t>
      </w:r>
      <w:r>
        <w:rPr>
          <w:rStyle w:val="45"/>
          <w:rFonts w:ascii="宋体" w:hAnsi="宋体"/>
        </w:rPr>
        <w:t>38</w:t>
      </w:r>
      <w:r>
        <w:rPr>
          <w:rStyle w:val="45"/>
          <w:rFonts w:hint="eastAsia" w:ascii="宋体" w:hAnsi="宋体"/>
        </w:rPr>
        <w:t>）</w:t>
      </w:r>
      <w:r>
        <w:tab/>
      </w:r>
      <w:r>
        <w:fldChar w:fldCharType="begin"/>
      </w:r>
      <w:r>
        <w:instrText xml:space="preserve"> PAGEREF _Toc449111694 \h </w:instrText>
      </w:r>
      <w:r>
        <w:fldChar w:fldCharType="separate"/>
      </w:r>
      <w:r>
        <w:t>67</w:t>
      </w:r>
      <w:r>
        <w:fldChar w:fldCharType="end"/>
      </w:r>
      <w:r>
        <w:fldChar w:fldCharType="end"/>
      </w:r>
    </w:p>
    <w:p>
      <w:pPr>
        <w:pStyle w:val="26"/>
        <w:rPr>
          <w:rFonts w:ascii="Calibri" w:hAnsi="Calibri" w:eastAsia="宋体" w:cs="黑体"/>
          <w:b w:val="0"/>
          <w:sz w:val="21"/>
          <w:szCs w:val="22"/>
        </w:rPr>
      </w:pPr>
      <w:r>
        <w:fldChar w:fldCharType="begin"/>
      </w:r>
      <w:r>
        <w:instrText xml:space="preserve">HYPERLINK  \l "_Toc449111695" </w:instrText>
      </w:r>
      <w:r>
        <w:fldChar w:fldCharType="separate"/>
      </w:r>
      <w:r>
        <w:rPr>
          <w:rStyle w:val="45"/>
          <w:rFonts w:eastAsia="黑体"/>
        </w:rPr>
        <w:t xml:space="preserve">12 </w:t>
      </w:r>
      <w:r>
        <w:rPr>
          <w:rStyle w:val="45"/>
          <w:rFonts w:hint="eastAsia" w:eastAsia="黑体"/>
        </w:rPr>
        <w:t>运营管理</w:t>
      </w:r>
      <w:r>
        <w:tab/>
      </w:r>
      <w:r>
        <w:fldChar w:fldCharType="begin"/>
      </w:r>
      <w:r>
        <w:instrText xml:space="preserve"> PAGEREF _Toc449111695 \h </w:instrText>
      </w:r>
      <w:r>
        <w:fldChar w:fldCharType="separate"/>
      </w:r>
      <w:r>
        <w:t>70</w:t>
      </w:r>
      <w:r>
        <w:fldChar w:fldCharType="end"/>
      </w:r>
      <w:r>
        <w:fldChar w:fldCharType="end"/>
      </w:r>
    </w:p>
    <w:p>
      <w:pPr>
        <w:pStyle w:val="30"/>
        <w:rPr>
          <w:rFonts w:ascii="Calibri" w:hAnsi="Calibri" w:eastAsia="宋体" w:cs="黑体"/>
          <w:szCs w:val="22"/>
        </w:rPr>
      </w:pPr>
      <w:r>
        <w:fldChar w:fldCharType="begin"/>
      </w:r>
      <w:r>
        <w:instrText xml:space="preserve">HYPERLINK  \l "_Toc449111696" </w:instrText>
      </w:r>
      <w:r>
        <w:fldChar w:fldCharType="separate"/>
      </w:r>
      <w:r>
        <w:rPr>
          <w:rStyle w:val="45"/>
        </w:rPr>
        <w:t xml:space="preserve">12.1 </w:t>
      </w:r>
      <w:r>
        <w:rPr>
          <w:rStyle w:val="45"/>
          <w:rFonts w:hint="eastAsia"/>
        </w:rPr>
        <w:t>控制项</w:t>
      </w:r>
      <w:r>
        <w:tab/>
      </w:r>
      <w:r>
        <w:fldChar w:fldCharType="begin"/>
      </w:r>
      <w:r>
        <w:instrText xml:space="preserve"> PAGEREF _Toc449111696 \h </w:instrText>
      </w:r>
      <w:r>
        <w:fldChar w:fldCharType="separate"/>
      </w:r>
      <w:r>
        <w:t>70</w:t>
      </w:r>
      <w:r>
        <w:fldChar w:fldCharType="end"/>
      </w:r>
      <w:r>
        <w:fldChar w:fldCharType="end"/>
      </w:r>
    </w:p>
    <w:p>
      <w:pPr>
        <w:pStyle w:val="30"/>
        <w:rPr>
          <w:rFonts w:ascii="Calibri" w:hAnsi="Calibri" w:eastAsia="宋体" w:cs="黑体"/>
          <w:szCs w:val="22"/>
        </w:rPr>
      </w:pPr>
      <w:r>
        <w:fldChar w:fldCharType="begin"/>
      </w:r>
      <w:r>
        <w:instrText xml:space="preserve">HYPERLINK  \l "_Toc449111697" </w:instrText>
      </w:r>
      <w:r>
        <w:fldChar w:fldCharType="separate"/>
      </w:r>
      <w:r>
        <w:rPr>
          <w:rStyle w:val="45"/>
        </w:rPr>
        <w:t xml:space="preserve">12.2 </w:t>
      </w:r>
      <w:r>
        <w:rPr>
          <w:rStyle w:val="45"/>
          <w:rFonts w:hint="eastAsia"/>
        </w:rPr>
        <w:t>评分项</w:t>
      </w:r>
      <w:r>
        <w:tab/>
      </w:r>
      <w:r>
        <w:fldChar w:fldCharType="begin"/>
      </w:r>
      <w:r>
        <w:instrText xml:space="preserve"> PAGEREF _Toc449111697 \h </w:instrText>
      </w:r>
      <w:r>
        <w:fldChar w:fldCharType="separate"/>
      </w:r>
      <w:r>
        <w:t>71</w:t>
      </w:r>
      <w:r>
        <w:fldChar w:fldCharType="end"/>
      </w:r>
      <w:r>
        <w:fldChar w:fldCharType="end"/>
      </w:r>
    </w:p>
    <w:p>
      <w:pPr>
        <w:pStyle w:val="18"/>
        <w:tabs>
          <w:tab w:val="right" w:leader="dot" w:pos="8296"/>
        </w:tabs>
        <w:rPr>
          <w:rFonts w:ascii="Calibri" w:hAnsi="Calibri" w:eastAsia="宋体" w:cs="黑体"/>
          <w:szCs w:val="22"/>
        </w:rPr>
      </w:pPr>
      <w:r>
        <w:fldChar w:fldCharType="begin"/>
      </w:r>
      <w:r>
        <w:instrText xml:space="preserve">HYPERLINK  \l "_Toc449111698" </w:instrText>
      </w:r>
      <w:r>
        <w:fldChar w:fldCharType="separate"/>
      </w:r>
      <w:r>
        <w:rPr>
          <w:rStyle w:val="45"/>
          <w:rFonts w:hint="eastAsia" w:ascii="宋体" w:hAnsi="宋体"/>
        </w:rPr>
        <w:t>Ⅰ</w:t>
      </w:r>
      <w:r>
        <w:rPr>
          <w:rStyle w:val="45"/>
        </w:rPr>
        <w:t xml:space="preserve"> </w:t>
      </w:r>
      <w:r>
        <w:rPr>
          <w:rStyle w:val="45"/>
          <w:rFonts w:hint="eastAsia" w:hAnsi="宋体"/>
        </w:rPr>
        <w:t>管理制度（</w:t>
      </w:r>
      <w:r>
        <w:rPr>
          <w:rStyle w:val="45"/>
          <w:rFonts w:hAnsi="宋体"/>
        </w:rPr>
        <w:t>33</w:t>
      </w:r>
      <w:r>
        <w:rPr>
          <w:rStyle w:val="45"/>
          <w:rFonts w:hint="eastAsia" w:hAnsi="宋体"/>
        </w:rPr>
        <w:t>）</w:t>
      </w:r>
      <w:r>
        <w:tab/>
      </w:r>
      <w:r>
        <w:fldChar w:fldCharType="begin"/>
      </w:r>
      <w:r>
        <w:instrText xml:space="preserve"> PAGEREF _Toc449111698 \h </w:instrText>
      </w:r>
      <w:r>
        <w:fldChar w:fldCharType="separate"/>
      </w:r>
      <w:r>
        <w:t>71</w:t>
      </w:r>
      <w:r>
        <w:fldChar w:fldCharType="end"/>
      </w:r>
      <w:r>
        <w:fldChar w:fldCharType="end"/>
      </w:r>
    </w:p>
    <w:p>
      <w:pPr>
        <w:pStyle w:val="18"/>
        <w:tabs>
          <w:tab w:val="right" w:leader="dot" w:pos="8296"/>
        </w:tabs>
        <w:rPr>
          <w:rFonts w:ascii="Calibri" w:hAnsi="Calibri" w:eastAsia="宋体" w:cs="黑体"/>
          <w:szCs w:val="22"/>
        </w:rPr>
      </w:pPr>
      <w:r>
        <w:fldChar w:fldCharType="begin"/>
      </w:r>
      <w:r>
        <w:instrText xml:space="preserve">HYPERLINK  \l "_Toc449111699" </w:instrText>
      </w:r>
      <w:r>
        <w:fldChar w:fldCharType="separate"/>
      </w:r>
      <w:r>
        <w:rPr>
          <w:rStyle w:val="45"/>
          <w:rFonts w:hint="eastAsia" w:ascii="宋体" w:hAnsi="宋体"/>
        </w:rPr>
        <w:t>Ⅱ</w:t>
      </w:r>
      <w:r>
        <w:rPr>
          <w:rStyle w:val="45"/>
          <w:rFonts w:ascii="宋体" w:hAnsi="宋体"/>
        </w:rPr>
        <w:t xml:space="preserve"> </w:t>
      </w:r>
      <w:r>
        <w:rPr>
          <w:rStyle w:val="45"/>
          <w:rFonts w:hint="eastAsia" w:hAnsi="宋体"/>
        </w:rPr>
        <w:t>技术管理（</w:t>
      </w:r>
      <w:r>
        <w:rPr>
          <w:rStyle w:val="45"/>
          <w:rFonts w:hAnsi="宋体"/>
        </w:rPr>
        <w:t>42</w:t>
      </w:r>
      <w:r>
        <w:rPr>
          <w:rStyle w:val="45"/>
          <w:rFonts w:hint="eastAsia" w:hAnsi="宋体"/>
        </w:rPr>
        <w:t>）</w:t>
      </w:r>
      <w:r>
        <w:tab/>
      </w:r>
      <w:r>
        <w:fldChar w:fldCharType="begin"/>
      </w:r>
      <w:r>
        <w:instrText xml:space="preserve"> PAGEREF _Toc449111699 \h </w:instrText>
      </w:r>
      <w:r>
        <w:fldChar w:fldCharType="separate"/>
      </w:r>
      <w:r>
        <w:t>74</w:t>
      </w:r>
      <w:r>
        <w:fldChar w:fldCharType="end"/>
      </w:r>
      <w:r>
        <w:fldChar w:fldCharType="end"/>
      </w:r>
    </w:p>
    <w:p>
      <w:pPr>
        <w:pStyle w:val="18"/>
        <w:tabs>
          <w:tab w:val="right" w:leader="dot" w:pos="8296"/>
        </w:tabs>
        <w:rPr>
          <w:rFonts w:ascii="Calibri" w:hAnsi="Calibri" w:eastAsia="宋体" w:cs="黑体"/>
          <w:szCs w:val="22"/>
        </w:rPr>
      </w:pPr>
      <w:r>
        <w:fldChar w:fldCharType="begin"/>
      </w:r>
      <w:r>
        <w:instrText xml:space="preserve">HYPERLINK  \l "_Toc449111700" </w:instrText>
      </w:r>
      <w:r>
        <w:fldChar w:fldCharType="separate"/>
      </w:r>
      <w:r>
        <w:rPr>
          <w:rStyle w:val="45"/>
          <w:rFonts w:hint="eastAsia" w:ascii="宋体" w:hAnsi="宋体"/>
        </w:rPr>
        <w:t>Ⅲ</w:t>
      </w:r>
      <w:r>
        <w:rPr>
          <w:rStyle w:val="45"/>
          <w:rFonts w:ascii="宋体" w:hAnsi="宋体"/>
        </w:rPr>
        <w:t xml:space="preserve"> </w:t>
      </w:r>
      <w:r>
        <w:rPr>
          <w:rStyle w:val="45"/>
          <w:rFonts w:hint="eastAsia" w:ascii="宋体" w:hAnsi="宋体"/>
        </w:rPr>
        <w:t>环境管理（</w:t>
      </w:r>
      <w:r>
        <w:rPr>
          <w:rStyle w:val="45"/>
          <w:rFonts w:ascii="宋体" w:hAnsi="宋体"/>
        </w:rPr>
        <w:t>25</w:t>
      </w:r>
      <w:r>
        <w:rPr>
          <w:rStyle w:val="45"/>
          <w:rFonts w:hint="eastAsia" w:ascii="宋体" w:hAnsi="宋体"/>
        </w:rPr>
        <w:t>）</w:t>
      </w:r>
      <w:r>
        <w:tab/>
      </w:r>
      <w:r>
        <w:fldChar w:fldCharType="begin"/>
      </w:r>
      <w:r>
        <w:instrText xml:space="preserve"> PAGEREF _Toc449111700 \h </w:instrText>
      </w:r>
      <w:r>
        <w:fldChar w:fldCharType="separate"/>
      </w:r>
      <w:r>
        <w:t>79</w:t>
      </w:r>
      <w:r>
        <w:fldChar w:fldCharType="end"/>
      </w:r>
      <w:r>
        <w:fldChar w:fldCharType="end"/>
      </w:r>
    </w:p>
    <w:p>
      <w:pPr>
        <w:pStyle w:val="26"/>
        <w:rPr>
          <w:rFonts w:ascii="Calibri" w:hAnsi="Calibri" w:eastAsia="宋体" w:cs="黑体"/>
          <w:b w:val="0"/>
          <w:sz w:val="21"/>
          <w:szCs w:val="22"/>
        </w:rPr>
      </w:pPr>
      <w:r>
        <w:fldChar w:fldCharType="begin"/>
      </w:r>
      <w:r>
        <w:instrText xml:space="preserve">HYPERLINK  \l "_Toc449111701" </w:instrText>
      </w:r>
      <w:r>
        <w:fldChar w:fldCharType="separate"/>
      </w:r>
      <w:r>
        <w:rPr>
          <w:rStyle w:val="45"/>
          <w:rFonts w:eastAsia="黑体"/>
        </w:rPr>
        <w:t xml:space="preserve">13 </w:t>
      </w:r>
      <w:r>
        <w:rPr>
          <w:rStyle w:val="45"/>
          <w:rFonts w:hint="eastAsia" w:eastAsia="黑体"/>
        </w:rPr>
        <w:t>提高与创新</w:t>
      </w:r>
      <w:r>
        <w:tab/>
      </w:r>
      <w:r>
        <w:fldChar w:fldCharType="begin"/>
      </w:r>
      <w:r>
        <w:instrText xml:space="preserve"> PAGEREF _Toc449111701 \h </w:instrText>
      </w:r>
      <w:r>
        <w:fldChar w:fldCharType="separate"/>
      </w:r>
      <w:r>
        <w:t>83</w:t>
      </w:r>
      <w:r>
        <w:fldChar w:fldCharType="end"/>
      </w:r>
      <w:r>
        <w:fldChar w:fldCharType="end"/>
      </w:r>
    </w:p>
    <w:p>
      <w:pPr>
        <w:pStyle w:val="30"/>
        <w:rPr>
          <w:rFonts w:ascii="Calibri" w:hAnsi="Calibri" w:eastAsia="宋体" w:cs="黑体"/>
          <w:szCs w:val="22"/>
        </w:rPr>
      </w:pPr>
      <w:r>
        <w:fldChar w:fldCharType="begin"/>
      </w:r>
      <w:r>
        <w:instrText xml:space="preserve">HYPERLINK  \l "_Toc449111702" </w:instrText>
      </w:r>
      <w:r>
        <w:fldChar w:fldCharType="separate"/>
      </w:r>
      <w:r>
        <w:rPr>
          <w:rStyle w:val="45"/>
        </w:rPr>
        <w:t xml:space="preserve">13.1 </w:t>
      </w:r>
      <w:r>
        <w:rPr>
          <w:rStyle w:val="45"/>
          <w:rFonts w:hint="eastAsia"/>
        </w:rPr>
        <w:t>一般规定</w:t>
      </w:r>
      <w:r>
        <w:tab/>
      </w:r>
      <w:r>
        <w:fldChar w:fldCharType="begin"/>
      </w:r>
      <w:r>
        <w:instrText xml:space="preserve"> PAGEREF _Toc449111702 \h </w:instrText>
      </w:r>
      <w:r>
        <w:fldChar w:fldCharType="separate"/>
      </w:r>
      <w:r>
        <w:t>83</w:t>
      </w:r>
      <w:r>
        <w:fldChar w:fldCharType="end"/>
      </w:r>
      <w:r>
        <w:fldChar w:fldCharType="end"/>
      </w:r>
    </w:p>
    <w:p>
      <w:pPr>
        <w:pStyle w:val="30"/>
        <w:rPr>
          <w:rFonts w:ascii="Calibri" w:hAnsi="Calibri" w:eastAsia="宋体" w:cs="黑体"/>
          <w:szCs w:val="22"/>
        </w:rPr>
      </w:pPr>
      <w:r>
        <w:fldChar w:fldCharType="begin"/>
      </w:r>
      <w:r>
        <w:instrText xml:space="preserve">HYPERLINK  \l "_Toc449111703" </w:instrText>
      </w:r>
      <w:r>
        <w:fldChar w:fldCharType="separate"/>
      </w:r>
      <w:r>
        <w:rPr>
          <w:rStyle w:val="45"/>
        </w:rPr>
        <w:t xml:space="preserve">13.2 </w:t>
      </w:r>
      <w:r>
        <w:rPr>
          <w:rStyle w:val="45"/>
          <w:rFonts w:hint="eastAsia"/>
        </w:rPr>
        <w:t>加分项</w:t>
      </w:r>
      <w:r>
        <w:tab/>
      </w:r>
      <w:r>
        <w:fldChar w:fldCharType="begin"/>
      </w:r>
      <w:r>
        <w:instrText xml:space="preserve"> PAGEREF _Toc449111703 \h </w:instrText>
      </w:r>
      <w:r>
        <w:fldChar w:fldCharType="separate"/>
      </w:r>
      <w:r>
        <w:t>83</w:t>
      </w:r>
      <w:r>
        <w:fldChar w:fldCharType="end"/>
      </w:r>
      <w:r>
        <w:fldChar w:fldCharType="end"/>
      </w:r>
    </w:p>
    <w:p>
      <w:pPr>
        <w:pStyle w:val="18"/>
        <w:tabs>
          <w:tab w:val="right" w:leader="dot" w:pos="8296"/>
        </w:tabs>
        <w:rPr>
          <w:rFonts w:ascii="Calibri" w:hAnsi="Calibri" w:eastAsia="宋体" w:cs="黑体"/>
          <w:szCs w:val="22"/>
        </w:rPr>
      </w:pPr>
      <w:r>
        <w:fldChar w:fldCharType="begin"/>
      </w:r>
      <w:r>
        <w:instrText xml:space="preserve">HYPERLINK  \l "_Toc449111704" </w:instrText>
      </w:r>
      <w:r>
        <w:fldChar w:fldCharType="separate"/>
      </w:r>
      <w:r>
        <w:rPr>
          <w:rStyle w:val="45"/>
          <w:rFonts w:hint="eastAsia" w:ascii="宋体" w:hAnsi="宋体"/>
        </w:rPr>
        <w:t>Ⅰ</w:t>
      </w:r>
      <w:r>
        <w:rPr>
          <w:rStyle w:val="45"/>
        </w:rPr>
        <w:t xml:space="preserve"> </w:t>
      </w:r>
      <w:r>
        <w:rPr>
          <w:rStyle w:val="45"/>
          <w:rFonts w:hint="eastAsia" w:hAnsi="宋体"/>
        </w:rPr>
        <w:t>性能提高（</w:t>
      </w:r>
      <w:r>
        <w:rPr>
          <w:rStyle w:val="45"/>
          <w:rFonts w:hAnsi="宋体"/>
        </w:rPr>
        <w:t>22</w:t>
      </w:r>
      <w:r>
        <w:rPr>
          <w:rStyle w:val="45"/>
          <w:rFonts w:hint="eastAsia" w:hAnsi="宋体"/>
        </w:rPr>
        <w:t>）</w:t>
      </w:r>
      <w:r>
        <w:tab/>
      </w:r>
      <w:r>
        <w:fldChar w:fldCharType="begin"/>
      </w:r>
      <w:r>
        <w:instrText xml:space="preserve"> PAGEREF _Toc449111704 \h </w:instrText>
      </w:r>
      <w:r>
        <w:fldChar w:fldCharType="separate"/>
      </w:r>
      <w:r>
        <w:t>83</w:t>
      </w:r>
      <w:r>
        <w:fldChar w:fldCharType="end"/>
      </w:r>
      <w:r>
        <w:fldChar w:fldCharType="end"/>
      </w:r>
    </w:p>
    <w:p>
      <w:pPr>
        <w:pStyle w:val="18"/>
        <w:tabs>
          <w:tab w:val="right" w:leader="dot" w:pos="8296"/>
        </w:tabs>
        <w:rPr>
          <w:rFonts w:ascii="Calibri" w:hAnsi="Calibri" w:eastAsia="宋体" w:cs="黑体"/>
          <w:szCs w:val="22"/>
        </w:rPr>
      </w:pPr>
      <w:r>
        <w:fldChar w:fldCharType="begin"/>
      </w:r>
      <w:r>
        <w:instrText xml:space="preserve">HYPERLINK  \l "_Toc449111705" </w:instrText>
      </w:r>
      <w:r>
        <w:fldChar w:fldCharType="separate"/>
      </w:r>
      <w:r>
        <w:rPr>
          <w:rStyle w:val="45"/>
          <w:rFonts w:hint="eastAsia" w:ascii="宋体" w:hAnsi="宋体"/>
        </w:rPr>
        <w:t>Ⅱ</w:t>
      </w:r>
      <w:r>
        <w:rPr>
          <w:rStyle w:val="45"/>
        </w:rPr>
        <w:t xml:space="preserve"> </w:t>
      </w:r>
      <w:r>
        <w:rPr>
          <w:rStyle w:val="45"/>
          <w:rFonts w:hint="eastAsia" w:hAnsi="宋体"/>
        </w:rPr>
        <w:t>创新（</w:t>
      </w:r>
      <w:r>
        <w:rPr>
          <w:rStyle w:val="45"/>
          <w:rFonts w:hAnsi="宋体"/>
        </w:rPr>
        <w:t>15</w:t>
      </w:r>
      <w:r>
        <w:rPr>
          <w:rStyle w:val="45"/>
          <w:rFonts w:hint="eastAsia" w:hAnsi="宋体"/>
        </w:rPr>
        <w:t>）</w:t>
      </w:r>
      <w:r>
        <w:tab/>
      </w:r>
      <w:r>
        <w:fldChar w:fldCharType="begin"/>
      </w:r>
      <w:r>
        <w:instrText xml:space="preserve"> PAGEREF _Toc449111705 \h </w:instrText>
      </w:r>
      <w:r>
        <w:fldChar w:fldCharType="separate"/>
      </w:r>
      <w:r>
        <w:t>86</w:t>
      </w:r>
      <w:r>
        <w:fldChar w:fldCharType="end"/>
      </w:r>
      <w:r>
        <w:fldChar w:fldCharType="end"/>
      </w:r>
    </w:p>
    <w:p>
      <w:pPr>
        <w:pStyle w:val="26"/>
        <w:rPr>
          <w:rFonts w:ascii="Calibri" w:hAnsi="Calibri" w:eastAsia="宋体" w:cs="黑体"/>
          <w:b w:val="0"/>
          <w:sz w:val="21"/>
          <w:szCs w:val="22"/>
        </w:rPr>
      </w:pPr>
      <w:r>
        <w:fldChar w:fldCharType="begin"/>
      </w:r>
      <w:r>
        <w:instrText xml:space="preserve">HYPERLINK  \l "_Toc449111706" </w:instrText>
      </w:r>
      <w:r>
        <w:fldChar w:fldCharType="separate"/>
      </w:r>
      <w:r>
        <w:rPr>
          <w:rStyle w:val="45"/>
          <w:rFonts w:hint="eastAsia" w:eastAsia="黑体"/>
        </w:rPr>
        <w:t>本规范用词说明</w:t>
      </w:r>
      <w:r>
        <w:tab/>
      </w:r>
      <w:r>
        <w:fldChar w:fldCharType="begin"/>
      </w:r>
      <w:r>
        <w:instrText xml:space="preserve"> PAGEREF _Toc449111706 \h </w:instrText>
      </w:r>
      <w:r>
        <w:fldChar w:fldCharType="separate"/>
      </w:r>
      <w:r>
        <w:t>90</w:t>
      </w:r>
      <w:r>
        <w:fldChar w:fldCharType="end"/>
      </w:r>
      <w:r>
        <w:fldChar w:fldCharType="end"/>
      </w:r>
    </w:p>
    <w:p>
      <w:pPr>
        <w:pStyle w:val="2"/>
        <w:spacing w:before="240" w:after="240" w:line="360" w:lineRule="auto"/>
        <w:jc w:val="center"/>
        <w:rPr>
          <w:rFonts w:eastAsia="黑体"/>
          <w:sz w:val="28"/>
          <w:szCs w:val="24"/>
        </w:rPr>
        <w:sectPr>
          <w:footerReference r:id="rId4" w:type="default"/>
          <w:pgSz w:w="11906" w:h="16838"/>
          <w:pgMar w:top="1440" w:right="1800" w:bottom="1440" w:left="1800" w:header="851" w:footer="992" w:gutter="0"/>
          <w:pgNumType w:fmt="upperRoman" w:start="1"/>
          <w:cols w:space="720" w:num="1"/>
          <w:docGrid w:type="lines" w:linePitch="312" w:charSpace="0"/>
        </w:sectPr>
      </w:pPr>
      <w:r>
        <w:rPr>
          <w:bCs w:val="0"/>
          <w:kern w:val="2"/>
          <w:sz w:val="24"/>
          <w:szCs w:val="24"/>
        </w:rPr>
        <w:fldChar w:fldCharType="end"/>
      </w:r>
    </w:p>
    <w:p>
      <w:pPr>
        <w:pStyle w:val="2"/>
        <w:spacing w:before="240" w:after="240" w:line="360" w:lineRule="auto"/>
        <w:jc w:val="center"/>
        <w:rPr>
          <w:rFonts w:eastAsia="黑体"/>
          <w:sz w:val="28"/>
          <w:szCs w:val="24"/>
        </w:rPr>
      </w:pPr>
      <w:bookmarkStart w:id="11" w:name="_Toc449111646"/>
      <w:r>
        <w:rPr>
          <w:rFonts w:eastAsia="黑体"/>
          <w:sz w:val="28"/>
          <w:szCs w:val="24"/>
        </w:rPr>
        <w:t>前言</w:t>
      </w:r>
      <w:bookmarkEnd w:id="9"/>
      <w:bookmarkEnd w:id="10"/>
      <w:bookmarkEnd w:id="11"/>
    </w:p>
    <w:p>
      <w:pPr>
        <w:spacing w:line="360" w:lineRule="auto"/>
        <w:ind w:firstLine="480" w:firstLineChars="200"/>
        <w:rPr>
          <w:sz w:val="24"/>
          <w:highlight w:val="yellow"/>
        </w:rPr>
      </w:pPr>
      <w:r>
        <w:rPr>
          <w:sz w:val="24"/>
        </w:rPr>
        <w:t>本</w:t>
      </w:r>
      <w:r>
        <w:rPr>
          <w:rFonts w:hint="eastAsia"/>
          <w:sz w:val="24"/>
        </w:rPr>
        <w:t>规范</w:t>
      </w:r>
      <w:r>
        <w:rPr>
          <w:sz w:val="24"/>
        </w:rPr>
        <w:t>由深圳市住房和建设局归口管理，授权由深圳市建筑科学研究院股份有限公司负责具体技术内容的解释。本</w:t>
      </w:r>
      <w:r>
        <w:rPr>
          <w:rFonts w:hint="eastAsia"/>
          <w:sz w:val="24"/>
        </w:rPr>
        <w:t>规范</w:t>
      </w:r>
      <w:r>
        <w:rPr>
          <w:sz w:val="24"/>
        </w:rPr>
        <w:t>在执行过程中如发现需要修改和补充之处，请将意见和有关资料寄送深圳市建筑科学研究院股份有限公司（深圳市福田区上梅林梅坳三路29号建科大楼，邮编：518049），以供今后修订时参考。</w:t>
      </w:r>
    </w:p>
    <w:p>
      <w:pPr>
        <w:spacing w:line="360" w:lineRule="auto"/>
        <w:ind w:firstLine="480" w:firstLineChars="200"/>
        <w:rPr>
          <w:sz w:val="24"/>
        </w:rPr>
      </w:pPr>
      <w:r>
        <w:rPr>
          <w:sz w:val="24"/>
        </w:rPr>
        <w:t>本</w:t>
      </w:r>
      <w:r>
        <w:rPr>
          <w:rFonts w:hint="eastAsia"/>
          <w:sz w:val="24"/>
        </w:rPr>
        <w:t>规范</w:t>
      </w:r>
      <w:r>
        <w:rPr>
          <w:sz w:val="24"/>
        </w:rPr>
        <w:t>主编单位：深圳市建筑科学研究院股份有限公司</w:t>
      </w:r>
    </w:p>
    <w:p>
      <w:pPr>
        <w:spacing w:line="360" w:lineRule="auto"/>
        <w:ind w:firstLine="480" w:firstLineChars="200"/>
        <w:rPr>
          <w:sz w:val="24"/>
        </w:rPr>
      </w:pPr>
      <w:r>
        <w:rPr>
          <w:sz w:val="24"/>
        </w:rPr>
        <w:t>本</w:t>
      </w:r>
      <w:r>
        <w:rPr>
          <w:rFonts w:hint="eastAsia"/>
          <w:sz w:val="24"/>
        </w:rPr>
        <w:t>规范</w:t>
      </w:r>
      <w:r>
        <w:rPr>
          <w:sz w:val="24"/>
        </w:rPr>
        <w:t>参编单位：</w:t>
      </w:r>
    </w:p>
    <w:p>
      <w:pPr>
        <w:spacing w:line="360" w:lineRule="auto"/>
        <w:ind w:firstLine="480" w:firstLineChars="200"/>
        <w:rPr>
          <w:sz w:val="24"/>
          <w:highlight w:val="yellow"/>
        </w:rPr>
      </w:pPr>
      <w:r>
        <w:rPr>
          <w:sz w:val="24"/>
        </w:rPr>
        <w:t>本</w:t>
      </w:r>
      <w:r>
        <w:rPr>
          <w:rFonts w:hint="eastAsia"/>
          <w:sz w:val="24"/>
        </w:rPr>
        <w:t>规范</w:t>
      </w:r>
      <w:r>
        <w:rPr>
          <w:sz w:val="24"/>
        </w:rPr>
        <w:t>主要起草人：</w:t>
      </w:r>
    </w:p>
    <w:p>
      <w:pPr>
        <w:spacing w:line="360" w:lineRule="auto"/>
        <w:ind w:firstLine="200"/>
        <w:rPr>
          <w:sz w:val="24"/>
          <w:highlight w:val="yellow"/>
        </w:rPr>
        <w:sectPr>
          <w:pgSz w:w="11906" w:h="16838"/>
          <w:pgMar w:top="1440" w:right="1800" w:bottom="1440" w:left="1800" w:header="851" w:footer="992" w:gutter="0"/>
          <w:pgNumType w:fmt="upperRoman" w:start="1"/>
          <w:cols w:space="720" w:num="1"/>
          <w:docGrid w:type="lines" w:linePitch="312" w:charSpace="0"/>
        </w:sectPr>
      </w:pPr>
    </w:p>
    <w:p>
      <w:pPr>
        <w:pStyle w:val="2"/>
        <w:spacing w:before="240" w:after="240" w:line="360" w:lineRule="auto"/>
        <w:jc w:val="center"/>
        <w:rPr>
          <w:rFonts w:eastAsia="黑体"/>
          <w:sz w:val="28"/>
          <w:szCs w:val="24"/>
        </w:rPr>
      </w:pPr>
      <w:bookmarkStart w:id="12" w:name="_Toc388023665"/>
      <w:bookmarkStart w:id="13" w:name="_Toc237346222"/>
      <w:bookmarkStart w:id="14" w:name="_Toc449111647"/>
      <w:r>
        <w:rPr>
          <w:rFonts w:eastAsia="黑体"/>
          <w:sz w:val="28"/>
          <w:szCs w:val="24"/>
        </w:rPr>
        <w:t>引言</w:t>
      </w:r>
      <w:bookmarkEnd w:id="12"/>
      <w:bookmarkEnd w:id="13"/>
      <w:bookmarkEnd w:id="14"/>
    </w:p>
    <w:p>
      <w:pPr>
        <w:adjustRightInd w:val="0"/>
        <w:snapToGrid w:val="0"/>
        <w:spacing w:before="93" w:beforeLines="30" w:after="93" w:afterLines="30" w:line="360" w:lineRule="auto"/>
        <w:ind w:firstLine="420" w:firstLineChars="200"/>
        <w:rPr>
          <w:rFonts w:hint="eastAsia"/>
          <w:szCs w:val="21"/>
        </w:rPr>
      </w:pPr>
      <w:r>
        <w:rPr>
          <w:rFonts w:hint="eastAsia"/>
          <w:szCs w:val="21"/>
        </w:rPr>
        <w:t>本</w:t>
      </w:r>
      <w:r>
        <w:rPr>
          <w:rFonts w:hint="eastAsia"/>
          <w:szCs w:val="21"/>
          <w:lang w:eastAsia="zh-CN"/>
        </w:rPr>
        <w:t>规范</w:t>
      </w:r>
      <w:r>
        <w:rPr>
          <w:rFonts w:hint="eastAsia"/>
          <w:szCs w:val="21"/>
        </w:rPr>
        <w:t>是以国家标准《绿色建筑评价标准》GB/T 50378-2014</w:t>
      </w:r>
      <w:r>
        <w:rPr>
          <w:rFonts w:hint="eastAsia"/>
          <w:szCs w:val="21"/>
          <w:lang w:eastAsia="zh-CN"/>
        </w:rPr>
        <w:t>、</w:t>
      </w:r>
      <w:r>
        <w:rPr>
          <w:rFonts w:hint="eastAsia"/>
          <w:szCs w:val="21"/>
        </w:rPr>
        <w:t>《绿色建筑评价技术细则》（建科[2015 ]108 号）为基础，在原</w:t>
      </w:r>
      <w:r>
        <w:rPr>
          <w:rFonts w:hint="eastAsia"/>
          <w:szCs w:val="21"/>
          <w:lang w:eastAsia="zh-CN"/>
        </w:rPr>
        <w:t>深圳市</w:t>
      </w:r>
      <w:r>
        <w:rPr>
          <w:rFonts w:hint="eastAsia"/>
          <w:szCs w:val="21"/>
        </w:rPr>
        <w:t>工程建设地方</w:t>
      </w:r>
      <w:r>
        <w:rPr>
          <w:rFonts w:hint="eastAsia"/>
          <w:szCs w:val="21"/>
          <w:lang w:eastAsia="zh-CN"/>
        </w:rPr>
        <w:t>规范</w:t>
      </w:r>
      <w:r>
        <w:rPr>
          <w:rFonts w:hint="eastAsia"/>
          <w:szCs w:val="21"/>
        </w:rPr>
        <w:t>《</w:t>
      </w:r>
      <w:r>
        <w:rPr>
          <w:rFonts w:hint="eastAsia"/>
          <w:szCs w:val="21"/>
          <w:lang w:eastAsia="zh-CN"/>
        </w:rPr>
        <w:t>深圳市</w:t>
      </w:r>
      <w:r>
        <w:rPr>
          <w:rFonts w:hint="eastAsia"/>
          <w:szCs w:val="21"/>
        </w:rPr>
        <w:t>绿色建筑评价</w:t>
      </w:r>
      <w:r>
        <w:rPr>
          <w:rFonts w:hint="eastAsia"/>
          <w:szCs w:val="21"/>
          <w:lang w:eastAsia="zh-CN"/>
        </w:rPr>
        <w:t>规范</w:t>
      </w:r>
      <w:r>
        <w:rPr>
          <w:rFonts w:hint="eastAsia"/>
          <w:szCs w:val="21"/>
        </w:rPr>
        <w:t>》SJG 30</w:t>
      </w:r>
      <w:r>
        <w:rPr>
          <w:rFonts w:hint="eastAsia"/>
          <w:szCs w:val="21"/>
          <w:lang w:val="en-US" w:eastAsia="zh-CN"/>
        </w:rPr>
        <w:t>-</w:t>
      </w:r>
      <w:r>
        <w:rPr>
          <w:rFonts w:hint="eastAsia"/>
          <w:szCs w:val="21"/>
        </w:rPr>
        <w:t>基础上修订完成的。本</w:t>
      </w:r>
      <w:r>
        <w:rPr>
          <w:rFonts w:hint="eastAsia"/>
          <w:szCs w:val="21"/>
          <w:lang w:eastAsia="zh-CN"/>
        </w:rPr>
        <w:t>规范</w:t>
      </w:r>
      <w:r>
        <w:rPr>
          <w:rFonts w:hint="eastAsia"/>
          <w:szCs w:val="21"/>
        </w:rPr>
        <w:t>在修订过程中，认真总结近年来</w:t>
      </w:r>
      <w:r>
        <w:rPr>
          <w:rFonts w:hint="eastAsia"/>
          <w:szCs w:val="21"/>
          <w:lang w:eastAsia="zh-CN"/>
        </w:rPr>
        <w:t>深圳市</w:t>
      </w:r>
      <w:r>
        <w:rPr>
          <w:rFonts w:hint="eastAsia"/>
          <w:szCs w:val="21"/>
        </w:rPr>
        <w:t>绿色建筑方面的实践经验和研究成果，借鉴国内、国际先进经验，并在广泛征求意见的基础上对具体内容进行了反复讨论、协调和修改，最后经审查定稿。</w:t>
      </w:r>
    </w:p>
    <w:p>
      <w:pPr>
        <w:adjustRightInd w:val="0"/>
        <w:snapToGrid w:val="0"/>
        <w:spacing w:before="93" w:beforeLines="30" w:after="93" w:afterLines="30" w:line="360" w:lineRule="auto"/>
        <w:ind w:firstLine="420" w:firstLineChars="200"/>
        <w:rPr>
          <w:szCs w:val="21"/>
        </w:rPr>
      </w:pPr>
      <w:r>
        <w:rPr>
          <w:rFonts w:hint="eastAsia"/>
          <w:szCs w:val="21"/>
        </w:rPr>
        <w:t>本</w:t>
      </w:r>
      <w:r>
        <w:rPr>
          <w:rFonts w:hint="eastAsia"/>
          <w:szCs w:val="21"/>
          <w:lang w:eastAsia="zh-CN"/>
        </w:rPr>
        <w:t>规范</w:t>
      </w:r>
      <w:r>
        <w:rPr>
          <w:rFonts w:hint="eastAsia"/>
          <w:szCs w:val="21"/>
        </w:rPr>
        <w:t>的主要内容是：总则、术语、基本规定、节地与室外环境、节能与能源利用、节水与水资源利用、节材与材料资源利用、室内环境质量、施工管理、运营管理、提高与创新。</w:t>
      </w:r>
    </w:p>
    <w:p>
      <w:pPr>
        <w:spacing w:line="360" w:lineRule="auto"/>
        <w:ind w:firstLine="480" w:firstLineChars="200"/>
        <w:rPr>
          <w:sz w:val="24"/>
        </w:rPr>
        <w:sectPr>
          <w:pgSz w:w="11906" w:h="16838"/>
          <w:pgMar w:top="1440" w:right="1800" w:bottom="1440" w:left="1800" w:header="851" w:footer="992" w:gutter="0"/>
          <w:pgNumType w:fmt="upperRoman"/>
          <w:cols w:space="720" w:num="1"/>
          <w:docGrid w:type="lines" w:linePitch="312" w:charSpace="0"/>
        </w:sectPr>
      </w:pPr>
    </w:p>
    <w:p>
      <w:pPr>
        <w:pStyle w:val="2"/>
        <w:spacing w:before="240" w:after="240" w:line="360" w:lineRule="auto"/>
        <w:jc w:val="center"/>
        <w:rPr>
          <w:rFonts w:eastAsia="黑体"/>
          <w:sz w:val="28"/>
          <w:szCs w:val="24"/>
        </w:rPr>
      </w:pPr>
      <w:bookmarkStart w:id="15" w:name="_Toc237346223"/>
      <w:bookmarkStart w:id="16" w:name="_Toc388023666"/>
      <w:bookmarkStart w:id="17" w:name="_Toc449111648"/>
      <w:r>
        <w:rPr>
          <w:rFonts w:eastAsia="黑体"/>
          <w:sz w:val="28"/>
          <w:szCs w:val="24"/>
        </w:rPr>
        <w:t>1</w:t>
      </w:r>
      <w:bookmarkEnd w:id="15"/>
      <w:bookmarkEnd w:id="16"/>
      <w:r>
        <w:rPr>
          <w:rFonts w:eastAsia="黑体"/>
          <w:sz w:val="28"/>
          <w:szCs w:val="24"/>
        </w:rPr>
        <w:t>范围</w:t>
      </w:r>
      <w:bookmarkEnd w:id="17"/>
    </w:p>
    <w:p>
      <w:pPr>
        <w:pStyle w:val="80"/>
      </w:pPr>
      <w:r>
        <w:t>本</w:t>
      </w:r>
      <w:r>
        <w:rPr>
          <w:rFonts w:hint="eastAsia"/>
        </w:rPr>
        <w:t>规范规定了深圳市民用建筑的绿色建筑评价方法。</w:t>
      </w:r>
    </w:p>
    <w:p>
      <w:pPr>
        <w:pStyle w:val="80"/>
      </w:pPr>
      <w:r>
        <w:rPr>
          <w:rFonts w:hint="eastAsia"/>
        </w:rPr>
        <w:t>本规范适用于深圳市绿色民用建筑的评价</w:t>
      </w:r>
      <w:r>
        <w:t>。</w:t>
      </w:r>
    </w:p>
    <w:p>
      <w:pPr>
        <w:pStyle w:val="80"/>
        <w:ind w:firstLine="0" w:firstLineChars="0"/>
        <w:rPr>
          <w:rFonts w:ascii="仿宋" w:hAnsi="仿宋" w:eastAsia="仿宋"/>
          <w:color w:val="FF0000"/>
          <w:szCs w:val="24"/>
        </w:rPr>
      </w:pPr>
      <w:r>
        <w:rPr>
          <w:rFonts w:hint="eastAsia" w:ascii="仿宋" w:hAnsi="仿宋" w:eastAsia="仿宋"/>
          <w:color w:val="FF0000"/>
          <w:szCs w:val="24"/>
        </w:rPr>
        <w:t>【条文说明】根据国家标准《绿色建筑评价标准》GB/T50378-2014，将适用范围扩展至覆盖民用建筑的各主要类型。工业用地性质上的配套宿舍、配套办公楼、以及无生产工艺的研发用房（新型产业用房）等可参照民用建筑进行评价。具体项目建筑类别由项目申报单位根据使用功能、需求等确定，但每栋建筑只能适用一种建筑类别。</w:t>
      </w:r>
    </w:p>
    <w:p>
      <w:pPr>
        <w:pStyle w:val="2"/>
        <w:spacing w:before="240" w:after="240" w:line="360" w:lineRule="auto"/>
        <w:jc w:val="center"/>
        <w:rPr>
          <w:sz w:val="28"/>
          <w:szCs w:val="24"/>
        </w:rPr>
      </w:pPr>
      <w:r>
        <w:br w:type="page"/>
      </w:r>
      <w:bookmarkStart w:id="18" w:name="_Toc449111649"/>
      <w:r>
        <w:rPr>
          <w:sz w:val="28"/>
          <w:szCs w:val="24"/>
        </w:rPr>
        <w:t>2规范性引用文件</w:t>
      </w:r>
      <w:bookmarkEnd w:id="18"/>
    </w:p>
    <w:p>
      <w:pPr>
        <w:pStyle w:val="80"/>
      </w:pPr>
      <w:r>
        <w:t>下列文件中的条款通过本标准的引用而成为本标准的条款。凡是注日期的引用文件，其随后所有的修改单（不包括勘误的内容）或修订版均不适用于本标准。凡是不注日期的引用文件，其最新版本适用于本标准。</w:t>
      </w:r>
    </w:p>
    <w:p>
      <w:pPr>
        <w:pStyle w:val="80"/>
      </w:pPr>
      <w:r>
        <w:t>GB/T 50</w:t>
      </w:r>
      <w:r>
        <w:rPr>
          <w:rFonts w:hint="eastAsia"/>
        </w:rPr>
        <w:t>378-2014</w:t>
      </w:r>
      <w:r>
        <w:t xml:space="preserve"> </w:t>
      </w:r>
      <w:r>
        <w:rPr>
          <w:rFonts w:hint="eastAsia"/>
        </w:rPr>
        <w:t xml:space="preserve"> </w:t>
      </w:r>
      <w:r>
        <w:t>绿色建筑评价标准</w:t>
      </w:r>
    </w:p>
    <w:p>
      <w:pPr>
        <w:pStyle w:val="80"/>
      </w:pPr>
      <w:r>
        <w:rPr>
          <w:rFonts w:hint="eastAsia"/>
        </w:rPr>
        <w:t>GB 50189-2015  公共建筑节能设计标准</w:t>
      </w:r>
    </w:p>
    <w:p>
      <w:pPr>
        <w:pStyle w:val="80"/>
      </w:pPr>
      <w:r>
        <w:t xml:space="preserve">GB 50034 </w:t>
      </w:r>
      <w:r>
        <w:rPr>
          <w:rFonts w:hint="eastAsia"/>
        </w:rPr>
        <w:t xml:space="preserve"> </w:t>
      </w:r>
      <w:r>
        <w:t>建筑照明设计标准</w:t>
      </w:r>
    </w:p>
    <w:p>
      <w:pPr>
        <w:pStyle w:val="80"/>
      </w:pPr>
      <w:r>
        <w:t xml:space="preserve">GB 50033 </w:t>
      </w:r>
      <w:r>
        <w:rPr>
          <w:rFonts w:hint="eastAsia"/>
        </w:rPr>
        <w:t xml:space="preserve"> </w:t>
      </w:r>
      <w:r>
        <w:t>建筑采光设计标准</w:t>
      </w:r>
    </w:p>
    <w:p>
      <w:pPr>
        <w:pStyle w:val="80"/>
      </w:pPr>
      <w:r>
        <w:t xml:space="preserve">GB 50015 </w:t>
      </w:r>
      <w:r>
        <w:rPr>
          <w:rFonts w:hint="eastAsia"/>
        </w:rPr>
        <w:t xml:space="preserve"> </w:t>
      </w:r>
      <w:r>
        <w:t>建筑给水排水设计规范</w:t>
      </w:r>
    </w:p>
    <w:p>
      <w:pPr>
        <w:pStyle w:val="80"/>
      </w:pPr>
      <w:r>
        <w:t xml:space="preserve">GB 50336 </w:t>
      </w:r>
      <w:r>
        <w:rPr>
          <w:rFonts w:hint="eastAsia"/>
        </w:rPr>
        <w:t xml:space="preserve"> </w:t>
      </w:r>
      <w:r>
        <w:t>建筑中水设计规范</w:t>
      </w:r>
    </w:p>
    <w:p>
      <w:pPr>
        <w:pStyle w:val="80"/>
      </w:pPr>
      <w:r>
        <w:t xml:space="preserve">GB 50400 </w:t>
      </w:r>
      <w:r>
        <w:rPr>
          <w:rFonts w:hint="eastAsia"/>
        </w:rPr>
        <w:t xml:space="preserve"> </w:t>
      </w:r>
      <w:r>
        <w:t>建筑与小区雨水利用工程技术规范</w:t>
      </w:r>
    </w:p>
    <w:p>
      <w:pPr>
        <w:pStyle w:val="80"/>
      </w:pPr>
      <w:r>
        <w:t xml:space="preserve">GB 3096 </w:t>
      </w:r>
      <w:r>
        <w:rPr>
          <w:rFonts w:hint="eastAsia"/>
        </w:rPr>
        <w:t xml:space="preserve"> </w:t>
      </w:r>
      <w:r>
        <w:t>声环境质量标准</w:t>
      </w:r>
    </w:p>
    <w:p>
      <w:pPr>
        <w:pStyle w:val="80"/>
      </w:pPr>
      <w:r>
        <w:rPr>
          <w:rFonts w:hint="eastAsia"/>
        </w:rPr>
        <w:t>GB 50763  无障碍设计规范</w:t>
      </w:r>
    </w:p>
    <w:p>
      <w:pPr>
        <w:pStyle w:val="80"/>
      </w:pPr>
      <w:r>
        <w:rPr>
          <w:rFonts w:hint="eastAsia"/>
        </w:rPr>
        <w:t>GB 20052  三相配电变压器能效限定值及能效等级</w:t>
      </w:r>
    </w:p>
    <w:p>
      <w:pPr>
        <w:pStyle w:val="80"/>
      </w:pPr>
      <w:r>
        <w:rPr>
          <w:rFonts w:hint="eastAsia"/>
        </w:rPr>
        <w:t>GB 50011  建筑抗震设计规范</w:t>
      </w:r>
    </w:p>
    <w:p>
      <w:pPr>
        <w:pStyle w:val="80"/>
        <w:rPr>
          <w:rFonts w:hAnsi="宋体"/>
        </w:rPr>
      </w:pPr>
      <w:r>
        <w:t>GB 50736</w:t>
      </w:r>
      <w:r>
        <w:rPr>
          <w:rFonts w:hint="eastAsia" w:hAnsi="宋体"/>
        </w:rPr>
        <w:t xml:space="preserve">  </w:t>
      </w:r>
      <w:r>
        <w:rPr>
          <w:rFonts w:hAnsi="宋体"/>
        </w:rPr>
        <w:t>民用建筑供暖通风与空气调节设计规范</w:t>
      </w:r>
    </w:p>
    <w:p>
      <w:pPr>
        <w:pStyle w:val="80"/>
        <w:rPr>
          <w:rFonts w:hAnsi="宋体"/>
        </w:rPr>
      </w:pPr>
      <w:r>
        <w:t>GB 50118</w:t>
      </w:r>
      <w:r>
        <w:rPr>
          <w:rFonts w:hint="eastAsia"/>
        </w:rPr>
        <w:t xml:space="preserve">  </w:t>
      </w:r>
      <w:r>
        <w:rPr>
          <w:rFonts w:hAnsi="宋体"/>
        </w:rPr>
        <w:t>民用建筑隔声设计规范</w:t>
      </w:r>
    </w:p>
    <w:p>
      <w:pPr>
        <w:pStyle w:val="80"/>
      </w:pPr>
      <w:r>
        <w:t>GB</w:t>
      </w:r>
      <w:r>
        <w:rPr>
          <w:rFonts w:hint="eastAsia"/>
        </w:rPr>
        <w:t xml:space="preserve"> </w:t>
      </w:r>
      <w:r>
        <w:t>12523</w:t>
      </w:r>
      <w:r>
        <w:rPr>
          <w:rFonts w:hint="eastAsia"/>
        </w:rPr>
        <w:t xml:space="preserve">  </w:t>
      </w:r>
      <w:r>
        <w:t>建筑施工场界环境噪声排放标准</w:t>
      </w:r>
    </w:p>
    <w:p>
      <w:pPr>
        <w:pStyle w:val="80"/>
      </w:pPr>
      <w:r>
        <w:t>GB 50314</w:t>
      </w:r>
      <w:r>
        <w:rPr>
          <w:rFonts w:hint="eastAsia"/>
        </w:rPr>
        <w:t xml:space="preserve">  </w:t>
      </w:r>
      <w:r>
        <w:rPr>
          <w:rFonts w:hAnsi="宋体"/>
        </w:rPr>
        <w:t>智能建筑设计标准</w:t>
      </w:r>
    </w:p>
    <w:p>
      <w:pPr>
        <w:pStyle w:val="80"/>
      </w:pPr>
    </w:p>
    <w:p>
      <w:pPr>
        <w:pStyle w:val="80"/>
      </w:pPr>
      <w:r>
        <w:rPr>
          <w:rFonts w:hint="eastAsia"/>
        </w:rPr>
        <w:t>GB/T 18091 玻璃幕墙光学性能</w:t>
      </w:r>
    </w:p>
    <w:p>
      <w:pPr>
        <w:pStyle w:val="80"/>
      </w:pPr>
      <w:r>
        <w:rPr>
          <w:rFonts w:hint="eastAsia"/>
        </w:rPr>
        <w:t>GB/T50905-2014  建筑工程绿色施工规范</w:t>
      </w:r>
    </w:p>
    <w:p>
      <w:pPr>
        <w:pStyle w:val="80"/>
        <w:rPr>
          <w:rFonts w:hAnsi="宋体"/>
        </w:rPr>
      </w:pPr>
      <w:r>
        <w:t>GB/T 23331</w:t>
      </w:r>
      <w:r>
        <w:rPr>
          <w:rFonts w:hint="eastAsia" w:hAnsi="宋体"/>
        </w:rPr>
        <w:t xml:space="preserve">  </w:t>
      </w:r>
      <w:r>
        <w:rPr>
          <w:rFonts w:hAnsi="宋体"/>
        </w:rPr>
        <w:t>能源管理体系要求</w:t>
      </w:r>
    </w:p>
    <w:p>
      <w:pPr>
        <w:pStyle w:val="80"/>
        <w:rPr>
          <w:rFonts w:hAnsi="宋体"/>
        </w:rPr>
      </w:pPr>
      <w:r>
        <w:rPr>
          <w:rFonts w:hAnsi="宋体"/>
        </w:rPr>
        <w:t>GB/T51129</w:t>
      </w:r>
      <w:r>
        <w:rPr>
          <w:rFonts w:hint="eastAsia" w:hAnsi="宋体"/>
        </w:rPr>
        <w:t xml:space="preserve">  工业化建筑评价标准</w:t>
      </w:r>
    </w:p>
    <w:p>
      <w:pPr>
        <w:pStyle w:val="80"/>
      </w:pPr>
    </w:p>
    <w:p>
      <w:pPr>
        <w:pStyle w:val="80"/>
      </w:pPr>
      <w:r>
        <w:t xml:space="preserve">JGJ/T 229 </w:t>
      </w:r>
      <w:r>
        <w:rPr>
          <w:rFonts w:hint="eastAsia"/>
        </w:rPr>
        <w:t xml:space="preserve"> </w:t>
      </w:r>
      <w:r>
        <w:t>民用建筑绿色设计规范</w:t>
      </w:r>
    </w:p>
    <w:p>
      <w:pPr>
        <w:pStyle w:val="80"/>
      </w:pPr>
      <w:r>
        <w:rPr>
          <w:rFonts w:hint="eastAsia"/>
        </w:rPr>
        <w:t>JGJ/T 163  城市夜景照明设计规范</w:t>
      </w:r>
    </w:p>
    <w:p>
      <w:pPr>
        <w:pStyle w:val="80"/>
      </w:pPr>
      <w:r>
        <w:rPr>
          <w:rFonts w:hint="eastAsia"/>
        </w:rPr>
        <w:t>JGJ 75-2012  夏热冬暖地区居住建筑节能设计标准</w:t>
      </w:r>
    </w:p>
    <w:p>
      <w:pPr>
        <w:pStyle w:val="80"/>
      </w:pPr>
      <w:r>
        <w:rPr>
          <w:rFonts w:hint="eastAsia"/>
        </w:rPr>
        <w:t>JGJ286  城市居住区热环境设计标准</w:t>
      </w:r>
    </w:p>
    <w:p>
      <w:pPr>
        <w:pStyle w:val="80"/>
      </w:pPr>
      <w:r>
        <w:t>JGJ/T285</w:t>
      </w:r>
      <w:r>
        <w:rPr>
          <w:rFonts w:hint="eastAsia"/>
        </w:rPr>
        <w:t xml:space="preserve">  公共建筑能耗远程监测系统技术规程</w:t>
      </w:r>
    </w:p>
    <w:p>
      <w:pPr>
        <w:pStyle w:val="80"/>
      </w:pPr>
      <w:r>
        <w:t>JGJ/T</w:t>
      </w:r>
      <w:r>
        <w:rPr>
          <w:rFonts w:hint="eastAsia"/>
        </w:rPr>
        <w:t>XXX 绿色建筑运行维护技术规范（征求意见稿）</w:t>
      </w:r>
    </w:p>
    <w:p>
      <w:pPr>
        <w:pStyle w:val="80"/>
      </w:pPr>
      <w:r>
        <w:rPr>
          <w:rFonts w:hint="eastAsia"/>
        </w:rPr>
        <w:t>CJ/T 174  居住区智能化系统配置与技术要求</w:t>
      </w:r>
    </w:p>
    <w:p>
      <w:pPr>
        <w:pStyle w:val="80"/>
      </w:pPr>
    </w:p>
    <w:p>
      <w:pPr>
        <w:pStyle w:val="80"/>
      </w:pPr>
      <w:r>
        <w:rPr>
          <w:rFonts w:hint="eastAsia"/>
        </w:rPr>
        <w:t>SJG15  深圳市居住建筑节能设计标准实施细则</w:t>
      </w:r>
    </w:p>
    <w:p>
      <w:pPr>
        <w:pStyle w:val="80"/>
      </w:pPr>
      <w:r>
        <w:rPr>
          <w:rFonts w:hint="eastAsia"/>
        </w:rPr>
        <w:t>SZJG29  深圳市公共建筑节能设计标准实施细则</w:t>
      </w:r>
    </w:p>
    <w:p>
      <w:pPr>
        <w:pStyle w:val="80"/>
      </w:pPr>
      <w:r>
        <w:rPr>
          <w:rFonts w:hint="eastAsia"/>
        </w:rPr>
        <w:t>深圳市绿色物业管理导则（试行）</w:t>
      </w:r>
    </w:p>
    <w:p>
      <w:pPr>
        <w:pStyle w:val="80"/>
      </w:pPr>
      <w:r>
        <w:rPr>
          <w:rFonts w:hint="eastAsia"/>
        </w:rPr>
        <w:t>建筑物温室气体排放的量化和报告规范及指南（试行）</w:t>
      </w:r>
    </w:p>
    <w:p>
      <w:pPr>
        <w:pStyle w:val="80"/>
      </w:pPr>
      <w:r>
        <w:rPr>
          <w:rFonts w:hint="eastAsia"/>
        </w:rPr>
        <w:t>建筑物温室气体排放的核查规范及指南（试行）</w:t>
      </w:r>
    </w:p>
    <w:p>
      <w:pPr>
        <w:pStyle w:val="80"/>
      </w:pPr>
    </w:p>
    <w:p>
      <w:pPr>
        <w:pStyle w:val="80"/>
      </w:pPr>
      <w:r>
        <w:rPr>
          <w:rFonts w:hint="eastAsia"/>
        </w:rPr>
        <w:t>深圳市人民政府令[第253号] 深圳市绿色建筑促进办法</w:t>
      </w:r>
    </w:p>
    <w:p>
      <w:pPr>
        <w:pStyle w:val="80"/>
      </w:pPr>
      <w:r>
        <w:rPr>
          <w:rFonts w:hint="eastAsia"/>
        </w:rPr>
        <w:t>深圳市第四届人民代表大会常务委员会公告第104号  深圳市建筑废弃物减排与利用条例</w:t>
      </w:r>
    </w:p>
    <w:p>
      <w:pPr>
        <w:pStyle w:val="80"/>
      </w:pPr>
      <w:r>
        <w:rPr>
          <w:rFonts w:hint="eastAsia"/>
        </w:rPr>
        <w:t xml:space="preserve">深圳市第五届人民代表大会常务委员会公告第138号  </w:t>
      </w:r>
      <w:r>
        <w:rPr>
          <w:rFonts w:hint="eastAsia" w:hAnsi="宋体"/>
        </w:rPr>
        <w:t>深圳经济特区控制吸烟条例</w:t>
      </w:r>
    </w:p>
    <w:p>
      <w:pPr>
        <w:pStyle w:val="80"/>
      </w:pPr>
      <w:r>
        <w:rPr>
          <w:rFonts w:hint="eastAsia"/>
        </w:rPr>
        <w:t>深府函[2013]243号 深圳市城市规划标准与准则</w:t>
      </w:r>
    </w:p>
    <w:p>
      <w:pPr>
        <w:pStyle w:val="80"/>
      </w:pPr>
      <w:r>
        <w:rPr>
          <w:rFonts w:hint="eastAsia"/>
        </w:rPr>
        <w:t>建科[2015]108 号 绿色建筑评价技术细则</w:t>
      </w:r>
    </w:p>
    <w:p>
      <w:pPr>
        <w:pStyle w:val="80"/>
      </w:pPr>
      <w:r>
        <w:rPr>
          <w:rFonts w:hint="eastAsia"/>
        </w:rPr>
        <w:t>深府[2008]99号  深圳市环境噪声标准适用区划分</w:t>
      </w:r>
    </w:p>
    <w:p>
      <w:pPr>
        <w:pStyle w:val="80"/>
      </w:pPr>
    </w:p>
    <w:p>
      <w:pPr>
        <w:pStyle w:val="2"/>
        <w:spacing w:before="240" w:after="240" w:line="360" w:lineRule="auto"/>
        <w:jc w:val="center"/>
        <w:rPr>
          <w:rFonts w:eastAsia="黑体"/>
          <w:sz w:val="28"/>
          <w:szCs w:val="24"/>
        </w:rPr>
      </w:pPr>
      <w:r>
        <w:br w:type="page"/>
      </w:r>
      <w:bookmarkStart w:id="19" w:name="_Toc449111650"/>
      <w:r>
        <w:rPr>
          <w:rFonts w:eastAsia="黑体"/>
          <w:sz w:val="28"/>
          <w:szCs w:val="24"/>
        </w:rPr>
        <w:t>3总则</w:t>
      </w:r>
      <w:bookmarkEnd w:id="19"/>
    </w:p>
    <w:p>
      <w:pPr>
        <w:pStyle w:val="86"/>
        <w:spacing w:line="360" w:lineRule="auto"/>
        <w:ind w:firstLine="0" w:firstLineChars="0"/>
        <w:rPr>
          <w:szCs w:val="21"/>
        </w:rPr>
      </w:pPr>
      <w:r>
        <w:rPr>
          <w:rFonts w:hint="eastAsia"/>
          <w:b/>
          <w:szCs w:val="21"/>
        </w:rPr>
        <w:t>3</w:t>
      </w:r>
      <w:r>
        <w:rPr>
          <w:b/>
          <w:szCs w:val="21"/>
        </w:rPr>
        <w:t>.0.1</w:t>
      </w:r>
      <w:r>
        <w:rPr>
          <w:rFonts w:hAnsi="宋体"/>
          <w:bCs/>
          <w:szCs w:val="21"/>
        </w:rPr>
        <w:t>　</w:t>
      </w:r>
      <w:r>
        <w:rPr>
          <w:rFonts w:hAnsi="宋体"/>
          <w:szCs w:val="21"/>
        </w:rPr>
        <w:t>为贯彻国家</w:t>
      </w:r>
      <w:r>
        <w:rPr>
          <w:rFonts w:hint="eastAsia" w:hAnsi="宋体"/>
          <w:szCs w:val="21"/>
        </w:rPr>
        <w:t>、广东省</w:t>
      </w:r>
      <w:r>
        <w:rPr>
          <w:rFonts w:hAnsi="宋体"/>
          <w:szCs w:val="21"/>
        </w:rPr>
        <w:t>和</w:t>
      </w:r>
      <w:r>
        <w:rPr>
          <w:rFonts w:hint="eastAsia" w:hAnsi="宋体"/>
          <w:szCs w:val="21"/>
        </w:rPr>
        <w:t>深圳</w:t>
      </w:r>
      <w:r>
        <w:rPr>
          <w:rFonts w:hAnsi="宋体"/>
          <w:szCs w:val="21"/>
        </w:rPr>
        <w:t>市技术经济政策，节约资源，保护环境，规范</w:t>
      </w:r>
      <w:r>
        <w:rPr>
          <w:rFonts w:hint="eastAsia" w:hAnsi="宋体"/>
          <w:szCs w:val="21"/>
        </w:rPr>
        <w:t>深圳</w:t>
      </w:r>
      <w:r>
        <w:rPr>
          <w:rFonts w:hAnsi="宋体"/>
          <w:szCs w:val="21"/>
        </w:rPr>
        <w:t>市绿色建筑的评价，推进可持续发展，制定本</w:t>
      </w:r>
      <w:r>
        <w:rPr>
          <w:rFonts w:hint="eastAsia" w:hAnsi="宋体"/>
          <w:szCs w:val="21"/>
        </w:rPr>
        <w:t>规范</w:t>
      </w:r>
      <w:r>
        <w:rPr>
          <w:rFonts w:hAnsi="宋体"/>
          <w:szCs w:val="21"/>
        </w:rPr>
        <w:t>。</w:t>
      </w:r>
    </w:p>
    <w:p>
      <w:pPr>
        <w:pStyle w:val="86"/>
        <w:spacing w:line="360" w:lineRule="auto"/>
        <w:ind w:firstLine="0" w:firstLineChars="0"/>
        <w:rPr>
          <w:szCs w:val="21"/>
        </w:rPr>
      </w:pPr>
      <w:r>
        <w:rPr>
          <w:rFonts w:hint="eastAsia"/>
          <w:b/>
          <w:szCs w:val="21"/>
        </w:rPr>
        <w:t>3</w:t>
      </w:r>
      <w:r>
        <w:rPr>
          <w:b/>
          <w:szCs w:val="21"/>
        </w:rPr>
        <w:t>.0.2</w:t>
      </w:r>
      <w:r>
        <w:rPr>
          <w:szCs w:val="21"/>
        </w:rPr>
        <w:t>　本</w:t>
      </w:r>
      <w:r>
        <w:rPr>
          <w:rFonts w:hint="eastAsia"/>
          <w:szCs w:val="21"/>
        </w:rPr>
        <w:t>规范</w:t>
      </w:r>
      <w:r>
        <w:rPr>
          <w:szCs w:val="21"/>
        </w:rPr>
        <w:t>适用于</w:t>
      </w:r>
      <w:r>
        <w:rPr>
          <w:rFonts w:hint="eastAsia"/>
          <w:szCs w:val="21"/>
        </w:rPr>
        <w:t>深圳</w:t>
      </w:r>
      <w:r>
        <w:rPr>
          <w:szCs w:val="21"/>
        </w:rPr>
        <w:t>市绿色民用建筑的评价。</w:t>
      </w:r>
    </w:p>
    <w:p>
      <w:pPr>
        <w:pStyle w:val="86"/>
        <w:spacing w:line="360" w:lineRule="auto"/>
        <w:ind w:firstLine="0" w:firstLineChars="0"/>
        <w:rPr>
          <w:szCs w:val="21"/>
        </w:rPr>
      </w:pPr>
      <w:r>
        <w:rPr>
          <w:rFonts w:hint="eastAsia"/>
          <w:b/>
          <w:szCs w:val="21"/>
        </w:rPr>
        <w:t>3</w:t>
      </w:r>
      <w:r>
        <w:rPr>
          <w:b/>
          <w:szCs w:val="21"/>
        </w:rPr>
        <w:t>.0.3</w:t>
      </w:r>
      <w:r>
        <w:rPr>
          <w:szCs w:val="21"/>
        </w:rPr>
        <w:t>　绿色建筑评价应遵循因地制宜的原则，结合</w:t>
      </w:r>
      <w:r>
        <w:rPr>
          <w:rFonts w:hint="eastAsia"/>
          <w:szCs w:val="21"/>
        </w:rPr>
        <w:t>深圳</w:t>
      </w:r>
      <w:r>
        <w:rPr>
          <w:szCs w:val="21"/>
        </w:rPr>
        <w:t>地区的气候、资源、自然环境、经济、文化等特点，对建筑全寿命期内</w:t>
      </w:r>
      <w:r>
        <w:rPr>
          <w:rFonts w:hint="eastAsia"/>
          <w:szCs w:val="21"/>
        </w:rPr>
        <w:t>的</w:t>
      </w:r>
      <w:r>
        <w:rPr>
          <w:szCs w:val="21"/>
        </w:rPr>
        <w:t>节能、节地、节水、节材、保护环境等性能进行综合评价。</w:t>
      </w:r>
    </w:p>
    <w:p>
      <w:pPr>
        <w:pStyle w:val="86"/>
        <w:spacing w:line="360" w:lineRule="auto"/>
        <w:ind w:firstLine="0" w:firstLineChars="0"/>
        <w:rPr>
          <w:szCs w:val="21"/>
        </w:rPr>
      </w:pPr>
      <w:r>
        <w:rPr>
          <w:rFonts w:hint="eastAsia"/>
          <w:b/>
          <w:szCs w:val="21"/>
        </w:rPr>
        <w:t>3</w:t>
      </w:r>
      <w:r>
        <w:rPr>
          <w:b/>
          <w:szCs w:val="21"/>
        </w:rPr>
        <w:t>.0.4</w:t>
      </w:r>
      <w:r>
        <w:rPr>
          <w:szCs w:val="21"/>
        </w:rPr>
        <w:t>　绿色建筑的评价除应符合本</w:t>
      </w:r>
      <w:r>
        <w:rPr>
          <w:rFonts w:hint="eastAsia"/>
          <w:szCs w:val="21"/>
        </w:rPr>
        <w:t>规范</w:t>
      </w:r>
      <w:r>
        <w:rPr>
          <w:szCs w:val="21"/>
        </w:rPr>
        <w:t>的规定外，尚应符合国家</w:t>
      </w:r>
      <w:r>
        <w:rPr>
          <w:rFonts w:hint="eastAsia"/>
          <w:szCs w:val="21"/>
        </w:rPr>
        <w:t>、广东省</w:t>
      </w:r>
      <w:r>
        <w:rPr>
          <w:szCs w:val="21"/>
        </w:rPr>
        <w:t>及</w:t>
      </w:r>
      <w:r>
        <w:rPr>
          <w:rFonts w:hint="eastAsia"/>
          <w:szCs w:val="21"/>
        </w:rPr>
        <w:t>深圳</w:t>
      </w:r>
      <w:r>
        <w:rPr>
          <w:szCs w:val="21"/>
        </w:rPr>
        <w:t>市现行有关标准的规定。</w:t>
      </w:r>
    </w:p>
    <w:p>
      <w:pPr>
        <w:pStyle w:val="80"/>
        <w:ind w:firstLine="0" w:firstLineChars="0"/>
        <w:rPr>
          <w:rFonts w:ascii="仿宋" w:hAnsi="仿宋" w:eastAsia="仿宋"/>
          <w:color w:val="FF0000"/>
          <w:szCs w:val="24"/>
        </w:rPr>
      </w:pPr>
      <w:bookmarkStart w:id="20" w:name="OLE_LINK2"/>
      <w:r>
        <w:rPr>
          <w:rFonts w:hint="eastAsia" w:ascii="仿宋" w:hAnsi="仿宋" w:eastAsia="仿宋"/>
          <w:color w:val="FF0000"/>
          <w:szCs w:val="24"/>
        </w:rPr>
        <w:t>【条文说明】与国家新绿色建筑评价规范一致。</w:t>
      </w:r>
      <w:bookmarkEnd w:id="20"/>
    </w:p>
    <w:p>
      <w:pPr>
        <w:pStyle w:val="80"/>
        <w:ind w:firstLine="0" w:firstLineChars="0"/>
        <w:rPr>
          <w:color w:val="FF0000"/>
          <w:sz w:val="22"/>
        </w:rPr>
      </w:pPr>
    </w:p>
    <w:p>
      <w:pPr>
        <w:pStyle w:val="80"/>
        <w:ind w:firstLine="0" w:firstLineChars="0"/>
        <w:rPr>
          <w:color w:val="000000"/>
          <w:sz w:val="22"/>
        </w:rPr>
      </w:pPr>
      <w:r>
        <w:rPr>
          <w:rFonts w:hint="eastAsia"/>
          <w:b/>
          <w:color w:val="000000"/>
        </w:rPr>
        <w:t>3.0.5</w:t>
      </w:r>
      <w:r>
        <w:rPr>
          <w:rFonts w:hint="eastAsia"/>
          <w:color w:val="000000"/>
          <w:sz w:val="22"/>
        </w:rPr>
        <w:t xml:space="preserve"> </w:t>
      </w:r>
      <w:r>
        <w:rPr>
          <w:rFonts w:hint="eastAsia"/>
        </w:rPr>
        <w:t>本规范实行动态修订，以保障其与绿色建筑发展的适用性，管理部门可根据绿色建筑政策、目标、技术等的调整和变化，可对规范的局部章节、条款进行修订。在下列情形下，由管理部门组织整体修订，批准后施行：</w:t>
      </w:r>
    </w:p>
    <w:p>
      <w:pPr>
        <w:pStyle w:val="80"/>
        <w:ind w:firstLine="0" w:firstLineChars="0"/>
      </w:pPr>
      <w:r>
        <w:rPr>
          <w:rFonts w:hint="eastAsia"/>
        </w:rPr>
        <w:tab/>
      </w:r>
      <w:r>
        <w:rPr>
          <w:rFonts w:hint="eastAsia"/>
        </w:rPr>
        <w:t>1 国家、省和市相关法律、法规已经修订；</w:t>
      </w:r>
    </w:p>
    <w:p>
      <w:pPr>
        <w:pStyle w:val="80"/>
        <w:ind w:firstLine="0" w:firstLineChars="0"/>
      </w:pPr>
      <w:r>
        <w:rPr>
          <w:rFonts w:hint="eastAsia"/>
        </w:rPr>
        <w:tab/>
      </w:r>
      <w:r>
        <w:rPr>
          <w:rFonts w:hint="eastAsia"/>
        </w:rPr>
        <w:t>2 国家和省的相关强制性规范已经修订；</w:t>
      </w:r>
    </w:p>
    <w:p>
      <w:pPr>
        <w:pStyle w:val="80"/>
        <w:ind w:firstLine="0" w:firstLineChars="0"/>
      </w:pPr>
      <w:r>
        <w:rPr>
          <w:rFonts w:hint="eastAsia"/>
        </w:rPr>
        <w:tab/>
      </w:r>
      <w:r>
        <w:rPr>
          <w:rFonts w:hint="eastAsia"/>
        </w:rPr>
        <w:t>3 深圳市绿色建筑发展的形势和目标发生重大变化。</w:t>
      </w:r>
    </w:p>
    <w:p>
      <w:pPr>
        <w:pStyle w:val="80"/>
        <w:ind w:firstLine="0" w:firstLineChars="0"/>
        <w:rPr>
          <w:rFonts w:ascii="仿宋" w:hAnsi="仿宋" w:eastAsia="仿宋"/>
          <w:color w:val="FF0000"/>
          <w:szCs w:val="24"/>
        </w:rPr>
      </w:pPr>
      <w:r>
        <w:rPr>
          <w:rFonts w:hint="eastAsia" w:ascii="仿宋" w:hAnsi="仿宋" w:eastAsia="仿宋"/>
          <w:color w:val="FF0000"/>
          <w:szCs w:val="24"/>
        </w:rPr>
        <w:t>【条文说明】绿色建筑发展过程中，需要对个别条文或者条款进行动态修订，以保障绿色建筑评价标准与绿色建筑发展的适应性。《深圳市绿色建筑设计方案审查要点（试行）》和《深圳市城市规划标准与准则》（2014）也明确了动态修订机制，以保持适用性和适当超前性。</w:t>
      </w:r>
    </w:p>
    <w:p>
      <w:pPr>
        <w:pStyle w:val="80"/>
        <w:ind w:firstLine="0" w:firstLineChars="0"/>
        <w:rPr>
          <w:color w:val="FF0000"/>
          <w:sz w:val="22"/>
        </w:rPr>
      </w:pPr>
    </w:p>
    <w:p>
      <w:pPr>
        <w:pStyle w:val="2"/>
        <w:spacing w:before="240" w:after="240" w:line="360" w:lineRule="auto"/>
        <w:jc w:val="center"/>
        <w:rPr>
          <w:rFonts w:eastAsia="黑体"/>
          <w:sz w:val="28"/>
          <w:szCs w:val="24"/>
        </w:rPr>
      </w:pPr>
      <w:r>
        <w:br w:type="page"/>
      </w:r>
      <w:bookmarkStart w:id="21" w:name="_Toc449111651"/>
      <w:r>
        <w:rPr>
          <w:rFonts w:eastAsia="黑体"/>
          <w:sz w:val="28"/>
          <w:szCs w:val="24"/>
        </w:rPr>
        <w:t>4术语</w:t>
      </w:r>
      <w:bookmarkEnd w:id="21"/>
    </w:p>
    <w:p>
      <w:pPr>
        <w:spacing w:line="300" w:lineRule="auto"/>
      </w:pPr>
    </w:p>
    <w:p>
      <w:pPr>
        <w:pStyle w:val="87"/>
        <w:spacing w:line="360" w:lineRule="auto"/>
        <w:ind w:firstLine="0" w:firstLineChars="0"/>
        <w:outlineLvl w:val="9"/>
        <w:rPr>
          <w:szCs w:val="21"/>
        </w:rPr>
      </w:pPr>
      <w:r>
        <w:rPr>
          <w:rFonts w:hint="eastAsia"/>
          <w:b/>
          <w:bCs/>
          <w:szCs w:val="21"/>
        </w:rPr>
        <w:t>4</w:t>
      </w:r>
      <w:r>
        <w:rPr>
          <w:b/>
          <w:bCs/>
          <w:szCs w:val="21"/>
        </w:rPr>
        <w:t>.0.1</w:t>
      </w:r>
      <w:r>
        <w:rPr>
          <w:rFonts w:hAnsi="宋体"/>
          <w:b/>
          <w:bCs/>
          <w:szCs w:val="21"/>
        </w:rPr>
        <w:t>　</w:t>
      </w:r>
      <w:r>
        <w:rPr>
          <w:rFonts w:hAnsi="宋体"/>
          <w:szCs w:val="21"/>
        </w:rPr>
        <w:t>绿色建筑</w:t>
      </w:r>
      <w:r>
        <w:rPr>
          <w:szCs w:val="21"/>
        </w:rPr>
        <w:t xml:space="preserve">  green building</w:t>
      </w:r>
      <w:r>
        <w:rPr>
          <w:szCs w:val="21"/>
        </w:rPr>
        <w:br w:type="textWrapping"/>
      </w:r>
      <w:r>
        <w:rPr>
          <w:rFonts w:hAnsi="宋体"/>
          <w:b/>
          <w:bCs/>
          <w:szCs w:val="21"/>
        </w:rPr>
        <w:t>　　</w:t>
      </w:r>
      <w:r>
        <w:rPr>
          <w:rFonts w:hAnsi="宋体"/>
          <w:szCs w:val="21"/>
        </w:rPr>
        <w:t>在全寿命期内，最大限度地节约资源（节能、节地、节水、节材）、保护环境、减少污染，为人们提供健康、适用和高效的使用空间，</w:t>
      </w:r>
      <w:bookmarkStart w:id="22" w:name="OLE_LINK5"/>
      <w:bookmarkStart w:id="23" w:name="OLE_LINK6"/>
      <w:r>
        <w:rPr>
          <w:rFonts w:hAnsi="宋体"/>
          <w:szCs w:val="21"/>
        </w:rPr>
        <w:t>与自然和谐共生的建筑</w:t>
      </w:r>
      <w:bookmarkEnd w:id="22"/>
      <w:bookmarkEnd w:id="23"/>
      <w:r>
        <w:rPr>
          <w:rFonts w:hAnsi="宋体"/>
          <w:szCs w:val="21"/>
        </w:rPr>
        <w:t>。</w:t>
      </w:r>
    </w:p>
    <w:p>
      <w:pPr>
        <w:pStyle w:val="87"/>
        <w:spacing w:line="360" w:lineRule="auto"/>
        <w:ind w:firstLine="0" w:firstLineChars="0"/>
        <w:outlineLvl w:val="9"/>
        <w:rPr>
          <w:b/>
          <w:szCs w:val="21"/>
        </w:rPr>
      </w:pPr>
      <w:r>
        <w:rPr>
          <w:rFonts w:hint="eastAsia"/>
          <w:b/>
          <w:bCs/>
          <w:szCs w:val="21"/>
        </w:rPr>
        <w:t>4</w:t>
      </w:r>
      <w:r>
        <w:rPr>
          <w:b/>
          <w:bCs/>
          <w:szCs w:val="21"/>
        </w:rPr>
        <w:t>.0.2</w:t>
      </w:r>
      <w:r>
        <w:rPr>
          <w:rFonts w:hAnsi="宋体"/>
          <w:b/>
          <w:bCs/>
          <w:szCs w:val="21"/>
        </w:rPr>
        <w:t>　</w:t>
      </w:r>
      <w:r>
        <w:rPr>
          <w:rFonts w:hAnsi="宋体"/>
          <w:szCs w:val="21"/>
        </w:rPr>
        <w:t>热岛强度</w:t>
      </w:r>
      <w:r>
        <w:rPr>
          <w:szCs w:val="21"/>
        </w:rPr>
        <w:t xml:space="preserve">  heat island intensity</w:t>
      </w:r>
      <w:r>
        <w:rPr>
          <w:szCs w:val="21"/>
        </w:rPr>
        <w:br w:type="textWrapping"/>
      </w:r>
      <w:r>
        <w:rPr>
          <w:rFonts w:hAnsi="宋体"/>
          <w:bCs/>
          <w:szCs w:val="21"/>
        </w:rPr>
        <w:t>　　</w:t>
      </w:r>
      <w:r>
        <w:rPr>
          <w:rFonts w:hAnsi="宋体"/>
          <w:szCs w:val="21"/>
        </w:rPr>
        <w:t>城市内一个区域的气温与郊区气温的差别，用二者代表性测点气温的差值表示，是城市热岛效应的表征参数。</w:t>
      </w:r>
    </w:p>
    <w:p>
      <w:pPr>
        <w:pStyle w:val="87"/>
        <w:spacing w:line="360" w:lineRule="auto"/>
        <w:ind w:firstLine="0" w:firstLineChars="0"/>
        <w:outlineLvl w:val="9"/>
        <w:rPr>
          <w:szCs w:val="21"/>
        </w:rPr>
      </w:pPr>
      <w:r>
        <w:rPr>
          <w:rFonts w:hint="eastAsia"/>
          <w:b/>
          <w:bCs/>
          <w:szCs w:val="21"/>
        </w:rPr>
        <w:t>4</w:t>
      </w:r>
      <w:r>
        <w:rPr>
          <w:b/>
          <w:bCs/>
          <w:szCs w:val="21"/>
        </w:rPr>
        <w:t>.0.3</w:t>
      </w:r>
      <w:r>
        <w:rPr>
          <w:rFonts w:hAnsi="宋体"/>
          <w:b/>
          <w:szCs w:val="21"/>
        </w:rPr>
        <w:t>　</w:t>
      </w:r>
      <w:r>
        <w:rPr>
          <w:rFonts w:hAnsi="宋体"/>
          <w:kern w:val="0"/>
          <w:szCs w:val="21"/>
        </w:rPr>
        <w:t>年径流总量控制率</w:t>
      </w:r>
      <w:r>
        <w:rPr>
          <w:szCs w:val="21"/>
        </w:rPr>
        <w:t xml:space="preserve">annual runoff volume capture ratio </w:t>
      </w:r>
    </w:p>
    <w:p>
      <w:pPr>
        <w:pStyle w:val="88"/>
        <w:spacing w:before="0" w:beforeAutospacing="0" w:after="0" w:afterAutospacing="0" w:line="360" w:lineRule="auto"/>
        <w:rPr>
          <w:rFonts w:ascii="Times New Roman" w:hAnsi="Times New Roman" w:cs="Times New Roman"/>
          <w:szCs w:val="21"/>
        </w:rPr>
      </w:pPr>
      <w:r>
        <w:rPr>
          <w:rFonts w:ascii="Times New Roman" w:cs="Times New Roman"/>
          <w:szCs w:val="21"/>
        </w:rPr>
        <w:t>　　通过自然和人工强化的入渗、滞蓄、调蓄和收集回用，场地内累计一年得到控制的雨水量占全年总降雨量的比例。</w:t>
      </w:r>
    </w:p>
    <w:p>
      <w:pPr>
        <w:pStyle w:val="87"/>
        <w:spacing w:line="360" w:lineRule="auto"/>
        <w:ind w:firstLine="0" w:firstLineChars="0"/>
        <w:outlineLvl w:val="9"/>
        <w:rPr>
          <w:szCs w:val="21"/>
        </w:rPr>
      </w:pPr>
      <w:r>
        <w:rPr>
          <w:rFonts w:hint="eastAsia"/>
          <w:b/>
          <w:bCs/>
          <w:szCs w:val="21"/>
        </w:rPr>
        <w:t>4</w:t>
      </w:r>
      <w:r>
        <w:rPr>
          <w:b/>
          <w:bCs/>
          <w:szCs w:val="21"/>
        </w:rPr>
        <w:t>.0.4</w:t>
      </w:r>
      <w:r>
        <w:rPr>
          <w:rFonts w:hAnsi="宋体"/>
          <w:b/>
          <w:bCs/>
          <w:szCs w:val="21"/>
        </w:rPr>
        <w:t>　</w:t>
      </w:r>
      <w:r>
        <w:rPr>
          <w:rFonts w:hAnsi="宋体"/>
          <w:szCs w:val="21"/>
        </w:rPr>
        <w:t>可再生能源</w:t>
      </w:r>
      <w:r>
        <w:rPr>
          <w:szCs w:val="21"/>
        </w:rPr>
        <w:t xml:space="preserve">  renewable energy</w:t>
      </w:r>
      <w:r>
        <w:rPr>
          <w:szCs w:val="21"/>
        </w:rPr>
        <w:br w:type="textWrapping"/>
      </w:r>
      <w:r>
        <w:rPr>
          <w:rFonts w:hAnsi="宋体"/>
          <w:b/>
          <w:bCs/>
          <w:szCs w:val="21"/>
        </w:rPr>
        <w:t>　　</w:t>
      </w:r>
      <w:r>
        <w:rPr>
          <w:rFonts w:hAnsi="宋体"/>
          <w:szCs w:val="21"/>
        </w:rPr>
        <w:t>风能、太阳能、水能、生物质能、地热能和海洋能等非化石能源的统称。</w:t>
      </w:r>
      <w:r>
        <w:rPr>
          <w:rFonts w:hint="eastAsia" w:hAnsi="宋体"/>
          <w:szCs w:val="21"/>
        </w:rPr>
        <w:t>采用高效的空气源热泵为稳定热水需求建筑物提供生活热水也可称为可再生能源。</w:t>
      </w:r>
    </w:p>
    <w:p>
      <w:pPr>
        <w:pStyle w:val="87"/>
        <w:spacing w:line="360" w:lineRule="auto"/>
        <w:ind w:firstLine="0" w:firstLineChars="0"/>
        <w:outlineLvl w:val="9"/>
        <w:rPr>
          <w:szCs w:val="21"/>
        </w:rPr>
      </w:pPr>
      <w:r>
        <w:rPr>
          <w:rFonts w:hint="eastAsia"/>
          <w:b/>
          <w:bCs/>
          <w:szCs w:val="21"/>
        </w:rPr>
        <w:t>4</w:t>
      </w:r>
      <w:r>
        <w:rPr>
          <w:b/>
          <w:bCs/>
          <w:szCs w:val="21"/>
        </w:rPr>
        <w:t>.0.5</w:t>
      </w:r>
      <w:r>
        <w:rPr>
          <w:rFonts w:hAnsi="宋体"/>
          <w:b/>
          <w:bCs/>
          <w:szCs w:val="21"/>
        </w:rPr>
        <w:t>　</w:t>
      </w:r>
      <w:r>
        <w:rPr>
          <w:rFonts w:hAnsi="宋体"/>
          <w:szCs w:val="21"/>
        </w:rPr>
        <w:t>再生水</w:t>
      </w:r>
      <w:r>
        <w:rPr>
          <w:szCs w:val="21"/>
        </w:rPr>
        <w:t xml:space="preserve">  reclaimed water</w:t>
      </w:r>
      <w:r>
        <w:rPr>
          <w:szCs w:val="21"/>
        </w:rPr>
        <w:br w:type="textWrapping"/>
      </w:r>
      <w:r>
        <w:rPr>
          <w:rFonts w:hAnsi="宋体"/>
          <w:b/>
          <w:bCs/>
          <w:szCs w:val="21"/>
        </w:rPr>
        <w:t>　　</w:t>
      </w:r>
      <w:r>
        <w:rPr>
          <w:rFonts w:hAnsi="宋体"/>
          <w:szCs w:val="21"/>
        </w:rPr>
        <w:t>污水经处理后，达到规定水质标准、满足一定使用要求的非饮用水。</w:t>
      </w:r>
    </w:p>
    <w:p>
      <w:pPr>
        <w:pStyle w:val="87"/>
        <w:spacing w:line="360" w:lineRule="auto"/>
        <w:ind w:firstLine="0" w:firstLineChars="0"/>
        <w:outlineLvl w:val="9"/>
        <w:rPr>
          <w:szCs w:val="21"/>
        </w:rPr>
      </w:pPr>
      <w:r>
        <w:rPr>
          <w:rFonts w:hint="eastAsia"/>
          <w:b/>
          <w:bCs/>
          <w:szCs w:val="21"/>
        </w:rPr>
        <w:t>4</w:t>
      </w:r>
      <w:r>
        <w:rPr>
          <w:b/>
          <w:bCs/>
          <w:szCs w:val="21"/>
        </w:rPr>
        <w:t>.0.6</w:t>
      </w:r>
      <w:r>
        <w:rPr>
          <w:rFonts w:hAnsi="宋体"/>
          <w:b/>
          <w:bCs/>
          <w:szCs w:val="21"/>
        </w:rPr>
        <w:t>　</w:t>
      </w:r>
      <w:r>
        <w:rPr>
          <w:rFonts w:hAnsi="宋体"/>
          <w:szCs w:val="21"/>
        </w:rPr>
        <w:t>非传统水源</w:t>
      </w:r>
      <w:r>
        <w:rPr>
          <w:szCs w:val="21"/>
        </w:rPr>
        <w:t xml:space="preserve">  non-traditional water source</w:t>
      </w:r>
      <w:r>
        <w:rPr>
          <w:szCs w:val="21"/>
        </w:rPr>
        <w:br w:type="textWrapping"/>
      </w:r>
      <w:r>
        <w:rPr>
          <w:rFonts w:hAnsi="宋体"/>
          <w:b/>
          <w:bCs/>
          <w:szCs w:val="21"/>
        </w:rPr>
        <w:t>　　</w:t>
      </w:r>
      <w:r>
        <w:rPr>
          <w:rFonts w:hAnsi="宋体"/>
          <w:szCs w:val="21"/>
        </w:rPr>
        <w:t>不同于传统地表水供水和地下水供水的水源，包括再生水、雨水、海水等。</w:t>
      </w:r>
    </w:p>
    <w:p>
      <w:pPr>
        <w:pStyle w:val="87"/>
        <w:spacing w:line="360" w:lineRule="auto"/>
        <w:ind w:firstLine="0" w:firstLineChars="0"/>
        <w:outlineLvl w:val="9"/>
        <w:rPr>
          <w:szCs w:val="21"/>
        </w:rPr>
      </w:pPr>
      <w:r>
        <w:rPr>
          <w:rFonts w:hint="eastAsia"/>
          <w:b/>
          <w:bCs/>
          <w:szCs w:val="21"/>
        </w:rPr>
        <w:t>4</w:t>
      </w:r>
      <w:r>
        <w:rPr>
          <w:b/>
          <w:bCs/>
          <w:szCs w:val="21"/>
        </w:rPr>
        <w:t>.0.7</w:t>
      </w:r>
      <w:r>
        <w:rPr>
          <w:rFonts w:hAnsi="宋体"/>
          <w:b/>
          <w:bCs/>
          <w:szCs w:val="21"/>
        </w:rPr>
        <w:t>　</w:t>
      </w:r>
      <w:r>
        <w:rPr>
          <w:rFonts w:hAnsi="宋体"/>
          <w:szCs w:val="21"/>
        </w:rPr>
        <w:t>可再利用材料</w:t>
      </w:r>
      <w:r>
        <w:rPr>
          <w:szCs w:val="21"/>
        </w:rPr>
        <w:t xml:space="preserve"> reusable material</w:t>
      </w:r>
      <w:r>
        <w:rPr>
          <w:szCs w:val="21"/>
        </w:rPr>
        <w:br w:type="textWrapping"/>
      </w:r>
      <w:r>
        <w:rPr>
          <w:rFonts w:hAnsi="宋体"/>
          <w:b/>
          <w:bCs/>
          <w:szCs w:val="21"/>
        </w:rPr>
        <w:t>　　</w:t>
      </w:r>
      <w:r>
        <w:rPr>
          <w:rFonts w:hAnsi="宋体"/>
          <w:szCs w:val="21"/>
        </w:rPr>
        <w:t>不改变物质形态可直接再利用的，或经过组合、修复后可直接再利用的回收材料。</w:t>
      </w:r>
    </w:p>
    <w:p>
      <w:pPr>
        <w:pStyle w:val="87"/>
        <w:spacing w:line="360" w:lineRule="auto"/>
        <w:ind w:firstLine="0" w:firstLineChars="0"/>
        <w:outlineLvl w:val="9"/>
        <w:rPr>
          <w:rFonts w:hAnsi="宋体"/>
          <w:szCs w:val="21"/>
        </w:rPr>
      </w:pPr>
      <w:r>
        <w:rPr>
          <w:rFonts w:hint="eastAsia"/>
          <w:b/>
          <w:bCs/>
          <w:szCs w:val="21"/>
        </w:rPr>
        <w:t>4</w:t>
      </w:r>
      <w:r>
        <w:rPr>
          <w:b/>
          <w:bCs/>
          <w:szCs w:val="21"/>
        </w:rPr>
        <w:t>.0.8</w:t>
      </w:r>
      <w:r>
        <w:rPr>
          <w:rFonts w:hAnsi="宋体"/>
          <w:szCs w:val="21"/>
        </w:rPr>
        <w:t>　可再循环材料</w:t>
      </w:r>
      <w:r>
        <w:rPr>
          <w:szCs w:val="21"/>
        </w:rPr>
        <w:t xml:space="preserve">  recyclable material</w:t>
      </w:r>
      <w:r>
        <w:rPr>
          <w:szCs w:val="21"/>
        </w:rPr>
        <w:br w:type="textWrapping"/>
      </w:r>
      <w:r>
        <w:rPr>
          <w:rFonts w:hAnsi="宋体"/>
          <w:szCs w:val="21"/>
        </w:rPr>
        <w:t>　　通过改变物质形态可实现循环利用的回收材料。</w:t>
      </w:r>
    </w:p>
    <w:p>
      <w:pPr>
        <w:pStyle w:val="87"/>
        <w:spacing w:line="360" w:lineRule="auto"/>
        <w:ind w:firstLine="0" w:firstLineChars="0"/>
        <w:outlineLvl w:val="9"/>
        <w:rPr>
          <w:rFonts w:hAnsi="宋体"/>
          <w:szCs w:val="21"/>
        </w:rPr>
      </w:pPr>
      <w:r>
        <w:rPr>
          <w:rFonts w:hint="eastAsia"/>
          <w:b/>
          <w:bCs/>
          <w:color w:val="FF0000"/>
          <w:szCs w:val="21"/>
        </w:rPr>
        <w:t>4</w:t>
      </w:r>
      <w:r>
        <w:rPr>
          <w:b/>
          <w:bCs/>
          <w:color w:val="FF0000"/>
          <w:szCs w:val="21"/>
        </w:rPr>
        <w:t>.0.</w:t>
      </w:r>
      <w:r>
        <w:rPr>
          <w:rFonts w:hint="eastAsia"/>
          <w:b/>
          <w:bCs/>
          <w:color w:val="FF0000"/>
          <w:szCs w:val="21"/>
        </w:rPr>
        <w:t>9</w:t>
      </w:r>
      <w:r>
        <w:rPr>
          <w:rFonts w:hAnsi="宋体"/>
          <w:color w:val="FF0000"/>
          <w:szCs w:val="21"/>
        </w:rPr>
        <w:t>　</w:t>
      </w:r>
      <w:r>
        <w:rPr>
          <w:rFonts w:hint="eastAsia" w:hAnsi="宋体"/>
          <w:color w:val="FF0000"/>
          <w:szCs w:val="21"/>
        </w:rPr>
        <w:t>工业化建筑</w:t>
      </w:r>
      <w:r>
        <w:rPr>
          <w:color w:val="FF0000"/>
          <w:szCs w:val="21"/>
        </w:rPr>
        <w:t xml:space="preserve">  industrialized building</w:t>
      </w:r>
      <w:r>
        <w:rPr>
          <w:szCs w:val="21"/>
        </w:rPr>
        <w:br w:type="textWrapping"/>
      </w:r>
      <w:r>
        <w:rPr>
          <w:rFonts w:hAnsi="宋体"/>
          <w:szCs w:val="21"/>
        </w:rPr>
        <w:t>　　</w:t>
      </w:r>
      <w:r>
        <w:rPr>
          <w:rFonts w:hint="eastAsia" w:hAnsi="宋体"/>
          <w:szCs w:val="21"/>
        </w:rPr>
        <w:t>采用以标准化设计、工厂化生产、装配化施工、一体化装修和信息化管理等为主要特征的工业化生产方式建造的建筑</w:t>
      </w:r>
      <w:r>
        <w:rPr>
          <w:rFonts w:hAnsi="宋体"/>
          <w:szCs w:val="21"/>
        </w:rPr>
        <w:t>。</w:t>
      </w:r>
    </w:p>
    <w:p>
      <w:pPr>
        <w:pStyle w:val="80"/>
        <w:ind w:firstLine="0" w:firstLineChars="0"/>
        <w:rPr>
          <w:rFonts w:ascii="仿宋" w:hAnsi="仿宋" w:eastAsia="仿宋"/>
          <w:color w:val="FF0000"/>
          <w:szCs w:val="24"/>
        </w:rPr>
      </w:pPr>
      <w:r>
        <w:rPr>
          <w:rFonts w:hint="eastAsia" w:ascii="仿宋" w:hAnsi="仿宋" w:eastAsia="仿宋"/>
          <w:color w:val="FF0000"/>
          <w:szCs w:val="24"/>
        </w:rPr>
        <w:t>【条文说明】工业化建筑可有效提高建筑生产效率和质量，减少用工和降低建筑全寿命周期成本，减少建筑垃圾的产生和排放，实现建设领域节能减排。2014年深圳市发布了《关于加快推进深圳住宅产业化的指导意见（试行）》（深建字[2014]193号）明确将大力推广适合本市住宅的产业化建造方式。2015年国家也发布了《工业化建筑评价标准》</w:t>
      </w:r>
      <w:r>
        <w:rPr>
          <w:rFonts w:ascii="仿宋" w:hAnsi="仿宋" w:eastAsia="仿宋"/>
          <w:color w:val="FF0000"/>
          <w:szCs w:val="24"/>
        </w:rPr>
        <w:t>GB/T51129-2015</w:t>
      </w:r>
      <w:r>
        <w:rPr>
          <w:rFonts w:hint="eastAsia" w:ascii="仿宋" w:hAnsi="仿宋" w:eastAsia="仿宋"/>
          <w:color w:val="FF0000"/>
          <w:szCs w:val="24"/>
        </w:rPr>
        <w:t>，工业化建筑在我国将迎来重大发展。</w:t>
      </w:r>
    </w:p>
    <w:p>
      <w:pPr>
        <w:pStyle w:val="87"/>
        <w:spacing w:line="360" w:lineRule="auto"/>
        <w:ind w:firstLine="0" w:firstLineChars="0"/>
        <w:outlineLvl w:val="9"/>
        <w:rPr>
          <w:rFonts w:hAnsi="宋体"/>
          <w:szCs w:val="21"/>
        </w:rPr>
      </w:pPr>
    </w:p>
    <w:p>
      <w:pPr>
        <w:pStyle w:val="89"/>
        <w:spacing w:line="300" w:lineRule="auto"/>
        <w:rPr>
          <w:b/>
          <w:bCs/>
          <w:kern w:val="2"/>
        </w:rPr>
      </w:pPr>
      <w:r>
        <w:rPr>
          <w:rFonts w:hint="eastAsia"/>
          <w:b/>
          <w:bCs/>
          <w:color w:val="FF0000"/>
          <w:kern w:val="2"/>
          <w:sz w:val="24"/>
        </w:rPr>
        <w:t>4</w:t>
      </w:r>
      <w:r>
        <w:rPr>
          <w:b/>
          <w:bCs/>
          <w:color w:val="FF0000"/>
          <w:kern w:val="2"/>
          <w:sz w:val="24"/>
        </w:rPr>
        <w:t>.0.</w:t>
      </w:r>
      <w:r>
        <w:rPr>
          <w:rFonts w:hint="eastAsia"/>
          <w:b/>
          <w:bCs/>
          <w:color w:val="FF0000"/>
          <w:kern w:val="2"/>
          <w:sz w:val="24"/>
        </w:rPr>
        <w:t>10</w:t>
      </w:r>
      <w:r>
        <w:rPr>
          <w:b/>
          <w:bCs/>
          <w:color w:val="FF0000"/>
          <w:kern w:val="2"/>
          <w:sz w:val="24"/>
        </w:rPr>
        <w:t>　</w:t>
      </w:r>
      <w:bookmarkStart w:id="24" w:name="OLE_LINK4"/>
      <w:r>
        <w:rPr>
          <w:rFonts w:hAnsi="宋体"/>
          <w:color w:val="FF0000"/>
          <w:kern w:val="2"/>
          <w:sz w:val="24"/>
        </w:rPr>
        <w:t>综合效能</w:t>
      </w:r>
      <w:bookmarkEnd w:id="24"/>
      <w:r>
        <w:rPr>
          <w:rFonts w:hAnsi="宋体"/>
          <w:color w:val="FF0000"/>
          <w:kern w:val="2"/>
          <w:sz w:val="24"/>
        </w:rPr>
        <w:t>调适commissioning</w:t>
      </w:r>
    </w:p>
    <w:p>
      <w:pPr>
        <w:pStyle w:val="87"/>
        <w:ind w:firstLine="480" w:firstLineChars="0"/>
        <w:outlineLvl w:val="9"/>
        <w:rPr>
          <w:rFonts w:hAnsi="宋体"/>
          <w:szCs w:val="21"/>
        </w:rPr>
      </w:pPr>
      <w:r>
        <w:rPr>
          <w:rFonts w:hAnsi="宋体"/>
          <w:szCs w:val="21"/>
        </w:rPr>
        <w:t>通过对建筑各机电系统的调试验证、性能测试验证、综合效果验收和季节性工况验证，确保系统不同负荷工况下正常运行和达到用户实际使用功能的要求。</w:t>
      </w:r>
    </w:p>
    <w:p>
      <w:pPr>
        <w:pStyle w:val="80"/>
        <w:ind w:firstLine="0" w:firstLineChars="0"/>
        <w:rPr>
          <w:rFonts w:ascii="仿宋" w:hAnsi="仿宋" w:eastAsia="仿宋"/>
          <w:color w:val="FF0000"/>
          <w:szCs w:val="24"/>
        </w:rPr>
      </w:pPr>
      <w:r>
        <w:rPr>
          <w:rFonts w:hint="eastAsia" w:ascii="仿宋" w:hAnsi="仿宋" w:eastAsia="仿宋"/>
          <w:color w:val="FF0000"/>
          <w:szCs w:val="24"/>
        </w:rPr>
        <w:t>【条文说明】 “综合效能调适”与“调试”之间的区别为：第一，阶段不同：“调试”是在竣工阶段进行；“综合效能调适”是在竣工阶段后交付交工前进行。第二，侧重点不同：“调试”是保证工程施工质量为主的调试过程；“综合效能调适”是确保系统实现不同负荷运行和用户实际使用功能的要求。第三，内容不同：“调试”主要是系统施工过程的检测，调整和平衡；“综合效能调适”是系统的调试性能验证，联合系统工况调试验收，还应包括交付交工过程中的物业移交培训以及季节性验证过程调适。</w:t>
      </w:r>
    </w:p>
    <w:p>
      <w:pPr>
        <w:pStyle w:val="87"/>
        <w:ind w:firstLine="0" w:firstLineChars="0"/>
        <w:outlineLvl w:val="9"/>
        <w:rPr>
          <w:rFonts w:hAnsi="宋体"/>
          <w:szCs w:val="21"/>
        </w:rPr>
      </w:pPr>
    </w:p>
    <w:p>
      <w:pPr>
        <w:pStyle w:val="87"/>
        <w:ind w:firstLine="0" w:firstLineChars="0"/>
        <w:outlineLvl w:val="9"/>
        <w:rPr>
          <w:rFonts w:hAnsi="宋体"/>
          <w:szCs w:val="21"/>
        </w:rPr>
      </w:pPr>
    </w:p>
    <w:p>
      <w:pPr>
        <w:pStyle w:val="89"/>
        <w:spacing w:line="300" w:lineRule="auto"/>
        <w:rPr>
          <w:b/>
          <w:bCs/>
          <w:color w:val="FF0000"/>
          <w:kern w:val="2"/>
        </w:rPr>
      </w:pPr>
      <w:r>
        <w:rPr>
          <w:rFonts w:hint="eastAsia"/>
          <w:b/>
          <w:bCs/>
          <w:color w:val="FF0000"/>
          <w:kern w:val="2"/>
          <w:sz w:val="24"/>
        </w:rPr>
        <w:t>4</w:t>
      </w:r>
      <w:r>
        <w:rPr>
          <w:b/>
          <w:bCs/>
          <w:color w:val="FF0000"/>
          <w:kern w:val="2"/>
          <w:sz w:val="24"/>
        </w:rPr>
        <w:t>.0.</w:t>
      </w:r>
      <w:r>
        <w:rPr>
          <w:rFonts w:hint="eastAsia"/>
          <w:b/>
          <w:bCs/>
          <w:color w:val="FF0000"/>
          <w:kern w:val="2"/>
          <w:sz w:val="24"/>
        </w:rPr>
        <w:t>11</w:t>
      </w:r>
      <w:r>
        <w:rPr>
          <w:b/>
          <w:bCs/>
          <w:color w:val="FF0000"/>
          <w:kern w:val="2"/>
          <w:sz w:val="24"/>
        </w:rPr>
        <w:t>　</w:t>
      </w:r>
      <w:r>
        <w:rPr>
          <w:rFonts w:hint="eastAsia" w:hAnsi="宋体"/>
          <w:color w:val="FF0000"/>
          <w:kern w:val="2"/>
          <w:sz w:val="24"/>
        </w:rPr>
        <w:t>建筑能耗远程监测系统remote monitoring system of building energy consumption</w:t>
      </w:r>
    </w:p>
    <w:p>
      <w:pPr>
        <w:pStyle w:val="87"/>
        <w:ind w:firstLine="480" w:firstLineChars="0"/>
        <w:outlineLvl w:val="9"/>
        <w:rPr>
          <w:rFonts w:hAnsi="宋体"/>
          <w:szCs w:val="21"/>
        </w:rPr>
      </w:pPr>
      <w:r>
        <w:rPr>
          <w:rFonts w:hint="eastAsia" w:hAnsi="宋体"/>
          <w:szCs w:val="21"/>
        </w:rPr>
        <w:t>指通过对公共建筑安装分类和分项能耗计量装置，采用远程传输等手段及时采集能耗数据，实现公共建筑能耗在线监测和动态分析功能的硬件和软件系统的统称</w:t>
      </w:r>
      <w:r>
        <w:rPr>
          <w:rFonts w:hAnsi="宋体"/>
          <w:szCs w:val="21"/>
        </w:rPr>
        <w:t>。</w:t>
      </w:r>
    </w:p>
    <w:p>
      <w:pPr>
        <w:pStyle w:val="80"/>
        <w:ind w:firstLine="0" w:firstLineChars="0"/>
        <w:rPr>
          <w:rFonts w:ascii="仿宋" w:hAnsi="仿宋" w:eastAsia="仿宋"/>
          <w:color w:val="FF0000"/>
          <w:szCs w:val="24"/>
        </w:rPr>
      </w:pPr>
      <w:r>
        <w:rPr>
          <w:rFonts w:hint="eastAsia" w:ascii="仿宋" w:hAnsi="仿宋" w:eastAsia="仿宋"/>
          <w:color w:val="FF0000"/>
          <w:szCs w:val="24"/>
        </w:rPr>
        <w:t>【条文说明】新建国家机关办公建筑和大型公共建筑建立建筑能耗远程监测系统，可以为节能监管、节能运行和节能改造奠定基础，也是绿色建筑节能效果的最终体现。</w:t>
      </w:r>
    </w:p>
    <w:p>
      <w:pPr>
        <w:shd w:val="clear" w:color="auto" w:fill="FFFFFF"/>
        <w:spacing w:line="360" w:lineRule="auto"/>
        <w:rPr>
          <w:sz w:val="24"/>
        </w:rPr>
      </w:pPr>
    </w:p>
    <w:p>
      <w:pPr>
        <w:pStyle w:val="2"/>
        <w:spacing w:before="240" w:after="240" w:line="360" w:lineRule="auto"/>
        <w:jc w:val="center"/>
        <w:rPr>
          <w:rFonts w:eastAsia="黑体"/>
          <w:sz w:val="28"/>
          <w:szCs w:val="24"/>
        </w:rPr>
      </w:pPr>
      <w:r>
        <w:br w:type="page"/>
      </w:r>
      <w:bookmarkStart w:id="25" w:name="_Toc449111652"/>
      <w:r>
        <w:rPr>
          <w:rFonts w:eastAsia="黑体"/>
          <w:sz w:val="28"/>
          <w:szCs w:val="24"/>
        </w:rPr>
        <w:t xml:space="preserve">5 </w:t>
      </w:r>
      <w:r>
        <w:rPr>
          <w:rFonts w:hint="eastAsia" w:eastAsia="黑体"/>
          <w:sz w:val="28"/>
          <w:szCs w:val="24"/>
        </w:rPr>
        <w:t>基本规定</w:t>
      </w:r>
      <w:bookmarkEnd w:id="25"/>
    </w:p>
    <w:p>
      <w:pPr>
        <w:pStyle w:val="3"/>
        <w:numPr>
          <w:ilvl w:val="0"/>
          <w:numId w:val="0"/>
        </w:numPr>
        <w:spacing w:before="120" w:after="120" w:line="240" w:lineRule="auto"/>
        <w:ind w:left="482" w:hanging="481" w:hangingChars="200"/>
        <w:jc w:val="center"/>
        <w:rPr>
          <w:rFonts w:ascii="Times New Roman" w:hAnsi="Times New Roman"/>
        </w:rPr>
      </w:pPr>
      <w:bookmarkStart w:id="26" w:name="_Toc449111653"/>
      <w:r>
        <w:rPr>
          <w:rFonts w:ascii="Times New Roman" w:hAnsi="Times New Roman"/>
        </w:rPr>
        <w:t>5.1 一般规定</w:t>
      </w:r>
      <w:bookmarkEnd w:id="26"/>
    </w:p>
    <w:p>
      <w:pPr>
        <w:pStyle w:val="87"/>
        <w:spacing w:line="360" w:lineRule="auto"/>
        <w:ind w:firstLine="0" w:firstLineChars="0"/>
        <w:outlineLvl w:val="9"/>
        <w:rPr>
          <w:rFonts w:hAnsi="宋体"/>
          <w:szCs w:val="21"/>
        </w:rPr>
      </w:pPr>
      <w:r>
        <w:rPr>
          <w:rFonts w:hint="eastAsia"/>
          <w:b/>
          <w:bCs/>
          <w:szCs w:val="21"/>
        </w:rPr>
        <w:t>5</w:t>
      </w:r>
      <w:r>
        <w:rPr>
          <w:b/>
          <w:bCs/>
          <w:szCs w:val="21"/>
        </w:rPr>
        <w:t>.1.1</w:t>
      </w:r>
      <w:r>
        <w:rPr>
          <w:rFonts w:hAnsi="宋体"/>
          <w:b/>
          <w:bCs/>
          <w:szCs w:val="21"/>
        </w:rPr>
        <w:t>　</w:t>
      </w:r>
      <w:r>
        <w:rPr>
          <w:rFonts w:hAnsi="宋体"/>
          <w:szCs w:val="21"/>
        </w:rPr>
        <w:t>绿色建筑的评价应以单栋建筑或建筑群为评价对象。评价单栋建筑时，凡涉及系统性、整体性的指标，应基于该栋建筑所属工程项目的总体进行评价。</w:t>
      </w:r>
    </w:p>
    <w:p>
      <w:pPr>
        <w:pStyle w:val="80"/>
        <w:ind w:firstLine="0" w:firstLineChars="0"/>
        <w:rPr>
          <w:rFonts w:ascii="仿宋" w:hAnsi="仿宋" w:eastAsia="仿宋"/>
          <w:color w:val="FF0000"/>
          <w:szCs w:val="24"/>
        </w:rPr>
      </w:pPr>
      <w:r>
        <w:rPr>
          <w:rFonts w:hint="eastAsia" w:ascii="仿宋" w:hAnsi="仿宋" w:eastAsia="仿宋"/>
          <w:color w:val="FF0000"/>
          <w:szCs w:val="24"/>
        </w:rPr>
        <w:t>【条文说明】建筑单体和建筑群均可以参评绿色建筑。绿色建筑的评价，首先应基于评价对象的性能要求。当需要对某工程项目中的单栋建筑进行评价时，由于有些评价指标是针对该工程项目设定的（如住区的绿化覆盖率），或该工程项目中其他建筑也采用了相同的技术方案，难以基于该栋建筑进行评价，应以该栋建筑所属工程项目的总体为基准进行评价。</w:t>
      </w:r>
    </w:p>
    <w:p>
      <w:pPr>
        <w:pStyle w:val="87"/>
        <w:spacing w:line="360" w:lineRule="auto"/>
        <w:ind w:firstLine="0" w:firstLineChars="0"/>
        <w:outlineLvl w:val="9"/>
        <w:rPr>
          <w:szCs w:val="21"/>
        </w:rPr>
      </w:pPr>
    </w:p>
    <w:p>
      <w:pPr>
        <w:pStyle w:val="87"/>
        <w:spacing w:line="360" w:lineRule="auto"/>
        <w:ind w:firstLine="0" w:firstLineChars="0"/>
        <w:outlineLvl w:val="9"/>
        <w:rPr>
          <w:rFonts w:hAnsi="宋体"/>
          <w:szCs w:val="21"/>
        </w:rPr>
      </w:pPr>
      <w:r>
        <w:rPr>
          <w:rFonts w:hint="eastAsia"/>
          <w:b/>
          <w:bCs/>
          <w:szCs w:val="21"/>
        </w:rPr>
        <w:t>5</w:t>
      </w:r>
      <w:r>
        <w:rPr>
          <w:b/>
          <w:bCs/>
          <w:szCs w:val="21"/>
        </w:rPr>
        <w:t>.1.2</w:t>
      </w:r>
      <w:r>
        <w:rPr>
          <w:rFonts w:hAnsi="宋体"/>
          <w:b/>
          <w:bCs/>
          <w:szCs w:val="21"/>
        </w:rPr>
        <w:t>　</w:t>
      </w:r>
      <w:r>
        <w:rPr>
          <w:rFonts w:hAnsi="宋体"/>
          <w:szCs w:val="21"/>
        </w:rPr>
        <w:t>绿色建筑的评价分为</w:t>
      </w:r>
      <w:r>
        <w:rPr>
          <w:rFonts w:hint="eastAsia" w:hAnsi="宋体"/>
          <w:szCs w:val="21"/>
        </w:rPr>
        <w:t>设计评价和</w:t>
      </w:r>
      <w:r>
        <w:rPr>
          <w:rFonts w:hAnsi="宋体"/>
          <w:szCs w:val="21"/>
        </w:rPr>
        <w:t>运行评价</w:t>
      </w:r>
      <w:r>
        <w:rPr>
          <w:rFonts w:hint="eastAsia" w:hAnsi="宋体"/>
          <w:szCs w:val="21"/>
        </w:rPr>
        <w:t>，设计评价应在建筑工程施工图设计文件审查通过后进行，</w:t>
      </w:r>
      <w:r>
        <w:rPr>
          <w:rFonts w:hAnsi="宋体"/>
          <w:szCs w:val="21"/>
        </w:rPr>
        <w:t>运行评价应在建筑通过竣工验收并投入使用一年后。</w:t>
      </w:r>
    </w:p>
    <w:p>
      <w:pPr>
        <w:pStyle w:val="87"/>
        <w:spacing w:line="360" w:lineRule="auto"/>
        <w:ind w:firstLine="0" w:firstLineChars="0"/>
        <w:outlineLvl w:val="9"/>
        <w:rPr>
          <w:rFonts w:ascii="仿宋" w:hAnsi="仿宋" w:eastAsia="仿宋"/>
          <w:color w:val="FF0000"/>
        </w:rPr>
      </w:pPr>
      <w:bookmarkStart w:id="27" w:name="OLE_LINK3"/>
      <w:bookmarkStart w:id="28" w:name="OLE_LINK8"/>
      <w:r>
        <w:rPr>
          <w:rFonts w:hint="eastAsia" w:ascii="仿宋" w:hAnsi="仿宋" w:eastAsia="仿宋"/>
          <w:color w:val="FF0000"/>
        </w:rPr>
        <w:t>【条文说明】与国家新绿色建筑评价规范一致。</w:t>
      </w:r>
      <w:bookmarkEnd w:id="27"/>
      <w:bookmarkEnd w:id="28"/>
    </w:p>
    <w:p>
      <w:pPr>
        <w:pStyle w:val="87"/>
        <w:spacing w:line="360" w:lineRule="auto"/>
        <w:ind w:firstLine="0" w:firstLineChars="0"/>
        <w:outlineLvl w:val="9"/>
        <w:rPr>
          <w:szCs w:val="21"/>
        </w:rPr>
      </w:pPr>
    </w:p>
    <w:p>
      <w:pPr>
        <w:pStyle w:val="87"/>
        <w:spacing w:line="360" w:lineRule="auto"/>
        <w:ind w:firstLine="0" w:firstLineChars="0"/>
        <w:outlineLvl w:val="9"/>
        <w:rPr>
          <w:bCs/>
          <w:szCs w:val="21"/>
        </w:rPr>
      </w:pPr>
      <w:r>
        <w:rPr>
          <w:rFonts w:hint="eastAsia"/>
          <w:b/>
          <w:bCs/>
          <w:szCs w:val="21"/>
        </w:rPr>
        <w:t>5</w:t>
      </w:r>
      <w:r>
        <w:rPr>
          <w:b/>
          <w:bCs/>
          <w:szCs w:val="21"/>
        </w:rPr>
        <w:t>.1.3</w:t>
      </w:r>
      <w:r>
        <w:rPr>
          <w:bCs/>
          <w:szCs w:val="21"/>
        </w:rPr>
        <w:t>　申请评价方应进行建筑全寿命期技术和经济分析，合理确定建筑规模，选用适当的建筑技术、设备和材料，对规划、设计、施工、运行阶段进行全过程控制，并提交相应分析、测试报告和相关文件。</w:t>
      </w:r>
    </w:p>
    <w:p>
      <w:pPr>
        <w:pStyle w:val="80"/>
        <w:ind w:firstLine="0" w:firstLineChars="0"/>
        <w:rPr>
          <w:rFonts w:ascii="仿宋" w:hAnsi="仿宋" w:eastAsia="仿宋"/>
          <w:color w:val="FF0000"/>
          <w:szCs w:val="24"/>
        </w:rPr>
      </w:pPr>
      <w:r>
        <w:rPr>
          <w:rFonts w:hint="eastAsia" w:ascii="仿宋" w:hAnsi="仿宋" w:eastAsia="仿宋"/>
          <w:color w:val="FF0000"/>
          <w:szCs w:val="24"/>
        </w:rPr>
        <w:t>【条文说明】申请评价方依据有关管理制度文件确定。本条对申请评价方的相关工作提出要求。绿色建筑注重全寿命期内能源资源节约与环境保护的性能，申请评价方应对建筑全寿命期内各个阶段进行控制，综合考虑性能、安全、耐久、经济、美观等因素，优化建筑技术、设备和材料选用，综合评估建筑规模、建筑技术与投资之间的总体平衡，并按本规范要求提交相应的分析、测试报告。</w:t>
      </w:r>
    </w:p>
    <w:p>
      <w:pPr>
        <w:pStyle w:val="87"/>
        <w:spacing w:line="360" w:lineRule="auto"/>
        <w:ind w:firstLine="0" w:firstLineChars="0"/>
        <w:outlineLvl w:val="9"/>
        <w:rPr>
          <w:bCs/>
          <w:szCs w:val="21"/>
        </w:rPr>
      </w:pPr>
    </w:p>
    <w:p>
      <w:pPr>
        <w:pStyle w:val="87"/>
        <w:spacing w:line="360" w:lineRule="auto"/>
        <w:ind w:firstLine="0" w:firstLineChars="0"/>
        <w:outlineLvl w:val="9"/>
        <w:rPr>
          <w:szCs w:val="21"/>
        </w:rPr>
      </w:pPr>
      <w:r>
        <w:rPr>
          <w:rFonts w:hint="eastAsia"/>
          <w:b/>
          <w:bCs/>
          <w:szCs w:val="21"/>
        </w:rPr>
        <w:t>5</w:t>
      </w:r>
      <w:r>
        <w:rPr>
          <w:b/>
          <w:bCs/>
          <w:szCs w:val="21"/>
        </w:rPr>
        <w:t>.1.4</w:t>
      </w:r>
      <w:r>
        <w:rPr>
          <w:rFonts w:hAnsi="宋体"/>
          <w:bCs/>
          <w:szCs w:val="21"/>
        </w:rPr>
        <w:t>　</w:t>
      </w:r>
      <w:r>
        <w:rPr>
          <w:rFonts w:hAnsi="宋体"/>
          <w:szCs w:val="21"/>
        </w:rPr>
        <w:t>评价机构应按本标准的有关要求，对申请评价方提交的报告、文件进行审查，出具评价报告，确定等级。对申请运行评价的建筑，尚应进行现场考察。</w:t>
      </w:r>
    </w:p>
    <w:p>
      <w:pPr>
        <w:pStyle w:val="80"/>
        <w:ind w:firstLine="0" w:firstLineChars="0"/>
        <w:rPr>
          <w:rFonts w:ascii="仿宋" w:hAnsi="仿宋" w:eastAsia="仿宋"/>
          <w:color w:val="FF0000"/>
          <w:szCs w:val="24"/>
        </w:rPr>
      </w:pPr>
      <w:r>
        <w:rPr>
          <w:rFonts w:hint="eastAsia" w:ascii="仿宋" w:hAnsi="仿宋" w:eastAsia="仿宋"/>
          <w:color w:val="FF0000"/>
          <w:szCs w:val="24"/>
        </w:rPr>
        <w:t>【条文说明】绿色建筑评价机构依据有关管理制度文件确定。本条对绿色建筑评价机构的相关工作提出要求。绿色建筑评价机构应按照本规范的有关要求审查申请评价方提交的申请材料，并在评价报告中确定等级。对申请运行评价的建筑，评价机构还应组织现场考察，进一步建筑的实际性能、运行效果和使用者满意度。</w:t>
      </w:r>
    </w:p>
    <w:p>
      <w:pPr>
        <w:spacing w:line="360" w:lineRule="auto"/>
        <w:rPr>
          <w:sz w:val="24"/>
        </w:rPr>
      </w:pPr>
    </w:p>
    <w:p>
      <w:pPr>
        <w:pStyle w:val="3"/>
        <w:numPr>
          <w:ilvl w:val="0"/>
          <w:numId w:val="0"/>
        </w:numPr>
        <w:spacing w:before="120" w:after="120" w:line="240" w:lineRule="auto"/>
        <w:ind w:left="482" w:hanging="481" w:hangingChars="200"/>
        <w:jc w:val="center"/>
        <w:rPr>
          <w:rFonts w:ascii="Times New Roman" w:hAnsi="Times New Roman"/>
        </w:rPr>
      </w:pPr>
      <w:bookmarkStart w:id="29" w:name="_Toc449111654"/>
      <w:r>
        <w:rPr>
          <w:rFonts w:ascii="Times New Roman" w:hAnsi="Times New Roman"/>
        </w:rPr>
        <w:t xml:space="preserve">5.2 </w:t>
      </w:r>
      <w:r>
        <w:rPr>
          <w:rFonts w:hint="eastAsia" w:ascii="Times New Roman" w:hAnsi="Times New Roman"/>
        </w:rPr>
        <w:t>评价与等级划分</w:t>
      </w:r>
      <w:bookmarkEnd w:id="29"/>
    </w:p>
    <w:p>
      <w:pPr>
        <w:spacing w:line="360" w:lineRule="auto"/>
        <w:rPr>
          <w:sz w:val="24"/>
        </w:rPr>
      </w:pPr>
    </w:p>
    <w:p>
      <w:pPr>
        <w:pStyle w:val="87"/>
        <w:spacing w:line="360" w:lineRule="auto"/>
        <w:ind w:firstLine="0" w:firstLineChars="0"/>
        <w:outlineLvl w:val="9"/>
        <w:rPr>
          <w:b/>
        </w:rPr>
      </w:pPr>
      <w:r>
        <w:rPr>
          <w:rFonts w:hint="eastAsia"/>
          <w:b/>
          <w:bCs/>
        </w:rPr>
        <w:t>5</w:t>
      </w:r>
      <w:r>
        <w:rPr>
          <w:b/>
          <w:bCs/>
        </w:rPr>
        <w:t>.2.1</w:t>
      </w:r>
      <w:r>
        <w:rPr>
          <w:rFonts w:hAnsi="宋体"/>
          <w:b/>
          <w:bCs/>
        </w:rPr>
        <w:t>　</w:t>
      </w:r>
      <w:r>
        <w:rPr>
          <w:rFonts w:hAnsi="宋体"/>
        </w:rPr>
        <w:t>绿色建筑评价指标体系由节地与室外环境、节能与能源利用、节水与水资源利用、节材与材料资源利用、室内环境质量、施工管理、运营管理</w:t>
      </w:r>
      <w:r>
        <w:t>7</w:t>
      </w:r>
      <w:r>
        <w:rPr>
          <w:rFonts w:hAnsi="宋体"/>
        </w:rPr>
        <w:t>类指标组成。</w:t>
      </w:r>
      <w:bookmarkStart w:id="30" w:name="OLE_LINK1"/>
      <w:r>
        <w:rPr>
          <w:rFonts w:hAnsi="宋体"/>
        </w:rPr>
        <w:t>每类指标</w:t>
      </w:r>
      <w:bookmarkEnd w:id="30"/>
      <w:r>
        <w:rPr>
          <w:rFonts w:hAnsi="宋体"/>
        </w:rPr>
        <w:t>均包括控制项和</w:t>
      </w:r>
      <w:bookmarkStart w:id="31" w:name="OLE_LINK7"/>
      <w:r>
        <w:rPr>
          <w:rFonts w:hAnsi="宋体"/>
        </w:rPr>
        <w:t>评</w:t>
      </w:r>
      <w:bookmarkEnd w:id="31"/>
      <w:r>
        <w:rPr>
          <w:rFonts w:hAnsi="宋体"/>
        </w:rPr>
        <w:t>分项。为鼓励绿色建筑技术、管理的提升和创新，评价指标体系还统一设置加分项。</w:t>
      </w:r>
    </w:p>
    <w:p>
      <w:pPr>
        <w:pStyle w:val="80"/>
        <w:ind w:firstLine="0" w:firstLineChars="0"/>
        <w:rPr>
          <w:rFonts w:ascii="仿宋" w:hAnsi="仿宋" w:eastAsia="仿宋"/>
          <w:color w:val="FF0000"/>
          <w:szCs w:val="24"/>
        </w:rPr>
      </w:pPr>
      <w:r>
        <w:rPr>
          <w:rFonts w:hint="eastAsia" w:ascii="仿宋" w:hAnsi="仿宋" w:eastAsia="仿宋"/>
          <w:color w:val="FF0000"/>
          <w:szCs w:val="24"/>
        </w:rPr>
        <w:t>【条文说明】本次修订增加了“施工管理”类评价指标，实现规范对建筑全寿命期内各环节和阶段的覆盖。本次修订将本规范的“得分项”改为“评分项”，将“创新项”改为“加分项”，以便与现行国家标准《绿色建筑评价标准》GB/T50378保持一致。</w:t>
      </w:r>
    </w:p>
    <w:p>
      <w:pPr>
        <w:spacing w:line="360" w:lineRule="auto"/>
        <w:rPr>
          <w:sz w:val="24"/>
        </w:rPr>
      </w:pPr>
    </w:p>
    <w:p>
      <w:pPr>
        <w:pStyle w:val="87"/>
        <w:spacing w:line="360" w:lineRule="auto"/>
        <w:ind w:firstLine="0" w:firstLineChars="0"/>
        <w:outlineLvl w:val="9"/>
      </w:pPr>
      <w:r>
        <w:rPr>
          <w:rFonts w:hint="eastAsia"/>
          <w:b/>
          <w:bCs/>
        </w:rPr>
        <w:t>5</w:t>
      </w:r>
      <w:r>
        <w:rPr>
          <w:b/>
          <w:bCs/>
        </w:rPr>
        <w:t>.2.2</w:t>
      </w:r>
      <w:r>
        <w:rPr>
          <w:rFonts w:hAnsi="宋体"/>
          <w:bCs/>
        </w:rPr>
        <w:t>　</w:t>
      </w:r>
      <w:r>
        <w:rPr>
          <w:rFonts w:hint="eastAsia" w:hAnsi="宋体"/>
        </w:rPr>
        <w:t>设计评价时，</w:t>
      </w:r>
      <w:r>
        <w:rPr>
          <w:rFonts w:hAnsi="宋体"/>
        </w:rPr>
        <w:t>不对施工管理和运营管理</w:t>
      </w:r>
      <w:r>
        <w:t>2</w:t>
      </w:r>
      <w:r>
        <w:rPr>
          <w:rFonts w:hAnsi="宋体"/>
        </w:rPr>
        <w:t>类指标进行评价</w:t>
      </w:r>
      <w:r>
        <w:rPr>
          <w:rFonts w:hint="eastAsia" w:hAnsi="宋体"/>
        </w:rPr>
        <w:t>，但可预评相关条文。</w:t>
      </w:r>
      <w:r>
        <w:rPr>
          <w:rFonts w:hAnsi="宋体"/>
          <w:bCs/>
        </w:rPr>
        <w:t>运行评价应包括</w:t>
      </w:r>
      <w:r>
        <w:rPr>
          <w:bCs/>
        </w:rPr>
        <w:t>7</w:t>
      </w:r>
      <w:r>
        <w:rPr>
          <w:rFonts w:hAnsi="宋体"/>
          <w:bCs/>
        </w:rPr>
        <w:t>类指标</w:t>
      </w:r>
      <w:r>
        <w:rPr>
          <w:rFonts w:hAnsi="宋体"/>
        </w:rPr>
        <w:t>。</w:t>
      </w:r>
    </w:p>
    <w:p>
      <w:pPr>
        <w:pStyle w:val="80"/>
        <w:ind w:firstLine="0" w:firstLineChars="0"/>
        <w:rPr>
          <w:rFonts w:ascii="仿宋" w:hAnsi="仿宋" w:eastAsia="仿宋"/>
          <w:color w:val="FF0000"/>
          <w:szCs w:val="24"/>
        </w:rPr>
      </w:pPr>
      <w:r>
        <w:rPr>
          <w:rFonts w:hint="eastAsia" w:ascii="仿宋" w:hAnsi="仿宋" w:eastAsia="仿宋"/>
          <w:color w:val="FF0000"/>
          <w:szCs w:val="24"/>
        </w:rPr>
        <w:t>【条文说明】与国家新绿色建筑评价规范一致。</w:t>
      </w:r>
    </w:p>
    <w:p>
      <w:pPr>
        <w:spacing w:line="360" w:lineRule="auto"/>
        <w:rPr>
          <w:sz w:val="24"/>
        </w:rPr>
      </w:pPr>
    </w:p>
    <w:p>
      <w:pPr>
        <w:pStyle w:val="87"/>
        <w:spacing w:line="360" w:lineRule="auto"/>
        <w:ind w:firstLine="0" w:firstLineChars="0"/>
        <w:outlineLvl w:val="9"/>
        <w:rPr>
          <w:rFonts w:hAnsi="宋体"/>
        </w:rPr>
      </w:pPr>
      <w:r>
        <w:rPr>
          <w:rFonts w:hint="eastAsia"/>
          <w:b/>
          <w:bCs/>
        </w:rPr>
        <w:t>5</w:t>
      </w:r>
      <w:r>
        <w:rPr>
          <w:b/>
          <w:bCs/>
        </w:rPr>
        <w:t>.2.3</w:t>
      </w:r>
      <w:r>
        <w:rPr>
          <w:rFonts w:hAnsi="宋体"/>
          <w:bCs/>
        </w:rPr>
        <w:t>　</w:t>
      </w:r>
      <w:r>
        <w:rPr>
          <w:rFonts w:hAnsi="宋体"/>
        </w:rPr>
        <w:t>控制项的评定结果为满足或不满足；评分项和加分项的评定结果为分值。</w:t>
      </w:r>
    </w:p>
    <w:p>
      <w:pPr>
        <w:pStyle w:val="80"/>
        <w:ind w:firstLine="0" w:firstLineChars="0"/>
        <w:rPr>
          <w:rFonts w:ascii="仿宋" w:hAnsi="仿宋" w:eastAsia="仿宋"/>
          <w:color w:val="FF0000"/>
          <w:szCs w:val="24"/>
        </w:rPr>
      </w:pPr>
      <w:r>
        <w:rPr>
          <w:rFonts w:hint="eastAsia" w:ascii="仿宋" w:hAnsi="仿宋" w:eastAsia="仿宋"/>
          <w:color w:val="FF0000"/>
          <w:szCs w:val="24"/>
        </w:rPr>
        <w:t>【条文说明】评分项的评价，依据评价条文的规定确定得分或不得分，得分时根据需要对具体评分子项确定得分值，或根据具体达标程度确定得分值。加分项的评价，依据评价条文的规定确定得分或不得分。</w:t>
      </w:r>
    </w:p>
    <w:p>
      <w:pPr>
        <w:pStyle w:val="87"/>
        <w:spacing w:line="360" w:lineRule="auto"/>
        <w:ind w:firstLine="0" w:firstLineChars="0"/>
        <w:outlineLvl w:val="9"/>
      </w:pPr>
    </w:p>
    <w:p>
      <w:pPr>
        <w:pStyle w:val="87"/>
        <w:spacing w:line="360" w:lineRule="auto"/>
        <w:ind w:firstLine="0" w:firstLineChars="0"/>
        <w:outlineLvl w:val="9"/>
        <w:rPr>
          <w:rFonts w:hAnsi="宋体"/>
        </w:rPr>
      </w:pPr>
      <w:r>
        <w:rPr>
          <w:rFonts w:hint="eastAsia"/>
          <w:b/>
          <w:bCs/>
        </w:rPr>
        <w:t>5</w:t>
      </w:r>
      <w:r>
        <w:rPr>
          <w:b/>
          <w:bCs/>
        </w:rPr>
        <w:t>.2.4</w:t>
      </w:r>
      <w:r>
        <w:rPr>
          <w:rFonts w:hAnsi="宋体"/>
          <w:b/>
          <w:bCs/>
        </w:rPr>
        <w:t>　</w:t>
      </w:r>
      <w:r>
        <w:rPr>
          <w:rFonts w:hAnsi="宋体"/>
        </w:rPr>
        <w:t>绿色建筑评价应按总得分确定等级。</w:t>
      </w:r>
    </w:p>
    <w:p>
      <w:pPr>
        <w:pStyle w:val="80"/>
        <w:ind w:firstLine="0" w:firstLineChars="0"/>
        <w:rPr>
          <w:rFonts w:ascii="仿宋" w:hAnsi="仿宋" w:eastAsia="仿宋"/>
          <w:color w:val="FF0000"/>
          <w:szCs w:val="24"/>
        </w:rPr>
      </w:pPr>
      <w:r>
        <w:rPr>
          <w:rFonts w:hint="eastAsia" w:ascii="仿宋" w:hAnsi="仿宋" w:eastAsia="仿宋"/>
          <w:color w:val="FF0000"/>
          <w:szCs w:val="24"/>
        </w:rPr>
        <w:t>【条文说明】本次修订与《绿色建筑评价规范》SZJG30-2009一样依据总得分来确定绿色建筑等级。为了与现行国家标准《绿色建筑评价标准》GB/T50378保持一致，考虑到各类指标重要性方面的相对差异，计算总得分时引入了权重。同时，为了鼓励绿色建筑技术和管理方面的提升和创新，计算总得分时从《绿色建筑评价规范》SZJG30-2009的5分提高到20分作为附加得分。</w:t>
      </w:r>
    </w:p>
    <w:p>
      <w:pPr>
        <w:pStyle w:val="87"/>
        <w:spacing w:line="360" w:lineRule="auto"/>
        <w:ind w:firstLine="0" w:firstLineChars="0"/>
        <w:outlineLvl w:val="9"/>
        <w:rPr>
          <w:b/>
        </w:rPr>
      </w:pPr>
    </w:p>
    <w:p>
      <w:pPr>
        <w:pStyle w:val="87"/>
        <w:spacing w:line="360" w:lineRule="auto"/>
        <w:ind w:firstLine="0" w:firstLineChars="0"/>
        <w:outlineLvl w:val="9"/>
        <w:rPr>
          <w:rFonts w:hAnsi="宋体"/>
        </w:rPr>
      </w:pPr>
      <w:r>
        <w:rPr>
          <w:rFonts w:hint="eastAsia"/>
          <w:b/>
          <w:bCs/>
        </w:rPr>
        <w:t>5</w:t>
      </w:r>
      <w:r>
        <w:rPr>
          <w:b/>
          <w:bCs/>
        </w:rPr>
        <w:t>.2.5</w:t>
      </w:r>
      <w:r>
        <w:rPr>
          <w:rFonts w:hAnsi="宋体"/>
          <w:bCs/>
        </w:rPr>
        <w:t>　</w:t>
      </w:r>
      <w:r>
        <w:rPr>
          <w:rFonts w:hAnsi="宋体"/>
        </w:rPr>
        <w:t>评价指标体系</w:t>
      </w:r>
      <w:r>
        <w:t>7</w:t>
      </w:r>
      <w:r>
        <w:rPr>
          <w:rFonts w:hAnsi="宋体"/>
        </w:rPr>
        <w:t>类指标的总分均为</w:t>
      </w:r>
      <w:r>
        <w:t>100</w:t>
      </w:r>
      <w:r>
        <w:rPr>
          <w:rFonts w:hAnsi="宋体"/>
        </w:rPr>
        <w:t>分。</w:t>
      </w:r>
      <w:r>
        <w:t>7</w:t>
      </w:r>
      <w:r>
        <w:rPr>
          <w:rFonts w:hAnsi="宋体"/>
        </w:rPr>
        <w:t>类指标各自的评分项得分</w:t>
      </w:r>
      <w:r>
        <w:rPr>
          <w:i/>
          <w:iCs/>
        </w:rPr>
        <w:t>Q</w:t>
      </w:r>
      <w:r>
        <w:rPr>
          <w:vertAlign w:val="subscript"/>
        </w:rPr>
        <w:t>1</w:t>
      </w:r>
      <w:r>
        <w:rPr>
          <w:rFonts w:hAnsi="宋体"/>
        </w:rPr>
        <w:t>、</w:t>
      </w:r>
      <w:r>
        <w:rPr>
          <w:i/>
          <w:iCs/>
        </w:rPr>
        <w:t>Q</w:t>
      </w:r>
      <w:r>
        <w:rPr>
          <w:vertAlign w:val="subscript"/>
        </w:rPr>
        <w:t>2</w:t>
      </w:r>
      <w:r>
        <w:rPr>
          <w:rFonts w:hAnsi="宋体"/>
        </w:rPr>
        <w:t>、</w:t>
      </w:r>
      <w:r>
        <w:rPr>
          <w:i/>
          <w:iCs/>
        </w:rPr>
        <w:t>Q</w:t>
      </w:r>
      <w:r>
        <w:rPr>
          <w:vertAlign w:val="subscript"/>
        </w:rPr>
        <w:t>3</w:t>
      </w:r>
      <w:r>
        <w:rPr>
          <w:rFonts w:hAnsi="宋体"/>
        </w:rPr>
        <w:t>、</w:t>
      </w:r>
      <w:r>
        <w:rPr>
          <w:i/>
          <w:iCs/>
        </w:rPr>
        <w:t>Q</w:t>
      </w:r>
      <w:r>
        <w:rPr>
          <w:vertAlign w:val="subscript"/>
        </w:rPr>
        <w:t>4</w:t>
      </w:r>
      <w:r>
        <w:rPr>
          <w:rFonts w:hAnsi="宋体"/>
        </w:rPr>
        <w:t>、</w:t>
      </w:r>
      <w:r>
        <w:rPr>
          <w:i/>
          <w:iCs/>
        </w:rPr>
        <w:t>Q</w:t>
      </w:r>
      <w:r>
        <w:rPr>
          <w:vertAlign w:val="subscript"/>
        </w:rPr>
        <w:t>5</w:t>
      </w:r>
      <w:r>
        <w:rPr>
          <w:rFonts w:hAnsi="宋体"/>
        </w:rPr>
        <w:t>、</w:t>
      </w:r>
      <w:r>
        <w:rPr>
          <w:i/>
          <w:iCs/>
        </w:rPr>
        <w:t>Q</w:t>
      </w:r>
      <w:r>
        <w:rPr>
          <w:vertAlign w:val="subscript"/>
        </w:rPr>
        <w:t>6</w:t>
      </w:r>
      <w:r>
        <w:rPr>
          <w:rFonts w:hAnsi="宋体"/>
        </w:rPr>
        <w:t>、</w:t>
      </w:r>
      <w:r>
        <w:rPr>
          <w:i/>
          <w:iCs/>
        </w:rPr>
        <w:t>Q</w:t>
      </w:r>
      <w:r>
        <w:rPr>
          <w:vertAlign w:val="subscript"/>
        </w:rPr>
        <w:t>7</w:t>
      </w:r>
      <w:r>
        <w:rPr>
          <w:rFonts w:hAnsi="宋体"/>
        </w:rPr>
        <w:t>按参评建筑该类指标的评分项实际得分值乘以</w:t>
      </w:r>
      <w:r>
        <w:t>100</w:t>
      </w:r>
      <w:r>
        <w:rPr>
          <w:rFonts w:hAnsi="宋体"/>
        </w:rPr>
        <w:t>分再除以适用于该建筑的评分项总分值计算。</w:t>
      </w:r>
    </w:p>
    <w:p>
      <w:pPr>
        <w:pStyle w:val="80"/>
        <w:ind w:firstLine="0" w:firstLineChars="0"/>
        <w:rPr>
          <w:rFonts w:ascii="仿宋" w:hAnsi="仿宋" w:eastAsia="仿宋"/>
          <w:color w:val="FF0000"/>
          <w:szCs w:val="24"/>
        </w:rPr>
      </w:pPr>
      <w:r>
        <w:rPr>
          <w:rFonts w:hint="eastAsia" w:ascii="仿宋" w:hAnsi="仿宋" w:eastAsia="仿宋"/>
          <w:color w:val="FF0000"/>
          <w:szCs w:val="24"/>
        </w:rPr>
        <w:t>【条文说明】对于具体的参评建筑而言，它们在功能、气候、环境、资源等方面客观上存在差异，对不适用的评分项条文不予评定。这样适用于各参评建筑的评分项条文数量和总分值可能不一样。对此，计算参评建筑某类指标评分项的实际得分值与适用于参评建筑的评分项总分值的比率，反映参评建筑实际采用的“绿色措施”和（或）效果占理论上可以采用的全部“绿色措施”和（或）效果的相对得分率。</w:t>
      </w:r>
    </w:p>
    <w:p>
      <w:pPr>
        <w:pStyle w:val="87"/>
        <w:spacing w:line="360" w:lineRule="auto"/>
        <w:ind w:firstLine="0" w:firstLineChars="0"/>
        <w:outlineLvl w:val="9"/>
      </w:pPr>
    </w:p>
    <w:p>
      <w:pPr>
        <w:pStyle w:val="87"/>
        <w:spacing w:line="360" w:lineRule="auto"/>
        <w:ind w:firstLine="0" w:firstLineChars="0"/>
        <w:outlineLvl w:val="9"/>
        <w:rPr>
          <w:rFonts w:hAnsi="宋体"/>
        </w:rPr>
      </w:pPr>
      <w:r>
        <w:rPr>
          <w:rFonts w:hint="eastAsia"/>
          <w:b/>
          <w:bCs/>
        </w:rPr>
        <w:t>5</w:t>
      </w:r>
      <w:r>
        <w:rPr>
          <w:b/>
          <w:bCs/>
        </w:rPr>
        <w:t>.2.6</w:t>
      </w:r>
      <w:r>
        <w:rPr>
          <w:rFonts w:hAnsi="宋体"/>
          <w:bCs/>
        </w:rPr>
        <w:t>　</w:t>
      </w:r>
      <w:r>
        <w:rPr>
          <w:rFonts w:hAnsi="宋体"/>
        </w:rPr>
        <w:t>加分项的附加得分</w:t>
      </w:r>
      <w:r>
        <w:rPr>
          <w:i/>
          <w:iCs/>
        </w:rPr>
        <w:t>Q</w:t>
      </w:r>
      <w:r>
        <w:rPr>
          <w:vertAlign w:val="subscript"/>
        </w:rPr>
        <w:t>8</w:t>
      </w:r>
      <w:r>
        <w:rPr>
          <w:rFonts w:hAnsi="宋体"/>
        </w:rPr>
        <w:t>按本标准第</w:t>
      </w:r>
      <w:r>
        <w:t>1</w:t>
      </w:r>
      <w:r>
        <w:rPr>
          <w:rFonts w:hint="eastAsia"/>
        </w:rPr>
        <w:t>3</w:t>
      </w:r>
      <w:r>
        <w:rPr>
          <w:rFonts w:hAnsi="宋体"/>
        </w:rPr>
        <w:t>章的有关规定确定。</w:t>
      </w:r>
    </w:p>
    <w:p>
      <w:pPr>
        <w:pStyle w:val="80"/>
        <w:ind w:firstLine="0" w:firstLineChars="0"/>
        <w:rPr>
          <w:rFonts w:ascii="仿宋" w:hAnsi="仿宋" w:eastAsia="仿宋"/>
          <w:color w:val="FF0000"/>
          <w:szCs w:val="24"/>
        </w:rPr>
      </w:pPr>
      <w:r>
        <w:rPr>
          <w:rFonts w:hint="eastAsia" w:ascii="仿宋" w:hAnsi="仿宋" w:eastAsia="仿宋"/>
          <w:color w:val="FF0000"/>
          <w:szCs w:val="24"/>
        </w:rPr>
        <w:t>【条文说明】相对于《绿色建筑评价规范》SZJG30-2009的5分，现行国家标准《绿色建筑评价标准》GB/T50378的10分，本次规范修订将加分项提高到20分，鼓励绿色建筑进行创新和提升。</w:t>
      </w:r>
    </w:p>
    <w:p>
      <w:pPr>
        <w:pStyle w:val="87"/>
        <w:spacing w:line="360" w:lineRule="auto"/>
        <w:ind w:firstLine="0" w:firstLineChars="0"/>
        <w:outlineLvl w:val="9"/>
      </w:pPr>
    </w:p>
    <w:p>
      <w:pPr>
        <w:pStyle w:val="87"/>
        <w:spacing w:line="360" w:lineRule="auto"/>
        <w:ind w:firstLine="0" w:firstLineChars="0"/>
        <w:outlineLvl w:val="9"/>
      </w:pPr>
      <w:r>
        <w:rPr>
          <w:rFonts w:hint="eastAsia"/>
          <w:b/>
          <w:bCs/>
        </w:rPr>
        <w:t>5</w:t>
      </w:r>
      <w:r>
        <w:rPr>
          <w:b/>
          <w:bCs/>
        </w:rPr>
        <w:t>.2.7</w:t>
      </w:r>
      <w:r>
        <w:rPr>
          <w:rFonts w:hAnsi="宋体"/>
          <w:bCs/>
        </w:rPr>
        <w:t>　</w:t>
      </w:r>
      <w:r>
        <w:rPr>
          <w:rFonts w:hAnsi="宋体"/>
        </w:rPr>
        <w:t>绿色建筑评价的总得分按下式进行计算，其中评价指标体系</w:t>
      </w:r>
      <w:r>
        <w:t>7</w:t>
      </w:r>
      <w:r>
        <w:rPr>
          <w:rFonts w:hAnsi="宋体"/>
        </w:rPr>
        <w:t>类指标评分项的权重</w:t>
      </w:r>
      <w:r>
        <w:rPr>
          <w:i/>
          <w:iCs/>
        </w:rPr>
        <w:t>w</w:t>
      </w:r>
      <w:r>
        <w:rPr>
          <w:vertAlign w:val="subscript"/>
        </w:rPr>
        <w:t>1</w:t>
      </w:r>
      <w:r>
        <w:rPr>
          <w:rFonts w:hAnsi="宋体"/>
        </w:rPr>
        <w:t>～</w:t>
      </w:r>
      <w:r>
        <w:rPr>
          <w:i/>
          <w:iCs/>
        </w:rPr>
        <w:t>w</w:t>
      </w:r>
      <w:r>
        <w:rPr>
          <w:vertAlign w:val="subscript"/>
        </w:rPr>
        <w:t>7</w:t>
      </w:r>
      <w:r>
        <w:rPr>
          <w:rFonts w:hAnsi="宋体"/>
        </w:rPr>
        <w:t>按表</w:t>
      </w:r>
      <w:r>
        <w:rPr>
          <w:rFonts w:hint="eastAsia"/>
        </w:rPr>
        <w:t>5</w:t>
      </w:r>
      <w:r>
        <w:t>.2.7</w:t>
      </w:r>
      <w:r>
        <w:rPr>
          <w:rFonts w:hAnsi="宋体"/>
        </w:rPr>
        <w:t>取值。</w:t>
      </w:r>
    </w:p>
    <w:p>
      <w:pPr>
        <w:pStyle w:val="87"/>
        <w:spacing w:line="360" w:lineRule="auto"/>
        <w:ind w:firstLine="420" w:firstLineChars="0"/>
        <w:jc w:val="right"/>
        <w:outlineLvl w:val="9"/>
      </w:pPr>
      <w:r>
        <w:t>Σ</w:t>
      </w:r>
      <w:r>
        <w:rPr>
          <w:i/>
          <w:iCs/>
        </w:rPr>
        <w:t>Q</w:t>
      </w:r>
      <w:r>
        <w:rPr>
          <w:rFonts w:hAnsi="宋体"/>
        </w:rPr>
        <w:t>＝</w:t>
      </w:r>
      <w:r>
        <w:rPr>
          <w:i/>
          <w:iCs/>
        </w:rPr>
        <w:t>w</w:t>
      </w:r>
      <w:r>
        <w:rPr>
          <w:vertAlign w:val="subscript"/>
        </w:rPr>
        <w:t>1</w:t>
      </w:r>
      <w:r>
        <w:rPr>
          <w:i/>
          <w:iCs/>
        </w:rPr>
        <w:t>Q</w:t>
      </w:r>
      <w:r>
        <w:rPr>
          <w:vertAlign w:val="subscript"/>
        </w:rPr>
        <w:t>1</w:t>
      </w:r>
      <w:r>
        <w:rPr>
          <w:rFonts w:hAnsi="宋体"/>
        </w:rPr>
        <w:t>＋</w:t>
      </w:r>
      <w:r>
        <w:rPr>
          <w:i/>
          <w:iCs/>
        </w:rPr>
        <w:t>w</w:t>
      </w:r>
      <w:r>
        <w:rPr>
          <w:vertAlign w:val="subscript"/>
        </w:rPr>
        <w:t xml:space="preserve"> 2</w:t>
      </w:r>
      <w:r>
        <w:rPr>
          <w:i/>
          <w:iCs/>
        </w:rPr>
        <w:t>Q</w:t>
      </w:r>
      <w:r>
        <w:rPr>
          <w:vertAlign w:val="subscript"/>
        </w:rPr>
        <w:t>2</w:t>
      </w:r>
      <w:r>
        <w:rPr>
          <w:rFonts w:hAnsi="宋体"/>
        </w:rPr>
        <w:t>＋</w:t>
      </w:r>
      <w:r>
        <w:rPr>
          <w:i/>
          <w:iCs/>
        </w:rPr>
        <w:t>w</w:t>
      </w:r>
      <w:r>
        <w:rPr>
          <w:vertAlign w:val="subscript"/>
        </w:rPr>
        <w:t>3</w:t>
      </w:r>
      <w:r>
        <w:rPr>
          <w:i/>
          <w:iCs/>
        </w:rPr>
        <w:t>Q</w:t>
      </w:r>
      <w:r>
        <w:rPr>
          <w:vertAlign w:val="subscript"/>
        </w:rPr>
        <w:t>3</w:t>
      </w:r>
      <w:r>
        <w:rPr>
          <w:rFonts w:hAnsi="宋体"/>
        </w:rPr>
        <w:t>＋</w:t>
      </w:r>
      <w:r>
        <w:rPr>
          <w:i/>
          <w:iCs/>
        </w:rPr>
        <w:t>w</w:t>
      </w:r>
      <w:r>
        <w:rPr>
          <w:vertAlign w:val="subscript"/>
        </w:rPr>
        <w:t>4</w:t>
      </w:r>
      <w:r>
        <w:rPr>
          <w:i/>
          <w:iCs/>
        </w:rPr>
        <w:t>Q</w:t>
      </w:r>
      <w:r>
        <w:rPr>
          <w:vertAlign w:val="subscript"/>
        </w:rPr>
        <w:t>4</w:t>
      </w:r>
      <w:r>
        <w:rPr>
          <w:rFonts w:hAnsi="宋体"/>
        </w:rPr>
        <w:t>＋</w:t>
      </w:r>
      <w:r>
        <w:rPr>
          <w:i/>
          <w:iCs/>
        </w:rPr>
        <w:t>w</w:t>
      </w:r>
      <w:r>
        <w:rPr>
          <w:vertAlign w:val="subscript"/>
        </w:rPr>
        <w:t>5</w:t>
      </w:r>
      <w:r>
        <w:rPr>
          <w:i/>
          <w:iCs/>
        </w:rPr>
        <w:t>Q</w:t>
      </w:r>
      <w:r>
        <w:rPr>
          <w:vertAlign w:val="subscript"/>
        </w:rPr>
        <w:t>5</w:t>
      </w:r>
      <w:r>
        <w:rPr>
          <w:rFonts w:hAnsi="宋体"/>
        </w:rPr>
        <w:t>＋</w:t>
      </w:r>
      <w:r>
        <w:rPr>
          <w:i/>
          <w:iCs/>
        </w:rPr>
        <w:t>w</w:t>
      </w:r>
      <w:r>
        <w:rPr>
          <w:vertAlign w:val="subscript"/>
        </w:rPr>
        <w:t>6</w:t>
      </w:r>
      <w:r>
        <w:rPr>
          <w:i/>
          <w:iCs/>
        </w:rPr>
        <w:t>Q</w:t>
      </w:r>
      <w:r>
        <w:rPr>
          <w:vertAlign w:val="subscript"/>
        </w:rPr>
        <w:t>6</w:t>
      </w:r>
      <w:r>
        <w:rPr>
          <w:rFonts w:hAnsi="宋体"/>
        </w:rPr>
        <w:t>＋</w:t>
      </w:r>
      <w:r>
        <w:rPr>
          <w:i/>
          <w:iCs/>
        </w:rPr>
        <w:t>w</w:t>
      </w:r>
      <w:r>
        <w:rPr>
          <w:vertAlign w:val="subscript"/>
        </w:rPr>
        <w:t>7</w:t>
      </w:r>
      <w:r>
        <w:rPr>
          <w:i/>
          <w:iCs/>
        </w:rPr>
        <w:t>Q</w:t>
      </w:r>
      <w:r>
        <w:rPr>
          <w:vertAlign w:val="subscript"/>
        </w:rPr>
        <w:t>7</w:t>
      </w:r>
      <w:r>
        <w:rPr>
          <w:rFonts w:hAnsi="宋体"/>
        </w:rPr>
        <w:t>＋</w:t>
      </w:r>
      <w:r>
        <w:rPr>
          <w:i/>
          <w:iCs/>
        </w:rPr>
        <w:t>Q</w:t>
      </w:r>
      <w:r>
        <w:rPr>
          <w:vertAlign w:val="subscript"/>
        </w:rPr>
        <w:t xml:space="preserve">8 </w:t>
      </w:r>
      <w:r>
        <w:rPr>
          <w:vertAlign w:val="subscript"/>
        </w:rPr>
        <w:tab/>
      </w:r>
      <w:r>
        <w:rPr>
          <w:rFonts w:hAnsi="宋体"/>
        </w:rPr>
        <w:t>（</w:t>
      </w:r>
      <w:r>
        <w:rPr>
          <w:rFonts w:hint="eastAsia"/>
        </w:rPr>
        <w:t>5</w:t>
      </w:r>
      <w:r>
        <w:t>.2.7</w:t>
      </w:r>
      <w:r>
        <w:rPr>
          <w:rFonts w:hAnsi="宋体"/>
        </w:rPr>
        <w:t>）</w:t>
      </w:r>
    </w:p>
    <w:p>
      <w:pPr>
        <w:widowControl/>
        <w:spacing w:line="360" w:lineRule="auto"/>
        <w:jc w:val="center"/>
        <w:rPr>
          <w:b/>
          <w:bCs/>
        </w:rPr>
      </w:pPr>
      <w:r>
        <w:rPr>
          <w:rFonts w:hAnsi="宋体"/>
          <w:b/>
          <w:bCs/>
        </w:rPr>
        <w:t>表</w:t>
      </w:r>
      <w:r>
        <w:rPr>
          <w:rFonts w:hint="eastAsia"/>
          <w:b/>
          <w:bCs/>
        </w:rPr>
        <w:t>5</w:t>
      </w:r>
      <w:r>
        <w:rPr>
          <w:b/>
          <w:bCs/>
        </w:rPr>
        <w:t xml:space="preserve">.2.7 </w:t>
      </w:r>
      <w:r>
        <w:rPr>
          <w:rFonts w:hAnsi="宋体"/>
          <w:b/>
          <w:bCs/>
        </w:rPr>
        <w:t>绿色建筑各类评价指标的权重</w:t>
      </w:r>
    </w:p>
    <w:tbl>
      <w:tblPr>
        <w:tblStyle w:val="37"/>
        <w:tblW w:w="86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2"/>
        <w:gridCol w:w="1066"/>
        <w:gridCol w:w="964"/>
        <w:gridCol w:w="1113"/>
        <w:gridCol w:w="1018"/>
        <w:gridCol w:w="1207"/>
        <w:gridCol w:w="826"/>
        <w:gridCol w:w="826"/>
        <w:gridCol w:w="6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2088"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bookmarkStart w:id="32" w:name="OLE_LINK54"/>
            <w:bookmarkStart w:id="33" w:name="OLE_LINK55"/>
            <w:bookmarkStart w:id="34" w:name="OLE_LINK56"/>
            <w:r>
              <w:rPr>
                <w:rFonts w:hint="eastAsia"/>
                <w:szCs w:val="21"/>
              </w:rPr>
              <w:t>评价指标</w:t>
            </w:r>
          </w:p>
        </w:tc>
        <w:tc>
          <w:tcPr>
            <w:tcW w:w="964"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rFonts w:hAnsi="宋体"/>
                <w:szCs w:val="21"/>
              </w:rPr>
              <w:t>节地与</w:t>
            </w:r>
          </w:p>
          <w:p>
            <w:pPr>
              <w:jc w:val="center"/>
              <w:rPr>
                <w:szCs w:val="21"/>
              </w:rPr>
            </w:pPr>
            <w:r>
              <w:rPr>
                <w:rFonts w:hAnsi="宋体"/>
                <w:szCs w:val="21"/>
              </w:rPr>
              <w:t>室外环境</w:t>
            </w:r>
          </w:p>
          <w:p>
            <w:pPr>
              <w:jc w:val="center"/>
              <w:rPr>
                <w:szCs w:val="21"/>
              </w:rPr>
            </w:pPr>
            <w:r>
              <w:rPr>
                <w:i/>
                <w:iCs/>
                <w:szCs w:val="21"/>
              </w:rPr>
              <w:t>w</w:t>
            </w:r>
            <w:r>
              <w:rPr>
                <w:szCs w:val="21"/>
                <w:vertAlign w:val="subscript"/>
              </w:rPr>
              <w:t>1</w:t>
            </w:r>
          </w:p>
        </w:tc>
        <w:tc>
          <w:tcPr>
            <w:tcW w:w="1113"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rFonts w:hAnsi="宋体"/>
                <w:szCs w:val="21"/>
              </w:rPr>
              <w:t>节能与</w:t>
            </w:r>
          </w:p>
          <w:p>
            <w:pPr>
              <w:jc w:val="center"/>
              <w:rPr>
                <w:szCs w:val="21"/>
              </w:rPr>
            </w:pPr>
            <w:r>
              <w:rPr>
                <w:rFonts w:hAnsi="宋体"/>
                <w:szCs w:val="21"/>
              </w:rPr>
              <w:t>能源利用</w:t>
            </w:r>
          </w:p>
          <w:p>
            <w:pPr>
              <w:jc w:val="center"/>
              <w:rPr>
                <w:szCs w:val="21"/>
              </w:rPr>
            </w:pPr>
            <w:r>
              <w:rPr>
                <w:i/>
                <w:iCs/>
                <w:szCs w:val="21"/>
              </w:rPr>
              <w:t>w</w:t>
            </w:r>
            <w:r>
              <w:rPr>
                <w:szCs w:val="21"/>
                <w:vertAlign w:val="subscript"/>
              </w:rPr>
              <w:t>2</w:t>
            </w:r>
          </w:p>
        </w:tc>
        <w:tc>
          <w:tcPr>
            <w:tcW w:w="1018"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rFonts w:hAnsi="宋体"/>
                <w:szCs w:val="21"/>
              </w:rPr>
              <w:t>节水与水</w:t>
            </w:r>
          </w:p>
          <w:p>
            <w:pPr>
              <w:jc w:val="center"/>
              <w:rPr>
                <w:szCs w:val="21"/>
              </w:rPr>
            </w:pPr>
            <w:r>
              <w:rPr>
                <w:rFonts w:hAnsi="宋体"/>
                <w:szCs w:val="21"/>
              </w:rPr>
              <w:t>资源利用</w:t>
            </w:r>
          </w:p>
          <w:p>
            <w:pPr>
              <w:jc w:val="center"/>
              <w:rPr>
                <w:szCs w:val="21"/>
              </w:rPr>
            </w:pPr>
            <w:r>
              <w:rPr>
                <w:i/>
                <w:iCs/>
                <w:szCs w:val="21"/>
              </w:rPr>
              <w:t>w</w:t>
            </w:r>
            <w:r>
              <w:rPr>
                <w:szCs w:val="21"/>
                <w:vertAlign w:val="subscript"/>
              </w:rPr>
              <w:t>3</w:t>
            </w:r>
          </w:p>
        </w:tc>
        <w:tc>
          <w:tcPr>
            <w:tcW w:w="1207"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rFonts w:hAnsi="宋体"/>
                <w:szCs w:val="21"/>
              </w:rPr>
              <w:t>节材与材</w:t>
            </w:r>
          </w:p>
          <w:p>
            <w:pPr>
              <w:jc w:val="center"/>
              <w:rPr>
                <w:szCs w:val="21"/>
              </w:rPr>
            </w:pPr>
            <w:r>
              <w:rPr>
                <w:rFonts w:hAnsi="宋体"/>
                <w:szCs w:val="21"/>
              </w:rPr>
              <w:t>料资源利用</w:t>
            </w:r>
          </w:p>
          <w:p>
            <w:pPr>
              <w:jc w:val="center"/>
              <w:rPr>
                <w:szCs w:val="21"/>
              </w:rPr>
            </w:pPr>
            <w:r>
              <w:rPr>
                <w:i/>
                <w:iCs/>
                <w:szCs w:val="21"/>
              </w:rPr>
              <w:t>w</w:t>
            </w:r>
            <w:r>
              <w:rPr>
                <w:szCs w:val="21"/>
                <w:vertAlign w:val="subscript"/>
              </w:rPr>
              <w:t>4</w:t>
            </w:r>
          </w:p>
        </w:tc>
        <w:tc>
          <w:tcPr>
            <w:tcW w:w="826"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rFonts w:hAnsi="宋体"/>
                <w:szCs w:val="21"/>
              </w:rPr>
              <w:t>室内环</w:t>
            </w:r>
          </w:p>
          <w:p>
            <w:pPr>
              <w:jc w:val="center"/>
              <w:rPr>
                <w:szCs w:val="21"/>
              </w:rPr>
            </w:pPr>
            <w:r>
              <w:rPr>
                <w:rFonts w:hAnsi="宋体"/>
                <w:szCs w:val="21"/>
              </w:rPr>
              <w:t>境质量</w:t>
            </w:r>
          </w:p>
          <w:p>
            <w:pPr>
              <w:jc w:val="center"/>
              <w:rPr>
                <w:szCs w:val="21"/>
              </w:rPr>
            </w:pPr>
            <w:r>
              <w:rPr>
                <w:i/>
                <w:iCs/>
                <w:szCs w:val="21"/>
              </w:rPr>
              <w:t>w</w:t>
            </w:r>
            <w:r>
              <w:rPr>
                <w:szCs w:val="21"/>
                <w:vertAlign w:val="subscript"/>
              </w:rPr>
              <w:t>5</w:t>
            </w:r>
          </w:p>
        </w:tc>
        <w:tc>
          <w:tcPr>
            <w:tcW w:w="826"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rFonts w:hAnsi="宋体"/>
                <w:szCs w:val="21"/>
              </w:rPr>
              <w:t>施工</w:t>
            </w:r>
          </w:p>
          <w:p>
            <w:pPr>
              <w:jc w:val="center"/>
              <w:rPr>
                <w:szCs w:val="21"/>
              </w:rPr>
            </w:pPr>
            <w:r>
              <w:rPr>
                <w:rFonts w:hAnsi="宋体"/>
                <w:szCs w:val="21"/>
              </w:rPr>
              <w:t>管理</w:t>
            </w:r>
          </w:p>
          <w:p>
            <w:pPr>
              <w:jc w:val="center"/>
              <w:rPr>
                <w:szCs w:val="21"/>
              </w:rPr>
            </w:pPr>
            <w:r>
              <w:rPr>
                <w:i/>
                <w:iCs/>
                <w:szCs w:val="21"/>
              </w:rPr>
              <w:t>w</w:t>
            </w:r>
            <w:r>
              <w:rPr>
                <w:szCs w:val="21"/>
                <w:vertAlign w:val="subscript"/>
              </w:rPr>
              <w:t>6</w:t>
            </w:r>
          </w:p>
        </w:tc>
        <w:tc>
          <w:tcPr>
            <w:tcW w:w="656"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rFonts w:hAnsi="宋体"/>
                <w:szCs w:val="21"/>
              </w:rPr>
              <w:t>运营</w:t>
            </w:r>
          </w:p>
          <w:p>
            <w:pPr>
              <w:jc w:val="center"/>
              <w:rPr>
                <w:szCs w:val="21"/>
              </w:rPr>
            </w:pPr>
            <w:r>
              <w:rPr>
                <w:rFonts w:hAnsi="宋体"/>
                <w:szCs w:val="21"/>
              </w:rPr>
              <w:t>管理</w:t>
            </w:r>
          </w:p>
          <w:p>
            <w:pPr>
              <w:jc w:val="center"/>
              <w:rPr>
                <w:szCs w:val="21"/>
              </w:rPr>
            </w:pPr>
            <w:r>
              <w:rPr>
                <w:i/>
                <w:iCs/>
                <w:szCs w:val="21"/>
              </w:rPr>
              <w:t>w</w:t>
            </w:r>
            <w:r>
              <w:rPr>
                <w:szCs w:val="21"/>
                <w:vertAlign w:val="subscript"/>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1022" w:type="dxa"/>
            <w:vMerge w:val="restart"/>
            <w:tcBorders>
              <w:top w:val="single" w:color="auto" w:sz="4" w:space="0"/>
              <w:left w:val="single" w:color="auto" w:sz="4" w:space="0"/>
              <w:right w:val="single" w:color="auto" w:sz="4" w:space="0"/>
            </w:tcBorders>
            <w:vAlign w:val="center"/>
          </w:tcPr>
          <w:p>
            <w:pPr>
              <w:widowControl/>
              <w:jc w:val="center"/>
              <w:rPr>
                <w:szCs w:val="21"/>
              </w:rPr>
            </w:pPr>
            <w:r>
              <w:rPr>
                <w:rFonts w:hint="eastAsia"/>
                <w:szCs w:val="21"/>
              </w:rPr>
              <w:t>设计</w:t>
            </w:r>
          </w:p>
          <w:p>
            <w:pPr>
              <w:widowControl/>
              <w:jc w:val="center"/>
              <w:rPr>
                <w:szCs w:val="21"/>
              </w:rPr>
            </w:pPr>
            <w:r>
              <w:rPr>
                <w:rFonts w:hint="eastAsia"/>
                <w:szCs w:val="21"/>
              </w:rPr>
              <w:t>评价</w:t>
            </w:r>
          </w:p>
        </w:tc>
        <w:tc>
          <w:tcPr>
            <w:tcW w:w="1066" w:type="dxa"/>
            <w:tcBorders>
              <w:top w:val="single" w:color="auto" w:sz="4" w:space="0"/>
              <w:left w:val="single" w:color="auto" w:sz="4" w:space="0"/>
              <w:bottom w:val="single" w:color="auto" w:sz="4" w:space="0"/>
              <w:right w:val="single" w:color="auto" w:sz="4" w:space="0"/>
            </w:tcBorders>
            <w:vAlign w:val="top"/>
          </w:tcPr>
          <w:p>
            <w:pPr>
              <w:jc w:val="center"/>
              <w:rPr>
                <w:szCs w:val="21"/>
              </w:rPr>
            </w:pPr>
            <w:r>
              <w:rPr>
                <w:rFonts w:hAnsi="宋体"/>
                <w:szCs w:val="21"/>
              </w:rPr>
              <w:t>居住建筑</w:t>
            </w:r>
          </w:p>
        </w:tc>
        <w:tc>
          <w:tcPr>
            <w:tcW w:w="964" w:type="dxa"/>
            <w:tcBorders>
              <w:top w:val="single" w:color="auto" w:sz="4" w:space="0"/>
              <w:left w:val="single" w:color="auto" w:sz="4" w:space="0"/>
              <w:bottom w:val="single" w:color="auto" w:sz="4" w:space="0"/>
              <w:right w:val="single" w:color="auto" w:sz="4" w:space="0"/>
            </w:tcBorders>
            <w:vAlign w:val="center"/>
          </w:tcPr>
          <w:p>
            <w:pPr>
              <w:widowControl/>
              <w:jc w:val="center"/>
              <w:rPr>
                <w:kern w:val="0"/>
                <w:szCs w:val="21"/>
              </w:rPr>
            </w:pPr>
            <w:r>
              <w:rPr>
                <w:kern w:val="0"/>
                <w:szCs w:val="21"/>
              </w:rPr>
              <w:t xml:space="preserve">0.25 </w:t>
            </w:r>
          </w:p>
        </w:tc>
        <w:tc>
          <w:tcPr>
            <w:tcW w:w="1113" w:type="dxa"/>
            <w:tcBorders>
              <w:top w:val="single" w:color="auto" w:sz="4" w:space="0"/>
              <w:left w:val="single" w:color="auto" w:sz="4" w:space="0"/>
              <w:bottom w:val="single" w:color="auto" w:sz="4" w:space="0"/>
              <w:right w:val="single" w:color="auto" w:sz="4" w:space="0"/>
            </w:tcBorders>
            <w:vAlign w:val="center"/>
          </w:tcPr>
          <w:p>
            <w:pPr>
              <w:widowControl/>
              <w:jc w:val="center"/>
              <w:rPr>
                <w:kern w:val="0"/>
                <w:szCs w:val="21"/>
              </w:rPr>
            </w:pPr>
            <w:r>
              <w:rPr>
                <w:kern w:val="0"/>
                <w:szCs w:val="21"/>
              </w:rPr>
              <w:t xml:space="preserve">0.25 </w:t>
            </w:r>
          </w:p>
        </w:tc>
        <w:tc>
          <w:tcPr>
            <w:tcW w:w="1018" w:type="dxa"/>
            <w:tcBorders>
              <w:top w:val="single" w:color="auto" w:sz="4" w:space="0"/>
              <w:left w:val="single" w:color="auto" w:sz="4" w:space="0"/>
              <w:bottom w:val="single" w:color="auto" w:sz="4" w:space="0"/>
              <w:right w:val="single" w:color="auto" w:sz="4" w:space="0"/>
            </w:tcBorders>
            <w:vAlign w:val="center"/>
          </w:tcPr>
          <w:p>
            <w:pPr>
              <w:widowControl/>
              <w:jc w:val="center"/>
              <w:rPr>
                <w:kern w:val="0"/>
                <w:szCs w:val="21"/>
              </w:rPr>
            </w:pPr>
            <w:r>
              <w:rPr>
                <w:kern w:val="0"/>
                <w:szCs w:val="21"/>
              </w:rPr>
              <w:t xml:space="preserve">0.15 </w:t>
            </w:r>
          </w:p>
        </w:tc>
        <w:tc>
          <w:tcPr>
            <w:tcW w:w="1207" w:type="dxa"/>
            <w:tcBorders>
              <w:top w:val="single" w:color="auto" w:sz="4" w:space="0"/>
              <w:left w:val="single" w:color="auto" w:sz="4" w:space="0"/>
              <w:bottom w:val="single" w:color="auto" w:sz="4" w:space="0"/>
              <w:right w:val="single" w:color="auto" w:sz="4" w:space="0"/>
            </w:tcBorders>
            <w:vAlign w:val="center"/>
          </w:tcPr>
          <w:p>
            <w:pPr>
              <w:widowControl/>
              <w:jc w:val="center"/>
              <w:rPr>
                <w:kern w:val="0"/>
                <w:szCs w:val="21"/>
              </w:rPr>
            </w:pPr>
            <w:r>
              <w:rPr>
                <w:kern w:val="0"/>
                <w:szCs w:val="21"/>
              </w:rPr>
              <w:t xml:space="preserve">0.15 </w:t>
            </w:r>
          </w:p>
        </w:tc>
        <w:tc>
          <w:tcPr>
            <w:tcW w:w="826" w:type="dxa"/>
            <w:tcBorders>
              <w:top w:val="single" w:color="auto" w:sz="4" w:space="0"/>
              <w:left w:val="single" w:color="auto" w:sz="4" w:space="0"/>
              <w:bottom w:val="single" w:color="auto" w:sz="4" w:space="0"/>
              <w:right w:val="single" w:color="auto" w:sz="4" w:space="0"/>
            </w:tcBorders>
            <w:vAlign w:val="center"/>
          </w:tcPr>
          <w:p>
            <w:pPr>
              <w:widowControl/>
              <w:jc w:val="center"/>
              <w:rPr>
                <w:kern w:val="0"/>
                <w:szCs w:val="21"/>
              </w:rPr>
            </w:pPr>
            <w:r>
              <w:rPr>
                <w:kern w:val="0"/>
                <w:szCs w:val="21"/>
              </w:rPr>
              <w:t xml:space="preserve">0.20 </w:t>
            </w:r>
          </w:p>
        </w:tc>
        <w:tc>
          <w:tcPr>
            <w:tcW w:w="826" w:type="dxa"/>
            <w:tcBorders>
              <w:top w:val="single" w:color="auto" w:sz="4" w:space="0"/>
              <w:left w:val="single" w:color="auto" w:sz="4" w:space="0"/>
              <w:bottom w:val="single" w:color="auto" w:sz="4" w:space="0"/>
              <w:right w:val="single" w:color="auto" w:sz="4" w:space="0"/>
            </w:tcBorders>
            <w:vAlign w:val="bottom"/>
          </w:tcPr>
          <w:p>
            <w:pPr>
              <w:widowControl/>
              <w:jc w:val="center"/>
              <w:rPr>
                <w:kern w:val="0"/>
                <w:szCs w:val="21"/>
              </w:rPr>
            </w:pPr>
            <w:r>
              <w:rPr>
                <w:kern w:val="0"/>
                <w:szCs w:val="21"/>
              </w:rPr>
              <w:t>——</w:t>
            </w:r>
          </w:p>
        </w:tc>
        <w:tc>
          <w:tcPr>
            <w:tcW w:w="656" w:type="dxa"/>
            <w:tcBorders>
              <w:top w:val="single" w:color="auto" w:sz="4" w:space="0"/>
              <w:left w:val="single" w:color="auto" w:sz="4" w:space="0"/>
              <w:bottom w:val="single" w:color="auto" w:sz="4" w:space="0"/>
              <w:right w:val="single" w:color="auto" w:sz="4" w:space="0"/>
            </w:tcBorders>
            <w:vAlign w:val="bottom"/>
          </w:tcPr>
          <w:p>
            <w:pPr>
              <w:widowControl/>
              <w:jc w:val="center"/>
              <w:rPr>
                <w:kern w:val="0"/>
                <w:szCs w:val="21"/>
              </w:rPr>
            </w:pPr>
            <w:r>
              <w:rPr>
                <w:kern w:val="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1022" w:type="dxa"/>
            <w:vMerge w:val="continue"/>
            <w:tcBorders>
              <w:left w:val="single" w:color="auto" w:sz="4" w:space="0"/>
              <w:bottom w:val="single" w:color="auto" w:sz="4" w:space="0"/>
              <w:right w:val="single" w:color="auto" w:sz="4" w:space="0"/>
            </w:tcBorders>
            <w:vAlign w:val="center"/>
          </w:tcPr>
          <w:p>
            <w:pPr>
              <w:widowControl/>
              <w:jc w:val="center"/>
              <w:rPr>
                <w:szCs w:val="21"/>
              </w:rPr>
            </w:pPr>
          </w:p>
        </w:tc>
        <w:tc>
          <w:tcPr>
            <w:tcW w:w="1066" w:type="dxa"/>
            <w:tcBorders>
              <w:top w:val="single" w:color="auto" w:sz="4" w:space="0"/>
              <w:left w:val="single" w:color="auto" w:sz="4" w:space="0"/>
              <w:bottom w:val="single" w:color="auto" w:sz="4" w:space="0"/>
              <w:right w:val="single" w:color="auto" w:sz="4" w:space="0"/>
            </w:tcBorders>
            <w:vAlign w:val="top"/>
          </w:tcPr>
          <w:p>
            <w:pPr>
              <w:jc w:val="center"/>
              <w:rPr>
                <w:szCs w:val="21"/>
              </w:rPr>
            </w:pPr>
            <w:r>
              <w:rPr>
                <w:rFonts w:hAnsi="宋体"/>
                <w:szCs w:val="21"/>
              </w:rPr>
              <w:t>公共建筑</w:t>
            </w:r>
          </w:p>
        </w:tc>
        <w:tc>
          <w:tcPr>
            <w:tcW w:w="964" w:type="dxa"/>
            <w:tcBorders>
              <w:top w:val="single" w:color="auto" w:sz="4" w:space="0"/>
              <w:left w:val="single" w:color="auto" w:sz="4" w:space="0"/>
              <w:bottom w:val="single" w:color="auto" w:sz="4" w:space="0"/>
              <w:right w:val="single" w:color="auto" w:sz="4" w:space="0"/>
            </w:tcBorders>
            <w:vAlign w:val="center"/>
          </w:tcPr>
          <w:p>
            <w:pPr>
              <w:widowControl/>
              <w:jc w:val="center"/>
              <w:rPr>
                <w:kern w:val="0"/>
                <w:szCs w:val="21"/>
              </w:rPr>
            </w:pPr>
            <w:r>
              <w:rPr>
                <w:kern w:val="0"/>
                <w:szCs w:val="21"/>
              </w:rPr>
              <w:t xml:space="preserve">0.20 </w:t>
            </w:r>
          </w:p>
        </w:tc>
        <w:tc>
          <w:tcPr>
            <w:tcW w:w="1113" w:type="dxa"/>
            <w:tcBorders>
              <w:top w:val="single" w:color="auto" w:sz="4" w:space="0"/>
              <w:left w:val="single" w:color="auto" w:sz="4" w:space="0"/>
              <w:bottom w:val="single" w:color="auto" w:sz="4" w:space="0"/>
              <w:right w:val="single" w:color="auto" w:sz="4" w:space="0"/>
            </w:tcBorders>
            <w:vAlign w:val="center"/>
          </w:tcPr>
          <w:p>
            <w:pPr>
              <w:widowControl/>
              <w:jc w:val="center"/>
              <w:rPr>
                <w:kern w:val="0"/>
                <w:szCs w:val="21"/>
              </w:rPr>
            </w:pPr>
            <w:r>
              <w:rPr>
                <w:kern w:val="0"/>
                <w:szCs w:val="21"/>
              </w:rPr>
              <w:t xml:space="preserve">0.30 </w:t>
            </w:r>
          </w:p>
        </w:tc>
        <w:tc>
          <w:tcPr>
            <w:tcW w:w="1018" w:type="dxa"/>
            <w:tcBorders>
              <w:top w:val="single" w:color="auto" w:sz="4" w:space="0"/>
              <w:left w:val="single" w:color="auto" w:sz="4" w:space="0"/>
              <w:bottom w:val="single" w:color="auto" w:sz="4" w:space="0"/>
              <w:right w:val="single" w:color="auto" w:sz="4" w:space="0"/>
            </w:tcBorders>
            <w:vAlign w:val="center"/>
          </w:tcPr>
          <w:p>
            <w:pPr>
              <w:widowControl/>
              <w:jc w:val="center"/>
              <w:rPr>
                <w:kern w:val="0"/>
                <w:szCs w:val="21"/>
              </w:rPr>
            </w:pPr>
            <w:r>
              <w:rPr>
                <w:kern w:val="0"/>
                <w:szCs w:val="21"/>
              </w:rPr>
              <w:t xml:space="preserve">0.13 </w:t>
            </w:r>
          </w:p>
        </w:tc>
        <w:tc>
          <w:tcPr>
            <w:tcW w:w="1207" w:type="dxa"/>
            <w:tcBorders>
              <w:top w:val="single" w:color="auto" w:sz="4" w:space="0"/>
              <w:left w:val="single" w:color="auto" w:sz="4" w:space="0"/>
              <w:bottom w:val="single" w:color="auto" w:sz="4" w:space="0"/>
              <w:right w:val="single" w:color="auto" w:sz="4" w:space="0"/>
            </w:tcBorders>
            <w:vAlign w:val="center"/>
          </w:tcPr>
          <w:p>
            <w:pPr>
              <w:widowControl/>
              <w:jc w:val="center"/>
              <w:rPr>
                <w:kern w:val="0"/>
                <w:szCs w:val="21"/>
              </w:rPr>
            </w:pPr>
            <w:r>
              <w:rPr>
                <w:kern w:val="0"/>
                <w:szCs w:val="21"/>
              </w:rPr>
              <w:t xml:space="preserve">0.17 </w:t>
            </w:r>
          </w:p>
        </w:tc>
        <w:tc>
          <w:tcPr>
            <w:tcW w:w="826" w:type="dxa"/>
            <w:tcBorders>
              <w:top w:val="single" w:color="auto" w:sz="4" w:space="0"/>
              <w:left w:val="single" w:color="auto" w:sz="4" w:space="0"/>
              <w:bottom w:val="single" w:color="auto" w:sz="4" w:space="0"/>
              <w:right w:val="single" w:color="auto" w:sz="4" w:space="0"/>
            </w:tcBorders>
            <w:vAlign w:val="center"/>
          </w:tcPr>
          <w:p>
            <w:pPr>
              <w:widowControl/>
              <w:jc w:val="center"/>
              <w:rPr>
                <w:kern w:val="0"/>
                <w:szCs w:val="21"/>
              </w:rPr>
            </w:pPr>
            <w:r>
              <w:rPr>
                <w:kern w:val="0"/>
                <w:szCs w:val="21"/>
              </w:rPr>
              <w:t xml:space="preserve">0.20 </w:t>
            </w:r>
          </w:p>
        </w:tc>
        <w:tc>
          <w:tcPr>
            <w:tcW w:w="826" w:type="dxa"/>
            <w:tcBorders>
              <w:top w:val="single" w:color="auto" w:sz="4" w:space="0"/>
              <w:left w:val="single" w:color="auto" w:sz="4" w:space="0"/>
              <w:bottom w:val="single" w:color="auto" w:sz="4" w:space="0"/>
              <w:right w:val="single" w:color="auto" w:sz="4" w:space="0"/>
            </w:tcBorders>
            <w:vAlign w:val="bottom"/>
          </w:tcPr>
          <w:p>
            <w:pPr>
              <w:widowControl/>
              <w:jc w:val="center"/>
              <w:rPr>
                <w:kern w:val="0"/>
                <w:szCs w:val="21"/>
              </w:rPr>
            </w:pPr>
            <w:r>
              <w:rPr>
                <w:kern w:val="0"/>
                <w:szCs w:val="21"/>
              </w:rPr>
              <w:t>——</w:t>
            </w:r>
          </w:p>
        </w:tc>
        <w:tc>
          <w:tcPr>
            <w:tcW w:w="656" w:type="dxa"/>
            <w:tcBorders>
              <w:top w:val="single" w:color="auto" w:sz="4" w:space="0"/>
              <w:left w:val="single" w:color="auto" w:sz="4" w:space="0"/>
              <w:bottom w:val="single" w:color="auto" w:sz="4" w:space="0"/>
              <w:right w:val="single" w:color="auto" w:sz="4" w:space="0"/>
            </w:tcBorders>
            <w:vAlign w:val="bottom"/>
          </w:tcPr>
          <w:p>
            <w:pPr>
              <w:widowControl/>
              <w:jc w:val="center"/>
              <w:rPr>
                <w:kern w:val="0"/>
                <w:szCs w:val="21"/>
              </w:rPr>
            </w:pPr>
            <w:r>
              <w:rPr>
                <w:kern w:val="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1022" w:type="dxa"/>
            <w:vMerge w:val="restart"/>
            <w:tcBorders>
              <w:top w:val="single" w:color="auto" w:sz="4" w:space="0"/>
              <w:left w:val="single" w:color="auto" w:sz="4" w:space="0"/>
              <w:bottom w:val="single" w:color="auto" w:sz="4" w:space="0"/>
              <w:right w:val="single" w:color="auto" w:sz="4" w:space="0"/>
            </w:tcBorders>
            <w:vAlign w:val="top"/>
          </w:tcPr>
          <w:p>
            <w:pPr>
              <w:jc w:val="center"/>
              <w:rPr>
                <w:szCs w:val="21"/>
              </w:rPr>
            </w:pPr>
            <w:r>
              <w:rPr>
                <w:rFonts w:hAnsi="宋体"/>
                <w:szCs w:val="21"/>
              </w:rPr>
              <w:t>运行</w:t>
            </w:r>
          </w:p>
          <w:p>
            <w:pPr>
              <w:jc w:val="center"/>
              <w:rPr>
                <w:szCs w:val="21"/>
              </w:rPr>
            </w:pPr>
            <w:r>
              <w:rPr>
                <w:rFonts w:hAnsi="宋体"/>
                <w:szCs w:val="21"/>
              </w:rPr>
              <w:t>评价</w:t>
            </w:r>
          </w:p>
        </w:tc>
        <w:tc>
          <w:tcPr>
            <w:tcW w:w="1066" w:type="dxa"/>
            <w:tcBorders>
              <w:top w:val="single" w:color="auto" w:sz="4" w:space="0"/>
              <w:left w:val="single" w:color="auto" w:sz="4" w:space="0"/>
              <w:bottom w:val="single" w:color="auto" w:sz="4" w:space="0"/>
              <w:right w:val="single" w:color="auto" w:sz="4" w:space="0"/>
            </w:tcBorders>
            <w:vAlign w:val="top"/>
          </w:tcPr>
          <w:p>
            <w:pPr>
              <w:jc w:val="center"/>
              <w:rPr>
                <w:szCs w:val="21"/>
              </w:rPr>
            </w:pPr>
            <w:r>
              <w:rPr>
                <w:rFonts w:hAnsi="宋体"/>
                <w:szCs w:val="21"/>
              </w:rPr>
              <w:t>居住建筑</w:t>
            </w:r>
          </w:p>
        </w:tc>
        <w:tc>
          <w:tcPr>
            <w:tcW w:w="964" w:type="dxa"/>
            <w:tcBorders>
              <w:top w:val="single" w:color="auto" w:sz="4" w:space="0"/>
              <w:left w:val="single" w:color="auto" w:sz="4" w:space="0"/>
              <w:bottom w:val="single" w:color="auto" w:sz="4" w:space="0"/>
              <w:right w:val="single" w:color="auto" w:sz="4" w:space="0"/>
            </w:tcBorders>
            <w:vAlign w:val="center"/>
          </w:tcPr>
          <w:p>
            <w:pPr>
              <w:widowControl/>
              <w:jc w:val="center"/>
              <w:rPr>
                <w:kern w:val="0"/>
                <w:szCs w:val="21"/>
              </w:rPr>
            </w:pPr>
            <w:r>
              <w:rPr>
                <w:rFonts w:hint="eastAsia"/>
                <w:kern w:val="0"/>
                <w:szCs w:val="21"/>
              </w:rPr>
              <w:t xml:space="preserve">0.15 </w:t>
            </w:r>
          </w:p>
        </w:tc>
        <w:tc>
          <w:tcPr>
            <w:tcW w:w="1113" w:type="dxa"/>
            <w:tcBorders>
              <w:top w:val="single" w:color="auto" w:sz="4" w:space="0"/>
              <w:left w:val="single" w:color="auto" w:sz="4" w:space="0"/>
              <w:bottom w:val="single" w:color="auto" w:sz="4" w:space="0"/>
              <w:right w:val="single" w:color="auto" w:sz="4" w:space="0"/>
            </w:tcBorders>
            <w:vAlign w:val="center"/>
          </w:tcPr>
          <w:p>
            <w:pPr>
              <w:widowControl/>
              <w:jc w:val="center"/>
              <w:rPr>
                <w:kern w:val="0"/>
                <w:szCs w:val="21"/>
              </w:rPr>
            </w:pPr>
            <w:r>
              <w:rPr>
                <w:rFonts w:hint="eastAsia"/>
                <w:kern w:val="0"/>
                <w:szCs w:val="21"/>
              </w:rPr>
              <w:t xml:space="preserve">0.25 </w:t>
            </w:r>
          </w:p>
        </w:tc>
        <w:tc>
          <w:tcPr>
            <w:tcW w:w="1018" w:type="dxa"/>
            <w:tcBorders>
              <w:top w:val="single" w:color="auto" w:sz="4" w:space="0"/>
              <w:left w:val="single" w:color="auto" w:sz="4" w:space="0"/>
              <w:bottom w:val="single" w:color="auto" w:sz="4" w:space="0"/>
              <w:right w:val="single" w:color="auto" w:sz="4" w:space="0"/>
            </w:tcBorders>
            <w:vAlign w:val="center"/>
          </w:tcPr>
          <w:p>
            <w:pPr>
              <w:widowControl/>
              <w:jc w:val="center"/>
              <w:rPr>
                <w:kern w:val="0"/>
                <w:szCs w:val="21"/>
              </w:rPr>
            </w:pPr>
            <w:r>
              <w:rPr>
                <w:rFonts w:hint="eastAsia"/>
                <w:kern w:val="0"/>
                <w:szCs w:val="21"/>
              </w:rPr>
              <w:t xml:space="preserve">0.18 </w:t>
            </w:r>
          </w:p>
        </w:tc>
        <w:tc>
          <w:tcPr>
            <w:tcW w:w="1207" w:type="dxa"/>
            <w:tcBorders>
              <w:top w:val="single" w:color="auto" w:sz="4" w:space="0"/>
              <w:left w:val="single" w:color="auto" w:sz="4" w:space="0"/>
              <w:bottom w:val="single" w:color="auto" w:sz="4" w:space="0"/>
              <w:right w:val="single" w:color="auto" w:sz="4" w:space="0"/>
            </w:tcBorders>
            <w:vAlign w:val="center"/>
          </w:tcPr>
          <w:p>
            <w:pPr>
              <w:widowControl/>
              <w:jc w:val="center"/>
              <w:rPr>
                <w:kern w:val="0"/>
                <w:szCs w:val="21"/>
              </w:rPr>
            </w:pPr>
            <w:r>
              <w:rPr>
                <w:kern w:val="0"/>
                <w:szCs w:val="21"/>
              </w:rPr>
              <w:t>0.12</w:t>
            </w:r>
          </w:p>
        </w:tc>
        <w:tc>
          <w:tcPr>
            <w:tcW w:w="826" w:type="dxa"/>
            <w:tcBorders>
              <w:top w:val="single" w:color="auto" w:sz="4" w:space="0"/>
              <w:left w:val="single" w:color="auto" w:sz="4" w:space="0"/>
              <w:bottom w:val="single" w:color="auto" w:sz="4" w:space="0"/>
              <w:right w:val="single" w:color="auto" w:sz="4" w:space="0"/>
            </w:tcBorders>
            <w:vAlign w:val="center"/>
          </w:tcPr>
          <w:p>
            <w:pPr>
              <w:widowControl/>
              <w:jc w:val="center"/>
              <w:rPr>
                <w:kern w:val="0"/>
                <w:szCs w:val="21"/>
              </w:rPr>
            </w:pPr>
            <w:r>
              <w:rPr>
                <w:kern w:val="0"/>
                <w:szCs w:val="21"/>
              </w:rPr>
              <w:t>0.15</w:t>
            </w:r>
          </w:p>
        </w:tc>
        <w:tc>
          <w:tcPr>
            <w:tcW w:w="826" w:type="dxa"/>
            <w:tcBorders>
              <w:top w:val="single" w:color="auto" w:sz="4" w:space="0"/>
              <w:left w:val="single" w:color="auto" w:sz="4" w:space="0"/>
              <w:bottom w:val="single" w:color="auto" w:sz="4" w:space="0"/>
              <w:right w:val="single" w:color="auto" w:sz="4" w:space="0"/>
            </w:tcBorders>
            <w:vAlign w:val="center"/>
          </w:tcPr>
          <w:p>
            <w:pPr>
              <w:widowControl/>
              <w:jc w:val="center"/>
              <w:rPr>
                <w:kern w:val="0"/>
                <w:szCs w:val="21"/>
              </w:rPr>
            </w:pPr>
            <w:r>
              <w:rPr>
                <w:kern w:val="0"/>
                <w:szCs w:val="21"/>
              </w:rPr>
              <w:t>0.07</w:t>
            </w:r>
          </w:p>
        </w:tc>
        <w:tc>
          <w:tcPr>
            <w:tcW w:w="656" w:type="dxa"/>
            <w:tcBorders>
              <w:top w:val="single" w:color="auto" w:sz="4" w:space="0"/>
              <w:left w:val="single" w:color="auto" w:sz="4" w:space="0"/>
              <w:bottom w:val="single" w:color="auto" w:sz="4" w:space="0"/>
              <w:right w:val="single" w:color="auto" w:sz="4" w:space="0"/>
            </w:tcBorders>
            <w:vAlign w:val="center"/>
          </w:tcPr>
          <w:p>
            <w:pPr>
              <w:widowControl/>
              <w:jc w:val="center"/>
              <w:rPr>
                <w:kern w:val="0"/>
                <w:szCs w:val="21"/>
              </w:rPr>
            </w:pPr>
            <w:r>
              <w:rPr>
                <w:kern w:val="0"/>
                <w:szCs w:val="21"/>
              </w:rPr>
              <w:t>0.08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102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szCs w:val="21"/>
              </w:rPr>
            </w:pPr>
          </w:p>
        </w:tc>
        <w:tc>
          <w:tcPr>
            <w:tcW w:w="1066" w:type="dxa"/>
            <w:tcBorders>
              <w:top w:val="single" w:color="auto" w:sz="4" w:space="0"/>
              <w:left w:val="single" w:color="auto" w:sz="4" w:space="0"/>
              <w:bottom w:val="single" w:color="auto" w:sz="4" w:space="0"/>
              <w:right w:val="single" w:color="auto" w:sz="4" w:space="0"/>
            </w:tcBorders>
            <w:vAlign w:val="top"/>
          </w:tcPr>
          <w:p>
            <w:pPr>
              <w:jc w:val="center"/>
              <w:rPr>
                <w:szCs w:val="21"/>
              </w:rPr>
            </w:pPr>
            <w:r>
              <w:rPr>
                <w:rFonts w:hAnsi="宋体"/>
                <w:szCs w:val="21"/>
              </w:rPr>
              <w:t>公共建筑</w:t>
            </w:r>
          </w:p>
        </w:tc>
        <w:tc>
          <w:tcPr>
            <w:tcW w:w="964" w:type="dxa"/>
            <w:tcBorders>
              <w:top w:val="single" w:color="auto" w:sz="4" w:space="0"/>
              <w:left w:val="single" w:color="auto" w:sz="4" w:space="0"/>
              <w:bottom w:val="single" w:color="auto" w:sz="4" w:space="0"/>
              <w:right w:val="single" w:color="auto" w:sz="4" w:space="0"/>
            </w:tcBorders>
            <w:vAlign w:val="center"/>
          </w:tcPr>
          <w:p>
            <w:pPr>
              <w:widowControl/>
              <w:jc w:val="center"/>
              <w:rPr>
                <w:kern w:val="0"/>
                <w:szCs w:val="21"/>
              </w:rPr>
            </w:pPr>
            <w:r>
              <w:rPr>
                <w:rFonts w:hint="eastAsia"/>
                <w:kern w:val="0"/>
                <w:szCs w:val="21"/>
              </w:rPr>
              <w:t xml:space="preserve">0.10 </w:t>
            </w:r>
          </w:p>
        </w:tc>
        <w:tc>
          <w:tcPr>
            <w:tcW w:w="1113" w:type="dxa"/>
            <w:tcBorders>
              <w:top w:val="single" w:color="auto" w:sz="4" w:space="0"/>
              <w:left w:val="single" w:color="auto" w:sz="4" w:space="0"/>
              <w:bottom w:val="single" w:color="auto" w:sz="4" w:space="0"/>
              <w:right w:val="single" w:color="auto" w:sz="4" w:space="0"/>
            </w:tcBorders>
            <w:vAlign w:val="center"/>
          </w:tcPr>
          <w:p>
            <w:pPr>
              <w:widowControl/>
              <w:jc w:val="center"/>
              <w:rPr>
                <w:kern w:val="0"/>
                <w:szCs w:val="21"/>
              </w:rPr>
            </w:pPr>
            <w:r>
              <w:rPr>
                <w:rFonts w:hint="eastAsia"/>
                <w:kern w:val="0"/>
                <w:szCs w:val="21"/>
              </w:rPr>
              <w:t xml:space="preserve">0.30 </w:t>
            </w:r>
          </w:p>
        </w:tc>
        <w:tc>
          <w:tcPr>
            <w:tcW w:w="1018" w:type="dxa"/>
            <w:tcBorders>
              <w:top w:val="single" w:color="auto" w:sz="4" w:space="0"/>
              <w:left w:val="single" w:color="auto" w:sz="4" w:space="0"/>
              <w:bottom w:val="single" w:color="auto" w:sz="4" w:space="0"/>
              <w:right w:val="single" w:color="auto" w:sz="4" w:space="0"/>
            </w:tcBorders>
            <w:vAlign w:val="center"/>
          </w:tcPr>
          <w:p>
            <w:pPr>
              <w:widowControl/>
              <w:jc w:val="center"/>
              <w:rPr>
                <w:kern w:val="0"/>
                <w:szCs w:val="21"/>
              </w:rPr>
            </w:pPr>
            <w:r>
              <w:rPr>
                <w:rFonts w:hint="eastAsia"/>
                <w:kern w:val="0"/>
                <w:szCs w:val="21"/>
              </w:rPr>
              <w:t xml:space="preserve">0.15 </w:t>
            </w:r>
          </w:p>
        </w:tc>
        <w:tc>
          <w:tcPr>
            <w:tcW w:w="1207" w:type="dxa"/>
            <w:tcBorders>
              <w:top w:val="single" w:color="auto" w:sz="4" w:space="0"/>
              <w:left w:val="single" w:color="auto" w:sz="4" w:space="0"/>
              <w:bottom w:val="single" w:color="auto" w:sz="4" w:space="0"/>
              <w:right w:val="single" w:color="auto" w:sz="4" w:space="0"/>
            </w:tcBorders>
            <w:vAlign w:val="center"/>
          </w:tcPr>
          <w:p>
            <w:pPr>
              <w:widowControl/>
              <w:jc w:val="center"/>
              <w:rPr>
                <w:kern w:val="0"/>
                <w:szCs w:val="21"/>
              </w:rPr>
            </w:pPr>
            <w:r>
              <w:rPr>
                <w:kern w:val="0"/>
                <w:szCs w:val="21"/>
              </w:rPr>
              <w:t>0.1</w:t>
            </w:r>
            <w:r>
              <w:rPr>
                <w:rFonts w:hint="eastAsia"/>
                <w:kern w:val="0"/>
                <w:szCs w:val="21"/>
              </w:rPr>
              <w:t>0</w:t>
            </w:r>
          </w:p>
        </w:tc>
        <w:tc>
          <w:tcPr>
            <w:tcW w:w="826" w:type="dxa"/>
            <w:tcBorders>
              <w:top w:val="single" w:color="auto" w:sz="4" w:space="0"/>
              <w:left w:val="single" w:color="auto" w:sz="4" w:space="0"/>
              <w:bottom w:val="single" w:color="auto" w:sz="4" w:space="0"/>
              <w:right w:val="single" w:color="auto" w:sz="4" w:space="0"/>
            </w:tcBorders>
            <w:vAlign w:val="center"/>
          </w:tcPr>
          <w:p>
            <w:pPr>
              <w:widowControl/>
              <w:jc w:val="center"/>
              <w:rPr>
                <w:kern w:val="0"/>
                <w:szCs w:val="21"/>
              </w:rPr>
            </w:pPr>
            <w:r>
              <w:rPr>
                <w:kern w:val="0"/>
                <w:szCs w:val="21"/>
              </w:rPr>
              <w:t>0.18</w:t>
            </w:r>
          </w:p>
        </w:tc>
        <w:tc>
          <w:tcPr>
            <w:tcW w:w="826" w:type="dxa"/>
            <w:tcBorders>
              <w:top w:val="single" w:color="auto" w:sz="4" w:space="0"/>
              <w:left w:val="single" w:color="auto" w:sz="4" w:space="0"/>
              <w:bottom w:val="single" w:color="auto" w:sz="4" w:space="0"/>
              <w:right w:val="single" w:color="auto" w:sz="4" w:space="0"/>
            </w:tcBorders>
            <w:vAlign w:val="center"/>
          </w:tcPr>
          <w:p>
            <w:pPr>
              <w:widowControl/>
              <w:jc w:val="center"/>
              <w:rPr>
                <w:kern w:val="0"/>
                <w:szCs w:val="21"/>
              </w:rPr>
            </w:pPr>
            <w:r>
              <w:rPr>
                <w:kern w:val="0"/>
                <w:szCs w:val="21"/>
              </w:rPr>
              <w:t>0.07</w:t>
            </w:r>
          </w:p>
        </w:tc>
        <w:tc>
          <w:tcPr>
            <w:tcW w:w="656" w:type="dxa"/>
            <w:tcBorders>
              <w:top w:val="single" w:color="auto" w:sz="4" w:space="0"/>
              <w:left w:val="single" w:color="auto" w:sz="4" w:space="0"/>
              <w:bottom w:val="single" w:color="auto" w:sz="4" w:space="0"/>
              <w:right w:val="single" w:color="auto" w:sz="4" w:space="0"/>
            </w:tcBorders>
            <w:vAlign w:val="center"/>
          </w:tcPr>
          <w:p>
            <w:pPr>
              <w:widowControl/>
              <w:jc w:val="center"/>
              <w:rPr>
                <w:kern w:val="0"/>
                <w:szCs w:val="21"/>
              </w:rPr>
            </w:pPr>
            <w:r>
              <w:rPr>
                <w:kern w:val="0"/>
                <w:szCs w:val="21"/>
              </w:rPr>
              <w:t>0.1</w:t>
            </w:r>
            <w:r>
              <w:rPr>
                <w:rFonts w:hint="eastAsia"/>
                <w:kern w:val="0"/>
                <w:szCs w:val="21"/>
              </w:rPr>
              <w:t>0</w:t>
            </w:r>
          </w:p>
        </w:tc>
      </w:tr>
      <w:bookmarkEnd w:id="32"/>
      <w:bookmarkEnd w:id="33"/>
      <w:bookmarkEnd w:id="34"/>
    </w:tbl>
    <w:p>
      <w:r>
        <w:rPr>
          <w:rFonts w:hAnsi="宋体"/>
        </w:rPr>
        <w:t>注：</w:t>
      </w:r>
      <w:r>
        <w:t xml:space="preserve">1 </w:t>
      </w:r>
      <w:r>
        <w:rPr>
          <w:rFonts w:hAnsi="宋体"/>
        </w:rPr>
        <w:t>表中</w:t>
      </w:r>
      <w:r>
        <w:rPr>
          <w:rFonts w:ascii="宋体" w:hAnsi="宋体"/>
        </w:rPr>
        <w:t>“</w:t>
      </w:r>
      <w:r>
        <w:t>——</w:t>
      </w:r>
      <w:r>
        <w:rPr>
          <w:rFonts w:ascii="宋体" w:hAnsi="宋体"/>
        </w:rPr>
        <w:t>”</w:t>
      </w:r>
      <w:r>
        <w:rPr>
          <w:rFonts w:hAnsi="宋体"/>
        </w:rPr>
        <w:t>表示施工管理和运营管理两类指标不参与设计评价。</w:t>
      </w:r>
    </w:p>
    <w:p>
      <w:pPr>
        <w:ind w:firstLine="435"/>
        <w:rPr>
          <w:rFonts w:hAnsi="宋体"/>
        </w:rPr>
      </w:pPr>
      <w:r>
        <w:t xml:space="preserve">2 </w:t>
      </w:r>
      <w:r>
        <w:rPr>
          <w:rFonts w:hAnsi="宋体"/>
        </w:rPr>
        <w:t>对于同时具有居住和公共功能的单体建筑，各类评价指标权重取为居住建筑和公共建筑所对应权重的平均值。</w:t>
      </w:r>
    </w:p>
    <w:p>
      <w:pPr>
        <w:pStyle w:val="80"/>
        <w:ind w:firstLine="0" w:firstLineChars="0"/>
        <w:rPr>
          <w:rFonts w:ascii="仿宋" w:hAnsi="仿宋" w:eastAsia="仿宋"/>
          <w:color w:val="FF0000"/>
          <w:szCs w:val="24"/>
        </w:rPr>
      </w:pPr>
      <w:r>
        <w:rPr>
          <w:rFonts w:hint="eastAsia" w:ascii="仿宋" w:hAnsi="仿宋" w:eastAsia="仿宋"/>
          <w:color w:val="FF0000"/>
          <w:szCs w:val="24"/>
        </w:rPr>
        <w:t>【条文说明】本条参考《绿色建筑评价规范》SZJG30-2009和现行国家标准《绿色建筑评价标准》GB/T50378的权重，结合深圳地区绿色建筑技术应用的实际状况，对各类指标在绿色建筑中的权重做出了规定。表5.2.7中给出了设计评价、运行评价时居住建筑、公共建筑的分项指标权重。施工管理和运行管理不参与设计评价。</w:t>
      </w:r>
    </w:p>
    <w:p>
      <w:pPr>
        <w:spacing w:line="360" w:lineRule="auto"/>
        <w:rPr>
          <w:rFonts w:hAnsi="宋体"/>
          <w:sz w:val="24"/>
        </w:rPr>
      </w:pPr>
    </w:p>
    <w:p>
      <w:pPr>
        <w:pStyle w:val="87"/>
        <w:spacing w:line="360" w:lineRule="auto"/>
        <w:ind w:firstLine="0" w:firstLineChars="0"/>
        <w:outlineLvl w:val="9"/>
        <w:rPr>
          <w:rFonts w:hAnsi="宋体"/>
        </w:rPr>
      </w:pPr>
      <w:r>
        <w:rPr>
          <w:rFonts w:hint="eastAsia"/>
          <w:b/>
          <w:bCs/>
        </w:rPr>
        <w:t>5</w:t>
      </w:r>
      <w:r>
        <w:rPr>
          <w:b/>
          <w:bCs/>
        </w:rPr>
        <w:t>.2.8</w:t>
      </w:r>
      <w:r>
        <w:rPr>
          <w:rFonts w:hAnsi="宋体"/>
          <w:bCs/>
        </w:rPr>
        <w:t>　</w:t>
      </w:r>
      <w:r>
        <w:rPr>
          <w:rFonts w:hAnsi="宋体"/>
        </w:rPr>
        <w:t>绿色建筑分为</w:t>
      </w:r>
      <w:r>
        <w:rPr>
          <w:rFonts w:hint="eastAsia" w:hAnsi="宋体"/>
        </w:rPr>
        <w:t>铜</w:t>
      </w:r>
      <w:r>
        <w:rPr>
          <w:rFonts w:hAnsi="宋体"/>
        </w:rPr>
        <w:t>级、</w:t>
      </w:r>
      <w:r>
        <w:rPr>
          <w:rFonts w:hint="eastAsia" w:hAnsi="宋体"/>
        </w:rPr>
        <w:t>银</w:t>
      </w:r>
      <w:r>
        <w:rPr>
          <w:rFonts w:hAnsi="宋体"/>
        </w:rPr>
        <w:t>级、</w:t>
      </w:r>
      <w:r>
        <w:rPr>
          <w:rFonts w:hint="eastAsia" w:hAnsi="宋体"/>
        </w:rPr>
        <w:t>金</w:t>
      </w:r>
      <w:r>
        <w:rPr>
          <w:rFonts w:hAnsi="宋体"/>
        </w:rPr>
        <w:t>级</w:t>
      </w:r>
      <w:r>
        <w:rPr>
          <w:rFonts w:hint="eastAsia" w:hAnsi="宋体"/>
        </w:rPr>
        <w:t>、铂金级</w:t>
      </w:r>
      <w:r>
        <w:rPr>
          <w:rFonts w:hint="eastAsia"/>
        </w:rPr>
        <w:t>4</w:t>
      </w:r>
      <w:r>
        <w:rPr>
          <w:rFonts w:hAnsi="宋体"/>
        </w:rPr>
        <w:t>个等级。</w:t>
      </w:r>
      <w:r>
        <w:rPr>
          <w:rFonts w:hint="eastAsia"/>
        </w:rPr>
        <w:t>4</w:t>
      </w:r>
      <w:r>
        <w:rPr>
          <w:rFonts w:hAnsi="宋体"/>
        </w:rPr>
        <w:t>个等级的绿色建筑均应满足本</w:t>
      </w:r>
      <w:r>
        <w:rPr>
          <w:rFonts w:hint="eastAsia" w:hAnsi="宋体"/>
        </w:rPr>
        <w:t>规范</w:t>
      </w:r>
      <w:r>
        <w:rPr>
          <w:rFonts w:hAnsi="宋体"/>
        </w:rPr>
        <w:t>所有控制项的要求，且节地与室外环境、节能与能源利用</w:t>
      </w:r>
      <w:r>
        <w:rPr>
          <w:rFonts w:hint="eastAsia" w:hAnsi="宋体"/>
        </w:rPr>
        <w:t>、节水与水资源利用、</w:t>
      </w:r>
      <w:r>
        <w:rPr>
          <w:rFonts w:hAnsi="宋体"/>
        </w:rPr>
        <w:t>室内环境质量指标</w:t>
      </w:r>
      <w:r>
        <w:rPr>
          <w:rFonts w:hint="eastAsia" w:hAnsi="宋体"/>
        </w:rPr>
        <w:t>、施工管理指标、运营管理指标</w:t>
      </w:r>
      <w:r>
        <w:rPr>
          <w:rFonts w:hAnsi="宋体"/>
        </w:rPr>
        <w:t>的评分项得分不应小于</w:t>
      </w:r>
      <w:r>
        <w:t>40</w:t>
      </w:r>
      <w:r>
        <w:rPr>
          <w:rFonts w:hAnsi="宋体"/>
        </w:rPr>
        <w:t>分</w:t>
      </w:r>
      <w:r>
        <w:rPr>
          <w:rFonts w:hint="eastAsia" w:hAnsi="宋体"/>
        </w:rPr>
        <w:t>，节材与材料资源利用指标的评分项得分不应小于30分</w:t>
      </w:r>
      <w:r>
        <w:rPr>
          <w:rFonts w:hAnsi="宋体"/>
        </w:rPr>
        <w:t>。当绿色建筑总得分分别达到</w:t>
      </w:r>
      <w:r>
        <w:t>50</w:t>
      </w:r>
      <w:r>
        <w:rPr>
          <w:rFonts w:hAnsi="宋体"/>
        </w:rPr>
        <w:t>分、</w:t>
      </w:r>
      <w:r>
        <w:t>60</w:t>
      </w:r>
      <w:r>
        <w:rPr>
          <w:rFonts w:hAnsi="宋体"/>
        </w:rPr>
        <w:t>分、</w:t>
      </w:r>
      <w:r>
        <w:t>80</w:t>
      </w:r>
      <w:r>
        <w:rPr>
          <w:rFonts w:hAnsi="宋体"/>
        </w:rPr>
        <w:t>分</w:t>
      </w:r>
      <w:r>
        <w:rPr>
          <w:rFonts w:hint="eastAsia" w:hAnsi="宋体"/>
        </w:rPr>
        <w:t>、88分</w:t>
      </w:r>
      <w:r>
        <w:rPr>
          <w:rFonts w:hAnsi="宋体"/>
        </w:rPr>
        <w:t>时，绿色建筑等级分别为</w:t>
      </w:r>
      <w:r>
        <w:rPr>
          <w:rFonts w:hint="eastAsia" w:hAnsi="宋体"/>
        </w:rPr>
        <w:t>铜</w:t>
      </w:r>
      <w:r>
        <w:rPr>
          <w:rFonts w:hAnsi="宋体"/>
        </w:rPr>
        <w:t>级、</w:t>
      </w:r>
      <w:r>
        <w:rPr>
          <w:rFonts w:hint="eastAsia" w:hAnsi="宋体"/>
        </w:rPr>
        <w:t>银</w:t>
      </w:r>
      <w:r>
        <w:rPr>
          <w:rFonts w:hAnsi="宋体"/>
        </w:rPr>
        <w:t>级、</w:t>
      </w:r>
      <w:r>
        <w:rPr>
          <w:rFonts w:hint="eastAsia" w:hAnsi="宋体"/>
        </w:rPr>
        <w:t>金</w:t>
      </w:r>
      <w:r>
        <w:rPr>
          <w:rFonts w:hAnsi="宋体"/>
        </w:rPr>
        <w:t>级</w:t>
      </w:r>
      <w:r>
        <w:rPr>
          <w:rFonts w:hint="eastAsia" w:hAnsi="宋体"/>
        </w:rPr>
        <w:t>、铂金级</w:t>
      </w:r>
      <w:r>
        <w:rPr>
          <w:rFonts w:hAnsi="宋体"/>
        </w:rPr>
        <w:t>。</w:t>
      </w:r>
    </w:p>
    <w:p>
      <w:pPr>
        <w:pStyle w:val="80"/>
        <w:ind w:firstLine="0" w:firstLineChars="0"/>
        <w:rPr>
          <w:bCs/>
        </w:rPr>
      </w:pPr>
      <w:r>
        <w:rPr>
          <w:rFonts w:hint="eastAsia" w:ascii="仿宋" w:hAnsi="仿宋" w:eastAsia="仿宋"/>
          <w:color w:val="FF0000"/>
          <w:szCs w:val="24"/>
        </w:rPr>
        <w:t>【条文说明】本条按《绿色建筑评价规范》SZJG30-2009的要求，将绿色建筑等级划分为铜级、银级、金级、铂金级，为了与现行国家标准《绿色建筑评价标准》GB/T50378保持一致，并体现深圳绿色建筑的创新性和领先性，规定每类指标的最低得分为40分，铜级50分（与国标一星对应），银级60分（与国标二星级对应），金级80分（与国标三星对应），铂金级88分（体现深圳的领先性和创新性）。</w:t>
      </w:r>
    </w:p>
    <w:p>
      <w:pPr>
        <w:spacing w:line="360" w:lineRule="auto"/>
        <w:rPr>
          <w:rFonts w:hAnsi="宋体"/>
          <w:sz w:val="24"/>
        </w:rPr>
      </w:pPr>
      <w:r>
        <w:rPr>
          <w:rFonts w:hint="eastAsia"/>
          <w:b/>
          <w:bCs/>
          <w:sz w:val="24"/>
        </w:rPr>
        <w:t>5</w:t>
      </w:r>
      <w:r>
        <w:rPr>
          <w:b/>
          <w:bCs/>
          <w:sz w:val="24"/>
        </w:rPr>
        <w:t>.2.9</w:t>
      </w:r>
      <w:r>
        <w:rPr>
          <w:rFonts w:hAnsi="宋体"/>
          <w:bCs/>
          <w:sz w:val="24"/>
        </w:rPr>
        <w:t>　</w:t>
      </w:r>
      <w:r>
        <w:rPr>
          <w:rFonts w:hAnsi="宋体"/>
          <w:sz w:val="24"/>
        </w:rPr>
        <w:t>对多功能的综合性单体建筑，应按本标准全部评价条文逐条对适用的区域进行评价，确定各评价条文的得分。</w:t>
      </w:r>
    </w:p>
    <w:p>
      <w:pPr>
        <w:pStyle w:val="80"/>
        <w:ind w:firstLine="0" w:firstLineChars="0"/>
        <w:rPr>
          <w:rFonts w:ascii="仿宋" w:hAnsi="仿宋" w:eastAsia="仿宋"/>
          <w:color w:val="FF0000"/>
          <w:szCs w:val="24"/>
        </w:rPr>
      </w:pPr>
      <w:r>
        <w:rPr>
          <w:rFonts w:hint="eastAsia" w:ascii="仿宋" w:hAnsi="仿宋" w:eastAsia="仿宋"/>
          <w:color w:val="FF0000"/>
          <w:szCs w:val="24"/>
        </w:rPr>
        <w:t>【条文说明】不论建筑功能是否综合，均以各个条/款为基本评判单元。对于某一条文，只要建筑中有相关区域涉及，则该建筑就参评并确定得分。在此后的具体条文及其说明中，有的已说明混合功能建筑的得分取多种功能分别评价结果的平均值；有的则已说明按各种功能用水量的权重，采用加权法调整计算非传统水源利用率的要求；等等。还有一些条文，下设两款分别针对居住建筑和公共建筑的，所评价建筑如同时具有居住和公共功能，需要按照公共和居住的面积比例权重确定，如居住功能面积比例小于40%，则不能按照居住功能判定；如居住功能面积比例大于60%，则要按照居住功能进行判定；如居住功能面积比例介于40%~60%之间，由项目申请单位自行确定适用居住功能或公共功能，但是所有条款均应按照统一原则确定。最后需要强调的是，建筑整体的等级仍需要满足本规范的规定确定。</w:t>
      </w:r>
    </w:p>
    <w:p>
      <w:pPr>
        <w:spacing w:line="360" w:lineRule="auto"/>
        <w:rPr>
          <w:sz w:val="24"/>
        </w:rPr>
      </w:pPr>
    </w:p>
    <w:p>
      <w:pPr>
        <w:pStyle w:val="2"/>
        <w:spacing w:before="240" w:after="240" w:line="360" w:lineRule="auto"/>
        <w:jc w:val="center"/>
        <w:rPr>
          <w:rFonts w:eastAsia="黑体"/>
          <w:sz w:val="28"/>
          <w:szCs w:val="24"/>
        </w:rPr>
      </w:pPr>
      <w:r>
        <w:br w:type="page"/>
      </w:r>
      <w:bookmarkStart w:id="35" w:name="_Toc449111655"/>
      <w:r>
        <w:rPr>
          <w:rFonts w:eastAsia="黑体"/>
          <w:sz w:val="28"/>
          <w:szCs w:val="24"/>
        </w:rPr>
        <w:t>6</w:t>
      </w:r>
      <w:r>
        <w:rPr>
          <w:rFonts w:hint="eastAsia" w:eastAsia="黑体"/>
          <w:sz w:val="28"/>
          <w:szCs w:val="24"/>
        </w:rPr>
        <w:t>节地与室外环境</w:t>
      </w:r>
      <w:bookmarkEnd w:id="35"/>
    </w:p>
    <w:p>
      <w:pPr>
        <w:pStyle w:val="3"/>
        <w:numPr>
          <w:ilvl w:val="0"/>
          <w:numId w:val="0"/>
        </w:numPr>
        <w:spacing w:before="120" w:after="120" w:line="240" w:lineRule="auto"/>
        <w:ind w:left="482" w:hanging="481" w:hangingChars="200"/>
        <w:jc w:val="center"/>
        <w:rPr>
          <w:rFonts w:ascii="Times New Roman" w:hAnsi="Times New Roman"/>
        </w:rPr>
      </w:pPr>
      <w:bookmarkStart w:id="36" w:name="_Toc449111656"/>
      <w:r>
        <w:rPr>
          <w:rFonts w:ascii="Times New Roman" w:hAnsi="Times New Roman"/>
        </w:rPr>
        <w:t xml:space="preserve">6.1 </w:t>
      </w:r>
      <w:r>
        <w:rPr>
          <w:rFonts w:hint="eastAsia" w:ascii="Times New Roman" w:hAnsi="Times New Roman"/>
        </w:rPr>
        <w:t>控制项</w:t>
      </w:r>
      <w:bookmarkEnd w:id="36"/>
    </w:p>
    <w:p>
      <w:pPr>
        <w:pStyle w:val="87"/>
        <w:spacing w:line="360" w:lineRule="auto"/>
        <w:ind w:firstLine="0" w:firstLineChars="0"/>
        <w:outlineLvl w:val="9"/>
        <w:rPr>
          <w:rFonts w:hAnsi="宋体"/>
          <w:bCs/>
          <w:szCs w:val="21"/>
        </w:rPr>
      </w:pPr>
      <w:r>
        <w:rPr>
          <w:rFonts w:hint="eastAsia"/>
          <w:b/>
          <w:bCs/>
          <w:szCs w:val="21"/>
        </w:rPr>
        <w:t>6</w:t>
      </w:r>
      <w:r>
        <w:rPr>
          <w:b/>
          <w:bCs/>
          <w:szCs w:val="21"/>
        </w:rPr>
        <w:t>.1.1</w:t>
      </w:r>
      <w:r>
        <w:rPr>
          <w:rFonts w:hAnsi="宋体"/>
          <w:b/>
          <w:bCs/>
          <w:szCs w:val="21"/>
        </w:rPr>
        <w:t>　</w:t>
      </w:r>
      <w:bookmarkStart w:id="37" w:name="OLE_LINK58"/>
      <w:bookmarkStart w:id="38" w:name="OLE_LINK57"/>
      <w:r>
        <w:rPr>
          <w:rFonts w:hAnsi="宋体"/>
          <w:bCs/>
          <w:szCs w:val="21"/>
        </w:rPr>
        <w:t>项目选址、规划与建设应符合</w:t>
      </w:r>
      <w:r>
        <w:rPr>
          <w:rFonts w:hint="eastAsia" w:hAnsi="宋体"/>
          <w:bCs/>
          <w:szCs w:val="21"/>
        </w:rPr>
        <w:t>深圳市</w:t>
      </w:r>
      <w:r>
        <w:rPr>
          <w:rFonts w:hAnsi="宋体"/>
          <w:bCs/>
          <w:szCs w:val="21"/>
        </w:rPr>
        <w:t>规划</w:t>
      </w:r>
      <w:r>
        <w:rPr>
          <w:rFonts w:hint="eastAsia" w:hAnsi="宋体"/>
          <w:bCs/>
          <w:szCs w:val="21"/>
        </w:rPr>
        <w:t>要求</w:t>
      </w:r>
      <w:r>
        <w:rPr>
          <w:rFonts w:hAnsi="宋体"/>
          <w:bCs/>
          <w:szCs w:val="21"/>
        </w:rPr>
        <w:t>，且应符合</w:t>
      </w:r>
      <w:r>
        <w:rPr>
          <w:rFonts w:hint="eastAsia" w:hAnsi="宋体"/>
          <w:bCs/>
          <w:szCs w:val="21"/>
        </w:rPr>
        <w:t>深圳市基本生态控制线</w:t>
      </w:r>
      <w:r>
        <w:rPr>
          <w:rFonts w:hAnsi="宋体"/>
          <w:bCs/>
          <w:szCs w:val="21"/>
        </w:rPr>
        <w:t>、各类保护区、文物古迹保护的建设控制要求。</w:t>
      </w:r>
      <w:bookmarkEnd w:id="37"/>
      <w:bookmarkEnd w:id="38"/>
    </w:p>
    <w:p>
      <w:pPr>
        <w:pStyle w:val="80"/>
        <w:ind w:firstLine="0" w:firstLineChars="0"/>
        <w:rPr>
          <w:rFonts w:ascii="仿宋" w:hAnsi="仿宋" w:eastAsia="仿宋"/>
          <w:color w:val="FF0000"/>
          <w:szCs w:val="24"/>
        </w:rPr>
      </w:pPr>
      <w:r>
        <w:rPr>
          <w:rFonts w:hint="eastAsia" w:ascii="仿宋" w:hAnsi="仿宋" w:eastAsia="仿宋"/>
          <w:color w:val="FF0000"/>
          <w:szCs w:val="24"/>
        </w:rPr>
        <w:t>【条文说明】本条文沿自《绿色建筑评价规范》SZJG30-2009的5.1.1条、6.1.1条。结合深圳规划要求，增加了基本生态控制线的要求。建筑室内外日照按满足深圳市规划审批文件的要求执行。</w:t>
      </w:r>
    </w:p>
    <w:p>
      <w:pPr>
        <w:pStyle w:val="87"/>
        <w:spacing w:line="360" w:lineRule="auto"/>
        <w:ind w:firstLine="0" w:firstLineChars="0"/>
        <w:outlineLvl w:val="9"/>
        <w:rPr>
          <w:bCs/>
          <w:szCs w:val="21"/>
        </w:rPr>
      </w:pPr>
    </w:p>
    <w:p>
      <w:pPr>
        <w:pStyle w:val="87"/>
        <w:spacing w:line="360" w:lineRule="auto"/>
        <w:ind w:firstLine="0" w:firstLineChars="0"/>
        <w:outlineLvl w:val="9"/>
        <w:rPr>
          <w:rFonts w:hAnsi="宋体"/>
          <w:bCs/>
          <w:szCs w:val="21"/>
        </w:rPr>
      </w:pPr>
      <w:r>
        <w:rPr>
          <w:rFonts w:hint="eastAsia"/>
          <w:b/>
          <w:bCs/>
          <w:szCs w:val="21"/>
        </w:rPr>
        <w:t>6</w:t>
      </w:r>
      <w:r>
        <w:rPr>
          <w:b/>
          <w:bCs/>
          <w:szCs w:val="21"/>
        </w:rPr>
        <w:t>.1.2</w:t>
      </w:r>
      <w:r>
        <w:rPr>
          <w:rFonts w:hAnsi="宋体"/>
          <w:bCs/>
          <w:szCs w:val="21"/>
        </w:rPr>
        <w:t>　场地应无洪涝、滑坡、泥石流等灾害的威胁，无危险化学品、易燃易爆等危险源的威胁，且无电磁辐射、含氡土壤等危害。</w:t>
      </w:r>
    </w:p>
    <w:p>
      <w:pPr>
        <w:pStyle w:val="80"/>
        <w:ind w:firstLine="0" w:firstLineChars="0"/>
        <w:rPr>
          <w:rFonts w:ascii="仿宋" w:hAnsi="仿宋" w:eastAsia="仿宋"/>
          <w:color w:val="FF0000"/>
          <w:szCs w:val="24"/>
        </w:rPr>
      </w:pPr>
      <w:r>
        <w:rPr>
          <w:rFonts w:hint="eastAsia" w:ascii="仿宋" w:hAnsi="仿宋" w:eastAsia="仿宋"/>
          <w:color w:val="FF0000"/>
          <w:szCs w:val="24"/>
        </w:rPr>
        <w:t>【条文说明】本条文沿自《绿色建筑评价规范》SZJG30-2009的5.1.2条、6.1.2条。本条是对绿色建筑的场地安全提出要求。建筑场地与各类危险源的安全防护距离等控制要求，对场地中不利地段或潜在危险源应采取必要的避让、防护或控制、治理等措施，对场地中存在的有毒有害物质应采取有效的治理与防护措施进行无害化处理，确保符合各项目安全标准。</w:t>
      </w:r>
    </w:p>
    <w:p>
      <w:pPr>
        <w:pStyle w:val="87"/>
        <w:spacing w:line="360" w:lineRule="auto"/>
        <w:ind w:firstLine="0" w:firstLineChars="0"/>
        <w:outlineLvl w:val="9"/>
        <w:rPr>
          <w:bCs/>
          <w:szCs w:val="21"/>
        </w:rPr>
      </w:pPr>
    </w:p>
    <w:p>
      <w:pPr>
        <w:pStyle w:val="87"/>
        <w:spacing w:line="360" w:lineRule="auto"/>
        <w:ind w:firstLine="0" w:firstLineChars="0"/>
        <w:outlineLvl w:val="9"/>
        <w:rPr>
          <w:rFonts w:hAnsi="宋体"/>
          <w:bCs/>
          <w:szCs w:val="21"/>
        </w:rPr>
      </w:pPr>
      <w:r>
        <w:rPr>
          <w:rFonts w:hint="eastAsia"/>
          <w:b/>
          <w:bCs/>
          <w:szCs w:val="21"/>
        </w:rPr>
        <w:t>6</w:t>
      </w:r>
      <w:r>
        <w:rPr>
          <w:b/>
          <w:bCs/>
          <w:szCs w:val="21"/>
        </w:rPr>
        <w:t>.1.3</w:t>
      </w:r>
      <w:r>
        <w:rPr>
          <w:rFonts w:hAnsi="宋体"/>
          <w:bCs/>
          <w:szCs w:val="21"/>
        </w:rPr>
        <w:t>　场地内建设项目不应有排放超标的污染物。</w:t>
      </w:r>
    </w:p>
    <w:p>
      <w:pPr>
        <w:pStyle w:val="80"/>
        <w:ind w:firstLine="0" w:firstLineChars="0"/>
        <w:rPr>
          <w:rFonts w:ascii="仿宋" w:hAnsi="仿宋" w:eastAsia="仿宋"/>
          <w:color w:val="FF0000"/>
          <w:szCs w:val="24"/>
        </w:rPr>
      </w:pPr>
      <w:r>
        <w:rPr>
          <w:rFonts w:hint="eastAsia" w:ascii="仿宋" w:hAnsi="仿宋" w:eastAsia="仿宋"/>
          <w:color w:val="FF0000"/>
          <w:szCs w:val="24"/>
        </w:rPr>
        <w:t>【条文说明】建筑场地内不应存在未达标排放或者超标排放的气态、液态或固态。</w:t>
      </w:r>
    </w:p>
    <w:p>
      <w:pPr>
        <w:pStyle w:val="87"/>
        <w:spacing w:line="360" w:lineRule="auto"/>
        <w:ind w:firstLine="0" w:firstLineChars="0"/>
        <w:outlineLvl w:val="9"/>
        <w:rPr>
          <w:bCs/>
          <w:szCs w:val="21"/>
        </w:rPr>
      </w:pPr>
    </w:p>
    <w:p>
      <w:pPr>
        <w:pStyle w:val="87"/>
        <w:spacing w:line="360" w:lineRule="auto"/>
        <w:ind w:firstLine="0" w:firstLineChars="0"/>
        <w:outlineLvl w:val="9"/>
        <w:rPr>
          <w:rFonts w:hAnsi="宋体"/>
          <w:bCs/>
          <w:szCs w:val="21"/>
        </w:rPr>
      </w:pPr>
      <w:r>
        <w:rPr>
          <w:rFonts w:hint="eastAsia"/>
          <w:b/>
          <w:bCs/>
          <w:szCs w:val="21"/>
        </w:rPr>
        <w:t>6</w:t>
      </w:r>
      <w:r>
        <w:rPr>
          <w:b/>
          <w:bCs/>
          <w:szCs w:val="21"/>
        </w:rPr>
        <w:t>.1.4</w:t>
      </w:r>
      <w:r>
        <w:rPr>
          <w:rFonts w:hAnsi="宋体"/>
          <w:bCs/>
          <w:szCs w:val="21"/>
        </w:rPr>
        <w:t>　</w:t>
      </w:r>
      <w:r>
        <w:rPr>
          <w:rFonts w:hint="eastAsia" w:hAnsi="宋体"/>
          <w:bCs/>
          <w:szCs w:val="21"/>
        </w:rPr>
        <w:t>合理规划垃圾物流，对生活废弃物进行分类收集，垃圾容器设置规范</w:t>
      </w:r>
      <w:r>
        <w:rPr>
          <w:rFonts w:hAnsi="宋体"/>
          <w:bCs/>
          <w:szCs w:val="21"/>
        </w:rPr>
        <w:t>。</w:t>
      </w:r>
    </w:p>
    <w:p>
      <w:pPr>
        <w:pStyle w:val="80"/>
        <w:ind w:firstLine="0" w:firstLineChars="0"/>
        <w:rPr>
          <w:rFonts w:ascii="仿宋" w:hAnsi="仿宋" w:eastAsia="仿宋"/>
          <w:color w:val="FF0000"/>
          <w:szCs w:val="24"/>
        </w:rPr>
      </w:pPr>
      <w:r>
        <w:rPr>
          <w:rFonts w:hint="eastAsia" w:ascii="仿宋" w:hAnsi="仿宋" w:eastAsia="仿宋"/>
          <w:color w:val="FF0000"/>
          <w:szCs w:val="24"/>
        </w:rPr>
        <w:t>【条文说明】本条沿用自本规范《绿色建筑评价规范》SZJG30-2009控制项第5. 6.3、6. 6.3条。根据《深圳市生活垃圾分类和减量管理办法》（深圳市人民政府令第277号）的规定，生活垃圾可分为可回收物、有害垃圾、其他垃圾三类，鼓励有处理条件的住宅区等场所将生活垃圾分为四类：可回收物、有害垃圾、厨余垃圾和其他垃圾。可回收物是指可循环利用和资源化利用的废纸、废塑料、废玻璃、废金属、废弃织物、废弃电子产品等；有害垃圾是指对人体健康或者自然环境造成直接或者潜在危害应当专门处置的废电池、废灯管、弃置药品、废杀虫剂、废油漆、废日用化学品、废水银产品等；厨余垃圾指是指居民在家庭生活或者消费过程中产生的易腐性垃圾，包括剩菜剩饭、菜梆菜叶、瓜果皮核、废弃食物、废弃蔬菜、盆景植物、残枝落叶等；其他垃圾是指除可回收物、厨余垃圾、有害垃圾之外的其他废弃物。首先，根据垃圾处理要求等确立分类管理制度和必要的收集设施，并对垃圾的收集、运输和处理等进行整体的合理规划，合理设置小型有机厨余垃圾处理设施。其次，垃圾容器应具有密闭性能，其规格和位置应符合国家有关标准的规定，其数量、外观色彩及标志应符合垃圾分类收集的要求，并置于隐蔽、避风处，与周围景观相协调，坚固耐用，不易倾倒，防止垃圾无序倾倒和二次污染。</w:t>
      </w:r>
    </w:p>
    <w:p>
      <w:pPr>
        <w:pStyle w:val="80"/>
        <w:ind w:firstLine="0" w:firstLineChars="0"/>
        <w:rPr>
          <w:rFonts w:ascii="仿宋" w:hAnsi="仿宋" w:eastAsia="仿宋"/>
          <w:color w:val="FF0000"/>
          <w:szCs w:val="24"/>
        </w:rPr>
      </w:pPr>
      <w:r>
        <w:rPr>
          <w:rFonts w:hint="eastAsia" w:ascii="仿宋" w:hAnsi="仿宋" w:eastAsia="仿宋"/>
          <w:color w:val="FF0000"/>
          <w:szCs w:val="24"/>
        </w:rPr>
        <w:t>要点：1）重点考虑垃圾房布置位置，要求布置在下风处；2）景观设计需要考虑垃圾桶的形式，并有分类收集功能。</w:t>
      </w:r>
    </w:p>
    <w:p>
      <w:pPr>
        <w:spacing w:line="360" w:lineRule="auto"/>
        <w:rPr>
          <w:sz w:val="24"/>
        </w:rPr>
      </w:pPr>
    </w:p>
    <w:p>
      <w:pPr>
        <w:pStyle w:val="3"/>
        <w:numPr>
          <w:ilvl w:val="0"/>
          <w:numId w:val="0"/>
        </w:numPr>
        <w:spacing w:before="120" w:after="120" w:line="240" w:lineRule="auto"/>
        <w:ind w:left="482" w:hanging="481" w:hangingChars="200"/>
        <w:jc w:val="center"/>
        <w:rPr>
          <w:rFonts w:ascii="Times New Roman" w:hAnsi="Times New Roman"/>
        </w:rPr>
      </w:pPr>
      <w:bookmarkStart w:id="39" w:name="_Toc449111657"/>
      <w:r>
        <w:rPr>
          <w:rFonts w:ascii="Times New Roman" w:hAnsi="Times New Roman"/>
        </w:rPr>
        <w:t xml:space="preserve">6.2 </w:t>
      </w:r>
      <w:r>
        <w:rPr>
          <w:rFonts w:hint="eastAsia" w:ascii="Times New Roman" w:hAnsi="Times New Roman"/>
        </w:rPr>
        <w:t>评分项</w:t>
      </w:r>
      <w:bookmarkEnd w:id="39"/>
    </w:p>
    <w:p>
      <w:pPr>
        <w:pStyle w:val="87"/>
        <w:ind w:firstLine="0" w:firstLineChars="0"/>
        <w:jc w:val="center"/>
        <w:rPr>
          <w:rFonts w:ascii="宋体" w:hAnsi="宋体"/>
        </w:rPr>
      </w:pPr>
      <w:bookmarkStart w:id="40" w:name="_Toc449111658"/>
      <w:r>
        <w:rPr>
          <w:rFonts w:hint="eastAsia" w:ascii="宋体" w:hAnsi="宋体"/>
        </w:rPr>
        <w:t>Ⅰ 土地利用（29分）</w:t>
      </w:r>
      <w:bookmarkEnd w:id="40"/>
    </w:p>
    <w:p>
      <w:pPr>
        <w:spacing w:line="360" w:lineRule="auto"/>
        <w:rPr>
          <w:color w:val="000000"/>
          <w:sz w:val="24"/>
        </w:rPr>
      </w:pPr>
      <w:r>
        <w:rPr>
          <w:b/>
          <w:bCs/>
          <w:sz w:val="24"/>
        </w:rPr>
        <w:t>6.2.1</w:t>
      </w:r>
      <w:r>
        <w:rPr>
          <w:rFonts w:hint="eastAsia"/>
          <w:color w:val="000000"/>
          <w:sz w:val="24"/>
        </w:rPr>
        <w:t>节约集约利用土地，评价总分值为8分。对居住建筑，根据其人均居住用地指标按表6.2.1-1的规则评分；对公共建筑，根据其容积率按表6.2.1-2的规则评分。</w:t>
      </w:r>
    </w:p>
    <w:p>
      <w:pPr>
        <w:spacing w:line="360" w:lineRule="auto"/>
        <w:jc w:val="center"/>
        <w:rPr>
          <w:b/>
          <w:color w:val="000000"/>
        </w:rPr>
      </w:pPr>
      <w:r>
        <w:rPr>
          <w:rFonts w:hint="eastAsia"/>
          <w:b/>
          <w:color w:val="000000"/>
        </w:rPr>
        <w:t>表6.2.1-1 居住建筑人均居住用地指标评分规则</w:t>
      </w:r>
    </w:p>
    <w:tbl>
      <w:tblPr>
        <w:tblStyle w:val="38"/>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0"/>
        <w:gridCol w:w="1420"/>
        <w:gridCol w:w="1420"/>
        <w:gridCol w:w="1420"/>
        <w:gridCol w:w="1421"/>
        <w:gridCol w:w="14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1" w:type="dxa"/>
            <w:gridSpan w:val="5"/>
            <w:vAlign w:val="top"/>
          </w:tcPr>
          <w:p>
            <w:pPr>
              <w:jc w:val="center"/>
              <w:rPr>
                <w:color w:val="000000"/>
                <w:szCs w:val="21"/>
              </w:rPr>
            </w:pPr>
            <w:r>
              <w:rPr>
                <w:rFonts w:hint="eastAsia"/>
                <w:color w:val="000000"/>
                <w:szCs w:val="21"/>
              </w:rPr>
              <w:t>居住建筑人均居住用地指标（㎡）</w:t>
            </w:r>
          </w:p>
        </w:tc>
        <w:tc>
          <w:tcPr>
            <w:tcW w:w="1421" w:type="dxa"/>
            <w:vMerge w:val="restart"/>
            <w:vAlign w:val="center"/>
          </w:tcPr>
          <w:p>
            <w:pPr>
              <w:jc w:val="center"/>
              <w:rPr>
                <w:color w:val="000000"/>
                <w:szCs w:val="21"/>
              </w:rPr>
            </w:pPr>
            <w:r>
              <w:rPr>
                <w:rFonts w:hint="eastAsia"/>
                <w:color w:val="000000"/>
                <w:szCs w:val="21"/>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top"/>
          </w:tcPr>
          <w:p>
            <w:pPr>
              <w:jc w:val="center"/>
              <w:rPr>
                <w:color w:val="000000"/>
                <w:szCs w:val="21"/>
              </w:rPr>
            </w:pPr>
            <w:r>
              <w:rPr>
                <w:rFonts w:hint="eastAsia"/>
                <w:color w:val="000000"/>
                <w:szCs w:val="21"/>
              </w:rPr>
              <w:t>3层及以下</w:t>
            </w:r>
          </w:p>
        </w:tc>
        <w:tc>
          <w:tcPr>
            <w:tcW w:w="1420" w:type="dxa"/>
            <w:vAlign w:val="top"/>
          </w:tcPr>
          <w:p>
            <w:pPr>
              <w:jc w:val="center"/>
              <w:rPr>
                <w:color w:val="000000"/>
                <w:szCs w:val="21"/>
              </w:rPr>
            </w:pPr>
            <w:r>
              <w:rPr>
                <w:rFonts w:hint="eastAsia"/>
                <w:color w:val="000000"/>
                <w:szCs w:val="21"/>
              </w:rPr>
              <w:t>4~6层</w:t>
            </w:r>
          </w:p>
        </w:tc>
        <w:tc>
          <w:tcPr>
            <w:tcW w:w="1420" w:type="dxa"/>
            <w:vAlign w:val="top"/>
          </w:tcPr>
          <w:p>
            <w:pPr>
              <w:jc w:val="center"/>
              <w:rPr>
                <w:color w:val="000000"/>
                <w:szCs w:val="21"/>
              </w:rPr>
            </w:pPr>
            <w:r>
              <w:rPr>
                <w:rFonts w:hint="eastAsia"/>
                <w:color w:val="000000"/>
                <w:szCs w:val="21"/>
              </w:rPr>
              <w:t>7~12层</w:t>
            </w:r>
          </w:p>
        </w:tc>
        <w:tc>
          <w:tcPr>
            <w:tcW w:w="1420" w:type="dxa"/>
            <w:vAlign w:val="top"/>
          </w:tcPr>
          <w:p>
            <w:pPr>
              <w:jc w:val="center"/>
              <w:rPr>
                <w:color w:val="000000"/>
                <w:szCs w:val="21"/>
              </w:rPr>
            </w:pPr>
            <w:r>
              <w:rPr>
                <w:rFonts w:hint="eastAsia"/>
                <w:color w:val="000000"/>
                <w:szCs w:val="21"/>
              </w:rPr>
              <w:t>13~18层</w:t>
            </w:r>
          </w:p>
        </w:tc>
        <w:tc>
          <w:tcPr>
            <w:tcW w:w="1421" w:type="dxa"/>
            <w:vAlign w:val="top"/>
          </w:tcPr>
          <w:p>
            <w:pPr>
              <w:jc w:val="center"/>
              <w:rPr>
                <w:color w:val="000000"/>
                <w:szCs w:val="21"/>
              </w:rPr>
            </w:pPr>
            <w:r>
              <w:rPr>
                <w:rFonts w:hint="eastAsia"/>
                <w:color w:val="000000"/>
                <w:szCs w:val="21"/>
              </w:rPr>
              <w:t>19层及以上</w:t>
            </w:r>
          </w:p>
        </w:tc>
        <w:tc>
          <w:tcPr>
            <w:tcW w:w="1421" w:type="dxa"/>
            <w:vMerge w:val="continue"/>
            <w:vAlign w:val="center"/>
          </w:tcPr>
          <w:p>
            <w:pPr>
              <w:jc w:val="cente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top"/>
          </w:tcPr>
          <w:p>
            <w:pPr>
              <w:jc w:val="center"/>
              <w:rPr>
                <w:color w:val="000000"/>
                <w:szCs w:val="21"/>
              </w:rPr>
            </w:pPr>
            <w:r>
              <w:rPr>
                <w:rFonts w:hint="eastAsia"/>
                <w:color w:val="000000"/>
                <w:szCs w:val="21"/>
              </w:rPr>
              <w:t>35＜≤41</w:t>
            </w:r>
          </w:p>
        </w:tc>
        <w:tc>
          <w:tcPr>
            <w:tcW w:w="1420" w:type="dxa"/>
            <w:vAlign w:val="top"/>
          </w:tcPr>
          <w:p>
            <w:pPr>
              <w:jc w:val="center"/>
              <w:rPr>
                <w:color w:val="000000"/>
                <w:szCs w:val="21"/>
              </w:rPr>
            </w:pPr>
            <w:r>
              <w:rPr>
                <w:rFonts w:hint="eastAsia"/>
                <w:color w:val="000000"/>
                <w:szCs w:val="21"/>
              </w:rPr>
              <w:t>23＜≤26</w:t>
            </w:r>
          </w:p>
        </w:tc>
        <w:tc>
          <w:tcPr>
            <w:tcW w:w="1420" w:type="dxa"/>
            <w:vAlign w:val="top"/>
          </w:tcPr>
          <w:p>
            <w:pPr>
              <w:jc w:val="center"/>
              <w:rPr>
                <w:color w:val="000000"/>
                <w:szCs w:val="21"/>
              </w:rPr>
            </w:pPr>
            <w:r>
              <w:rPr>
                <w:rFonts w:hint="eastAsia"/>
                <w:color w:val="000000"/>
                <w:szCs w:val="21"/>
              </w:rPr>
              <w:t>22＜≤24</w:t>
            </w:r>
          </w:p>
        </w:tc>
        <w:tc>
          <w:tcPr>
            <w:tcW w:w="1420" w:type="dxa"/>
            <w:vAlign w:val="top"/>
          </w:tcPr>
          <w:p>
            <w:pPr>
              <w:jc w:val="center"/>
              <w:rPr>
                <w:color w:val="000000"/>
                <w:szCs w:val="21"/>
              </w:rPr>
            </w:pPr>
            <w:r>
              <w:rPr>
                <w:rFonts w:hint="eastAsia"/>
                <w:color w:val="000000"/>
                <w:szCs w:val="21"/>
              </w:rPr>
              <w:t>20＜≤22</w:t>
            </w:r>
          </w:p>
        </w:tc>
        <w:tc>
          <w:tcPr>
            <w:tcW w:w="1421" w:type="dxa"/>
            <w:vAlign w:val="top"/>
          </w:tcPr>
          <w:p>
            <w:pPr>
              <w:jc w:val="center"/>
              <w:rPr>
                <w:color w:val="000000"/>
                <w:szCs w:val="21"/>
              </w:rPr>
            </w:pPr>
            <w:r>
              <w:rPr>
                <w:rFonts w:hint="eastAsia"/>
                <w:color w:val="000000"/>
                <w:szCs w:val="21"/>
              </w:rPr>
              <w:t>11＜≤13</w:t>
            </w:r>
          </w:p>
        </w:tc>
        <w:tc>
          <w:tcPr>
            <w:tcW w:w="1421" w:type="dxa"/>
            <w:vAlign w:val="center"/>
          </w:tcPr>
          <w:p>
            <w:pPr>
              <w:jc w:val="center"/>
              <w:rPr>
                <w:color w:val="000000"/>
                <w:szCs w:val="21"/>
              </w:rPr>
            </w:pPr>
            <w:r>
              <w:rPr>
                <w:rFonts w:hint="eastAsia"/>
                <w:color w:val="000000"/>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20" w:type="dxa"/>
            <w:vAlign w:val="top"/>
          </w:tcPr>
          <w:p>
            <w:pPr>
              <w:jc w:val="center"/>
              <w:rPr>
                <w:color w:val="000000"/>
                <w:szCs w:val="21"/>
              </w:rPr>
            </w:pPr>
            <w:r>
              <w:rPr>
                <w:rFonts w:hint="eastAsia"/>
                <w:color w:val="000000"/>
                <w:szCs w:val="21"/>
              </w:rPr>
              <w:t>≤35</w:t>
            </w:r>
          </w:p>
        </w:tc>
        <w:tc>
          <w:tcPr>
            <w:tcW w:w="1420" w:type="dxa"/>
            <w:vAlign w:val="top"/>
          </w:tcPr>
          <w:p>
            <w:pPr>
              <w:jc w:val="center"/>
              <w:rPr>
                <w:color w:val="000000"/>
                <w:szCs w:val="21"/>
              </w:rPr>
            </w:pPr>
            <w:r>
              <w:rPr>
                <w:rFonts w:hint="eastAsia"/>
                <w:color w:val="000000"/>
                <w:szCs w:val="21"/>
              </w:rPr>
              <w:t>≤23</w:t>
            </w:r>
          </w:p>
        </w:tc>
        <w:tc>
          <w:tcPr>
            <w:tcW w:w="1420" w:type="dxa"/>
            <w:vAlign w:val="top"/>
          </w:tcPr>
          <w:p>
            <w:pPr>
              <w:jc w:val="center"/>
              <w:rPr>
                <w:color w:val="000000"/>
                <w:szCs w:val="21"/>
              </w:rPr>
            </w:pPr>
            <w:r>
              <w:rPr>
                <w:rFonts w:hint="eastAsia"/>
                <w:color w:val="000000"/>
                <w:szCs w:val="21"/>
              </w:rPr>
              <w:t>≤22</w:t>
            </w:r>
          </w:p>
        </w:tc>
        <w:tc>
          <w:tcPr>
            <w:tcW w:w="1420" w:type="dxa"/>
            <w:vAlign w:val="top"/>
          </w:tcPr>
          <w:p>
            <w:pPr>
              <w:jc w:val="center"/>
              <w:rPr>
                <w:color w:val="000000"/>
                <w:szCs w:val="21"/>
              </w:rPr>
            </w:pPr>
            <w:r>
              <w:rPr>
                <w:rFonts w:hint="eastAsia"/>
                <w:color w:val="000000"/>
                <w:szCs w:val="21"/>
              </w:rPr>
              <w:t>≤20</w:t>
            </w:r>
          </w:p>
        </w:tc>
        <w:tc>
          <w:tcPr>
            <w:tcW w:w="1421" w:type="dxa"/>
            <w:vAlign w:val="top"/>
          </w:tcPr>
          <w:p>
            <w:pPr>
              <w:jc w:val="center"/>
              <w:rPr>
                <w:color w:val="000000"/>
                <w:szCs w:val="21"/>
              </w:rPr>
            </w:pPr>
            <w:r>
              <w:rPr>
                <w:rFonts w:hint="eastAsia"/>
                <w:color w:val="000000"/>
                <w:szCs w:val="21"/>
              </w:rPr>
              <w:t>≤11</w:t>
            </w:r>
          </w:p>
        </w:tc>
        <w:tc>
          <w:tcPr>
            <w:tcW w:w="1421" w:type="dxa"/>
            <w:vAlign w:val="center"/>
          </w:tcPr>
          <w:p>
            <w:pPr>
              <w:jc w:val="center"/>
              <w:rPr>
                <w:color w:val="000000"/>
                <w:szCs w:val="21"/>
              </w:rPr>
            </w:pPr>
            <w:r>
              <w:rPr>
                <w:rFonts w:hint="eastAsia"/>
                <w:color w:val="000000"/>
                <w:szCs w:val="21"/>
              </w:rPr>
              <w:t>8</w:t>
            </w:r>
          </w:p>
        </w:tc>
      </w:tr>
    </w:tbl>
    <w:p>
      <w:pPr>
        <w:spacing w:line="360" w:lineRule="auto"/>
        <w:rPr>
          <w:color w:val="000000"/>
          <w:sz w:val="24"/>
        </w:rPr>
      </w:pPr>
    </w:p>
    <w:p>
      <w:pPr>
        <w:spacing w:line="360" w:lineRule="auto"/>
        <w:jc w:val="center"/>
        <w:rPr>
          <w:b/>
          <w:color w:val="000000"/>
        </w:rPr>
      </w:pPr>
      <w:r>
        <w:rPr>
          <w:rFonts w:hint="eastAsia"/>
          <w:b/>
          <w:color w:val="000000"/>
        </w:rPr>
        <w:t>表6.2.1-2 公共建筑容积率评分规则</w:t>
      </w:r>
    </w:p>
    <w:tbl>
      <w:tblPr>
        <w:tblStyle w:val="38"/>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40"/>
        <w:gridCol w:w="2841"/>
        <w:gridCol w:w="28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81" w:type="dxa"/>
            <w:gridSpan w:val="2"/>
            <w:vAlign w:val="top"/>
          </w:tcPr>
          <w:p>
            <w:pPr>
              <w:jc w:val="center"/>
              <w:rPr>
                <w:color w:val="000000"/>
                <w:szCs w:val="21"/>
              </w:rPr>
            </w:pPr>
            <w:r>
              <w:rPr>
                <w:rFonts w:hint="eastAsia"/>
                <w:color w:val="000000"/>
                <w:szCs w:val="21"/>
              </w:rPr>
              <w:t>公共建筑容积率R</w:t>
            </w:r>
          </w:p>
        </w:tc>
        <w:tc>
          <w:tcPr>
            <w:tcW w:w="2841" w:type="dxa"/>
            <w:vMerge w:val="restart"/>
            <w:vAlign w:val="center"/>
          </w:tcPr>
          <w:p>
            <w:pPr>
              <w:jc w:val="center"/>
              <w:rPr>
                <w:color w:val="000000"/>
                <w:szCs w:val="21"/>
              </w:rPr>
            </w:pPr>
            <w:r>
              <w:rPr>
                <w:rFonts w:hint="eastAsia"/>
                <w:color w:val="000000"/>
                <w:szCs w:val="21"/>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jc w:val="center"/>
              <w:rPr>
                <w:color w:val="000000"/>
                <w:szCs w:val="21"/>
              </w:rPr>
            </w:pPr>
            <w:bookmarkStart w:id="41" w:name="OLE_LINK19"/>
            <w:bookmarkStart w:id="42" w:name="OLE_LINK18"/>
            <w:r>
              <w:rPr>
                <w:rFonts w:hint="eastAsia"/>
                <w:color w:val="000000"/>
                <w:szCs w:val="21"/>
              </w:rPr>
              <w:t>公共设施类</w:t>
            </w:r>
            <w:bookmarkEnd w:id="41"/>
            <w:bookmarkEnd w:id="42"/>
          </w:p>
        </w:tc>
        <w:tc>
          <w:tcPr>
            <w:tcW w:w="2841" w:type="dxa"/>
            <w:vAlign w:val="top"/>
          </w:tcPr>
          <w:p>
            <w:pPr>
              <w:jc w:val="center"/>
              <w:rPr>
                <w:color w:val="000000"/>
                <w:szCs w:val="21"/>
              </w:rPr>
            </w:pPr>
            <w:r>
              <w:rPr>
                <w:rFonts w:hint="eastAsia"/>
                <w:color w:val="000000"/>
                <w:szCs w:val="21"/>
              </w:rPr>
              <w:t>其它类</w:t>
            </w:r>
          </w:p>
        </w:tc>
        <w:tc>
          <w:tcPr>
            <w:tcW w:w="2841" w:type="dxa"/>
            <w:vMerge w:val="continue"/>
            <w:vAlign w:val="top"/>
          </w:tcPr>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jc w:val="center"/>
              <w:rPr>
                <w:color w:val="000000"/>
                <w:szCs w:val="21"/>
              </w:rPr>
            </w:pPr>
            <w:r>
              <w:rPr>
                <w:rFonts w:hint="eastAsia"/>
                <w:color w:val="000000"/>
                <w:szCs w:val="21"/>
              </w:rPr>
              <w:t>0.5≤＜1.0</w:t>
            </w:r>
          </w:p>
        </w:tc>
        <w:tc>
          <w:tcPr>
            <w:tcW w:w="2841" w:type="dxa"/>
            <w:vAlign w:val="top"/>
          </w:tcPr>
          <w:p>
            <w:pPr>
              <w:jc w:val="center"/>
              <w:rPr>
                <w:color w:val="000000"/>
                <w:szCs w:val="21"/>
              </w:rPr>
            </w:pPr>
            <w:r>
              <w:rPr>
                <w:rFonts w:hint="eastAsia"/>
                <w:color w:val="000000"/>
                <w:szCs w:val="21"/>
              </w:rPr>
              <w:t>1.5≤＜3.0</w:t>
            </w:r>
          </w:p>
        </w:tc>
        <w:tc>
          <w:tcPr>
            <w:tcW w:w="2841" w:type="dxa"/>
            <w:vAlign w:val="top"/>
          </w:tcPr>
          <w:p>
            <w:pPr>
              <w:jc w:val="center"/>
              <w:rPr>
                <w:color w:val="000000"/>
                <w:szCs w:val="21"/>
              </w:rPr>
            </w:pPr>
            <w:r>
              <w:rPr>
                <w:rFonts w:hint="eastAsia"/>
                <w:color w:val="000000"/>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840" w:type="dxa"/>
            <w:vAlign w:val="top"/>
          </w:tcPr>
          <w:p>
            <w:pPr>
              <w:jc w:val="center"/>
              <w:rPr>
                <w:color w:val="000000"/>
                <w:szCs w:val="21"/>
              </w:rPr>
            </w:pPr>
            <w:r>
              <w:rPr>
                <w:rFonts w:hint="eastAsia"/>
                <w:color w:val="000000"/>
                <w:szCs w:val="21"/>
              </w:rPr>
              <w:t>1.0≤＜1.5</w:t>
            </w:r>
          </w:p>
        </w:tc>
        <w:tc>
          <w:tcPr>
            <w:tcW w:w="2841" w:type="dxa"/>
            <w:vAlign w:val="top"/>
          </w:tcPr>
          <w:p>
            <w:pPr>
              <w:jc w:val="center"/>
              <w:rPr>
                <w:color w:val="000000"/>
                <w:szCs w:val="21"/>
              </w:rPr>
            </w:pPr>
            <w:r>
              <w:rPr>
                <w:rFonts w:hint="eastAsia"/>
                <w:color w:val="000000"/>
                <w:szCs w:val="21"/>
              </w:rPr>
              <w:t>3.0≤＜4.0</w:t>
            </w:r>
          </w:p>
        </w:tc>
        <w:tc>
          <w:tcPr>
            <w:tcW w:w="2841" w:type="dxa"/>
            <w:vAlign w:val="top"/>
          </w:tcPr>
          <w:p>
            <w:pPr>
              <w:jc w:val="center"/>
              <w:rPr>
                <w:color w:val="000000"/>
                <w:szCs w:val="21"/>
              </w:rPr>
            </w:pPr>
            <w:r>
              <w:rPr>
                <w:rFonts w:hint="eastAsia"/>
                <w:color w:val="000000"/>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jc w:val="center"/>
              <w:rPr>
                <w:color w:val="000000"/>
                <w:szCs w:val="21"/>
              </w:rPr>
            </w:pPr>
            <w:r>
              <w:rPr>
                <w:rFonts w:hint="eastAsia"/>
                <w:color w:val="000000"/>
                <w:szCs w:val="21"/>
              </w:rPr>
              <w:t>1.5≤＜2.0</w:t>
            </w:r>
          </w:p>
        </w:tc>
        <w:tc>
          <w:tcPr>
            <w:tcW w:w="2841" w:type="dxa"/>
            <w:vAlign w:val="top"/>
          </w:tcPr>
          <w:p>
            <w:pPr>
              <w:jc w:val="center"/>
              <w:rPr>
                <w:color w:val="000000"/>
                <w:szCs w:val="21"/>
              </w:rPr>
            </w:pPr>
            <w:r>
              <w:rPr>
                <w:rFonts w:hint="eastAsia"/>
                <w:color w:val="000000"/>
                <w:szCs w:val="21"/>
              </w:rPr>
              <w:t>4.0≤＜5.0</w:t>
            </w:r>
          </w:p>
        </w:tc>
        <w:tc>
          <w:tcPr>
            <w:tcW w:w="2841" w:type="dxa"/>
            <w:vAlign w:val="top"/>
          </w:tcPr>
          <w:p>
            <w:pPr>
              <w:jc w:val="center"/>
              <w:rPr>
                <w:color w:val="000000"/>
                <w:szCs w:val="21"/>
              </w:rPr>
            </w:pPr>
            <w:r>
              <w:rPr>
                <w:rFonts w:hint="eastAsia"/>
                <w:color w:val="000000"/>
                <w:szCs w:val="21"/>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jc w:val="center"/>
              <w:rPr>
                <w:color w:val="000000"/>
                <w:szCs w:val="21"/>
              </w:rPr>
            </w:pPr>
            <w:r>
              <w:rPr>
                <w:rFonts w:hint="eastAsia"/>
                <w:color w:val="000000"/>
                <w:szCs w:val="21"/>
              </w:rPr>
              <w:t>≥2.0</w:t>
            </w:r>
          </w:p>
        </w:tc>
        <w:tc>
          <w:tcPr>
            <w:tcW w:w="2841" w:type="dxa"/>
            <w:vAlign w:val="top"/>
          </w:tcPr>
          <w:p>
            <w:pPr>
              <w:jc w:val="center"/>
              <w:rPr>
                <w:color w:val="000000"/>
                <w:szCs w:val="21"/>
              </w:rPr>
            </w:pPr>
            <w:r>
              <w:rPr>
                <w:rFonts w:hint="eastAsia"/>
                <w:color w:val="000000"/>
                <w:szCs w:val="21"/>
              </w:rPr>
              <w:t>≥5.0</w:t>
            </w:r>
          </w:p>
        </w:tc>
        <w:tc>
          <w:tcPr>
            <w:tcW w:w="2841" w:type="dxa"/>
            <w:vAlign w:val="top"/>
          </w:tcPr>
          <w:p>
            <w:pPr>
              <w:jc w:val="center"/>
              <w:rPr>
                <w:color w:val="000000"/>
                <w:szCs w:val="21"/>
              </w:rPr>
            </w:pPr>
            <w:r>
              <w:rPr>
                <w:rFonts w:hint="eastAsia"/>
                <w:color w:val="000000"/>
                <w:szCs w:val="21"/>
              </w:rPr>
              <w:t>8</w:t>
            </w:r>
          </w:p>
        </w:tc>
      </w:tr>
    </w:tbl>
    <w:p>
      <w:pPr>
        <w:pStyle w:val="80"/>
        <w:ind w:firstLine="0" w:firstLineChars="0"/>
        <w:rPr>
          <w:rFonts w:ascii="仿宋" w:hAnsi="仿宋" w:eastAsia="仿宋"/>
          <w:color w:val="FF0000"/>
          <w:szCs w:val="24"/>
        </w:rPr>
      </w:pPr>
      <w:r>
        <w:rPr>
          <w:rFonts w:hint="eastAsia" w:ascii="仿宋" w:hAnsi="仿宋" w:eastAsia="仿宋"/>
          <w:color w:val="FF0000"/>
          <w:szCs w:val="24"/>
        </w:rPr>
        <w:t>【条文说明】</w:t>
      </w:r>
      <w:r>
        <w:rPr>
          <w:rFonts w:hint="eastAsia" w:ascii="仿宋" w:hAnsi="仿宋" w:eastAsia="仿宋"/>
          <w:color w:val="FF0000"/>
        </w:rPr>
        <w:t>此条文运行评价不再评价，与设计评价结论一致。</w:t>
      </w:r>
      <w:r>
        <w:rPr>
          <w:rFonts w:hint="eastAsia" w:ascii="仿宋" w:hAnsi="仿宋" w:eastAsia="仿宋"/>
          <w:color w:val="FF0000"/>
          <w:szCs w:val="24"/>
        </w:rPr>
        <w:t>由于深圳地区受土地资源限制，多数建筑本身就容易实现节约集约利用土地，从绿色建筑角度可以降低得分权重，从19分调整为8分。根据《深圳市城市规划标准与准则》（2014）中，没有对居住建筑的人均居住用地指标提出相关要求，且深圳地区基本以高层居住建筑为主，指标划分保持现行国家标准要求。对于公共建筑只有商业服务用地有容积率的要求，另外考虑到公共设施</w:t>
      </w:r>
      <w:bookmarkStart w:id="43" w:name="OLE_LINK21"/>
      <w:bookmarkStart w:id="44" w:name="OLE_LINK20"/>
      <w:r>
        <w:rPr>
          <w:rFonts w:hint="eastAsia" w:ascii="仿宋" w:hAnsi="仿宋" w:eastAsia="仿宋"/>
          <w:color w:val="FF0000"/>
          <w:szCs w:val="24"/>
        </w:rPr>
        <w:t>（如文化娱乐、医疗卫生、教育、体育、交通、民政类等）</w:t>
      </w:r>
      <w:bookmarkEnd w:id="43"/>
      <w:bookmarkEnd w:id="44"/>
      <w:r>
        <w:rPr>
          <w:rFonts w:hint="eastAsia" w:ascii="仿宋" w:hAnsi="仿宋" w:eastAsia="仿宋"/>
          <w:color w:val="FF0000"/>
          <w:szCs w:val="24"/>
        </w:rPr>
        <w:t>本身容积率不可能太高，适当降低其容积率要求，提高其它类（如，住宅、商业服务等）的容积率要求。</w:t>
      </w:r>
    </w:p>
    <w:p>
      <w:pPr>
        <w:spacing w:line="360" w:lineRule="auto"/>
        <w:rPr>
          <w:color w:val="000000"/>
          <w:sz w:val="24"/>
        </w:rPr>
      </w:pPr>
    </w:p>
    <w:p>
      <w:pPr>
        <w:pStyle w:val="87"/>
        <w:spacing w:line="360" w:lineRule="auto"/>
        <w:ind w:firstLine="0" w:firstLineChars="0"/>
        <w:outlineLvl w:val="9"/>
        <w:rPr>
          <w:rFonts w:hAnsi="宋体"/>
          <w:bCs/>
        </w:rPr>
      </w:pPr>
      <w:r>
        <w:rPr>
          <w:rFonts w:hint="eastAsia"/>
          <w:b/>
          <w:bCs/>
        </w:rPr>
        <w:t>6</w:t>
      </w:r>
      <w:r>
        <w:rPr>
          <w:b/>
          <w:bCs/>
        </w:rPr>
        <w:t>.2.2</w:t>
      </w:r>
      <w:r>
        <w:rPr>
          <w:rFonts w:hAnsi="宋体"/>
          <w:bCs/>
        </w:rPr>
        <w:t>　</w:t>
      </w:r>
      <w:r>
        <w:rPr>
          <w:rFonts w:hint="eastAsia" w:hAnsi="宋体"/>
          <w:bCs/>
        </w:rPr>
        <w:t>合理进行土地的混合使用，可混合用地的类别、使用功能比例等应符合</w:t>
      </w:r>
      <w:r>
        <w:rPr>
          <w:rFonts w:hint="eastAsia"/>
          <w:bCs/>
        </w:rPr>
        <w:t>《深圳市城市规划标准与准则》的要求</w:t>
      </w:r>
      <w:r>
        <w:rPr>
          <w:rFonts w:hint="eastAsia" w:hAnsi="宋体"/>
          <w:bCs/>
        </w:rPr>
        <w:t>，得4分。</w:t>
      </w:r>
    </w:p>
    <w:p>
      <w:pPr>
        <w:pStyle w:val="80"/>
        <w:ind w:firstLine="0" w:firstLineChars="0"/>
        <w:rPr>
          <w:rFonts w:ascii="仿宋" w:hAnsi="仿宋" w:eastAsia="仿宋"/>
          <w:color w:val="FF0000"/>
          <w:szCs w:val="24"/>
        </w:rPr>
      </w:pPr>
      <w:r>
        <w:rPr>
          <w:rFonts w:hint="eastAsia" w:ascii="仿宋" w:hAnsi="仿宋" w:eastAsia="仿宋"/>
          <w:color w:val="FF0000"/>
          <w:szCs w:val="24"/>
        </w:rPr>
        <w:t>【条文说明】</w:t>
      </w:r>
      <w:r>
        <w:rPr>
          <w:rFonts w:hint="eastAsia" w:ascii="仿宋" w:hAnsi="仿宋" w:eastAsia="仿宋"/>
          <w:color w:val="FF0000"/>
        </w:rPr>
        <w:t>此条文运行评价不再评价，与设计评价结论一致。</w:t>
      </w:r>
      <w:r>
        <w:rPr>
          <w:rFonts w:hint="eastAsia" w:ascii="仿宋" w:hAnsi="仿宋" w:eastAsia="仿宋"/>
          <w:color w:val="FF0000"/>
          <w:szCs w:val="24"/>
        </w:rPr>
        <w:t>此条文为新增条文。土地的合理混合使用，可以节约集约利用土地，促进产业升级转型、减少交通需求以及提高资源共享，比如地铁上盖物业等，在《深圳市城市规划标准与准则》中的2.2土地混合使用中，明确了可混合用地的类别、比例和相关要求。</w:t>
      </w:r>
    </w:p>
    <w:p>
      <w:pPr>
        <w:pStyle w:val="80"/>
        <w:ind w:firstLine="0" w:firstLineChars="0"/>
        <w:jc w:val="center"/>
        <w:rPr>
          <w:rFonts w:ascii="仿宋" w:hAnsi="仿宋" w:eastAsia="仿宋"/>
          <w:color w:val="FF0000"/>
          <w:szCs w:val="24"/>
        </w:rPr>
      </w:pPr>
      <w:r>
        <w:rPr>
          <w:rFonts w:hint="eastAsia" w:ascii="仿宋" w:hAnsi="仿宋" w:eastAsia="仿宋"/>
          <w:color w:val="FF0000"/>
          <w:szCs w:val="24"/>
        </w:rPr>
        <w:t>表6.2.2-1  常用土地用途混合指引</w:t>
      </w:r>
    </w:p>
    <w:p>
      <w:pPr>
        <w:pStyle w:val="87"/>
        <w:spacing w:line="360" w:lineRule="auto"/>
        <w:ind w:firstLine="0" w:firstLineChars="0"/>
        <w:outlineLvl w:val="9"/>
        <w:rPr>
          <w:bCs/>
        </w:rPr>
      </w:pPr>
      <w:r>
        <w:rPr>
          <w:rFonts w:ascii="Times New Roman" w:hAnsi="Times New Roman" w:eastAsia="宋体" w:cs="Times New Roman"/>
          <w:bCs/>
          <w:kern w:val="2"/>
          <w:sz w:val="24"/>
          <w:szCs w:val="24"/>
          <w:lang w:val="en-US" w:eastAsia="zh-CN" w:bidi="ar-SA"/>
        </w:rPr>
        <w:pict>
          <v:shape id="_x0000_i1025" o:spt="75" type="#_x0000_t75" style="height:247.55pt;width:415.3pt;" fillcolor="#FFFFFF" filled="f" o:preferrelative="t" stroked="f" coordsize="21600,21600">
            <v:path/>
            <v:fill on="f" color2="#FFFFFF" focussize="0,0"/>
            <v:stroke on="f"/>
            <v:imagedata r:id="rId7" gain="65536f" blacklevel="0f" gamma="0" o:title=""/>
            <o:lock v:ext="edit" position="f" selection="f" grouping="f" rotation="f" cropping="f" text="f" aspectratio="t"/>
            <w10:wrap type="none"/>
            <w10:anchorlock/>
          </v:shape>
        </w:pict>
      </w:r>
    </w:p>
    <w:p>
      <w:pPr>
        <w:pStyle w:val="87"/>
        <w:spacing w:line="360" w:lineRule="auto"/>
        <w:ind w:firstLine="480"/>
        <w:outlineLvl w:val="9"/>
        <w:rPr>
          <w:bCs/>
        </w:rPr>
      </w:pPr>
      <w:r>
        <w:rPr>
          <w:rFonts w:hint="eastAsia" w:ascii="仿宋" w:hAnsi="仿宋" w:eastAsia="仿宋"/>
          <w:color w:val="FF0000"/>
        </w:rPr>
        <w:t>重点鼓励以下类型的混合用地：①在各级城市中心区、商业与公共服务中心区，鼓励二类居住用地与商业用地混合使用，建设融合住宅、商业与配套设施等综合用途</w:t>
      </w:r>
      <w:r>
        <w:rPr>
          <w:rFonts w:hint="eastAsia" w:ascii="仿宋" w:hAnsi="仿宋" w:eastAsia="仿宋"/>
          <w:color w:val="FF0000"/>
          <w:lang w:eastAsia="zh-CN"/>
        </w:rPr>
        <w:t>的</w:t>
      </w:r>
      <w:bookmarkStart w:id="145" w:name="_GoBack"/>
      <w:bookmarkEnd w:id="145"/>
      <w:r>
        <w:rPr>
          <w:rFonts w:hint="eastAsia" w:ascii="仿宋" w:hAnsi="仿宋" w:eastAsia="仿宋"/>
          <w:color w:val="FF0000"/>
        </w:rPr>
        <w:t>商住混合功能，用地性质表达为二类居住用地+商业用地（R2+C1）。②鼓励轨道交通用地与商业用地、二类居住用地混合使用，立体利用轨道上盖空间，建设商业、办公、旅馆、住宅与配套设施等综合功能体，用地性质表达为轨道交通用地+商业用地（S3+C1）、轨道交通用地+二类居住用地（S3+R2）。</w:t>
      </w:r>
    </w:p>
    <w:p>
      <w:pPr>
        <w:pStyle w:val="87"/>
        <w:spacing w:line="360" w:lineRule="auto"/>
        <w:ind w:firstLine="0" w:firstLineChars="0"/>
        <w:outlineLvl w:val="9"/>
        <w:rPr>
          <w:bCs/>
        </w:rPr>
      </w:pPr>
    </w:p>
    <w:p>
      <w:pPr>
        <w:pStyle w:val="87"/>
        <w:ind w:firstLine="0" w:firstLineChars="0"/>
        <w:outlineLvl w:val="9"/>
        <w:rPr>
          <w:rFonts w:hAnsi="宋体"/>
          <w:bCs/>
        </w:rPr>
      </w:pPr>
      <w:r>
        <w:rPr>
          <w:rFonts w:hint="eastAsia"/>
          <w:b/>
          <w:bCs/>
        </w:rPr>
        <w:t>6</w:t>
      </w:r>
      <w:r>
        <w:rPr>
          <w:b/>
          <w:bCs/>
        </w:rPr>
        <w:t>.2.</w:t>
      </w:r>
      <w:r>
        <w:rPr>
          <w:rFonts w:hint="eastAsia"/>
          <w:b/>
          <w:bCs/>
        </w:rPr>
        <w:t>3</w:t>
      </w:r>
      <w:r>
        <w:rPr>
          <w:rFonts w:hAnsi="宋体"/>
          <w:bCs/>
        </w:rPr>
        <w:t>　场地内合理设置绿化用地，评价总分值为</w:t>
      </w:r>
      <w:r>
        <w:rPr>
          <w:rFonts w:hint="eastAsia"/>
          <w:bCs/>
        </w:rPr>
        <w:t>8</w:t>
      </w:r>
      <w:r>
        <w:rPr>
          <w:rFonts w:hAnsi="宋体"/>
          <w:bCs/>
        </w:rPr>
        <w:t>分，并按下列规则分别评分并累计：</w:t>
      </w:r>
    </w:p>
    <w:p>
      <w:pPr>
        <w:pStyle w:val="87"/>
        <w:ind w:firstLine="420" w:firstLineChars="0"/>
        <w:outlineLvl w:val="9"/>
        <w:rPr>
          <w:rFonts w:hAnsi="宋体"/>
          <w:bCs/>
        </w:rPr>
      </w:pPr>
      <w:r>
        <w:rPr>
          <w:rFonts w:hint="eastAsia"/>
          <w:b/>
          <w:bCs/>
        </w:rPr>
        <w:t xml:space="preserve">1 </w:t>
      </w:r>
      <w:r>
        <w:rPr>
          <w:rFonts w:hint="eastAsia" w:hAnsi="宋体"/>
          <w:bCs/>
        </w:rPr>
        <w:t>居住建筑按下列规则分别评分并累计：</w:t>
      </w:r>
    </w:p>
    <w:p>
      <w:pPr>
        <w:pStyle w:val="87"/>
        <w:ind w:firstLine="482"/>
        <w:outlineLvl w:val="9"/>
        <w:rPr>
          <w:bCs/>
        </w:rPr>
      </w:pPr>
      <w:r>
        <w:rPr>
          <w:rFonts w:hint="eastAsia"/>
          <w:b/>
          <w:bCs/>
        </w:rPr>
        <w:t>1）</w:t>
      </w:r>
      <w:r>
        <w:rPr>
          <w:rFonts w:hAnsi="宋体"/>
          <w:bCs/>
        </w:rPr>
        <w:t>住区</w:t>
      </w:r>
      <w:r>
        <w:rPr>
          <w:rFonts w:hint="eastAsia" w:hAnsi="宋体"/>
          <w:bCs/>
        </w:rPr>
        <w:t>绿化覆盖</w:t>
      </w:r>
      <w:r>
        <w:rPr>
          <w:rFonts w:hAnsi="宋体"/>
          <w:bCs/>
        </w:rPr>
        <w:t>率：</w:t>
      </w:r>
      <w:r>
        <w:rPr>
          <w:rFonts w:hint="eastAsia" w:hAnsi="宋体"/>
          <w:bCs/>
        </w:rPr>
        <w:t>新区建设达到30%</w:t>
      </w:r>
      <w:r>
        <w:rPr>
          <w:rFonts w:hAnsi="宋体"/>
          <w:bCs/>
        </w:rPr>
        <w:t>，</w:t>
      </w:r>
      <w:r>
        <w:rPr>
          <w:rFonts w:hint="eastAsia" w:hAnsi="宋体"/>
          <w:bCs/>
        </w:rPr>
        <w:t>旧区改建达到25%，</w:t>
      </w:r>
      <w:r>
        <w:rPr>
          <w:rFonts w:hAnsi="宋体"/>
          <w:bCs/>
        </w:rPr>
        <w:t>得</w:t>
      </w:r>
      <w:r>
        <w:rPr>
          <w:rFonts w:hint="eastAsia"/>
          <w:bCs/>
        </w:rPr>
        <w:t>2</w:t>
      </w:r>
      <w:r>
        <w:rPr>
          <w:rFonts w:hAnsi="宋体"/>
          <w:bCs/>
        </w:rPr>
        <w:t>分；</w:t>
      </w:r>
      <w:r>
        <w:rPr>
          <w:rFonts w:hint="eastAsia" w:hAnsi="宋体"/>
          <w:bCs/>
        </w:rPr>
        <w:t>新区建设达到40%</w:t>
      </w:r>
      <w:r>
        <w:rPr>
          <w:rFonts w:hAnsi="宋体"/>
          <w:bCs/>
        </w:rPr>
        <w:t>，</w:t>
      </w:r>
      <w:r>
        <w:rPr>
          <w:rFonts w:hint="eastAsia" w:hAnsi="宋体"/>
          <w:bCs/>
        </w:rPr>
        <w:t>旧区</w:t>
      </w:r>
      <w:bookmarkStart w:id="45" w:name="OLE_LINK10"/>
      <w:bookmarkStart w:id="46" w:name="OLE_LINK9"/>
      <w:r>
        <w:rPr>
          <w:rFonts w:hint="eastAsia" w:hAnsi="宋体"/>
          <w:bCs/>
        </w:rPr>
        <w:t>改建达到35%，</w:t>
      </w:r>
      <w:r>
        <w:rPr>
          <w:rFonts w:hAnsi="宋体"/>
          <w:bCs/>
        </w:rPr>
        <w:t>得</w:t>
      </w:r>
      <w:r>
        <w:rPr>
          <w:rFonts w:hint="eastAsia"/>
          <w:bCs/>
        </w:rPr>
        <w:t>4</w:t>
      </w:r>
      <w:r>
        <w:rPr>
          <w:rFonts w:hAnsi="宋体"/>
          <w:bCs/>
        </w:rPr>
        <w:t>分；</w:t>
      </w:r>
    </w:p>
    <w:p>
      <w:pPr>
        <w:pStyle w:val="87"/>
        <w:ind w:firstLine="482"/>
        <w:outlineLvl w:val="9"/>
        <w:rPr>
          <w:rFonts w:hAnsi="宋体"/>
          <w:bCs/>
        </w:rPr>
      </w:pPr>
      <w:r>
        <w:rPr>
          <w:rFonts w:hint="eastAsia"/>
          <w:b/>
          <w:bCs/>
        </w:rPr>
        <w:t>2）</w:t>
      </w:r>
      <w:r>
        <w:rPr>
          <w:rFonts w:hAnsi="宋体"/>
          <w:bCs/>
        </w:rPr>
        <w:t>住区人均公共绿地面积：</w:t>
      </w:r>
      <w:r>
        <w:rPr>
          <w:rFonts w:hint="eastAsia" w:hAnsi="宋体"/>
          <w:bCs/>
        </w:rPr>
        <w:t>按表6.2.3-1的规则评分</w:t>
      </w:r>
      <w:r>
        <w:rPr>
          <w:rFonts w:hAnsi="宋体"/>
          <w:bCs/>
        </w:rPr>
        <w:t>，</w:t>
      </w:r>
      <w:r>
        <w:rPr>
          <w:rFonts w:hint="eastAsia" w:hAnsi="宋体"/>
          <w:bCs/>
        </w:rPr>
        <w:t>最高</w:t>
      </w:r>
      <w:r>
        <w:rPr>
          <w:rFonts w:hAnsi="宋体"/>
          <w:bCs/>
        </w:rPr>
        <w:t>得</w:t>
      </w:r>
      <w:r>
        <w:rPr>
          <w:rFonts w:hint="eastAsia"/>
          <w:bCs/>
        </w:rPr>
        <w:t>4</w:t>
      </w:r>
      <w:r>
        <w:rPr>
          <w:rFonts w:hAnsi="宋体"/>
          <w:bCs/>
        </w:rPr>
        <w:t>分</w:t>
      </w:r>
      <w:r>
        <w:rPr>
          <w:rFonts w:hint="eastAsia" w:hAnsi="宋体"/>
          <w:bCs/>
        </w:rPr>
        <w:t>。</w:t>
      </w:r>
    </w:p>
    <w:p>
      <w:pPr>
        <w:pStyle w:val="87"/>
        <w:ind w:firstLine="0" w:firstLineChars="0"/>
        <w:jc w:val="center"/>
        <w:outlineLvl w:val="9"/>
        <w:rPr>
          <w:rFonts w:hAnsi="宋体"/>
          <w:b/>
          <w:bCs/>
          <w:sz w:val="21"/>
          <w:szCs w:val="21"/>
        </w:rPr>
      </w:pPr>
      <w:r>
        <w:rPr>
          <w:rFonts w:hint="eastAsia" w:hAnsi="宋体"/>
          <w:b/>
          <w:bCs/>
          <w:sz w:val="21"/>
          <w:szCs w:val="21"/>
        </w:rPr>
        <w:t>表6.2.3-1 住区人均公共绿地面积评分规则</w:t>
      </w:r>
    </w:p>
    <w:tbl>
      <w:tblPr>
        <w:tblStyle w:val="38"/>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40"/>
        <w:gridCol w:w="2841"/>
        <w:gridCol w:w="28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81" w:type="dxa"/>
            <w:gridSpan w:val="2"/>
            <w:vAlign w:val="top"/>
          </w:tcPr>
          <w:p>
            <w:pPr>
              <w:pStyle w:val="87"/>
              <w:spacing w:line="240" w:lineRule="auto"/>
              <w:ind w:firstLine="0" w:firstLineChars="0"/>
              <w:jc w:val="center"/>
              <w:outlineLvl w:val="9"/>
              <w:rPr>
                <w:bCs/>
                <w:sz w:val="21"/>
                <w:szCs w:val="21"/>
              </w:rPr>
            </w:pPr>
            <w:r>
              <w:rPr>
                <w:rFonts w:hint="eastAsia"/>
                <w:bCs/>
                <w:sz w:val="21"/>
                <w:szCs w:val="21"/>
              </w:rPr>
              <w:t>住区人均公共绿地面积</w:t>
            </w:r>
          </w:p>
        </w:tc>
        <w:tc>
          <w:tcPr>
            <w:tcW w:w="2841" w:type="dxa"/>
            <w:vMerge w:val="restart"/>
            <w:vAlign w:val="center"/>
          </w:tcPr>
          <w:p>
            <w:pPr>
              <w:pStyle w:val="87"/>
              <w:spacing w:line="240" w:lineRule="auto"/>
              <w:ind w:firstLine="0" w:firstLineChars="0"/>
              <w:jc w:val="center"/>
              <w:outlineLvl w:val="9"/>
              <w:rPr>
                <w:bCs/>
                <w:sz w:val="21"/>
                <w:szCs w:val="21"/>
              </w:rPr>
            </w:pPr>
            <w:r>
              <w:rPr>
                <w:rFonts w:hint="eastAsia"/>
                <w:bCs/>
                <w:sz w:val="21"/>
                <w:szCs w:val="21"/>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pStyle w:val="87"/>
              <w:spacing w:line="240" w:lineRule="auto"/>
              <w:ind w:firstLine="0" w:firstLineChars="0"/>
              <w:jc w:val="center"/>
              <w:outlineLvl w:val="9"/>
              <w:rPr>
                <w:bCs/>
                <w:sz w:val="21"/>
                <w:szCs w:val="21"/>
              </w:rPr>
            </w:pPr>
            <w:r>
              <w:rPr>
                <w:rFonts w:hint="eastAsia"/>
                <w:bCs/>
                <w:sz w:val="21"/>
                <w:szCs w:val="21"/>
              </w:rPr>
              <w:t>新区建设</w:t>
            </w:r>
          </w:p>
        </w:tc>
        <w:tc>
          <w:tcPr>
            <w:tcW w:w="2841" w:type="dxa"/>
            <w:vAlign w:val="top"/>
          </w:tcPr>
          <w:p>
            <w:pPr>
              <w:pStyle w:val="87"/>
              <w:spacing w:line="240" w:lineRule="auto"/>
              <w:ind w:firstLine="0" w:firstLineChars="0"/>
              <w:jc w:val="center"/>
              <w:outlineLvl w:val="9"/>
              <w:rPr>
                <w:bCs/>
                <w:sz w:val="21"/>
                <w:szCs w:val="21"/>
              </w:rPr>
            </w:pPr>
            <w:r>
              <w:rPr>
                <w:rFonts w:hint="eastAsia"/>
                <w:bCs/>
                <w:sz w:val="21"/>
                <w:szCs w:val="21"/>
              </w:rPr>
              <w:t>旧区改建</w:t>
            </w:r>
          </w:p>
        </w:tc>
        <w:tc>
          <w:tcPr>
            <w:tcW w:w="2841" w:type="dxa"/>
            <w:vMerge w:val="continue"/>
            <w:vAlign w:val="top"/>
          </w:tcPr>
          <w:p>
            <w:pPr>
              <w:pStyle w:val="87"/>
              <w:spacing w:line="240" w:lineRule="auto"/>
              <w:ind w:firstLine="0" w:firstLineChars="0"/>
              <w:outlineLvl w:val="9"/>
              <w:rPr>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pStyle w:val="87"/>
              <w:spacing w:line="240" w:lineRule="auto"/>
              <w:ind w:firstLine="0" w:firstLineChars="0"/>
              <w:jc w:val="center"/>
              <w:outlineLvl w:val="9"/>
              <w:rPr>
                <w:bCs/>
                <w:sz w:val="21"/>
                <w:szCs w:val="21"/>
              </w:rPr>
            </w:pPr>
            <w:r>
              <w:rPr>
                <w:rFonts w:hint="eastAsia"/>
                <w:color w:val="000000"/>
                <w:sz w:val="21"/>
                <w:szCs w:val="21"/>
              </w:rPr>
              <w:t>1.0㎡≤＜1.3㎡</w:t>
            </w:r>
          </w:p>
        </w:tc>
        <w:tc>
          <w:tcPr>
            <w:tcW w:w="2841" w:type="dxa"/>
            <w:vAlign w:val="top"/>
          </w:tcPr>
          <w:p>
            <w:pPr>
              <w:pStyle w:val="87"/>
              <w:spacing w:line="240" w:lineRule="auto"/>
              <w:ind w:firstLine="0" w:firstLineChars="0"/>
              <w:jc w:val="center"/>
              <w:outlineLvl w:val="9"/>
              <w:rPr>
                <w:bCs/>
                <w:sz w:val="21"/>
                <w:szCs w:val="21"/>
              </w:rPr>
            </w:pPr>
            <w:r>
              <w:rPr>
                <w:rFonts w:hint="eastAsia"/>
                <w:color w:val="000000"/>
                <w:sz w:val="21"/>
                <w:szCs w:val="21"/>
              </w:rPr>
              <w:t>0.7㎡≤＜0.9㎡</w:t>
            </w:r>
          </w:p>
        </w:tc>
        <w:tc>
          <w:tcPr>
            <w:tcW w:w="2841" w:type="dxa"/>
            <w:vAlign w:val="top"/>
          </w:tcPr>
          <w:p>
            <w:pPr>
              <w:pStyle w:val="87"/>
              <w:spacing w:line="240" w:lineRule="auto"/>
              <w:ind w:firstLine="0" w:firstLineChars="0"/>
              <w:jc w:val="center"/>
              <w:outlineLvl w:val="9"/>
              <w:rPr>
                <w:bCs/>
                <w:sz w:val="21"/>
                <w:szCs w:val="21"/>
              </w:rPr>
            </w:pPr>
            <w:r>
              <w:rPr>
                <w:rFonts w:hint="eastAsia"/>
                <w:bCs/>
                <w:sz w:val="21"/>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840" w:type="dxa"/>
            <w:vAlign w:val="top"/>
          </w:tcPr>
          <w:p>
            <w:pPr>
              <w:pStyle w:val="87"/>
              <w:spacing w:line="240" w:lineRule="auto"/>
              <w:ind w:firstLine="0" w:firstLineChars="0"/>
              <w:jc w:val="center"/>
              <w:outlineLvl w:val="9"/>
              <w:rPr>
                <w:bCs/>
                <w:sz w:val="21"/>
                <w:szCs w:val="21"/>
              </w:rPr>
            </w:pPr>
            <w:r>
              <w:rPr>
                <w:rFonts w:hint="eastAsia"/>
                <w:color w:val="000000"/>
                <w:sz w:val="21"/>
                <w:szCs w:val="21"/>
              </w:rPr>
              <w:t>1.3㎡≤＜1.5㎡</w:t>
            </w:r>
          </w:p>
        </w:tc>
        <w:tc>
          <w:tcPr>
            <w:tcW w:w="2841" w:type="dxa"/>
            <w:vAlign w:val="top"/>
          </w:tcPr>
          <w:p>
            <w:pPr>
              <w:pStyle w:val="87"/>
              <w:spacing w:line="240" w:lineRule="auto"/>
              <w:ind w:firstLine="0" w:firstLineChars="0"/>
              <w:jc w:val="center"/>
              <w:outlineLvl w:val="9"/>
              <w:rPr>
                <w:bCs/>
                <w:sz w:val="21"/>
                <w:szCs w:val="21"/>
              </w:rPr>
            </w:pPr>
            <w:r>
              <w:rPr>
                <w:rFonts w:hint="eastAsia"/>
                <w:color w:val="000000"/>
                <w:sz w:val="21"/>
                <w:szCs w:val="21"/>
              </w:rPr>
              <w:t>0.9㎡≤＜1.0㎡</w:t>
            </w:r>
          </w:p>
        </w:tc>
        <w:tc>
          <w:tcPr>
            <w:tcW w:w="2841" w:type="dxa"/>
            <w:vAlign w:val="top"/>
          </w:tcPr>
          <w:p>
            <w:pPr>
              <w:pStyle w:val="87"/>
              <w:spacing w:line="240" w:lineRule="auto"/>
              <w:ind w:firstLine="0" w:firstLineChars="0"/>
              <w:jc w:val="center"/>
              <w:outlineLvl w:val="9"/>
              <w:rPr>
                <w:bCs/>
                <w:sz w:val="21"/>
                <w:szCs w:val="21"/>
              </w:rPr>
            </w:pPr>
            <w:r>
              <w:rPr>
                <w:rFonts w:hint="eastAsia"/>
                <w:bCs/>
                <w:sz w:val="21"/>
                <w:szCs w:val="21"/>
              </w:rPr>
              <w:t>3</w:t>
            </w:r>
          </w:p>
        </w:tc>
      </w:tr>
      <w:bookmarkEnd w:id="45"/>
      <w:bookmarkEnd w:id="46"/>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pStyle w:val="87"/>
              <w:spacing w:line="240" w:lineRule="auto"/>
              <w:ind w:firstLine="0" w:firstLineChars="0"/>
              <w:jc w:val="center"/>
              <w:outlineLvl w:val="9"/>
              <w:rPr>
                <w:bCs/>
                <w:sz w:val="21"/>
                <w:szCs w:val="21"/>
              </w:rPr>
            </w:pPr>
            <w:r>
              <w:rPr>
                <w:rFonts w:hint="eastAsia"/>
                <w:color w:val="000000"/>
                <w:sz w:val="21"/>
                <w:szCs w:val="21"/>
              </w:rPr>
              <w:t>≥1.5㎡</w:t>
            </w:r>
          </w:p>
        </w:tc>
        <w:tc>
          <w:tcPr>
            <w:tcW w:w="2841" w:type="dxa"/>
            <w:vAlign w:val="top"/>
          </w:tcPr>
          <w:p>
            <w:pPr>
              <w:pStyle w:val="87"/>
              <w:spacing w:line="240" w:lineRule="auto"/>
              <w:ind w:firstLine="0" w:firstLineChars="0"/>
              <w:jc w:val="center"/>
              <w:outlineLvl w:val="9"/>
              <w:rPr>
                <w:bCs/>
                <w:sz w:val="21"/>
                <w:szCs w:val="21"/>
              </w:rPr>
            </w:pPr>
            <w:r>
              <w:rPr>
                <w:rFonts w:hint="eastAsia"/>
                <w:color w:val="000000"/>
                <w:sz w:val="21"/>
                <w:szCs w:val="21"/>
              </w:rPr>
              <w:t>≥1.0㎡</w:t>
            </w:r>
          </w:p>
        </w:tc>
        <w:tc>
          <w:tcPr>
            <w:tcW w:w="2841" w:type="dxa"/>
            <w:vAlign w:val="top"/>
          </w:tcPr>
          <w:p>
            <w:pPr>
              <w:pStyle w:val="87"/>
              <w:spacing w:line="240" w:lineRule="auto"/>
              <w:ind w:firstLine="0" w:firstLineChars="0"/>
              <w:jc w:val="center"/>
              <w:outlineLvl w:val="9"/>
              <w:rPr>
                <w:bCs/>
                <w:sz w:val="21"/>
                <w:szCs w:val="21"/>
              </w:rPr>
            </w:pPr>
            <w:r>
              <w:rPr>
                <w:rFonts w:hint="eastAsia"/>
                <w:bCs/>
                <w:sz w:val="21"/>
                <w:szCs w:val="21"/>
              </w:rPr>
              <w:t>4</w:t>
            </w:r>
          </w:p>
        </w:tc>
      </w:tr>
    </w:tbl>
    <w:p>
      <w:pPr>
        <w:pStyle w:val="87"/>
        <w:ind w:firstLine="0" w:firstLineChars="0"/>
        <w:outlineLvl w:val="9"/>
        <w:rPr>
          <w:bCs/>
        </w:rPr>
      </w:pPr>
    </w:p>
    <w:p>
      <w:pPr>
        <w:pStyle w:val="87"/>
        <w:ind w:firstLine="0" w:firstLineChars="0"/>
        <w:outlineLvl w:val="9"/>
        <w:rPr>
          <w:rFonts w:hAnsi="宋体"/>
          <w:bCs/>
        </w:rPr>
      </w:pPr>
      <w:r>
        <w:rPr>
          <w:rFonts w:hint="eastAsia"/>
          <w:b/>
          <w:bCs/>
        </w:rPr>
        <w:t xml:space="preserve">2 </w:t>
      </w:r>
      <w:r>
        <w:rPr>
          <w:rFonts w:hint="eastAsia" w:hAnsi="宋体"/>
          <w:bCs/>
        </w:rPr>
        <w:t>公共建筑按下列规则分别评分并累计：</w:t>
      </w:r>
    </w:p>
    <w:p>
      <w:pPr>
        <w:pStyle w:val="87"/>
        <w:ind w:firstLine="482"/>
        <w:outlineLvl w:val="9"/>
        <w:rPr>
          <w:bCs/>
        </w:rPr>
      </w:pPr>
      <w:r>
        <w:rPr>
          <w:rFonts w:hint="eastAsia"/>
          <w:b/>
          <w:bCs/>
        </w:rPr>
        <w:t>1）</w:t>
      </w:r>
      <w:r>
        <w:rPr>
          <w:rFonts w:hint="eastAsia" w:hAnsi="宋体"/>
          <w:bCs/>
        </w:rPr>
        <w:t>绿化覆盖</w:t>
      </w:r>
      <w:r>
        <w:rPr>
          <w:rFonts w:hAnsi="宋体"/>
          <w:bCs/>
        </w:rPr>
        <w:t>率：</w:t>
      </w:r>
      <w:r>
        <w:rPr>
          <w:rFonts w:hint="eastAsia" w:hAnsi="宋体"/>
          <w:bCs/>
        </w:rPr>
        <w:t>按表6.2.3-2的规则评分，最高</w:t>
      </w:r>
      <w:r>
        <w:rPr>
          <w:rFonts w:hAnsi="宋体"/>
          <w:bCs/>
        </w:rPr>
        <w:t>得</w:t>
      </w:r>
      <w:r>
        <w:rPr>
          <w:rFonts w:hint="eastAsia"/>
          <w:bCs/>
        </w:rPr>
        <w:t>6</w:t>
      </w:r>
      <w:r>
        <w:rPr>
          <w:rFonts w:hAnsi="宋体"/>
          <w:bCs/>
        </w:rPr>
        <w:t>分；</w:t>
      </w:r>
    </w:p>
    <w:p>
      <w:pPr>
        <w:pStyle w:val="87"/>
        <w:spacing w:line="240" w:lineRule="auto"/>
        <w:ind w:firstLine="0" w:firstLineChars="0"/>
        <w:jc w:val="center"/>
        <w:outlineLvl w:val="9"/>
        <w:rPr>
          <w:rFonts w:hAnsi="宋体"/>
          <w:b/>
          <w:bCs/>
          <w:sz w:val="21"/>
          <w:szCs w:val="21"/>
        </w:rPr>
      </w:pPr>
      <w:r>
        <w:rPr>
          <w:rFonts w:hint="eastAsia" w:hAnsi="宋体"/>
          <w:b/>
          <w:bCs/>
          <w:sz w:val="21"/>
          <w:szCs w:val="21"/>
        </w:rPr>
        <w:t>表6.2.3-2公共建筑绿化覆盖率评分规则</w:t>
      </w:r>
    </w:p>
    <w:tbl>
      <w:tblPr>
        <w:tblStyle w:val="38"/>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30"/>
        <w:gridCol w:w="2951"/>
        <w:gridCol w:w="28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81" w:type="dxa"/>
            <w:gridSpan w:val="2"/>
            <w:vAlign w:val="top"/>
          </w:tcPr>
          <w:p>
            <w:pPr>
              <w:pStyle w:val="87"/>
              <w:spacing w:line="240" w:lineRule="auto"/>
              <w:ind w:firstLine="0" w:firstLineChars="0"/>
              <w:jc w:val="center"/>
              <w:outlineLvl w:val="9"/>
              <w:rPr>
                <w:bCs/>
                <w:sz w:val="21"/>
                <w:szCs w:val="21"/>
              </w:rPr>
            </w:pPr>
            <w:r>
              <w:rPr>
                <w:rFonts w:hint="eastAsia"/>
                <w:bCs/>
                <w:sz w:val="21"/>
                <w:szCs w:val="21"/>
              </w:rPr>
              <w:t>绿化覆盖率</w:t>
            </w:r>
          </w:p>
        </w:tc>
        <w:tc>
          <w:tcPr>
            <w:tcW w:w="2841" w:type="dxa"/>
            <w:vMerge w:val="restart"/>
            <w:vAlign w:val="center"/>
          </w:tcPr>
          <w:p>
            <w:pPr>
              <w:pStyle w:val="87"/>
              <w:spacing w:line="240" w:lineRule="auto"/>
              <w:ind w:firstLine="0" w:firstLineChars="0"/>
              <w:jc w:val="center"/>
              <w:outlineLvl w:val="9"/>
              <w:rPr>
                <w:bCs/>
                <w:sz w:val="21"/>
                <w:szCs w:val="21"/>
              </w:rPr>
            </w:pPr>
            <w:r>
              <w:rPr>
                <w:rFonts w:hint="eastAsia"/>
                <w:bCs/>
                <w:sz w:val="21"/>
                <w:szCs w:val="21"/>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30" w:type="dxa"/>
            <w:vAlign w:val="top"/>
          </w:tcPr>
          <w:p>
            <w:pPr>
              <w:pStyle w:val="87"/>
              <w:spacing w:line="240" w:lineRule="auto"/>
              <w:ind w:firstLine="0" w:firstLineChars="0"/>
              <w:jc w:val="center"/>
              <w:outlineLvl w:val="9"/>
              <w:rPr>
                <w:bCs/>
                <w:sz w:val="21"/>
                <w:szCs w:val="21"/>
              </w:rPr>
            </w:pPr>
            <w:r>
              <w:rPr>
                <w:rFonts w:hint="eastAsia"/>
                <w:bCs/>
                <w:sz w:val="21"/>
                <w:szCs w:val="21"/>
              </w:rPr>
              <w:t>公共设施类</w:t>
            </w:r>
          </w:p>
        </w:tc>
        <w:tc>
          <w:tcPr>
            <w:tcW w:w="2951" w:type="dxa"/>
            <w:vAlign w:val="top"/>
          </w:tcPr>
          <w:p>
            <w:pPr>
              <w:pStyle w:val="87"/>
              <w:spacing w:line="240" w:lineRule="auto"/>
              <w:ind w:firstLine="0" w:firstLineChars="0"/>
              <w:jc w:val="center"/>
              <w:outlineLvl w:val="9"/>
              <w:rPr>
                <w:bCs/>
                <w:sz w:val="21"/>
                <w:szCs w:val="21"/>
              </w:rPr>
            </w:pPr>
            <w:r>
              <w:rPr>
                <w:rFonts w:hint="eastAsia"/>
                <w:bCs/>
                <w:sz w:val="21"/>
                <w:szCs w:val="21"/>
              </w:rPr>
              <w:t>其它类</w:t>
            </w:r>
          </w:p>
        </w:tc>
        <w:tc>
          <w:tcPr>
            <w:tcW w:w="2841" w:type="dxa"/>
            <w:vMerge w:val="continue"/>
            <w:vAlign w:val="center"/>
          </w:tcPr>
          <w:p>
            <w:pPr>
              <w:pStyle w:val="87"/>
              <w:spacing w:line="240" w:lineRule="auto"/>
              <w:ind w:firstLine="0" w:firstLineChars="0"/>
              <w:jc w:val="center"/>
              <w:outlineLvl w:val="9"/>
              <w:rPr>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30" w:type="dxa"/>
            <w:vAlign w:val="top"/>
          </w:tcPr>
          <w:p>
            <w:pPr>
              <w:pStyle w:val="87"/>
              <w:spacing w:line="240" w:lineRule="auto"/>
              <w:ind w:firstLine="0" w:firstLineChars="0"/>
              <w:jc w:val="center"/>
              <w:outlineLvl w:val="9"/>
              <w:rPr>
                <w:bCs/>
                <w:sz w:val="21"/>
                <w:szCs w:val="21"/>
              </w:rPr>
            </w:pPr>
            <w:r>
              <w:rPr>
                <w:rFonts w:hint="eastAsia"/>
                <w:color w:val="000000"/>
                <w:sz w:val="21"/>
                <w:szCs w:val="21"/>
              </w:rPr>
              <w:t>30%≤＜35%</w:t>
            </w:r>
          </w:p>
        </w:tc>
        <w:tc>
          <w:tcPr>
            <w:tcW w:w="2951" w:type="dxa"/>
            <w:vAlign w:val="top"/>
          </w:tcPr>
          <w:p>
            <w:pPr>
              <w:pStyle w:val="87"/>
              <w:spacing w:line="240" w:lineRule="auto"/>
              <w:ind w:firstLine="0" w:firstLineChars="0"/>
              <w:jc w:val="center"/>
              <w:outlineLvl w:val="9"/>
              <w:rPr>
                <w:bCs/>
                <w:sz w:val="21"/>
                <w:szCs w:val="21"/>
              </w:rPr>
            </w:pPr>
            <w:r>
              <w:rPr>
                <w:rFonts w:hint="eastAsia"/>
                <w:color w:val="000000"/>
                <w:sz w:val="21"/>
                <w:szCs w:val="21"/>
              </w:rPr>
              <w:t>20%≤＜25%</w:t>
            </w:r>
          </w:p>
        </w:tc>
        <w:tc>
          <w:tcPr>
            <w:tcW w:w="2841" w:type="dxa"/>
            <w:vAlign w:val="center"/>
          </w:tcPr>
          <w:p>
            <w:pPr>
              <w:pStyle w:val="87"/>
              <w:spacing w:line="240" w:lineRule="auto"/>
              <w:ind w:firstLine="0" w:firstLineChars="0"/>
              <w:jc w:val="center"/>
              <w:outlineLvl w:val="9"/>
              <w:rPr>
                <w:bCs/>
                <w:sz w:val="21"/>
                <w:szCs w:val="21"/>
              </w:rPr>
            </w:pPr>
            <w:r>
              <w:rPr>
                <w:rFonts w:hint="eastAsia"/>
                <w:bCs/>
                <w:sz w:val="21"/>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730" w:type="dxa"/>
            <w:vAlign w:val="top"/>
          </w:tcPr>
          <w:p>
            <w:pPr>
              <w:pStyle w:val="87"/>
              <w:spacing w:line="240" w:lineRule="auto"/>
              <w:ind w:firstLine="0" w:firstLineChars="0"/>
              <w:jc w:val="center"/>
              <w:outlineLvl w:val="9"/>
              <w:rPr>
                <w:bCs/>
                <w:sz w:val="21"/>
                <w:szCs w:val="21"/>
              </w:rPr>
            </w:pPr>
            <w:r>
              <w:rPr>
                <w:rFonts w:hint="eastAsia"/>
                <w:color w:val="000000"/>
                <w:sz w:val="21"/>
                <w:szCs w:val="21"/>
              </w:rPr>
              <w:t>35%≤＜40%</w:t>
            </w:r>
          </w:p>
        </w:tc>
        <w:tc>
          <w:tcPr>
            <w:tcW w:w="2951" w:type="dxa"/>
            <w:vAlign w:val="top"/>
          </w:tcPr>
          <w:p>
            <w:pPr>
              <w:pStyle w:val="87"/>
              <w:spacing w:line="240" w:lineRule="auto"/>
              <w:ind w:firstLine="0" w:firstLineChars="0"/>
              <w:jc w:val="center"/>
              <w:outlineLvl w:val="9"/>
              <w:rPr>
                <w:bCs/>
                <w:sz w:val="21"/>
                <w:szCs w:val="21"/>
              </w:rPr>
            </w:pPr>
            <w:r>
              <w:rPr>
                <w:rFonts w:hint="eastAsia"/>
                <w:color w:val="000000"/>
                <w:sz w:val="21"/>
                <w:szCs w:val="21"/>
              </w:rPr>
              <w:t>25%≤＜30%</w:t>
            </w:r>
          </w:p>
        </w:tc>
        <w:tc>
          <w:tcPr>
            <w:tcW w:w="2841" w:type="dxa"/>
            <w:vAlign w:val="center"/>
          </w:tcPr>
          <w:p>
            <w:pPr>
              <w:pStyle w:val="87"/>
              <w:spacing w:line="240" w:lineRule="auto"/>
              <w:ind w:firstLine="0" w:firstLineChars="0"/>
              <w:jc w:val="center"/>
              <w:outlineLvl w:val="9"/>
              <w:rPr>
                <w:bCs/>
                <w:sz w:val="21"/>
                <w:szCs w:val="21"/>
              </w:rPr>
            </w:pPr>
            <w:r>
              <w:rPr>
                <w:rFonts w:hint="eastAsia"/>
                <w:bCs/>
                <w:sz w:val="21"/>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30" w:type="dxa"/>
            <w:vAlign w:val="top"/>
          </w:tcPr>
          <w:p>
            <w:pPr>
              <w:pStyle w:val="87"/>
              <w:spacing w:line="240" w:lineRule="auto"/>
              <w:ind w:firstLine="0" w:firstLineChars="0"/>
              <w:jc w:val="center"/>
              <w:outlineLvl w:val="9"/>
              <w:rPr>
                <w:bCs/>
                <w:sz w:val="21"/>
                <w:szCs w:val="21"/>
              </w:rPr>
            </w:pPr>
            <w:r>
              <w:rPr>
                <w:rFonts w:hint="eastAsia"/>
                <w:color w:val="000000"/>
                <w:sz w:val="21"/>
                <w:szCs w:val="21"/>
              </w:rPr>
              <w:t>≥40%</w:t>
            </w:r>
          </w:p>
        </w:tc>
        <w:tc>
          <w:tcPr>
            <w:tcW w:w="2951" w:type="dxa"/>
            <w:vAlign w:val="top"/>
          </w:tcPr>
          <w:p>
            <w:pPr>
              <w:pStyle w:val="87"/>
              <w:spacing w:line="240" w:lineRule="auto"/>
              <w:ind w:firstLine="0" w:firstLineChars="0"/>
              <w:jc w:val="center"/>
              <w:outlineLvl w:val="9"/>
              <w:rPr>
                <w:bCs/>
                <w:sz w:val="21"/>
                <w:szCs w:val="21"/>
              </w:rPr>
            </w:pPr>
            <w:r>
              <w:rPr>
                <w:rFonts w:hint="eastAsia"/>
                <w:color w:val="000000"/>
                <w:sz w:val="21"/>
                <w:szCs w:val="21"/>
              </w:rPr>
              <w:t>≥30%</w:t>
            </w:r>
          </w:p>
        </w:tc>
        <w:tc>
          <w:tcPr>
            <w:tcW w:w="2841" w:type="dxa"/>
            <w:vAlign w:val="center"/>
          </w:tcPr>
          <w:p>
            <w:pPr>
              <w:pStyle w:val="87"/>
              <w:spacing w:line="240" w:lineRule="auto"/>
              <w:ind w:firstLine="0" w:firstLineChars="0"/>
              <w:jc w:val="center"/>
              <w:outlineLvl w:val="9"/>
              <w:rPr>
                <w:bCs/>
                <w:sz w:val="21"/>
                <w:szCs w:val="21"/>
              </w:rPr>
            </w:pPr>
            <w:r>
              <w:rPr>
                <w:rFonts w:hint="eastAsia"/>
                <w:bCs/>
                <w:sz w:val="21"/>
                <w:szCs w:val="21"/>
              </w:rPr>
              <w:t>6</w:t>
            </w:r>
          </w:p>
        </w:tc>
      </w:tr>
    </w:tbl>
    <w:p>
      <w:pPr>
        <w:pStyle w:val="87"/>
        <w:ind w:firstLine="480"/>
        <w:outlineLvl w:val="9"/>
        <w:rPr>
          <w:bCs/>
        </w:rPr>
      </w:pPr>
      <w:r>
        <w:rPr>
          <w:rFonts w:hint="eastAsia" w:hAnsi="宋体"/>
          <w:bCs/>
        </w:rPr>
        <w:t>2）绿地向社会公众开放，得2分。</w:t>
      </w:r>
      <w:r>
        <w:rPr>
          <w:rFonts w:hAnsi="宋体"/>
          <w:bCs/>
        </w:rPr>
        <w:t>　</w:t>
      </w:r>
    </w:p>
    <w:p>
      <w:pPr>
        <w:pStyle w:val="80"/>
        <w:ind w:firstLine="0" w:firstLineChars="0"/>
        <w:rPr>
          <w:rFonts w:ascii="仿宋" w:hAnsi="仿宋" w:eastAsia="仿宋"/>
          <w:color w:val="FF0000"/>
          <w:szCs w:val="24"/>
        </w:rPr>
      </w:pPr>
      <w:r>
        <w:rPr>
          <w:rFonts w:hint="eastAsia" w:ascii="仿宋" w:hAnsi="仿宋" w:eastAsia="仿宋"/>
          <w:color w:val="FF0000"/>
          <w:szCs w:val="24"/>
        </w:rPr>
        <w:t>【条文说明】根据《深圳市城市规划标准与准则》的要求已经将绿地率用绿化覆盖率进行替代，居住地块的绿化覆盖率宜大于40%，非居住地块绿化覆盖率宜大于30%，因此本规范进行相应调整。另外公共建筑按照使用功能分类，公共设施类（如文化娱乐、医疗卫生、教育、体育、交通、民政类等）适当增加绿化覆盖率要求，其它（如商业服务类、地铁上盖物业等）适当降低绿化覆盖率要求。根据《城市用地分类与规划建设用地标准》GB50137、《城市绿地分类标准》CJJ/T85-2002，已经将公共绿地更改为公园绿地，《深圳市城市规划标准与准则》也没有对公共绿地提出相关要求，本条文公共绿地计算可以参照公园绿地进行计算，公园绿地指向公众开放，以游憩为主要功能、兼具生态、美化、防灾等作用的绿地。项目配套或代建的街旁或道路绿地、市政公共绿地等也可计算为项目绿地。</w:t>
      </w:r>
    </w:p>
    <w:p>
      <w:pPr>
        <w:pStyle w:val="87"/>
        <w:spacing w:line="360" w:lineRule="auto"/>
        <w:ind w:firstLine="0" w:firstLineChars="0"/>
        <w:outlineLvl w:val="9"/>
        <w:rPr>
          <w:bCs/>
        </w:rPr>
      </w:pPr>
    </w:p>
    <w:p>
      <w:pPr>
        <w:pStyle w:val="87"/>
        <w:spacing w:line="360" w:lineRule="auto"/>
        <w:ind w:firstLine="0" w:firstLineChars="0"/>
        <w:outlineLvl w:val="9"/>
        <w:rPr>
          <w:rFonts w:hAnsi="宋体"/>
          <w:bCs/>
        </w:rPr>
      </w:pPr>
      <w:r>
        <w:rPr>
          <w:rFonts w:hint="eastAsia"/>
          <w:b/>
          <w:bCs/>
        </w:rPr>
        <w:t>6</w:t>
      </w:r>
      <w:r>
        <w:rPr>
          <w:b/>
          <w:bCs/>
        </w:rPr>
        <w:t>.2.</w:t>
      </w:r>
      <w:r>
        <w:rPr>
          <w:rFonts w:hint="eastAsia"/>
          <w:b/>
          <w:bCs/>
        </w:rPr>
        <w:t>4</w:t>
      </w:r>
      <w:r>
        <w:rPr>
          <w:rFonts w:hAnsi="宋体"/>
          <w:bCs/>
        </w:rPr>
        <w:t>　合理开发利用地下空间，评价总分值为</w:t>
      </w:r>
      <w:r>
        <w:rPr>
          <w:rFonts w:hint="eastAsia"/>
          <w:bCs/>
        </w:rPr>
        <w:t>4</w:t>
      </w:r>
      <w:r>
        <w:rPr>
          <w:rFonts w:hAnsi="宋体"/>
          <w:bCs/>
        </w:rPr>
        <w:t>分，并按</w:t>
      </w:r>
      <w:r>
        <w:rPr>
          <w:rFonts w:hint="eastAsia" w:hAnsi="宋体"/>
          <w:bCs/>
        </w:rPr>
        <w:t>表6.2.4的</w:t>
      </w:r>
      <w:r>
        <w:rPr>
          <w:rFonts w:hAnsi="宋体"/>
          <w:bCs/>
        </w:rPr>
        <w:t>规则评分</w:t>
      </w:r>
      <w:r>
        <w:rPr>
          <w:rFonts w:hint="eastAsia" w:hAnsi="宋体"/>
          <w:bCs/>
        </w:rPr>
        <w:t>。</w:t>
      </w:r>
    </w:p>
    <w:p>
      <w:pPr>
        <w:pStyle w:val="87"/>
        <w:spacing w:line="360" w:lineRule="auto"/>
        <w:ind w:firstLine="0" w:firstLineChars="0"/>
        <w:jc w:val="center"/>
        <w:outlineLvl w:val="9"/>
        <w:rPr>
          <w:rFonts w:hAnsi="宋体"/>
          <w:b/>
          <w:bCs/>
          <w:sz w:val="21"/>
          <w:szCs w:val="21"/>
        </w:rPr>
      </w:pPr>
      <w:r>
        <w:rPr>
          <w:rFonts w:hint="eastAsia" w:hAnsi="宋体"/>
          <w:b/>
          <w:bCs/>
          <w:sz w:val="21"/>
          <w:szCs w:val="21"/>
        </w:rPr>
        <w:t>表6.2.4 地下空间开发利用评分规则</w:t>
      </w:r>
    </w:p>
    <w:tbl>
      <w:tblPr>
        <w:tblStyle w:val="38"/>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4"/>
        <w:gridCol w:w="2024"/>
        <w:gridCol w:w="6"/>
        <w:gridCol w:w="1698"/>
        <w:gridCol w:w="1705"/>
        <w:gridCol w:w="17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4" w:type="dxa"/>
            <w:vAlign w:val="center"/>
          </w:tcPr>
          <w:p>
            <w:pPr>
              <w:pStyle w:val="87"/>
              <w:spacing w:line="240" w:lineRule="auto"/>
              <w:ind w:firstLine="0" w:firstLineChars="0"/>
              <w:jc w:val="center"/>
              <w:outlineLvl w:val="9"/>
              <w:rPr>
                <w:bCs/>
                <w:sz w:val="21"/>
                <w:szCs w:val="21"/>
              </w:rPr>
            </w:pPr>
            <w:r>
              <w:rPr>
                <w:rFonts w:hint="eastAsia"/>
                <w:bCs/>
                <w:sz w:val="21"/>
                <w:szCs w:val="21"/>
              </w:rPr>
              <w:t>建筑类型</w:t>
            </w:r>
          </w:p>
        </w:tc>
        <w:tc>
          <w:tcPr>
            <w:tcW w:w="5433" w:type="dxa"/>
            <w:gridSpan w:val="4"/>
            <w:vAlign w:val="center"/>
          </w:tcPr>
          <w:p>
            <w:pPr>
              <w:pStyle w:val="87"/>
              <w:spacing w:line="240" w:lineRule="auto"/>
              <w:ind w:firstLine="0" w:firstLineChars="0"/>
              <w:jc w:val="center"/>
              <w:outlineLvl w:val="9"/>
              <w:rPr>
                <w:bCs/>
                <w:sz w:val="21"/>
                <w:szCs w:val="21"/>
              </w:rPr>
            </w:pPr>
            <w:r>
              <w:rPr>
                <w:rFonts w:hint="eastAsia"/>
                <w:bCs/>
                <w:sz w:val="21"/>
                <w:szCs w:val="21"/>
              </w:rPr>
              <w:t>地下空间开发利用指标</w:t>
            </w:r>
          </w:p>
        </w:tc>
        <w:tc>
          <w:tcPr>
            <w:tcW w:w="1705" w:type="dxa"/>
            <w:vAlign w:val="center"/>
          </w:tcPr>
          <w:p>
            <w:pPr>
              <w:pStyle w:val="87"/>
              <w:spacing w:line="240" w:lineRule="auto"/>
              <w:ind w:firstLine="0" w:firstLineChars="0"/>
              <w:jc w:val="center"/>
              <w:outlineLvl w:val="9"/>
              <w:rPr>
                <w:bCs/>
                <w:sz w:val="21"/>
                <w:szCs w:val="21"/>
              </w:rPr>
            </w:pPr>
            <w:r>
              <w:rPr>
                <w:rFonts w:hint="eastAsia"/>
                <w:bCs/>
                <w:sz w:val="21"/>
                <w:szCs w:val="21"/>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4" w:type="dxa"/>
            <w:vMerge w:val="restart"/>
            <w:vAlign w:val="center"/>
          </w:tcPr>
          <w:p>
            <w:pPr>
              <w:pStyle w:val="87"/>
              <w:spacing w:line="240" w:lineRule="auto"/>
              <w:ind w:firstLine="0" w:firstLineChars="0"/>
              <w:jc w:val="center"/>
              <w:outlineLvl w:val="9"/>
              <w:rPr>
                <w:bCs/>
                <w:sz w:val="21"/>
                <w:szCs w:val="21"/>
              </w:rPr>
            </w:pPr>
            <w:r>
              <w:rPr>
                <w:rFonts w:hint="eastAsia"/>
                <w:bCs/>
                <w:sz w:val="21"/>
                <w:szCs w:val="21"/>
              </w:rPr>
              <w:t>居住建筑</w:t>
            </w:r>
          </w:p>
        </w:tc>
        <w:tc>
          <w:tcPr>
            <w:tcW w:w="2030" w:type="dxa"/>
            <w:gridSpan w:val="2"/>
            <w:vMerge w:val="restart"/>
            <w:vAlign w:val="center"/>
          </w:tcPr>
          <w:p>
            <w:pPr>
              <w:pStyle w:val="87"/>
              <w:spacing w:line="240" w:lineRule="auto"/>
              <w:ind w:firstLine="0" w:firstLineChars="0"/>
              <w:jc w:val="center"/>
              <w:outlineLvl w:val="9"/>
              <w:rPr>
                <w:bCs/>
                <w:sz w:val="21"/>
                <w:szCs w:val="21"/>
              </w:rPr>
            </w:pPr>
            <w:r>
              <w:rPr>
                <w:rFonts w:hint="eastAsia"/>
                <w:bCs/>
                <w:sz w:val="21"/>
                <w:szCs w:val="21"/>
              </w:rPr>
              <w:t>地下建筑面积与地上建筑面积的比率</w:t>
            </w:r>
          </w:p>
        </w:tc>
        <w:tc>
          <w:tcPr>
            <w:tcW w:w="3403" w:type="dxa"/>
            <w:gridSpan w:val="2"/>
            <w:vAlign w:val="center"/>
          </w:tcPr>
          <w:p>
            <w:pPr>
              <w:pStyle w:val="87"/>
              <w:spacing w:line="240" w:lineRule="auto"/>
              <w:ind w:firstLine="0" w:firstLineChars="0"/>
              <w:jc w:val="center"/>
              <w:outlineLvl w:val="9"/>
              <w:rPr>
                <w:bCs/>
                <w:sz w:val="21"/>
                <w:szCs w:val="21"/>
              </w:rPr>
            </w:pPr>
            <w:r>
              <w:rPr>
                <w:rFonts w:hint="eastAsia"/>
                <w:bCs/>
                <w:sz w:val="21"/>
                <w:szCs w:val="21"/>
              </w:rPr>
              <w:t>5%≤＜15%</w:t>
            </w:r>
          </w:p>
        </w:tc>
        <w:tc>
          <w:tcPr>
            <w:tcW w:w="1705" w:type="dxa"/>
            <w:vAlign w:val="center"/>
          </w:tcPr>
          <w:p>
            <w:pPr>
              <w:pStyle w:val="87"/>
              <w:spacing w:line="240" w:lineRule="auto"/>
              <w:ind w:firstLine="0" w:firstLineChars="0"/>
              <w:jc w:val="center"/>
              <w:outlineLvl w:val="9"/>
              <w:rPr>
                <w:bCs/>
                <w:sz w:val="21"/>
                <w:szCs w:val="21"/>
              </w:rPr>
            </w:pPr>
            <w:r>
              <w:rPr>
                <w:rFonts w:hint="eastAsia"/>
                <w:bCs/>
                <w:sz w:val="21"/>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4" w:type="dxa"/>
            <w:vMerge w:val="continue"/>
            <w:vAlign w:val="center"/>
          </w:tcPr>
          <w:p>
            <w:pPr>
              <w:pStyle w:val="87"/>
              <w:spacing w:line="240" w:lineRule="auto"/>
              <w:ind w:firstLine="0" w:firstLineChars="0"/>
              <w:jc w:val="center"/>
              <w:outlineLvl w:val="9"/>
              <w:rPr>
                <w:bCs/>
                <w:sz w:val="21"/>
                <w:szCs w:val="21"/>
              </w:rPr>
            </w:pPr>
          </w:p>
        </w:tc>
        <w:tc>
          <w:tcPr>
            <w:tcW w:w="2030" w:type="dxa"/>
            <w:gridSpan w:val="2"/>
            <w:vMerge w:val="continue"/>
            <w:vAlign w:val="center"/>
          </w:tcPr>
          <w:p>
            <w:pPr>
              <w:pStyle w:val="87"/>
              <w:spacing w:line="240" w:lineRule="auto"/>
              <w:ind w:firstLine="0" w:firstLineChars="0"/>
              <w:jc w:val="center"/>
              <w:outlineLvl w:val="9"/>
              <w:rPr>
                <w:bCs/>
                <w:sz w:val="21"/>
                <w:szCs w:val="21"/>
              </w:rPr>
            </w:pPr>
          </w:p>
        </w:tc>
        <w:tc>
          <w:tcPr>
            <w:tcW w:w="3403" w:type="dxa"/>
            <w:gridSpan w:val="2"/>
            <w:vAlign w:val="center"/>
          </w:tcPr>
          <w:p>
            <w:pPr>
              <w:pStyle w:val="87"/>
              <w:spacing w:line="240" w:lineRule="auto"/>
              <w:ind w:firstLine="0" w:firstLineChars="0"/>
              <w:jc w:val="center"/>
              <w:outlineLvl w:val="9"/>
              <w:rPr>
                <w:bCs/>
                <w:sz w:val="21"/>
                <w:szCs w:val="21"/>
              </w:rPr>
            </w:pPr>
            <w:r>
              <w:rPr>
                <w:rFonts w:hint="eastAsia"/>
                <w:bCs/>
                <w:sz w:val="21"/>
                <w:szCs w:val="21"/>
              </w:rPr>
              <w:t>15%≤＜25%</w:t>
            </w:r>
          </w:p>
        </w:tc>
        <w:tc>
          <w:tcPr>
            <w:tcW w:w="1705" w:type="dxa"/>
            <w:vAlign w:val="center"/>
          </w:tcPr>
          <w:p>
            <w:pPr>
              <w:pStyle w:val="87"/>
              <w:spacing w:line="240" w:lineRule="auto"/>
              <w:ind w:firstLine="0" w:firstLineChars="0"/>
              <w:jc w:val="center"/>
              <w:outlineLvl w:val="9"/>
              <w:rPr>
                <w:bCs/>
                <w:sz w:val="21"/>
                <w:szCs w:val="21"/>
              </w:rPr>
            </w:pPr>
            <w:r>
              <w:rPr>
                <w:rFonts w:hint="eastAsia"/>
                <w:bCs/>
                <w:sz w:val="21"/>
                <w:szCs w:val="21"/>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384" w:type="dxa"/>
            <w:vMerge w:val="continue"/>
            <w:vAlign w:val="center"/>
          </w:tcPr>
          <w:p>
            <w:pPr>
              <w:pStyle w:val="87"/>
              <w:spacing w:line="240" w:lineRule="auto"/>
              <w:ind w:firstLine="0" w:firstLineChars="0"/>
              <w:jc w:val="center"/>
              <w:outlineLvl w:val="9"/>
              <w:rPr>
                <w:bCs/>
                <w:sz w:val="21"/>
                <w:szCs w:val="21"/>
              </w:rPr>
            </w:pPr>
          </w:p>
        </w:tc>
        <w:tc>
          <w:tcPr>
            <w:tcW w:w="2030" w:type="dxa"/>
            <w:gridSpan w:val="2"/>
            <w:vMerge w:val="continue"/>
            <w:vAlign w:val="center"/>
          </w:tcPr>
          <w:p>
            <w:pPr>
              <w:pStyle w:val="87"/>
              <w:spacing w:line="240" w:lineRule="auto"/>
              <w:ind w:firstLine="0" w:firstLineChars="0"/>
              <w:jc w:val="center"/>
              <w:outlineLvl w:val="9"/>
              <w:rPr>
                <w:bCs/>
                <w:sz w:val="21"/>
                <w:szCs w:val="21"/>
              </w:rPr>
            </w:pPr>
          </w:p>
        </w:tc>
        <w:tc>
          <w:tcPr>
            <w:tcW w:w="3403" w:type="dxa"/>
            <w:gridSpan w:val="2"/>
            <w:vAlign w:val="center"/>
          </w:tcPr>
          <w:p>
            <w:pPr>
              <w:pStyle w:val="87"/>
              <w:spacing w:line="240" w:lineRule="auto"/>
              <w:ind w:firstLine="0" w:firstLineChars="0"/>
              <w:jc w:val="center"/>
              <w:outlineLvl w:val="9"/>
              <w:rPr>
                <w:bCs/>
                <w:sz w:val="21"/>
                <w:szCs w:val="21"/>
              </w:rPr>
            </w:pPr>
            <w:r>
              <w:rPr>
                <w:rFonts w:hint="eastAsia"/>
                <w:bCs/>
                <w:sz w:val="21"/>
                <w:szCs w:val="21"/>
              </w:rPr>
              <w:t>≥25%</w:t>
            </w:r>
          </w:p>
        </w:tc>
        <w:tc>
          <w:tcPr>
            <w:tcW w:w="1705" w:type="dxa"/>
            <w:vAlign w:val="center"/>
          </w:tcPr>
          <w:p>
            <w:pPr>
              <w:pStyle w:val="87"/>
              <w:spacing w:line="240" w:lineRule="auto"/>
              <w:ind w:firstLine="0" w:firstLineChars="0"/>
              <w:jc w:val="center"/>
              <w:outlineLvl w:val="9"/>
              <w:rPr>
                <w:bCs/>
                <w:sz w:val="21"/>
                <w:szCs w:val="21"/>
              </w:rPr>
            </w:pPr>
            <w:r>
              <w:rPr>
                <w:rFonts w:hint="eastAsia"/>
                <w:bCs/>
                <w:sz w:val="21"/>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4" w:type="dxa"/>
            <w:vMerge w:val="restart"/>
            <w:vAlign w:val="center"/>
          </w:tcPr>
          <w:p>
            <w:pPr>
              <w:pStyle w:val="87"/>
              <w:spacing w:line="240" w:lineRule="auto"/>
              <w:ind w:firstLine="0" w:firstLineChars="0"/>
              <w:jc w:val="center"/>
              <w:outlineLvl w:val="9"/>
              <w:rPr>
                <w:bCs/>
                <w:sz w:val="21"/>
                <w:szCs w:val="21"/>
              </w:rPr>
            </w:pPr>
            <w:r>
              <w:rPr>
                <w:rFonts w:hint="eastAsia"/>
                <w:bCs/>
                <w:sz w:val="21"/>
                <w:szCs w:val="21"/>
              </w:rPr>
              <w:t>公共建筑</w:t>
            </w:r>
          </w:p>
        </w:tc>
        <w:tc>
          <w:tcPr>
            <w:tcW w:w="2024" w:type="dxa"/>
            <w:vMerge w:val="restart"/>
            <w:vAlign w:val="center"/>
          </w:tcPr>
          <w:p>
            <w:pPr>
              <w:pStyle w:val="87"/>
              <w:spacing w:line="240" w:lineRule="auto"/>
              <w:ind w:firstLine="0" w:firstLineChars="0"/>
              <w:jc w:val="center"/>
              <w:outlineLvl w:val="9"/>
              <w:rPr>
                <w:bCs/>
                <w:sz w:val="21"/>
                <w:szCs w:val="21"/>
              </w:rPr>
            </w:pPr>
            <w:r>
              <w:rPr>
                <w:rFonts w:hint="eastAsia"/>
                <w:bCs/>
                <w:sz w:val="21"/>
                <w:szCs w:val="21"/>
              </w:rPr>
              <w:t>地下建筑面积与总用地面积之比R</w:t>
            </w:r>
            <w:r>
              <w:rPr>
                <w:rFonts w:hint="eastAsia"/>
                <w:bCs/>
                <w:sz w:val="21"/>
                <w:szCs w:val="21"/>
                <w:vertAlign w:val="subscript"/>
              </w:rPr>
              <w:t>P1</w:t>
            </w:r>
          </w:p>
          <w:p>
            <w:pPr>
              <w:pStyle w:val="87"/>
              <w:spacing w:line="240" w:lineRule="auto"/>
              <w:ind w:firstLine="0" w:firstLineChars="0"/>
              <w:jc w:val="center"/>
              <w:outlineLvl w:val="9"/>
              <w:rPr>
                <w:bCs/>
                <w:sz w:val="21"/>
                <w:szCs w:val="21"/>
              </w:rPr>
            </w:pPr>
            <w:r>
              <w:rPr>
                <w:rFonts w:hint="eastAsia"/>
                <w:bCs/>
                <w:sz w:val="21"/>
                <w:szCs w:val="21"/>
              </w:rPr>
              <w:t>地下一层建筑面积与总用地面积的比率R</w:t>
            </w:r>
            <w:r>
              <w:rPr>
                <w:rFonts w:hint="eastAsia"/>
                <w:bCs/>
                <w:sz w:val="21"/>
                <w:szCs w:val="21"/>
                <w:vertAlign w:val="subscript"/>
              </w:rPr>
              <w:t>P2</w:t>
            </w:r>
          </w:p>
        </w:tc>
        <w:tc>
          <w:tcPr>
            <w:tcW w:w="1704" w:type="dxa"/>
            <w:gridSpan w:val="2"/>
            <w:vAlign w:val="center"/>
          </w:tcPr>
          <w:p>
            <w:pPr>
              <w:jc w:val="center"/>
              <w:rPr>
                <w:color w:val="000000"/>
                <w:szCs w:val="21"/>
              </w:rPr>
            </w:pPr>
            <w:r>
              <w:rPr>
                <w:rFonts w:hint="eastAsia"/>
                <w:color w:val="000000"/>
                <w:szCs w:val="21"/>
              </w:rPr>
              <w:t>公共设施类</w:t>
            </w:r>
          </w:p>
        </w:tc>
        <w:tc>
          <w:tcPr>
            <w:tcW w:w="1705" w:type="dxa"/>
            <w:vAlign w:val="center"/>
          </w:tcPr>
          <w:p>
            <w:pPr>
              <w:jc w:val="center"/>
              <w:rPr>
                <w:color w:val="000000"/>
                <w:szCs w:val="21"/>
              </w:rPr>
            </w:pPr>
            <w:r>
              <w:rPr>
                <w:rFonts w:hint="eastAsia"/>
                <w:color w:val="000000"/>
                <w:szCs w:val="21"/>
              </w:rPr>
              <w:t>其他类</w:t>
            </w:r>
          </w:p>
        </w:tc>
        <w:tc>
          <w:tcPr>
            <w:tcW w:w="1705" w:type="dxa"/>
            <w:vAlign w:val="center"/>
          </w:tcPr>
          <w:p>
            <w:pPr>
              <w:pStyle w:val="87"/>
              <w:spacing w:line="240" w:lineRule="auto"/>
              <w:ind w:firstLine="0" w:firstLineChars="0"/>
              <w:jc w:val="center"/>
              <w:outlineLvl w:val="9"/>
              <w:rPr>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4" w:type="dxa"/>
            <w:vMerge w:val="continue"/>
            <w:vAlign w:val="center"/>
          </w:tcPr>
          <w:p>
            <w:pPr>
              <w:pStyle w:val="87"/>
              <w:spacing w:line="240" w:lineRule="auto"/>
              <w:ind w:firstLine="0" w:firstLineChars="0"/>
              <w:jc w:val="center"/>
              <w:outlineLvl w:val="9"/>
              <w:rPr>
                <w:bCs/>
                <w:sz w:val="21"/>
                <w:szCs w:val="21"/>
              </w:rPr>
            </w:pPr>
          </w:p>
        </w:tc>
        <w:tc>
          <w:tcPr>
            <w:tcW w:w="2024" w:type="dxa"/>
            <w:vMerge w:val="continue"/>
            <w:vAlign w:val="center"/>
          </w:tcPr>
          <w:p>
            <w:pPr>
              <w:pStyle w:val="87"/>
              <w:spacing w:line="240" w:lineRule="auto"/>
              <w:ind w:firstLine="0" w:firstLineChars="0"/>
              <w:jc w:val="center"/>
              <w:outlineLvl w:val="9"/>
              <w:rPr>
                <w:bCs/>
                <w:sz w:val="21"/>
                <w:szCs w:val="21"/>
              </w:rPr>
            </w:pPr>
          </w:p>
        </w:tc>
        <w:tc>
          <w:tcPr>
            <w:tcW w:w="1704" w:type="dxa"/>
            <w:gridSpan w:val="2"/>
            <w:vAlign w:val="center"/>
          </w:tcPr>
          <w:p>
            <w:pPr>
              <w:pStyle w:val="87"/>
              <w:spacing w:line="240" w:lineRule="auto"/>
              <w:ind w:firstLine="0" w:firstLineChars="0"/>
              <w:jc w:val="center"/>
              <w:outlineLvl w:val="9"/>
              <w:rPr>
                <w:bCs/>
                <w:sz w:val="21"/>
                <w:szCs w:val="21"/>
              </w:rPr>
            </w:pPr>
            <w:r>
              <w:rPr>
                <w:rFonts w:hint="eastAsia"/>
                <w:bCs/>
                <w:sz w:val="21"/>
                <w:szCs w:val="21"/>
              </w:rPr>
              <w:t>≥0.15</w:t>
            </w:r>
          </w:p>
        </w:tc>
        <w:tc>
          <w:tcPr>
            <w:tcW w:w="1705" w:type="dxa"/>
            <w:vAlign w:val="center"/>
          </w:tcPr>
          <w:p>
            <w:pPr>
              <w:pStyle w:val="87"/>
              <w:spacing w:line="240" w:lineRule="auto"/>
              <w:ind w:firstLine="0" w:firstLineChars="0"/>
              <w:jc w:val="center"/>
              <w:outlineLvl w:val="9"/>
              <w:rPr>
                <w:bCs/>
                <w:sz w:val="21"/>
                <w:szCs w:val="21"/>
              </w:rPr>
            </w:pPr>
            <w:r>
              <w:rPr>
                <w:rFonts w:hint="eastAsia"/>
                <w:bCs/>
                <w:sz w:val="21"/>
                <w:szCs w:val="21"/>
              </w:rPr>
              <w:t>≥0.7</w:t>
            </w:r>
          </w:p>
        </w:tc>
        <w:tc>
          <w:tcPr>
            <w:tcW w:w="1705" w:type="dxa"/>
            <w:vAlign w:val="center"/>
          </w:tcPr>
          <w:p>
            <w:pPr>
              <w:pStyle w:val="87"/>
              <w:spacing w:line="240" w:lineRule="auto"/>
              <w:ind w:firstLine="0" w:firstLineChars="0"/>
              <w:jc w:val="center"/>
              <w:outlineLvl w:val="9"/>
              <w:rPr>
                <w:bCs/>
                <w:sz w:val="21"/>
                <w:szCs w:val="21"/>
              </w:rPr>
            </w:pPr>
            <w:r>
              <w:rPr>
                <w:rFonts w:hint="eastAsia"/>
                <w:bCs/>
                <w:sz w:val="21"/>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4" w:type="dxa"/>
            <w:vMerge w:val="continue"/>
            <w:vAlign w:val="center"/>
          </w:tcPr>
          <w:p>
            <w:pPr>
              <w:pStyle w:val="87"/>
              <w:spacing w:line="240" w:lineRule="auto"/>
              <w:ind w:firstLine="0" w:firstLineChars="0"/>
              <w:jc w:val="center"/>
              <w:outlineLvl w:val="9"/>
              <w:rPr>
                <w:bCs/>
                <w:sz w:val="21"/>
                <w:szCs w:val="21"/>
              </w:rPr>
            </w:pPr>
          </w:p>
        </w:tc>
        <w:tc>
          <w:tcPr>
            <w:tcW w:w="2024" w:type="dxa"/>
            <w:vMerge w:val="continue"/>
            <w:vAlign w:val="center"/>
          </w:tcPr>
          <w:p>
            <w:pPr>
              <w:pStyle w:val="87"/>
              <w:spacing w:line="240" w:lineRule="auto"/>
              <w:ind w:firstLine="0" w:firstLineChars="0"/>
              <w:jc w:val="center"/>
              <w:outlineLvl w:val="9"/>
              <w:rPr>
                <w:bCs/>
                <w:sz w:val="21"/>
                <w:szCs w:val="21"/>
              </w:rPr>
            </w:pPr>
          </w:p>
        </w:tc>
        <w:tc>
          <w:tcPr>
            <w:tcW w:w="1704" w:type="dxa"/>
            <w:gridSpan w:val="2"/>
            <w:vAlign w:val="center"/>
          </w:tcPr>
          <w:p>
            <w:pPr>
              <w:pStyle w:val="87"/>
              <w:spacing w:line="240" w:lineRule="auto"/>
              <w:ind w:firstLine="0" w:firstLineChars="0"/>
              <w:jc w:val="center"/>
              <w:outlineLvl w:val="9"/>
              <w:rPr>
                <w:bCs/>
                <w:sz w:val="21"/>
                <w:szCs w:val="21"/>
              </w:rPr>
            </w:pPr>
            <w:r>
              <w:rPr>
                <w:rFonts w:hint="eastAsia"/>
                <w:bCs/>
                <w:sz w:val="21"/>
                <w:szCs w:val="21"/>
              </w:rPr>
              <w:t>≥0.35且＜70%</w:t>
            </w:r>
          </w:p>
        </w:tc>
        <w:tc>
          <w:tcPr>
            <w:tcW w:w="1705" w:type="dxa"/>
            <w:vAlign w:val="center"/>
          </w:tcPr>
          <w:p>
            <w:pPr>
              <w:pStyle w:val="87"/>
              <w:spacing w:line="240" w:lineRule="auto"/>
              <w:ind w:firstLine="0" w:firstLineChars="0"/>
              <w:jc w:val="center"/>
              <w:outlineLvl w:val="9"/>
              <w:rPr>
                <w:bCs/>
                <w:sz w:val="21"/>
                <w:szCs w:val="21"/>
              </w:rPr>
            </w:pPr>
            <w:r>
              <w:rPr>
                <w:rFonts w:hint="eastAsia"/>
                <w:bCs/>
                <w:sz w:val="21"/>
                <w:szCs w:val="21"/>
              </w:rPr>
              <w:t>≥0.7且</w:t>
            </w:r>
            <w:bookmarkStart w:id="47" w:name="OLE_LINK23"/>
            <w:bookmarkStart w:id="48" w:name="OLE_LINK22"/>
            <w:r>
              <w:rPr>
                <w:rFonts w:hint="eastAsia"/>
                <w:bCs/>
                <w:sz w:val="21"/>
                <w:szCs w:val="21"/>
              </w:rPr>
              <w:t>＜</w:t>
            </w:r>
            <w:bookmarkEnd w:id="47"/>
            <w:bookmarkEnd w:id="48"/>
            <w:r>
              <w:rPr>
                <w:rFonts w:hint="eastAsia"/>
                <w:bCs/>
                <w:sz w:val="21"/>
                <w:szCs w:val="21"/>
              </w:rPr>
              <w:t>70%</w:t>
            </w:r>
          </w:p>
        </w:tc>
        <w:tc>
          <w:tcPr>
            <w:tcW w:w="1705" w:type="dxa"/>
            <w:vAlign w:val="center"/>
          </w:tcPr>
          <w:p>
            <w:pPr>
              <w:pStyle w:val="87"/>
              <w:spacing w:line="240" w:lineRule="auto"/>
              <w:ind w:firstLine="0" w:firstLineChars="0"/>
              <w:jc w:val="center"/>
              <w:outlineLvl w:val="9"/>
              <w:rPr>
                <w:bCs/>
                <w:sz w:val="21"/>
                <w:szCs w:val="21"/>
              </w:rPr>
            </w:pPr>
            <w:r>
              <w:rPr>
                <w:rFonts w:hint="eastAsia"/>
                <w:bCs/>
                <w:sz w:val="21"/>
                <w:szCs w:val="21"/>
              </w:rPr>
              <w:t>4</w:t>
            </w:r>
          </w:p>
        </w:tc>
      </w:tr>
    </w:tbl>
    <w:p>
      <w:pPr>
        <w:pStyle w:val="80"/>
        <w:ind w:firstLine="0" w:firstLineChars="0"/>
        <w:rPr>
          <w:rFonts w:ascii="仿宋" w:hAnsi="仿宋" w:eastAsia="仿宋"/>
          <w:color w:val="FF0000"/>
          <w:szCs w:val="24"/>
        </w:rPr>
      </w:pPr>
      <w:r>
        <w:rPr>
          <w:rFonts w:hint="eastAsia" w:ascii="仿宋" w:hAnsi="仿宋" w:eastAsia="仿宋"/>
          <w:color w:val="FF0000"/>
          <w:szCs w:val="24"/>
        </w:rPr>
        <w:t>【条文说明】</w:t>
      </w:r>
      <w:r>
        <w:rPr>
          <w:rFonts w:hint="eastAsia" w:ascii="仿宋" w:hAnsi="仿宋" w:eastAsia="仿宋"/>
          <w:color w:val="FF0000"/>
        </w:rPr>
        <w:t>此条文运行评价不再评价，与设计评价结论一致。</w:t>
      </w:r>
      <w:r>
        <w:rPr>
          <w:rFonts w:hint="eastAsia" w:ascii="仿宋" w:hAnsi="仿宋" w:eastAsia="仿宋"/>
          <w:color w:val="FF0000"/>
          <w:szCs w:val="24"/>
        </w:rPr>
        <w:t>深圳地区建筑地下空间利用率高，此条比较容易满足，将分数从6分降低为4分。相对国标调整了公共建筑按照用地性质进行分类评分，比如公共设施类（如文化娱乐、医疗卫生、教育、体育、交通、民政类等）降低了比例要求（参照2006版国家绿色建筑评价技术细则），其它（如商业服务、地铁上盖物业等）提高了比例要求。</w:t>
      </w:r>
    </w:p>
    <w:p>
      <w:pPr>
        <w:pStyle w:val="87"/>
        <w:spacing w:line="360" w:lineRule="auto"/>
        <w:ind w:firstLine="0" w:firstLineChars="0"/>
        <w:outlineLvl w:val="9"/>
        <w:rPr>
          <w:bCs/>
        </w:rPr>
      </w:pPr>
    </w:p>
    <w:p>
      <w:pPr>
        <w:spacing w:line="360" w:lineRule="auto"/>
        <w:rPr>
          <w:sz w:val="24"/>
        </w:rPr>
      </w:pPr>
      <w:r>
        <w:rPr>
          <w:b/>
          <w:sz w:val="24"/>
        </w:rPr>
        <w:t>6.2.5</w:t>
      </w:r>
      <w:r>
        <w:rPr>
          <w:sz w:val="24"/>
        </w:rPr>
        <w:t>　</w:t>
      </w:r>
      <w:r>
        <w:rPr>
          <w:rFonts w:hint="eastAsia"/>
          <w:sz w:val="24"/>
        </w:rPr>
        <w:t>采用工业化生产及建造方式，减少施工和材料加工堆放用地，保护土地资源</w:t>
      </w:r>
      <w:r>
        <w:rPr>
          <w:sz w:val="24"/>
        </w:rPr>
        <w:t>，评价总分值为</w:t>
      </w:r>
      <w:r>
        <w:rPr>
          <w:rFonts w:hint="eastAsia"/>
          <w:sz w:val="24"/>
        </w:rPr>
        <w:t>5</w:t>
      </w:r>
      <w:r>
        <w:rPr>
          <w:sz w:val="24"/>
        </w:rPr>
        <w:t>分</w:t>
      </w:r>
      <w:r>
        <w:rPr>
          <w:rFonts w:hint="eastAsia"/>
          <w:sz w:val="24"/>
        </w:rPr>
        <w:t>。</w:t>
      </w:r>
    </w:p>
    <w:p>
      <w:pPr>
        <w:pStyle w:val="87"/>
        <w:spacing w:line="360" w:lineRule="auto"/>
        <w:ind w:firstLine="0" w:firstLineChars="0"/>
        <w:outlineLvl w:val="9"/>
        <w:rPr>
          <w:rFonts w:ascii="仿宋" w:hAnsi="仿宋" w:eastAsia="仿宋"/>
          <w:color w:val="FF0000"/>
        </w:rPr>
      </w:pPr>
      <w:r>
        <w:rPr>
          <w:rFonts w:ascii="仿宋" w:hAnsi="仿宋" w:eastAsia="仿宋"/>
          <w:color w:val="FF0000"/>
        </w:rPr>
        <w:t>【条文说明】</w:t>
      </w:r>
      <w:r>
        <w:rPr>
          <w:rFonts w:hint="eastAsia" w:ascii="仿宋" w:hAnsi="仿宋" w:eastAsia="仿宋"/>
          <w:color w:val="FF0000"/>
        </w:rPr>
        <w:t>新增条文。工业化生产及建造方式如装配式建筑、钢结构建筑等，可以减少施工和材料加工堆放用地，减少施工临时用地，保护土地资源，属于节约用地措施。</w:t>
      </w:r>
    </w:p>
    <w:p>
      <w:pPr>
        <w:pStyle w:val="87"/>
        <w:spacing w:line="360" w:lineRule="auto"/>
        <w:ind w:firstLine="0" w:firstLineChars="0"/>
        <w:outlineLvl w:val="9"/>
        <w:rPr>
          <w:bCs/>
        </w:rPr>
      </w:pPr>
    </w:p>
    <w:p>
      <w:pPr>
        <w:pStyle w:val="87"/>
        <w:ind w:firstLine="0" w:firstLineChars="0"/>
        <w:jc w:val="center"/>
      </w:pPr>
      <w:bookmarkStart w:id="49" w:name="_Toc349912321"/>
      <w:bookmarkStart w:id="50" w:name="_Toc324256105"/>
      <w:bookmarkStart w:id="51" w:name="_Toc332983322"/>
      <w:bookmarkStart w:id="52" w:name="_Toc331065717"/>
      <w:bookmarkStart w:id="53" w:name="_Toc449111659"/>
      <w:r>
        <w:rPr>
          <w:rFonts w:ascii="宋体" w:hAnsi="宋体"/>
        </w:rPr>
        <w:t>Ⅱ</w:t>
      </w:r>
      <w:r>
        <w:rPr>
          <w:rFonts w:hint="eastAsia" w:ascii="宋体" w:hAnsi="宋体"/>
        </w:rPr>
        <w:t xml:space="preserve"> </w:t>
      </w:r>
      <w:r>
        <w:rPr>
          <w:rFonts w:hAnsi="宋体"/>
        </w:rPr>
        <w:t>室外环境</w:t>
      </w:r>
      <w:bookmarkEnd w:id="49"/>
      <w:bookmarkEnd w:id="50"/>
      <w:bookmarkEnd w:id="51"/>
      <w:bookmarkEnd w:id="52"/>
      <w:r>
        <w:rPr>
          <w:rFonts w:hint="eastAsia" w:hAnsi="宋体"/>
        </w:rPr>
        <w:t>（21分）</w:t>
      </w:r>
      <w:bookmarkEnd w:id="53"/>
    </w:p>
    <w:p>
      <w:pPr>
        <w:pStyle w:val="87"/>
        <w:spacing w:line="360" w:lineRule="auto"/>
        <w:ind w:firstLine="0" w:firstLineChars="0"/>
        <w:outlineLvl w:val="9"/>
        <w:rPr>
          <w:bCs/>
        </w:rPr>
      </w:pPr>
      <w:r>
        <w:rPr>
          <w:rFonts w:hint="eastAsia"/>
          <w:b/>
          <w:bCs/>
        </w:rPr>
        <w:t>6</w:t>
      </w:r>
      <w:r>
        <w:rPr>
          <w:b/>
          <w:bCs/>
        </w:rPr>
        <w:t>.2.</w:t>
      </w:r>
      <w:r>
        <w:rPr>
          <w:rFonts w:hint="eastAsia"/>
          <w:b/>
          <w:bCs/>
        </w:rPr>
        <w:t>6</w:t>
      </w:r>
      <w:r>
        <w:rPr>
          <w:rFonts w:hAnsi="宋体"/>
          <w:bCs/>
        </w:rPr>
        <w:t>　建筑及照明设计避免产生光污染，评价总分值为</w:t>
      </w:r>
      <w:r>
        <w:rPr>
          <w:rFonts w:hint="eastAsia"/>
          <w:bCs/>
        </w:rPr>
        <w:t>6</w:t>
      </w:r>
      <w:r>
        <w:rPr>
          <w:rFonts w:hAnsi="宋体"/>
          <w:bCs/>
        </w:rPr>
        <w:t>分，并按下列规则分别评分并累计：</w:t>
      </w:r>
    </w:p>
    <w:p>
      <w:pPr>
        <w:pStyle w:val="87"/>
        <w:spacing w:line="360" w:lineRule="auto"/>
        <w:ind w:firstLine="482"/>
        <w:outlineLvl w:val="9"/>
        <w:rPr>
          <w:rFonts w:hAnsi="宋体"/>
          <w:bCs/>
        </w:rPr>
      </w:pPr>
      <w:r>
        <w:rPr>
          <w:b/>
          <w:bCs/>
        </w:rPr>
        <w:t>1</w:t>
      </w:r>
      <w:r>
        <w:rPr>
          <w:rFonts w:hAnsi="宋体"/>
          <w:bCs/>
        </w:rPr>
        <w:t>　</w:t>
      </w:r>
      <w:r>
        <w:rPr>
          <w:rFonts w:hint="eastAsia" w:hAnsi="宋体"/>
          <w:bCs/>
        </w:rPr>
        <w:t>建筑外立面设计不对周围环境产生光污染。不采用镜面玻璃或抛光金属板等材料，</w:t>
      </w:r>
      <w:r>
        <w:rPr>
          <w:rFonts w:hAnsi="宋体"/>
          <w:bCs/>
        </w:rPr>
        <w:t>得</w:t>
      </w:r>
      <w:r>
        <w:rPr>
          <w:rFonts w:hint="eastAsia"/>
          <w:bCs/>
        </w:rPr>
        <w:t>2</w:t>
      </w:r>
      <w:r>
        <w:rPr>
          <w:rFonts w:hAnsi="宋体"/>
          <w:bCs/>
        </w:rPr>
        <w:t>分</w:t>
      </w:r>
      <w:r>
        <w:rPr>
          <w:rFonts w:hint="eastAsia" w:hAnsi="宋体"/>
          <w:bCs/>
        </w:rPr>
        <w:t>；</w:t>
      </w:r>
    </w:p>
    <w:p>
      <w:pPr>
        <w:pStyle w:val="87"/>
        <w:spacing w:line="360" w:lineRule="auto"/>
        <w:ind w:firstLine="482"/>
        <w:outlineLvl w:val="9"/>
        <w:rPr>
          <w:bCs/>
        </w:rPr>
      </w:pPr>
      <w:r>
        <w:rPr>
          <w:b/>
          <w:bCs/>
        </w:rPr>
        <w:t>2</w:t>
      </w:r>
      <w:r>
        <w:rPr>
          <w:rFonts w:hAnsi="宋体"/>
          <w:bCs/>
        </w:rPr>
        <w:t>　玻璃幕墙可见光反射比不大于</w:t>
      </w:r>
      <w:r>
        <w:rPr>
          <w:bCs/>
        </w:rPr>
        <w:t>0.2</w:t>
      </w:r>
      <w:r>
        <w:rPr>
          <w:rFonts w:hAnsi="宋体"/>
          <w:bCs/>
        </w:rPr>
        <w:t>，得</w:t>
      </w:r>
      <w:r>
        <w:rPr>
          <w:rFonts w:hint="eastAsia"/>
          <w:bCs/>
        </w:rPr>
        <w:t>2</w:t>
      </w:r>
      <w:r>
        <w:rPr>
          <w:rFonts w:hAnsi="宋体"/>
          <w:bCs/>
        </w:rPr>
        <w:t>分；</w:t>
      </w:r>
    </w:p>
    <w:p>
      <w:pPr>
        <w:pStyle w:val="87"/>
        <w:spacing w:line="360" w:lineRule="auto"/>
        <w:ind w:firstLine="482"/>
        <w:outlineLvl w:val="9"/>
        <w:rPr>
          <w:bCs/>
        </w:rPr>
      </w:pPr>
      <w:r>
        <w:rPr>
          <w:b/>
          <w:bCs/>
        </w:rPr>
        <w:t>3</w:t>
      </w:r>
      <w:r>
        <w:rPr>
          <w:rFonts w:hAnsi="宋体"/>
          <w:bCs/>
        </w:rPr>
        <w:t>　</w:t>
      </w:r>
      <w:r>
        <w:rPr>
          <w:rFonts w:hint="eastAsia" w:hAnsi="宋体"/>
          <w:bCs/>
        </w:rPr>
        <w:t>室外夜景照明、户外广告照明等光污染的限制符合现行行业标准</w:t>
      </w:r>
      <w:r>
        <w:rPr>
          <w:rFonts w:hAnsi="宋体"/>
          <w:bCs/>
        </w:rPr>
        <w:t>《城市夜景照明设计规范》</w:t>
      </w:r>
      <w:r>
        <w:rPr>
          <w:bCs/>
        </w:rPr>
        <w:t>JGJ/T 163</w:t>
      </w:r>
      <w:r>
        <w:rPr>
          <w:rFonts w:hint="eastAsia"/>
          <w:bCs/>
        </w:rPr>
        <w:t>和相关专项规划</w:t>
      </w:r>
      <w:r>
        <w:rPr>
          <w:rFonts w:hAnsi="宋体"/>
          <w:bCs/>
        </w:rPr>
        <w:t>的规定，得</w:t>
      </w:r>
      <w:r>
        <w:rPr>
          <w:bCs/>
        </w:rPr>
        <w:t>2</w:t>
      </w:r>
      <w:r>
        <w:rPr>
          <w:rFonts w:hAnsi="宋体"/>
          <w:bCs/>
        </w:rPr>
        <w:t>分。</w:t>
      </w:r>
    </w:p>
    <w:p>
      <w:pPr>
        <w:pStyle w:val="80"/>
        <w:ind w:firstLine="0" w:firstLineChars="0"/>
        <w:rPr>
          <w:rFonts w:ascii="仿宋" w:hAnsi="仿宋" w:eastAsia="仿宋"/>
          <w:color w:val="FF0000"/>
          <w:szCs w:val="24"/>
        </w:rPr>
      </w:pPr>
      <w:r>
        <w:rPr>
          <w:rFonts w:hint="eastAsia" w:ascii="仿宋" w:hAnsi="仿宋" w:eastAsia="仿宋"/>
          <w:color w:val="FF0000"/>
          <w:szCs w:val="24"/>
        </w:rPr>
        <w:t>【条文说明】沿用《绿色建筑评价规范》SZJG30-2009中建筑外立面设计光污染防治要求。现行国家标准《玻璃幕墙光学性能》GB/T18091-2000将玻璃幕墙的光污染定义为有害光反射，对玻璃幕墙的可见光反射比作了规定，本条对玻璃幕墙可见光反射比较该标准的最低要求适当提高，取为0.2，非玻璃幕墙建筑该条款直接得分。夜间的室外夜景照明以及广告照明也会造成光污染，深圳市城市管理局发布的《深圳市户外LED显示装置专项规划》明确规定了LED显示装置的光污染控制标准，对于没有设置室外夜景照明和户外广告照明的该条款直接得分。</w:t>
      </w:r>
    </w:p>
    <w:p>
      <w:pPr>
        <w:pStyle w:val="87"/>
        <w:spacing w:line="360" w:lineRule="auto"/>
        <w:ind w:firstLine="0" w:firstLineChars="0"/>
        <w:outlineLvl w:val="9"/>
        <w:rPr>
          <w:bCs/>
        </w:rPr>
      </w:pPr>
    </w:p>
    <w:p>
      <w:pPr>
        <w:pStyle w:val="87"/>
        <w:spacing w:line="360" w:lineRule="auto"/>
        <w:ind w:firstLine="0" w:firstLineChars="0"/>
        <w:outlineLvl w:val="9"/>
        <w:rPr>
          <w:rFonts w:hAnsi="宋体"/>
          <w:bCs/>
        </w:rPr>
      </w:pPr>
      <w:r>
        <w:rPr>
          <w:rFonts w:hint="eastAsia"/>
          <w:b/>
          <w:bCs/>
        </w:rPr>
        <w:t>6</w:t>
      </w:r>
      <w:r>
        <w:rPr>
          <w:b/>
          <w:bCs/>
        </w:rPr>
        <w:t>.2.</w:t>
      </w:r>
      <w:r>
        <w:rPr>
          <w:rFonts w:hint="eastAsia"/>
          <w:b/>
          <w:bCs/>
        </w:rPr>
        <w:t>7</w:t>
      </w:r>
      <w:r>
        <w:rPr>
          <w:rFonts w:hAnsi="宋体"/>
          <w:bCs/>
        </w:rPr>
        <w:t>　场地环境噪声符合</w:t>
      </w:r>
      <w:r>
        <w:rPr>
          <w:rFonts w:hint="eastAsia"/>
          <w:bCs/>
        </w:rPr>
        <w:t>《深圳市环境噪声标准适用区划分》</w:t>
      </w:r>
      <w:r>
        <w:rPr>
          <w:rFonts w:hAnsi="宋体"/>
          <w:bCs/>
        </w:rPr>
        <w:t>的规定，评价总分值为</w:t>
      </w:r>
      <w:r>
        <w:rPr>
          <w:rFonts w:hint="eastAsia"/>
          <w:bCs/>
        </w:rPr>
        <w:t>6</w:t>
      </w:r>
      <w:r>
        <w:rPr>
          <w:rFonts w:hAnsi="宋体"/>
          <w:bCs/>
        </w:rPr>
        <w:t>分，并按下列规则分别评分并累计：</w:t>
      </w:r>
    </w:p>
    <w:p>
      <w:pPr>
        <w:pStyle w:val="87"/>
        <w:spacing w:line="360" w:lineRule="auto"/>
        <w:ind w:firstLine="420" w:firstLineChars="0"/>
        <w:outlineLvl w:val="9"/>
        <w:rPr>
          <w:rFonts w:hAnsi="宋体"/>
          <w:bCs/>
        </w:rPr>
      </w:pPr>
      <w:r>
        <w:rPr>
          <w:rFonts w:hAnsi="宋体"/>
          <w:bCs/>
        </w:rPr>
        <w:t xml:space="preserve">1 </w:t>
      </w:r>
      <w:r>
        <w:rPr>
          <w:rFonts w:hint="eastAsia" w:hAnsi="宋体"/>
          <w:bCs/>
        </w:rPr>
        <w:t>场地环境噪声符合深圳相关规定，得3分；</w:t>
      </w:r>
    </w:p>
    <w:p>
      <w:pPr>
        <w:pStyle w:val="87"/>
        <w:spacing w:line="360" w:lineRule="auto"/>
        <w:ind w:firstLine="420" w:firstLineChars="0"/>
        <w:outlineLvl w:val="9"/>
        <w:rPr>
          <w:bCs/>
        </w:rPr>
      </w:pPr>
      <w:r>
        <w:rPr>
          <w:rFonts w:hint="eastAsia" w:hAnsi="宋体"/>
          <w:bCs/>
        </w:rPr>
        <w:t>2 在原规定要求上，通过各种措施提升一个级别，得6分</w:t>
      </w:r>
      <w:r>
        <w:rPr>
          <w:rFonts w:hAnsi="宋体"/>
          <w:bCs/>
        </w:rPr>
        <w:t>。</w:t>
      </w:r>
    </w:p>
    <w:p>
      <w:pPr>
        <w:pStyle w:val="80"/>
        <w:ind w:firstLine="0" w:firstLineChars="0"/>
        <w:rPr>
          <w:rFonts w:ascii="仿宋" w:hAnsi="仿宋" w:eastAsia="仿宋"/>
          <w:color w:val="FF0000"/>
          <w:szCs w:val="24"/>
        </w:rPr>
      </w:pPr>
      <w:r>
        <w:rPr>
          <w:rFonts w:hint="eastAsia" w:ascii="仿宋" w:hAnsi="仿宋" w:eastAsia="仿宋"/>
          <w:color w:val="FF0000"/>
          <w:szCs w:val="24"/>
        </w:rPr>
        <w:t>【条文说明】绿色建筑设计应对场地周边的噪声现状进行检测，并对规划实施后的环境噪声进行预测，必要时采取有效措施改善环境噪声状况，使之符合《深圳市环境噪声标准适用区划分》中对于不同声环境功能区噪声标准的规定。</w:t>
      </w:r>
    </w:p>
    <w:p>
      <w:pPr>
        <w:pStyle w:val="87"/>
        <w:spacing w:line="360" w:lineRule="auto"/>
        <w:ind w:firstLine="0" w:firstLineChars="0"/>
        <w:outlineLvl w:val="9"/>
        <w:rPr>
          <w:bCs/>
        </w:rPr>
      </w:pPr>
    </w:p>
    <w:p>
      <w:pPr>
        <w:pStyle w:val="87"/>
        <w:spacing w:line="360" w:lineRule="auto"/>
        <w:ind w:firstLine="0" w:firstLineChars="0"/>
        <w:outlineLvl w:val="9"/>
        <w:rPr>
          <w:bCs/>
        </w:rPr>
      </w:pPr>
      <w:r>
        <w:rPr>
          <w:rFonts w:hint="eastAsia"/>
          <w:b/>
          <w:bCs/>
        </w:rPr>
        <w:t>6</w:t>
      </w:r>
      <w:r>
        <w:rPr>
          <w:b/>
          <w:bCs/>
        </w:rPr>
        <w:t>.2.</w:t>
      </w:r>
      <w:r>
        <w:rPr>
          <w:rFonts w:hint="eastAsia"/>
          <w:b/>
          <w:bCs/>
        </w:rPr>
        <w:t>8</w:t>
      </w:r>
      <w:r>
        <w:rPr>
          <w:rFonts w:hAnsi="宋体"/>
          <w:bCs/>
        </w:rPr>
        <w:t>　场地内风环境有利于室外行走、活动舒适，有利于建筑冬季的防风和过渡季、夏季的自然通风，评价总分值为</w:t>
      </w:r>
      <w:r>
        <w:rPr>
          <w:bCs/>
        </w:rPr>
        <w:t>5</w:t>
      </w:r>
      <w:r>
        <w:rPr>
          <w:rFonts w:hAnsi="宋体"/>
          <w:bCs/>
        </w:rPr>
        <w:t>分，并按下列规则分别评分并累计：</w:t>
      </w:r>
    </w:p>
    <w:p>
      <w:pPr>
        <w:pStyle w:val="87"/>
        <w:spacing w:line="360" w:lineRule="auto"/>
        <w:ind w:firstLine="482"/>
        <w:outlineLvl w:val="9"/>
        <w:rPr>
          <w:bCs/>
        </w:rPr>
      </w:pPr>
      <w:r>
        <w:rPr>
          <w:b/>
          <w:bCs/>
        </w:rPr>
        <w:t>1</w:t>
      </w:r>
      <w:r>
        <w:rPr>
          <w:rFonts w:hAnsi="宋体"/>
          <w:bCs/>
        </w:rPr>
        <w:t>　冬季典型风速和风向条件下，按下列规则分别评分并累计：</w:t>
      </w:r>
    </w:p>
    <w:p>
      <w:pPr>
        <w:pStyle w:val="87"/>
        <w:spacing w:line="360" w:lineRule="auto"/>
        <w:ind w:firstLine="420" w:firstLineChars="0"/>
        <w:outlineLvl w:val="9"/>
        <w:rPr>
          <w:bCs/>
        </w:rPr>
      </w:pPr>
      <w:r>
        <w:rPr>
          <w:b/>
          <w:bCs/>
        </w:rPr>
        <w:t>1</w:t>
      </w:r>
      <w:r>
        <w:rPr>
          <w:rFonts w:hAnsi="宋体"/>
          <w:b/>
          <w:bCs/>
        </w:rPr>
        <w:t>）</w:t>
      </w:r>
      <w:r>
        <w:rPr>
          <w:rFonts w:hAnsi="宋体"/>
          <w:bCs/>
        </w:rPr>
        <w:t>场地内人行活动区域距地面</w:t>
      </w:r>
      <w:r>
        <w:rPr>
          <w:bCs/>
        </w:rPr>
        <w:t>1.5m</w:t>
      </w:r>
      <w:r>
        <w:rPr>
          <w:rFonts w:hAnsi="宋体"/>
          <w:bCs/>
        </w:rPr>
        <w:t>高处的风速</w:t>
      </w:r>
      <w:r>
        <w:rPr>
          <w:rFonts w:hint="eastAsia" w:hAnsi="宋体"/>
          <w:bCs/>
        </w:rPr>
        <w:t>小</w:t>
      </w:r>
      <w:r>
        <w:rPr>
          <w:rFonts w:hAnsi="宋体"/>
          <w:bCs/>
        </w:rPr>
        <w:t>于</w:t>
      </w:r>
      <w:r>
        <w:rPr>
          <w:bCs/>
        </w:rPr>
        <w:t>5m/s</w:t>
      </w:r>
      <w:r>
        <w:rPr>
          <w:rFonts w:hAnsi="宋体"/>
          <w:bCs/>
        </w:rPr>
        <w:t>，且</w:t>
      </w:r>
      <w:r>
        <w:rPr>
          <w:rFonts w:hint="eastAsia" w:hAnsi="宋体"/>
          <w:bCs/>
        </w:rPr>
        <w:t>室外</w:t>
      </w:r>
      <w:r>
        <w:rPr>
          <w:rFonts w:hAnsi="宋体"/>
          <w:bCs/>
        </w:rPr>
        <w:t>风速放大系数小于</w:t>
      </w:r>
      <w:r>
        <w:rPr>
          <w:bCs/>
        </w:rPr>
        <w:t>2</w:t>
      </w:r>
      <w:r>
        <w:rPr>
          <w:rFonts w:hAnsi="宋体"/>
          <w:bCs/>
        </w:rPr>
        <w:t>，得</w:t>
      </w:r>
      <w:r>
        <w:rPr>
          <w:bCs/>
        </w:rPr>
        <w:t>1</w:t>
      </w:r>
      <w:r>
        <w:rPr>
          <w:rFonts w:hAnsi="宋体"/>
          <w:bCs/>
        </w:rPr>
        <w:t>分；</w:t>
      </w:r>
    </w:p>
    <w:p>
      <w:pPr>
        <w:pStyle w:val="87"/>
        <w:spacing w:line="360" w:lineRule="auto"/>
        <w:ind w:firstLine="420" w:firstLineChars="0"/>
        <w:outlineLvl w:val="9"/>
        <w:rPr>
          <w:bCs/>
        </w:rPr>
      </w:pPr>
      <w:r>
        <w:rPr>
          <w:b/>
          <w:bCs/>
        </w:rPr>
        <w:t>2</w:t>
      </w:r>
      <w:r>
        <w:rPr>
          <w:rFonts w:hAnsi="宋体"/>
          <w:b/>
          <w:bCs/>
        </w:rPr>
        <w:t>）</w:t>
      </w:r>
      <w:r>
        <w:rPr>
          <w:rFonts w:hAnsi="宋体"/>
          <w:bCs/>
        </w:rPr>
        <w:t>除迎风第一排建筑外，建筑迎风面与背风面表面风压差不大于</w:t>
      </w:r>
      <w:r>
        <w:rPr>
          <w:bCs/>
        </w:rPr>
        <w:t>5Pa</w:t>
      </w:r>
      <w:r>
        <w:rPr>
          <w:rFonts w:hAnsi="宋体"/>
          <w:bCs/>
        </w:rPr>
        <w:t>，得</w:t>
      </w:r>
      <w:r>
        <w:rPr>
          <w:bCs/>
        </w:rPr>
        <w:t>1</w:t>
      </w:r>
      <w:r>
        <w:rPr>
          <w:rFonts w:hAnsi="宋体"/>
          <w:bCs/>
        </w:rPr>
        <w:t>分；</w:t>
      </w:r>
    </w:p>
    <w:p>
      <w:pPr>
        <w:pStyle w:val="87"/>
        <w:spacing w:line="360" w:lineRule="auto"/>
        <w:ind w:firstLine="482"/>
        <w:outlineLvl w:val="9"/>
        <w:rPr>
          <w:bCs/>
        </w:rPr>
      </w:pPr>
      <w:r>
        <w:rPr>
          <w:b/>
          <w:bCs/>
        </w:rPr>
        <w:t>2</w:t>
      </w:r>
      <w:r>
        <w:rPr>
          <w:rFonts w:hAnsi="宋体"/>
          <w:bCs/>
        </w:rPr>
        <w:t>　过渡季、夏季典型风速和风向条件下，按下列规则分别评分并累计：</w:t>
      </w:r>
    </w:p>
    <w:p>
      <w:pPr>
        <w:pStyle w:val="87"/>
        <w:numPr>
          <w:ilvl w:val="0"/>
          <w:numId w:val="3"/>
        </w:numPr>
        <w:spacing w:line="360" w:lineRule="auto"/>
        <w:ind w:firstLineChars="0"/>
        <w:outlineLvl w:val="9"/>
        <w:rPr>
          <w:rFonts w:hAnsi="宋体"/>
          <w:bCs/>
        </w:rPr>
      </w:pPr>
      <w:r>
        <w:rPr>
          <w:rFonts w:hAnsi="宋体"/>
          <w:bCs/>
        </w:rPr>
        <w:t>场地内人行活动区域不出现涡旋或无风区，得</w:t>
      </w:r>
      <w:r>
        <w:rPr>
          <w:bCs/>
        </w:rPr>
        <w:t>1</w:t>
      </w:r>
      <w:r>
        <w:rPr>
          <w:rFonts w:hAnsi="宋体"/>
          <w:bCs/>
        </w:rPr>
        <w:t>分；</w:t>
      </w:r>
    </w:p>
    <w:p>
      <w:pPr>
        <w:pStyle w:val="87"/>
        <w:numPr>
          <w:ilvl w:val="0"/>
          <w:numId w:val="3"/>
        </w:numPr>
        <w:spacing w:line="360" w:lineRule="auto"/>
        <w:ind w:firstLineChars="0"/>
        <w:outlineLvl w:val="9"/>
        <w:rPr>
          <w:bCs/>
        </w:rPr>
      </w:pPr>
      <w:r>
        <w:rPr>
          <w:rFonts w:hint="eastAsia"/>
          <w:bCs/>
        </w:rPr>
        <w:t>80%以上人行区域距地面1.5m高处的风速放大系数不小于0.3，得</w:t>
      </w:r>
      <w:r>
        <w:rPr>
          <w:bCs/>
        </w:rPr>
        <w:t>1</w:t>
      </w:r>
      <w:r>
        <w:rPr>
          <w:rFonts w:hint="eastAsia"/>
          <w:bCs/>
        </w:rPr>
        <w:t xml:space="preserve">分； </w:t>
      </w:r>
    </w:p>
    <w:p>
      <w:pPr>
        <w:pStyle w:val="87"/>
        <w:spacing w:line="360" w:lineRule="auto"/>
        <w:ind w:firstLine="420" w:firstLineChars="0"/>
        <w:outlineLvl w:val="9"/>
        <w:rPr>
          <w:bCs/>
        </w:rPr>
      </w:pPr>
      <w:r>
        <w:rPr>
          <w:b/>
          <w:bCs/>
        </w:rPr>
        <w:t>3</w:t>
      </w:r>
      <w:r>
        <w:rPr>
          <w:rFonts w:hint="eastAsia"/>
          <w:b/>
          <w:bCs/>
        </w:rPr>
        <w:t>）</w:t>
      </w:r>
      <w:r>
        <w:rPr>
          <w:bCs/>
        </w:rPr>
        <w:t>50%</w:t>
      </w:r>
      <w:r>
        <w:rPr>
          <w:rFonts w:hAnsi="宋体"/>
          <w:bCs/>
        </w:rPr>
        <w:t>以上可开启外窗室内外表面的风压差大于</w:t>
      </w:r>
      <w:r>
        <w:rPr>
          <w:bCs/>
        </w:rPr>
        <w:t>0.5Pa</w:t>
      </w:r>
      <w:r>
        <w:rPr>
          <w:rFonts w:hAnsi="宋体"/>
          <w:bCs/>
        </w:rPr>
        <w:t>，得</w:t>
      </w:r>
      <w:r>
        <w:rPr>
          <w:bCs/>
        </w:rPr>
        <w:t>1</w:t>
      </w:r>
      <w:r>
        <w:rPr>
          <w:rFonts w:hAnsi="宋体"/>
          <w:bCs/>
        </w:rPr>
        <w:t>分。</w:t>
      </w:r>
    </w:p>
    <w:p>
      <w:pPr>
        <w:pStyle w:val="80"/>
        <w:ind w:firstLine="0" w:firstLineChars="0"/>
        <w:rPr>
          <w:rFonts w:ascii="仿宋" w:hAnsi="仿宋" w:eastAsia="仿宋"/>
          <w:color w:val="FF0000"/>
          <w:szCs w:val="24"/>
        </w:rPr>
      </w:pPr>
      <w:r>
        <w:rPr>
          <w:rFonts w:hint="eastAsia" w:ascii="仿宋" w:hAnsi="仿宋" w:eastAsia="仿宋"/>
          <w:color w:val="FF0000"/>
          <w:szCs w:val="24"/>
        </w:rPr>
        <w:t>【条文说明】相对新国标，保留《绿色建筑评价规范》SZJG30-2009按照80%区域风速放大系数不低于0.3的要求。</w:t>
      </w:r>
    </w:p>
    <w:p>
      <w:pPr>
        <w:pStyle w:val="87"/>
        <w:spacing w:line="360" w:lineRule="auto"/>
        <w:ind w:firstLine="0" w:firstLineChars="0"/>
        <w:outlineLvl w:val="9"/>
        <w:rPr>
          <w:bCs/>
        </w:rPr>
      </w:pPr>
    </w:p>
    <w:p>
      <w:pPr>
        <w:pStyle w:val="87"/>
        <w:spacing w:line="360" w:lineRule="auto"/>
        <w:ind w:firstLine="0" w:firstLineChars="0"/>
        <w:outlineLvl w:val="9"/>
        <w:rPr>
          <w:bCs/>
        </w:rPr>
      </w:pPr>
      <w:r>
        <w:rPr>
          <w:rFonts w:hint="eastAsia"/>
          <w:b/>
          <w:bCs/>
        </w:rPr>
        <w:t>6</w:t>
      </w:r>
      <w:r>
        <w:rPr>
          <w:b/>
          <w:bCs/>
        </w:rPr>
        <w:t>.2.</w:t>
      </w:r>
      <w:r>
        <w:rPr>
          <w:rFonts w:hint="eastAsia"/>
          <w:b/>
          <w:bCs/>
        </w:rPr>
        <w:t>9</w:t>
      </w:r>
      <w:r>
        <w:rPr>
          <w:rFonts w:hAnsi="宋体"/>
          <w:bCs/>
        </w:rPr>
        <w:t>　采取措施降低热岛强度，评价总分值为</w:t>
      </w:r>
      <w:r>
        <w:rPr>
          <w:rFonts w:hint="eastAsia"/>
          <w:bCs/>
        </w:rPr>
        <w:t>4</w:t>
      </w:r>
      <w:r>
        <w:rPr>
          <w:rFonts w:hAnsi="宋体"/>
          <w:bCs/>
        </w:rPr>
        <w:t>分，并按下列规则分别评分并累计：</w:t>
      </w:r>
    </w:p>
    <w:p>
      <w:pPr>
        <w:pStyle w:val="87"/>
        <w:spacing w:line="360" w:lineRule="auto"/>
        <w:ind w:firstLine="482"/>
        <w:outlineLvl w:val="9"/>
        <w:rPr>
          <w:rFonts w:hAnsi="宋体"/>
          <w:bCs/>
        </w:rPr>
      </w:pPr>
      <w:r>
        <w:rPr>
          <w:b/>
          <w:bCs/>
        </w:rPr>
        <w:t>1</w:t>
      </w:r>
      <w:r>
        <w:rPr>
          <w:rFonts w:hAnsi="宋体"/>
          <w:bCs/>
        </w:rPr>
        <w:t>　</w:t>
      </w:r>
      <w:r>
        <w:rPr>
          <w:rFonts w:hint="eastAsia" w:hAnsi="宋体"/>
          <w:bCs/>
        </w:rPr>
        <w:t>实测或模拟计算证明场地室外日平均热岛强度不大于1.5℃，得4分。</w:t>
      </w:r>
    </w:p>
    <w:p>
      <w:pPr>
        <w:pStyle w:val="87"/>
        <w:spacing w:line="360" w:lineRule="auto"/>
        <w:ind w:firstLine="482"/>
        <w:outlineLvl w:val="9"/>
        <w:rPr>
          <w:rFonts w:hAnsi="宋体"/>
          <w:bCs/>
        </w:rPr>
      </w:pPr>
      <w:r>
        <w:rPr>
          <w:rFonts w:hint="eastAsia"/>
          <w:b/>
          <w:bCs/>
        </w:rPr>
        <w:t xml:space="preserve">2 </w:t>
      </w:r>
      <w:r>
        <w:rPr>
          <w:rFonts w:hint="eastAsia" w:hAnsi="宋体"/>
          <w:bCs/>
        </w:rPr>
        <w:t xml:space="preserve"> 采取措施降低热岛强度：</w:t>
      </w:r>
    </w:p>
    <w:p>
      <w:pPr>
        <w:pStyle w:val="87"/>
        <w:spacing w:line="360" w:lineRule="auto"/>
        <w:ind w:left="210" w:leftChars="100" w:firstLine="482"/>
        <w:outlineLvl w:val="9"/>
        <w:rPr>
          <w:bCs/>
        </w:rPr>
      </w:pPr>
      <w:r>
        <w:rPr>
          <w:rFonts w:hint="eastAsia"/>
          <w:b/>
          <w:bCs/>
        </w:rPr>
        <w:t>1）</w:t>
      </w:r>
      <w:r>
        <w:rPr>
          <w:rFonts w:hAnsi="宋体"/>
          <w:bCs/>
        </w:rPr>
        <w:t>场地中处于建筑阴影区外的步道、游憩场、庭院、广场等室外活动场地设有乔木、花架、遮阳棚等遮荫措施的面积比例，居住建筑达到</w:t>
      </w:r>
      <w:r>
        <w:rPr>
          <w:bCs/>
        </w:rPr>
        <w:t>30%</w:t>
      </w:r>
      <w:r>
        <w:rPr>
          <w:rFonts w:hAnsi="宋体"/>
          <w:bCs/>
        </w:rPr>
        <w:t>，公共建筑达到</w:t>
      </w:r>
      <w:r>
        <w:rPr>
          <w:bCs/>
        </w:rPr>
        <w:t>10%</w:t>
      </w:r>
      <w:r>
        <w:rPr>
          <w:rFonts w:hAnsi="宋体"/>
          <w:bCs/>
        </w:rPr>
        <w:t>，得</w:t>
      </w:r>
      <w:r>
        <w:rPr>
          <w:bCs/>
        </w:rPr>
        <w:t>1</w:t>
      </w:r>
      <w:r>
        <w:rPr>
          <w:rFonts w:hAnsi="宋体"/>
          <w:bCs/>
        </w:rPr>
        <w:t>分；</w:t>
      </w:r>
    </w:p>
    <w:p>
      <w:pPr>
        <w:pStyle w:val="87"/>
        <w:spacing w:line="360" w:lineRule="auto"/>
        <w:ind w:left="210" w:leftChars="100" w:firstLine="482"/>
        <w:outlineLvl w:val="9"/>
        <w:rPr>
          <w:bCs/>
        </w:rPr>
      </w:pPr>
      <w:r>
        <w:rPr>
          <w:rFonts w:hint="eastAsia"/>
          <w:b/>
          <w:bCs/>
        </w:rPr>
        <w:t>2）</w:t>
      </w:r>
      <w:r>
        <w:rPr>
          <w:rFonts w:hAnsi="宋体"/>
          <w:bCs/>
        </w:rPr>
        <w:t>场地中处于建筑阴影区外的机动车道，路面太阳辐射反射系数不小于</w:t>
      </w:r>
      <w:r>
        <w:rPr>
          <w:bCs/>
        </w:rPr>
        <w:t>0.4</w:t>
      </w:r>
      <w:r>
        <w:rPr>
          <w:rFonts w:hAnsi="宋体"/>
          <w:bCs/>
        </w:rPr>
        <w:t>或设有行道树的路段长度达到</w:t>
      </w:r>
      <w:r>
        <w:rPr>
          <w:bCs/>
        </w:rPr>
        <w:t>70%</w:t>
      </w:r>
      <w:r>
        <w:rPr>
          <w:rFonts w:hAnsi="宋体"/>
          <w:bCs/>
        </w:rPr>
        <w:t>，得</w:t>
      </w:r>
      <w:r>
        <w:rPr>
          <w:bCs/>
        </w:rPr>
        <w:t>1</w:t>
      </w:r>
      <w:r>
        <w:rPr>
          <w:rFonts w:hAnsi="宋体"/>
          <w:bCs/>
        </w:rPr>
        <w:t>分；达到</w:t>
      </w:r>
      <w:r>
        <w:rPr>
          <w:bCs/>
        </w:rPr>
        <w:t>70%</w:t>
      </w:r>
      <w:r>
        <w:rPr>
          <w:rFonts w:hAnsi="宋体"/>
          <w:bCs/>
        </w:rPr>
        <w:t>的地面机动车停车位设有乔木、遮阳棚等遮荫措施，得</w:t>
      </w:r>
      <w:r>
        <w:rPr>
          <w:bCs/>
        </w:rPr>
        <w:t>1</w:t>
      </w:r>
      <w:r>
        <w:rPr>
          <w:rFonts w:hAnsi="宋体"/>
          <w:bCs/>
        </w:rPr>
        <w:t>分；</w:t>
      </w:r>
    </w:p>
    <w:p>
      <w:pPr>
        <w:pStyle w:val="87"/>
        <w:spacing w:line="360" w:lineRule="auto"/>
        <w:ind w:left="210" w:leftChars="100" w:firstLine="482"/>
        <w:outlineLvl w:val="9"/>
        <w:rPr>
          <w:bCs/>
        </w:rPr>
      </w:pPr>
      <w:r>
        <w:rPr>
          <w:b/>
          <w:bCs/>
        </w:rPr>
        <w:t>3</w:t>
      </w:r>
      <w:r>
        <w:rPr>
          <w:rFonts w:hint="eastAsia" w:hAnsi="宋体"/>
          <w:bCs/>
        </w:rPr>
        <w:t>）</w:t>
      </w:r>
      <w:r>
        <w:rPr>
          <w:rFonts w:hAnsi="宋体"/>
          <w:bCs/>
        </w:rPr>
        <w:t>除绿化屋面和表面设有太阳能板的建筑屋面外，太阳辐射反射系数不小于</w:t>
      </w:r>
      <w:r>
        <w:rPr>
          <w:bCs/>
        </w:rPr>
        <w:t>0.4</w:t>
      </w:r>
      <w:r>
        <w:rPr>
          <w:rFonts w:hAnsi="宋体"/>
          <w:bCs/>
        </w:rPr>
        <w:t>的建筑屋面面积达到</w:t>
      </w:r>
      <w:r>
        <w:rPr>
          <w:bCs/>
        </w:rPr>
        <w:t>75%</w:t>
      </w:r>
      <w:r>
        <w:rPr>
          <w:rFonts w:hAnsi="宋体"/>
          <w:bCs/>
        </w:rPr>
        <w:t>，得</w:t>
      </w:r>
      <w:r>
        <w:rPr>
          <w:rFonts w:hint="eastAsia"/>
          <w:bCs/>
        </w:rPr>
        <w:t>1</w:t>
      </w:r>
      <w:r>
        <w:rPr>
          <w:rFonts w:hAnsi="宋体"/>
          <w:bCs/>
        </w:rPr>
        <w:t>分。</w:t>
      </w:r>
    </w:p>
    <w:p>
      <w:pPr>
        <w:pStyle w:val="80"/>
        <w:ind w:firstLine="0" w:firstLineChars="0"/>
        <w:rPr>
          <w:rFonts w:ascii="仿宋" w:hAnsi="仿宋" w:eastAsia="仿宋"/>
          <w:color w:val="FF0000"/>
          <w:szCs w:val="24"/>
        </w:rPr>
      </w:pPr>
      <w:r>
        <w:rPr>
          <w:rFonts w:hint="eastAsia" w:ascii="仿宋" w:hAnsi="仿宋" w:eastAsia="仿宋"/>
          <w:color w:val="FF0000"/>
          <w:szCs w:val="24"/>
        </w:rPr>
        <w:t>【条文说明】相对新国标，得分途径可以采取降低热岛强度的技术措施得分或者进行实测模拟计算两种方式，与现行行业标准《城市居住区热环境设计标准》JGJ286-2013和《绿色建筑评价规范》SZJG30-2009的要求是一致的。</w:t>
      </w:r>
    </w:p>
    <w:p>
      <w:pPr>
        <w:pStyle w:val="87"/>
        <w:spacing w:line="360" w:lineRule="auto"/>
        <w:ind w:firstLine="0" w:firstLineChars="0"/>
        <w:outlineLvl w:val="9"/>
        <w:rPr>
          <w:bCs/>
        </w:rPr>
      </w:pPr>
    </w:p>
    <w:p>
      <w:pPr>
        <w:pStyle w:val="87"/>
        <w:spacing w:line="360" w:lineRule="auto"/>
        <w:ind w:firstLine="0" w:firstLineChars="0"/>
        <w:outlineLvl w:val="9"/>
        <w:rPr>
          <w:bCs/>
        </w:rPr>
      </w:pPr>
    </w:p>
    <w:p>
      <w:pPr>
        <w:pStyle w:val="87"/>
        <w:ind w:firstLine="0" w:firstLineChars="0"/>
        <w:jc w:val="center"/>
      </w:pPr>
      <w:bookmarkStart w:id="54" w:name="_Toc449111660"/>
      <w:r>
        <w:rPr>
          <w:rFonts w:ascii="宋体" w:hAnsi="宋体"/>
        </w:rPr>
        <w:t>Ⅲ</w:t>
      </w:r>
      <w:r>
        <w:rPr>
          <w:rFonts w:hint="eastAsia" w:ascii="宋体" w:hAnsi="宋体"/>
        </w:rPr>
        <w:t xml:space="preserve"> </w:t>
      </w:r>
      <w:r>
        <w:rPr>
          <w:rFonts w:hAnsi="宋体"/>
        </w:rPr>
        <w:t>交通设施与公共服务</w:t>
      </w:r>
      <w:r>
        <w:rPr>
          <w:rFonts w:hint="eastAsia" w:hAnsi="宋体"/>
        </w:rPr>
        <w:t>（27）</w:t>
      </w:r>
      <w:bookmarkEnd w:id="54"/>
    </w:p>
    <w:p>
      <w:pPr>
        <w:pStyle w:val="87"/>
        <w:spacing w:line="360" w:lineRule="auto"/>
        <w:ind w:firstLine="0" w:firstLineChars="0"/>
        <w:outlineLvl w:val="9"/>
        <w:rPr>
          <w:bCs/>
        </w:rPr>
      </w:pPr>
      <w:r>
        <w:rPr>
          <w:rFonts w:hint="eastAsia"/>
          <w:b/>
          <w:bCs/>
        </w:rPr>
        <w:t>6</w:t>
      </w:r>
      <w:r>
        <w:rPr>
          <w:b/>
          <w:bCs/>
        </w:rPr>
        <w:t>.2.</w:t>
      </w:r>
      <w:r>
        <w:rPr>
          <w:rFonts w:hint="eastAsia"/>
          <w:b/>
          <w:bCs/>
        </w:rPr>
        <w:t>10</w:t>
      </w:r>
      <w:r>
        <w:rPr>
          <w:rFonts w:hAnsi="宋体"/>
          <w:bCs/>
        </w:rPr>
        <w:t>　场地与公共交通设施具有便捷的联系，评价总分值为</w:t>
      </w:r>
      <w:r>
        <w:rPr>
          <w:rFonts w:hint="eastAsia"/>
          <w:bCs/>
        </w:rPr>
        <w:t>5</w:t>
      </w:r>
      <w:r>
        <w:rPr>
          <w:rFonts w:hAnsi="宋体"/>
          <w:bCs/>
        </w:rPr>
        <w:t>分，并按下列规则分别评分并累计：</w:t>
      </w:r>
    </w:p>
    <w:p>
      <w:pPr>
        <w:pStyle w:val="87"/>
        <w:spacing w:line="360" w:lineRule="auto"/>
        <w:ind w:firstLine="482"/>
        <w:outlineLvl w:val="9"/>
        <w:rPr>
          <w:bCs/>
        </w:rPr>
      </w:pPr>
      <w:r>
        <w:rPr>
          <w:b/>
          <w:bCs/>
        </w:rPr>
        <w:t>1</w:t>
      </w:r>
      <w:r>
        <w:rPr>
          <w:rFonts w:hAnsi="宋体"/>
          <w:bCs/>
        </w:rPr>
        <w:t>　场地出入口到达公共汽车站的步行距离不大于</w:t>
      </w:r>
      <w:r>
        <w:rPr>
          <w:bCs/>
        </w:rPr>
        <w:t>500m</w:t>
      </w:r>
      <w:r>
        <w:rPr>
          <w:rFonts w:hAnsi="宋体"/>
          <w:bCs/>
        </w:rPr>
        <w:t>，得</w:t>
      </w:r>
      <w:r>
        <w:rPr>
          <w:bCs/>
        </w:rPr>
        <w:t>1</w:t>
      </w:r>
      <w:r>
        <w:rPr>
          <w:rFonts w:hAnsi="宋体"/>
          <w:bCs/>
        </w:rPr>
        <w:t>分；</w:t>
      </w:r>
    </w:p>
    <w:p>
      <w:pPr>
        <w:pStyle w:val="87"/>
        <w:spacing w:line="360" w:lineRule="auto"/>
        <w:ind w:firstLine="482"/>
        <w:outlineLvl w:val="9"/>
        <w:rPr>
          <w:bCs/>
        </w:rPr>
      </w:pPr>
      <w:r>
        <w:rPr>
          <w:b/>
          <w:bCs/>
        </w:rPr>
        <w:t>2</w:t>
      </w:r>
      <w:r>
        <w:rPr>
          <w:bCs/>
        </w:rPr>
        <w:t xml:space="preserve">  </w:t>
      </w:r>
      <w:r>
        <w:rPr>
          <w:rFonts w:hAnsi="宋体"/>
          <w:bCs/>
        </w:rPr>
        <w:t>场地出入口到达轨道交通站的步行距离不大于</w:t>
      </w:r>
      <w:r>
        <w:rPr>
          <w:rFonts w:hint="eastAsia"/>
          <w:bCs/>
        </w:rPr>
        <w:t>8</w:t>
      </w:r>
      <w:r>
        <w:rPr>
          <w:bCs/>
        </w:rPr>
        <w:t>00m</w:t>
      </w:r>
      <w:r>
        <w:rPr>
          <w:rFonts w:hAnsi="宋体"/>
          <w:bCs/>
        </w:rPr>
        <w:t>，得</w:t>
      </w:r>
      <w:r>
        <w:rPr>
          <w:bCs/>
        </w:rPr>
        <w:t>1</w:t>
      </w:r>
      <w:r>
        <w:rPr>
          <w:rFonts w:hAnsi="宋体"/>
          <w:bCs/>
        </w:rPr>
        <w:t>分；</w:t>
      </w:r>
    </w:p>
    <w:p>
      <w:pPr>
        <w:pStyle w:val="87"/>
        <w:spacing w:line="360" w:lineRule="auto"/>
        <w:ind w:firstLine="482"/>
        <w:outlineLvl w:val="9"/>
        <w:rPr>
          <w:bCs/>
        </w:rPr>
      </w:pPr>
      <w:r>
        <w:rPr>
          <w:b/>
          <w:bCs/>
        </w:rPr>
        <w:t>3</w:t>
      </w:r>
      <w:r>
        <w:rPr>
          <w:bCs/>
        </w:rPr>
        <w:t xml:space="preserve">  </w:t>
      </w:r>
      <w:r>
        <w:rPr>
          <w:rFonts w:hAnsi="宋体"/>
          <w:bCs/>
        </w:rPr>
        <w:t>场地出入口到达自行车租赁站的步行距离不大于</w:t>
      </w:r>
      <w:r>
        <w:rPr>
          <w:rFonts w:hint="eastAsia"/>
          <w:bCs/>
        </w:rPr>
        <w:t>1</w:t>
      </w:r>
      <w:r>
        <w:rPr>
          <w:bCs/>
        </w:rPr>
        <w:t>00m</w:t>
      </w:r>
      <w:r>
        <w:rPr>
          <w:rFonts w:hAnsi="宋体"/>
          <w:bCs/>
        </w:rPr>
        <w:t>，得</w:t>
      </w:r>
      <w:r>
        <w:rPr>
          <w:bCs/>
        </w:rPr>
        <w:t>1</w:t>
      </w:r>
      <w:r>
        <w:rPr>
          <w:rFonts w:hAnsi="宋体"/>
          <w:bCs/>
        </w:rPr>
        <w:t>分；</w:t>
      </w:r>
    </w:p>
    <w:p>
      <w:pPr>
        <w:pStyle w:val="87"/>
        <w:spacing w:line="360" w:lineRule="auto"/>
        <w:ind w:firstLine="482"/>
        <w:outlineLvl w:val="9"/>
        <w:rPr>
          <w:bCs/>
        </w:rPr>
      </w:pPr>
      <w:r>
        <w:rPr>
          <w:b/>
          <w:bCs/>
        </w:rPr>
        <w:t>4</w:t>
      </w:r>
      <w:r>
        <w:rPr>
          <w:rFonts w:hAnsi="宋体"/>
          <w:bCs/>
        </w:rPr>
        <w:t>　场地出入口步行距离</w:t>
      </w:r>
      <w:r>
        <w:rPr>
          <w:bCs/>
        </w:rPr>
        <w:t>500m</w:t>
      </w:r>
      <w:r>
        <w:rPr>
          <w:rFonts w:hAnsi="宋体"/>
          <w:bCs/>
        </w:rPr>
        <w:t>范围内设有</w:t>
      </w:r>
      <w:r>
        <w:rPr>
          <w:bCs/>
        </w:rPr>
        <w:t>3</w:t>
      </w:r>
      <w:r>
        <w:rPr>
          <w:rFonts w:hAnsi="宋体"/>
          <w:bCs/>
        </w:rPr>
        <w:t>条或</w:t>
      </w:r>
      <w:r>
        <w:rPr>
          <w:bCs/>
        </w:rPr>
        <w:t>3</w:t>
      </w:r>
      <w:r>
        <w:rPr>
          <w:rFonts w:hAnsi="宋体"/>
          <w:bCs/>
        </w:rPr>
        <w:t>条以上线路的公共交通站点（含公共汽车站、轨道交通站和公共自行车租赁站），得</w:t>
      </w:r>
      <w:r>
        <w:rPr>
          <w:rFonts w:hint="eastAsia"/>
          <w:bCs/>
        </w:rPr>
        <w:t>1</w:t>
      </w:r>
      <w:r>
        <w:rPr>
          <w:rFonts w:hAnsi="宋体"/>
          <w:bCs/>
        </w:rPr>
        <w:t>分；</w:t>
      </w:r>
    </w:p>
    <w:p>
      <w:pPr>
        <w:pStyle w:val="87"/>
        <w:spacing w:line="360" w:lineRule="auto"/>
        <w:ind w:firstLine="482"/>
        <w:outlineLvl w:val="9"/>
        <w:rPr>
          <w:rFonts w:hAnsi="宋体"/>
          <w:bCs/>
        </w:rPr>
      </w:pPr>
      <w:r>
        <w:rPr>
          <w:b/>
          <w:bCs/>
        </w:rPr>
        <w:t>5</w:t>
      </w:r>
      <w:r>
        <w:rPr>
          <w:rFonts w:hAnsi="宋体"/>
          <w:bCs/>
        </w:rPr>
        <w:t>　有便捷的人行通道联系公共交通站点，得</w:t>
      </w:r>
      <w:r>
        <w:rPr>
          <w:rFonts w:hint="eastAsia"/>
          <w:bCs/>
        </w:rPr>
        <w:t>1</w:t>
      </w:r>
      <w:r>
        <w:rPr>
          <w:rFonts w:hAnsi="宋体"/>
          <w:bCs/>
        </w:rPr>
        <w:t>分。</w:t>
      </w:r>
    </w:p>
    <w:p>
      <w:pPr>
        <w:pStyle w:val="80"/>
        <w:ind w:firstLine="0" w:firstLineChars="0"/>
        <w:rPr>
          <w:rFonts w:ascii="仿宋" w:hAnsi="仿宋" w:eastAsia="仿宋"/>
          <w:color w:val="FF0000"/>
          <w:szCs w:val="24"/>
        </w:rPr>
      </w:pPr>
      <w:r>
        <w:rPr>
          <w:rFonts w:hint="eastAsia" w:ascii="仿宋" w:hAnsi="仿宋" w:eastAsia="仿宋"/>
          <w:color w:val="FF0000"/>
          <w:szCs w:val="24"/>
        </w:rPr>
        <w:t>【条文说明】</w:t>
      </w:r>
      <w:r>
        <w:rPr>
          <w:rFonts w:hint="eastAsia" w:ascii="仿宋" w:hAnsi="仿宋" w:eastAsia="仿宋"/>
          <w:color w:val="FF0000"/>
        </w:rPr>
        <w:t>此条文运行评价不再评价，与设计评价结论一致。</w:t>
      </w:r>
      <w:r>
        <w:rPr>
          <w:rFonts w:hint="eastAsia" w:ascii="仿宋" w:hAnsi="仿宋" w:eastAsia="仿宋"/>
          <w:color w:val="FF0000"/>
          <w:szCs w:val="24"/>
        </w:rPr>
        <w:t>优先发展公共交通是缓解城市交通拥堵问题的重要措施，因此建筑与公共交通联系的便捷程度很重要。为了便于选择公共交通出行，在选址与场地规划中应重视建筑场地与公共交通站点的便捷联系，合理设置出入口。“有便捷的人行通道联系公共交通站点”包括：建筑外的平台直接通过天桥与公交站点相连，建筑的部分空间与地面轨道交通站点出入口直接连通，为减少到达公共交通站点的绕行距离设置了专用的人行通道，地下空间与地铁站点直接连接等。根据《深圳市步行和自行车交通系统规划设计及技术导则》的要求，可以配建自行车停车设施，优先共享周边的城市公共自行车设施。</w:t>
      </w:r>
    </w:p>
    <w:p>
      <w:pPr>
        <w:pStyle w:val="87"/>
        <w:spacing w:line="360" w:lineRule="auto"/>
        <w:ind w:firstLine="0" w:firstLineChars="0"/>
        <w:outlineLvl w:val="9"/>
        <w:rPr>
          <w:bCs/>
        </w:rPr>
      </w:pPr>
    </w:p>
    <w:p>
      <w:pPr>
        <w:pStyle w:val="87"/>
        <w:spacing w:line="360" w:lineRule="auto"/>
        <w:ind w:firstLine="0" w:firstLineChars="0"/>
        <w:outlineLvl w:val="9"/>
        <w:rPr>
          <w:rFonts w:hAnsi="宋体"/>
          <w:bCs/>
        </w:rPr>
      </w:pPr>
      <w:r>
        <w:rPr>
          <w:rFonts w:hint="eastAsia"/>
          <w:b/>
          <w:bCs/>
        </w:rPr>
        <w:t>6</w:t>
      </w:r>
      <w:r>
        <w:rPr>
          <w:b/>
          <w:bCs/>
        </w:rPr>
        <w:t>.2.</w:t>
      </w:r>
      <w:r>
        <w:rPr>
          <w:rFonts w:hint="eastAsia"/>
          <w:b/>
          <w:bCs/>
        </w:rPr>
        <w:t>11</w:t>
      </w:r>
      <w:r>
        <w:rPr>
          <w:rFonts w:hAnsi="宋体"/>
          <w:bCs/>
        </w:rPr>
        <w:t>　场地内无障碍设计应符合现行国家标准《无障碍设计规范》</w:t>
      </w:r>
      <w:r>
        <w:rPr>
          <w:bCs/>
        </w:rPr>
        <w:t>GB</w:t>
      </w:r>
      <w:r>
        <w:rPr>
          <w:rFonts w:hint="eastAsia"/>
          <w:bCs/>
        </w:rPr>
        <w:t xml:space="preserve"> </w:t>
      </w:r>
      <w:r>
        <w:rPr>
          <w:bCs/>
        </w:rPr>
        <w:t>50763</w:t>
      </w:r>
      <w:r>
        <w:rPr>
          <w:rFonts w:hAnsi="宋体"/>
          <w:bCs/>
        </w:rPr>
        <w:t>的规定，且场地内外人行通道的无障碍系统应有良好的衔接，评价分值为</w:t>
      </w:r>
      <w:r>
        <w:rPr>
          <w:bCs/>
        </w:rPr>
        <w:t>3</w:t>
      </w:r>
      <w:r>
        <w:rPr>
          <w:rFonts w:hAnsi="宋体"/>
          <w:bCs/>
        </w:rPr>
        <w:t>分。</w:t>
      </w:r>
    </w:p>
    <w:p>
      <w:pPr>
        <w:pStyle w:val="80"/>
        <w:ind w:firstLine="0" w:firstLineChars="0"/>
        <w:rPr>
          <w:rFonts w:ascii="仿宋" w:hAnsi="仿宋" w:eastAsia="仿宋"/>
          <w:color w:val="FF0000"/>
          <w:szCs w:val="24"/>
        </w:rPr>
      </w:pPr>
      <w:r>
        <w:rPr>
          <w:rFonts w:hint="eastAsia" w:ascii="仿宋" w:hAnsi="仿宋" w:eastAsia="仿宋"/>
          <w:color w:val="FF0000"/>
          <w:szCs w:val="24"/>
        </w:rPr>
        <w:t>【条文说明】场地内人行通道及场地内外联系的无障碍设计是绿色出行的重要组成部分，是保障各类人群方便、安全出行的基本设施。</w:t>
      </w:r>
    </w:p>
    <w:p>
      <w:pPr>
        <w:pStyle w:val="87"/>
        <w:spacing w:line="360" w:lineRule="auto"/>
        <w:ind w:firstLine="0" w:firstLineChars="0"/>
        <w:outlineLvl w:val="9"/>
        <w:rPr>
          <w:bCs/>
        </w:rPr>
      </w:pPr>
    </w:p>
    <w:p>
      <w:pPr>
        <w:pStyle w:val="87"/>
        <w:spacing w:line="360" w:lineRule="auto"/>
        <w:ind w:firstLine="0" w:firstLineChars="0"/>
        <w:outlineLvl w:val="9"/>
        <w:rPr>
          <w:bCs/>
        </w:rPr>
      </w:pPr>
      <w:r>
        <w:rPr>
          <w:rFonts w:hint="eastAsia"/>
          <w:b/>
          <w:bCs/>
        </w:rPr>
        <w:t>6.2.12</w:t>
      </w:r>
      <w:r>
        <w:rPr>
          <w:rFonts w:hint="eastAsia"/>
          <w:bCs/>
        </w:rPr>
        <w:t xml:space="preserve"> 合理设置人车分流系统，降低车辆对行人的影响，评价</w:t>
      </w:r>
      <w:r>
        <w:rPr>
          <w:bCs/>
        </w:rPr>
        <w:t>总分值为</w:t>
      </w:r>
      <w:r>
        <w:rPr>
          <w:rFonts w:hint="eastAsia"/>
          <w:bCs/>
        </w:rPr>
        <w:t>3分</w:t>
      </w:r>
      <w:r>
        <w:rPr>
          <w:bCs/>
        </w:rPr>
        <w:t>。</w:t>
      </w:r>
    </w:p>
    <w:p>
      <w:pPr>
        <w:pStyle w:val="80"/>
        <w:ind w:firstLine="0" w:firstLineChars="0"/>
        <w:rPr>
          <w:rFonts w:ascii="仿宋" w:hAnsi="仿宋" w:eastAsia="仿宋"/>
          <w:color w:val="FF0000"/>
          <w:szCs w:val="24"/>
        </w:rPr>
      </w:pPr>
      <w:r>
        <w:rPr>
          <w:rFonts w:hint="eastAsia" w:ascii="仿宋" w:hAnsi="仿宋" w:eastAsia="仿宋"/>
          <w:color w:val="FF0000"/>
          <w:szCs w:val="24"/>
        </w:rPr>
        <w:t>【条文</w:t>
      </w:r>
      <w:r>
        <w:rPr>
          <w:rFonts w:ascii="仿宋" w:hAnsi="仿宋" w:eastAsia="仿宋"/>
          <w:color w:val="FF0000"/>
          <w:szCs w:val="24"/>
        </w:rPr>
        <w:t>说明】</w:t>
      </w:r>
      <w:r>
        <w:rPr>
          <w:rFonts w:hint="eastAsia" w:ascii="仿宋" w:hAnsi="仿宋" w:eastAsia="仿宋"/>
          <w:color w:val="FF0000"/>
          <w:szCs w:val="24"/>
        </w:rPr>
        <w:t>人车分流将行人和机动车完全分离开，互不干扰，对于缓解城市交通压力起到了很重要的作用。同时真正做到了从以“人”为本到人车兼顾。</w:t>
      </w:r>
    </w:p>
    <w:p>
      <w:pPr>
        <w:pStyle w:val="87"/>
        <w:spacing w:line="360" w:lineRule="auto"/>
        <w:ind w:firstLine="0" w:firstLineChars="0"/>
        <w:outlineLvl w:val="9"/>
        <w:rPr>
          <w:bCs/>
        </w:rPr>
      </w:pPr>
    </w:p>
    <w:p>
      <w:pPr>
        <w:pStyle w:val="87"/>
        <w:spacing w:line="360" w:lineRule="auto"/>
        <w:ind w:firstLine="0" w:firstLineChars="0"/>
        <w:outlineLvl w:val="9"/>
        <w:rPr>
          <w:bCs/>
        </w:rPr>
      </w:pPr>
      <w:r>
        <w:rPr>
          <w:rFonts w:hint="eastAsia"/>
          <w:b/>
          <w:bCs/>
        </w:rPr>
        <w:t>6</w:t>
      </w:r>
      <w:r>
        <w:rPr>
          <w:b/>
          <w:bCs/>
        </w:rPr>
        <w:t>.2.1</w:t>
      </w:r>
      <w:r>
        <w:rPr>
          <w:rFonts w:hint="eastAsia"/>
          <w:b/>
          <w:bCs/>
        </w:rPr>
        <w:t>3</w:t>
      </w:r>
      <w:r>
        <w:rPr>
          <w:rFonts w:hAnsi="宋体"/>
          <w:bCs/>
        </w:rPr>
        <w:t>　合理设置停车场所，评价总分值为</w:t>
      </w:r>
      <w:r>
        <w:rPr>
          <w:rFonts w:hint="eastAsia"/>
          <w:bCs/>
        </w:rPr>
        <w:t>4</w:t>
      </w:r>
      <w:r>
        <w:rPr>
          <w:rFonts w:hAnsi="宋体"/>
          <w:bCs/>
        </w:rPr>
        <w:t>分，并按下列规则分别评分并累计：</w:t>
      </w:r>
    </w:p>
    <w:p>
      <w:pPr>
        <w:pStyle w:val="87"/>
        <w:spacing w:line="360" w:lineRule="auto"/>
        <w:ind w:firstLine="482"/>
        <w:outlineLvl w:val="9"/>
        <w:rPr>
          <w:bCs/>
        </w:rPr>
      </w:pPr>
      <w:r>
        <w:rPr>
          <w:b/>
          <w:bCs/>
        </w:rPr>
        <w:t>1</w:t>
      </w:r>
      <w:r>
        <w:rPr>
          <w:rFonts w:hAnsi="宋体"/>
          <w:bCs/>
        </w:rPr>
        <w:t>　</w:t>
      </w:r>
      <w:r>
        <w:rPr>
          <w:rFonts w:hint="eastAsia" w:hAnsi="宋体"/>
          <w:bCs/>
        </w:rPr>
        <w:t>自行车停车设施位置合理、方便出入，且有遮阳防雨措施，停车位应满足深圳市自行车停车配建标准要求，</w:t>
      </w:r>
      <w:r>
        <w:rPr>
          <w:rFonts w:hAnsi="宋体"/>
          <w:bCs/>
        </w:rPr>
        <w:t>得</w:t>
      </w:r>
      <w:r>
        <w:rPr>
          <w:bCs/>
        </w:rPr>
        <w:t>1</w:t>
      </w:r>
      <w:r>
        <w:rPr>
          <w:rFonts w:hAnsi="宋体"/>
          <w:bCs/>
        </w:rPr>
        <w:t>分；</w:t>
      </w:r>
    </w:p>
    <w:p>
      <w:pPr>
        <w:pStyle w:val="87"/>
        <w:spacing w:line="360" w:lineRule="auto"/>
        <w:ind w:firstLine="482"/>
        <w:outlineLvl w:val="9"/>
        <w:rPr>
          <w:bCs/>
        </w:rPr>
      </w:pPr>
      <w:r>
        <w:rPr>
          <w:b/>
          <w:bCs/>
        </w:rPr>
        <w:t>2</w:t>
      </w:r>
      <w:r>
        <w:rPr>
          <w:rFonts w:hAnsi="宋体"/>
          <w:bCs/>
        </w:rPr>
        <w:t>　合理设置机动车停车设施，并采取下列措施中</w:t>
      </w:r>
      <w:r>
        <w:rPr>
          <w:rFonts w:hint="eastAsia" w:hAnsi="宋体"/>
          <w:bCs/>
        </w:rPr>
        <w:t>的</w:t>
      </w:r>
      <w:r>
        <w:rPr>
          <w:rFonts w:hint="eastAsia"/>
          <w:bCs/>
        </w:rPr>
        <w:t>2</w:t>
      </w:r>
      <w:r>
        <w:rPr>
          <w:rFonts w:hAnsi="宋体"/>
          <w:bCs/>
        </w:rPr>
        <w:t>项，得</w:t>
      </w:r>
      <w:r>
        <w:rPr>
          <w:bCs/>
        </w:rPr>
        <w:t>2</w:t>
      </w:r>
      <w:r>
        <w:rPr>
          <w:rFonts w:hAnsi="宋体"/>
          <w:bCs/>
        </w:rPr>
        <w:t>分；</w:t>
      </w:r>
      <w:r>
        <w:rPr>
          <w:rFonts w:hint="eastAsia" w:hAnsi="宋体"/>
          <w:bCs/>
        </w:rPr>
        <w:t>达到</w:t>
      </w:r>
      <w:r>
        <w:rPr>
          <w:rFonts w:hint="eastAsia"/>
          <w:bCs/>
        </w:rPr>
        <w:t>3</w:t>
      </w:r>
      <w:r>
        <w:rPr>
          <w:rFonts w:hAnsi="宋体"/>
          <w:bCs/>
        </w:rPr>
        <w:t>项及以上，得</w:t>
      </w:r>
      <w:r>
        <w:rPr>
          <w:rFonts w:hint="eastAsia"/>
          <w:bCs/>
        </w:rPr>
        <w:t>3</w:t>
      </w:r>
      <w:r>
        <w:rPr>
          <w:rFonts w:hAnsi="宋体"/>
          <w:bCs/>
        </w:rPr>
        <w:t>分：</w:t>
      </w:r>
    </w:p>
    <w:p>
      <w:pPr>
        <w:pStyle w:val="87"/>
        <w:spacing w:line="360" w:lineRule="auto"/>
        <w:ind w:firstLine="602" w:firstLineChars="250"/>
        <w:outlineLvl w:val="9"/>
        <w:rPr>
          <w:bCs/>
        </w:rPr>
      </w:pPr>
      <w:r>
        <w:rPr>
          <w:b/>
          <w:bCs/>
        </w:rPr>
        <w:t>1</w:t>
      </w:r>
      <w:r>
        <w:rPr>
          <w:rFonts w:hAnsi="宋体"/>
          <w:b/>
          <w:bCs/>
        </w:rPr>
        <w:t>）</w:t>
      </w:r>
      <w:r>
        <w:rPr>
          <w:rFonts w:hAnsi="宋体"/>
          <w:bCs/>
        </w:rPr>
        <w:t>采用地下停车库方式</w:t>
      </w:r>
      <w:r>
        <w:rPr>
          <w:rFonts w:hint="eastAsia" w:hAnsi="宋体"/>
          <w:bCs/>
        </w:rPr>
        <w:t>，停车比例不低于70%</w:t>
      </w:r>
      <w:r>
        <w:rPr>
          <w:rFonts w:hAnsi="宋体"/>
          <w:bCs/>
        </w:rPr>
        <w:t>；</w:t>
      </w:r>
    </w:p>
    <w:p>
      <w:pPr>
        <w:pStyle w:val="87"/>
        <w:spacing w:line="360" w:lineRule="auto"/>
        <w:ind w:firstLine="602" w:firstLineChars="250"/>
        <w:outlineLvl w:val="9"/>
        <w:rPr>
          <w:bCs/>
        </w:rPr>
      </w:pPr>
      <w:r>
        <w:rPr>
          <w:b/>
          <w:bCs/>
        </w:rPr>
        <w:t>2</w:t>
      </w:r>
      <w:r>
        <w:rPr>
          <w:rFonts w:hAnsi="宋体"/>
          <w:b/>
          <w:bCs/>
        </w:rPr>
        <w:t>）</w:t>
      </w:r>
      <w:r>
        <w:rPr>
          <w:rFonts w:hAnsi="宋体"/>
          <w:bCs/>
        </w:rPr>
        <w:t>采用机械式停车库、停车楼等方式；</w:t>
      </w:r>
    </w:p>
    <w:p>
      <w:pPr>
        <w:pStyle w:val="87"/>
        <w:spacing w:line="360" w:lineRule="auto"/>
        <w:ind w:firstLine="602" w:firstLineChars="250"/>
        <w:outlineLvl w:val="9"/>
        <w:rPr>
          <w:bCs/>
        </w:rPr>
      </w:pPr>
      <w:r>
        <w:rPr>
          <w:rFonts w:hint="eastAsia"/>
          <w:b/>
          <w:bCs/>
        </w:rPr>
        <w:t>3</w:t>
      </w:r>
      <w:r>
        <w:rPr>
          <w:rFonts w:hAnsi="宋体"/>
          <w:b/>
          <w:bCs/>
        </w:rPr>
        <w:t>）</w:t>
      </w:r>
      <w:r>
        <w:rPr>
          <w:rFonts w:hAnsi="宋体"/>
          <w:bCs/>
        </w:rPr>
        <w:t>合理设计地面停车位，不挤占步行空间及活动场所，场地内地面停车率不超过</w:t>
      </w:r>
      <w:r>
        <w:rPr>
          <w:bCs/>
        </w:rPr>
        <w:t>10%</w:t>
      </w:r>
      <w:r>
        <w:rPr>
          <w:rFonts w:hAnsi="宋体"/>
          <w:bCs/>
        </w:rPr>
        <w:t>；</w:t>
      </w:r>
    </w:p>
    <w:p>
      <w:pPr>
        <w:pStyle w:val="87"/>
        <w:spacing w:line="360" w:lineRule="auto"/>
        <w:ind w:firstLine="602" w:firstLineChars="250"/>
        <w:outlineLvl w:val="9"/>
        <w:rPr>
          <w:bCs/>
        </w:rPr>
      </w:pPr>
      <w:r>
        <w:rPr>
          <w:rFonts w:hint="eastAsia"/>
          <w:b/>
          <w:bCs/>
        </w:rPr>
        <w:t>4</w:t>
      </w:r>
      <w:r>
        <w:rPr>
          <w:rFonts w:hAnsi="宋体"/>
          <w:b/>
          <w:bCs/>
        </w:rPr>
        <w:t>）</w:t>
      </w:r>
      <w:r>
        <w:rPr>
          <w:rFonts w:hAnsi="宋体"/>
          <w:bCs/>
        </w:rPr>
        <w:t>采用错时停车方式向社会开放，提高停车场（库）使用效率。</w:t>
      </w:r>
    </w:p>
    <w:p>
      <w:pPr>
        <w:pStyle w:val="80"/>
        <w:ind w:firstLine="0" w:firstLineChars="0"/>
        <w:rPr>
          <w:rFonts w:ascii="仿宋" w:hAnsi="仿宋" w:eastAsia="仿宋"/>
          <w:color w:val="FF0000"/>
          <w:szCs w:val="24"/>
        </w:rPr>
      </w:pPr>
      <w:r>
        <w:rPr>
          <w:rFonts w:hint="eastAsia" w:ascii="仿宋" w:hAnsi="仿宋" w:eastAsia="仿宋"/>
          <w:color w:val="FF0000"/>
          <w:szCs w:val="24"/>
        </w:rPr>
        <w:t>【条文说明】</w:t>
      </w:r>
      <w:r>
        <w:rPr>
          <w:rFonts w:hint="eastAsia" w:ascii="仿宋" w:hAnsi="仿宋" w:eastAsia="仿宋"/>
          <w:color w:val="FF0000"/>
        </w:rPr>
        <w:t>此条文运行评价不再评价，与设计评价结论一致。</w:t>
      </w:r>
      <w:r>
        <w:rPr>
          <w:rFonts w:hint="eastAsia" w:ascii="仿宋" w:hAnsi="仿宋" w:eastAsia="仿宋"/>
          <w:color w:val="FF0000"/>
          <w:szCs w:val="24"/>
        </w:rPr>
        <w:t>本条鼓励使用自行车等绿色环保的交通工具，绿色出行。《深圳市步行和自行车交通系统规划设计导则》对自行车停放设施的设置规模、布设位置、设置形式等有明确要求，对与城市轨道交通系统接驳、公共自行车系统共享等有规定。机动车停车位应符合所在地控制性详细规划要求，地面停车位应按照国家和地方有关标准适度设置，并科学管理、合理组织交通流线，不应对人行活动场所产生干扰。《中华人民共和国道路交通管理条例》规定未满十二岁的儿童，不准在道路上骑自行车、三轮车和推、拉人力车。该条文针对中小学校、幼儿园等建筑类型不参评。</w:t>
      </w:r>
    </w:p>
    <w:p>
      <w:pPr>
        <w:pStyle w:val="87"/>
        <w:spacing w:line="360" w:lineRule="auto"/>
        <w:ind w:firstLine="0" w:firstLineChars="0"/>
        <w:outlineLvl w:val="9"/>
        <w:rPr>
          <w:bCs/>
        </w:rPr>
      </w:pPr>
    </w:p>
    <w:p>
      <w:pPr>
        <w:pStyle w:val="87"/>
        <w:spacing w:line="360" w:lineRule="auto"/>
        <w:ind w:firstLine="0" w:firstLineChars="0"/>
        <w:outlineLvl w:val="9"/>
        <w:rPr>
          <w:rFonts w:hAnsi="宋体"/>
          <w:bCs/>
        </w:rPr>
      </w:pPr>
      <w:r>
        <w:rPr>
          <w:rFonts w:hint="eastAsia" w:hAnsi="宋体"/>
          <w:b/>
          <w:bCs/>
        </w:rPr>
        <w:t>6.2.14</w:t>
      </w:r>
      <w:r>
        <w:rPr>
          <w:rFonts w:hint="eastAsia" w:hAnsi="宋体"/>
          <w:bCs/>
        </w:rPr>
        <w:t>合理设置新能源汽车充电基础设施，</w:t>
      </w:r>
      <w:r>
        <w:rPr>
          <w:rFonts w:hint="eastAsia"/>
          <w:bCs/>
        </w:rPr>
        <w:t>评价</w:t>
      </w:r>
      <w:r>
        <w:rPr>
          <w:bCs/>
        </w:rPr>
        <w:t>总分值为</w:t>
      </w:r>
      <w:r>
        <w:rPr>
          <w:rFonts w:hint="eastAsia"/>
          <w:bCs/>
        </w:rPr>
        <w:t>5分</w:t>
      </w:r>
      <w:r>
        <w:rPr>
          <w:rFonts w:hAnsi="宋体"/>
          <w:bCs/>
        </w:rPr>
        <w:t>，并按下列规则分别评分并累计：</w:t>
      </w:r>
    </w:p>
    <w:p>
      <w:pPr>
        <w:pStyle w:val="87"/>
        <w:spacing w:line="360" w:lineRule="auto"/>
        <w:ind w:firstLine="420" w:firstLineChars="0"/>
        <w:outlineLvl w:val="9"/>
        <w:rPr>
          <w:bCs/>
        </w:rPr>
      </w:pPr>
      <w:r>
        <w:rPr>
          <w:bCs/>
        </w:rPr>
        <w:t>1</w:t>
      </w:r>
      <w:r>
        <w:rPr>
          <w:rFonts w:hint="eastAsia"/>
          <w:sz w:val="22"/>
          <w:szCs w:val="21"/>
        </w:rPr>
        <w:t>配置充电设备的停车位占总停车位的比例不小于10%</w:t>
      </w:r>
      <w:r>
        <w:rPr>
          <w:bCs/>
        </w:rPr>
        <w:t>，</w:t>
      </w:r>
      <w:r>
        <w:rPr>
          <w:rFonts w:hint="eastAsia"/>
          <w:bCs/>
        </w:rPr>
        <w:t>剩余停车位中</w:t>
      </w:r>
      <w:r>
        <w:rPr>
          <w:rFonts w:hint="eastAsia"/>
          <w:sz w:val="22"/>
          <w:szCs w:val="21"/>
        </w:rPr>
        <w:t>不低于 30%应</w:t>
      </w:r>
      <w:r>
        <w:rPr>
          <w:rFonts w:hint="eastAsia"/>
          <w:bCs/>
        </w:rPr>
        <w:t>预留充电设施建设安装条件，</w:t>
      </w:r>
      <w:r>
        <w:rPr>
          <w:bCs/>
        </w:rPr>
        <w:t>得</w:t>
      </w:r>
      <w:r>
        <w:rPr>
          <w:rFonts w:hint="eastAsia"/>
          <w:bCs/>
        </w:rPr>
        <w:t>2分；</w:t>
      </w:r>
    </w:p>
    <w:p>
      <w:pPr>
        <w:pStyle w:val="87"/>
        <w:spacing w:line="360" w:lineRule="auto"/>
        <w:ind w:firstLine="420" w:firstLineChars="0"/>
        <w:outlineLvl w:val="9"/>
        <w:rPr>
          <w:bCs/>
        </w:rPr>
      </w:pPr>
      <w:r>
        <w:rPr>
          <w:bCs/>
        </w:rPr>
        <w:t>2</w:t>
      </w:r>
      <w:r>
        <w:rPr>
          <w:rFonts w:hint="eastAsia"/>
          <w:sz w:val="22"/>
          <w:szCs w:val="21"/>
        </w:rPr>
        <w:t>配置充电设备的停车位占总停车位的比例不小于20%</w:t>
      </w:r>
      <w:r>
        <w:rPr>
          <w:rFonts w:hint="eastAsia"/>
          <w:bCs/>
          <w:lang w:eastAsia="zh-CN"/>
        </w:rPr>
        <w:t>，</w:t>
      </w:r>
      <w:r>
        <w:rPr>
          <w:rFonts w:hint="eastAsia"/>
          <w:bCs/>
        </w:rPr>
        <w:t>剩余停车位中</w:t>
      </w:r>
      <w:r>
        <w:rPr>
          <w:rFonts w:hint="eastAsia"/>
          <w:sz w:val="22"/>
          <w:szCs w:val="21"/>
        </w:rPr>
        <w:t>不低于 50%应</w:t>
      </w:r>
      <w:r>
        <w:rPr>
          <w:rFonts w:hint="eastAsia"/>
          <w:bCs/>
        </w:rPr>
        <w:t>预留充电设施建设安装条件，</w:t>
      </w:r>
      <w:r>
        <w:rPr>
          <w:bCs/>
        </w:rPr>
        <w:t>得</w:t>
      </w:r>
      <w:r>
        <w:rPr>
          <w:rFonts w:hint="eastAsia"/>
          <w:bCs/>
        </w:rPr>
        <w:t>4分；</w:t>
      </w:r>
    </w:p>
    <w:p>
      <w:pPr>
        <w:pStyle w:val="87"/>
        <w:spacing w:line="360" w:lineRule="auto"/>
        <w:ind w:firstLine="420" w:firstLineChars="0"/>
        <w:outlineLvl w:val="9"/>
        <w:rPr>
          <w:bCs/>
        </w:rPr>
      </w:pPr>
      <w:r>
        <w:rPr>
          <w:rFonts w:hint="eastAsia"/>
          <w:bCs/>
        </w:rPr>
        <w:t>3</w:t>
      </w:r>
      <w:r>
        <w:rPr>
          <w:rFonts w:hint="eastAsia"/>
          <w:sz w:val="22"/>
          <w:szCs w:val="21"/>
        </w:rPr>
        <w:t>配置充电设备的停车位占总停车位的比例不小于30%</w:t>
      </w:r>
      <w:r>
        <w:rPr>
          <w:bCs/>
        </w:rPr>
        <w:t>，</w:t>
      </w:r>
      <w:r>
        <w:rPr>
          <w:rFonts w:hint="eastAsia"/>
          <w:bCs/>
        </w:rPr>
        <w:t>剩余停车位应全部预留充电设施建设安装条件，</w:t>
      </w:r>
      <w:r>
        <w:rPr>
          <w:bCs/>
        </w:rPr>
        <w:t>得</w:t>
      </w:r>
      <w:r>
        <w:rPr>
          <w:rFonts w:hint="eastAsia"/>
          <w:bCs/>
        </w:rPr>
        <w:t>5分</w:t>
      </w:r>
      <w:r>
        <w:rPr>
          <w:bCs/>
        </w:rPr>
        <w:t>。</w:t>
      </w:r>
    </w:p>
    <w:p>
      <w:pPr>
        <w:pStyle w:val="80"/>
        <w:ind w:firstLine="0" w:firstLineChars="0"/>
        <w:rPr>
          <w:rFonts w:ascii="仿宋" w:hAnsi="仿宋" w:eastAsia="仿宋"/>
          <w:color w:val="FF0000"/>
          <w:szCs w:val="24"/>
        </w:rPr>
      </w:pPr>
      <w:r>
        <w:rPr>
          <w:rFonts w:hint="eastAsia" w:ascii="仿宋" w:hAnsi="仿宋" w:eastAsia="仿宋"/>
          <w:color w:val="FF0000"/>
          <w:szCs w:val="24"/>
        </w:rPr>
        <w:t>【条文</w:t>
      </w:r>
      <w:r>
        <w:rPr>
          <w:rFonts w:ascii="仿宋" w:hAnsi="仿宋" w:eastAsia="仿宋"/>
          <w:color w:val="FF0000"/>
          <w:szCs w:val="24"/>
        </w:rPr>
        <w:t>说明】</w:t>
      </w:r>
      <w:r>
        <w:rPr>
          <w:rFonts w:hint="eastAsia" w:ascii="仿宋" w:hAnsi="仿宋" w:eastAsia="仿宋"/>
          <w:color w:val="FF0000"/>
          <w:szCs w:val="24"/>
        </w:rPr>
        <w:t>推广应用新能源汽车可以减少汽车尾气排放，改善大气环境。深圳市发布了多项推广新能源汽车的政策文件，如《深圳市新能源汽车推广应用若干政策措施的通知》、《深圳市新能源汽车发展工作方案》、《电动汽车充电基础设施设计、施工及验收规范》（征求意见稿）、《深圳市城市规划标准与准则》中的2015年修订条文均明确“鼓励配建停车场设置充电桩，其中新建住宅停车场、大型公共建筑物停车场、社会公共停车场须按停车位数量的30%配建充电桩，剩余停车位应全部预留充电设施建设安装条件。商业、工业类项目停车位充电桩配置比例不低于10%”。</w:t>
      </w:r>
    </w:p>
    <w:p>
      <w:pPr>
        <w:pStyle w:val="87"/>
        <w:spacing w:line="360" w:lineRule="auto"/>
        <w:ind w:firstLine="0" w:firstLineChars="0"/>
        <w:outlineLvl w:val="9"/>
        <w:rPr>
          <w:bCs/>
        </w:rPr>
      </w:pPr>
    </w:p>
    <w:p>
      <w:pPr>
        <w:pStyle w:val="87"/>
        <w:spacing w:line="360" w:lineRule="auto"/>
        <w:ind w:firstLine="0" w:firstLineChars="0"/>
        <w:outlineLvl w:val="9"/>
        <w:rPr>
          <w:bCs/>
        </w:rPr>
      </w:pPr>
      <w:r>
        <w:rPr>
          <w:rFonts w:hint="eastAsia"/>
          <w:b/>
          <w:bCs/>
        </w:rPr>
        <w:t>6</w:t>
      </w:r>
      <w:r>
        <w:rPr>
          <w:b/>
          <w:bCs/>
        </w:rPr>
        <w:t>.2.1</w:t>
      </w:r>
      <w:r>
        <w:rPr>
          <w:rFonts w:hint="eastAsia"/>
          <w:b/>
          <w:bCs/>
        </w:rPr>
        <w:t>5</w:t>
      </w:r>
      <w:r>
        <w:rPr>
          <w:rFonts w:hAnsi="宋体"/>
          <w:bCs/>
        </w:rPr>
        <w:t>　提供便利的公共服务，评价总分值为</w:t>
      </w:r>
      <w:r>
        <w:rPr>
          <w:rFonts w:hint="eastAsia"/>
          <w:bCs/>
        </w:rPr>
        <w:t>3</w:t>
      </w:r>
      <w:r>
        <w:rPr>
          <w:rFonts w:hAnsi="宋体"/>
          <w:bCs/>
        </w:rPr>
        <w:t>分，并按下列规则评分：</w:t>
      </w:r>
    </w:p>
    <w:p>
      <w:pPr>
        <w:pStyle w:val="87"/>
        <w:spacing w:line="360" w:lineRule="auto"/>
        <w:ind w:firstLine="482"/>
        <w:outlineLvl w:val="9"/>
        <w:rPr>
          <w:bCs/>
        </w:rPr>
      </w:pPr>
      <w:r>
        <w:rPr>
          <w:b/>
          <w:bCs/>
        </w:rPr>
        <w:t>1</w:t>
      </w:r>
      <w:r>
        <w:rPr>
          <w:rFonts w:hAnsi="宋体"/>
          <w:bCs/>
        </w:rPr>
        <w:t>　居住建筑：满足下列要求中</w:t>
      </w:r>
      <w:r>
        <w:rPr>
          <w:rFonts w:hint="eastAsia"/>
          <w:bCs/>
        </w:rPr>
        <w:t>3</w:t>
      </w:r>
      <w:r>
        <w:rPr>
          <w:rFonts w:hAnsi="宋体"/>
          <w:bCs/>
        </w:rPr>
        <w:t>项，得</w:t>
      </w:r>
      <w:r>
        <w:rPr>
          <w:rFonts w:hint="eastAsia"/>
          <w:bCs/>
        </w:rPr>
        <w:t>2</w:t>
      </w:r>
      <w:r>
        <w:rPr>
          <w:rFonts w:hAnsi="宋体"/>
          <w:bCs/>
        </w:rPr>
        <w:t>分；满足</w:t>
      </w:r>
      <w:r>
        <w:rPr>
          <w:rFonts w:hint="eastAsia"/>
          <w:bCs/>
        </w:rPr>
        <w:t>4</w:t>
      </w:r>
      <w:r>
        <w:rPr>
          <w:rFonts w:hAnsi="宋体"/>
          <w:bCs/>
        </w:rPr>
        <w:t>项及以上，得</w:t>
      </w:r>
      <w:r>
        <w:rPr>
          <w:rFonts w:hint="eastAsia"/>
          <w:bCs/>
        </w:rPr>
        <w:t>3</w:t>
      </w:r>
      <w:r>
        <w:rPr>
          <w:rFonts w:hAnsi="宋体"/>
          <w:bCs/>
        </w:rPr>
        <w:t>分：</w:t>
      </w:r>
    </w:p>
    <w:p>
      <w:pPr>
        <w:pStyle w:val="87"/>
        <w:spacing w:line="360" w:lineRule="auto"/>
        <w:ind w:firstLine="602" w:firstLineChars="250"/>
        <w:outlineLvl w:val="9"/>
        <w:rPr>
          <w:bCs/>
        </w:rPr>
      </w:pPr>
      <w:r>
        <w:rPr>
          <w:b/>
          <w:bCs/>
        </w:rPr>
        <w:t>1</w:t>
      </w:r>
      <w:r>
        <w:rPr>
          <w:rFonts w:hAnsi="宋体"/>
          <w:b/>
          <w:bCs/>
        </w:rPr>
        <w:t>）</w:t>
      </w:r>
      <w:r>
        <w:rPr>
          <w:rFonts w:hAnsi="宋体"/>
          <w:bCs/>
        </w:rPr>
        <w:t>场地出入口到达幼儿园的步行距离不大于</w:t>
      </w:r>
      <w:r>
        <w:rPr>
          <w:bCs/>
        </w:rPr>
        <w:t>300m</w:t>
      </w:r>
      <w:r>
        <w:rPr>
          <w:rFonts w:hAnsi="宋体"/>
          <w:bCs/>
        </w:rPr>
        <w:t>；</w:t>
      </w:r>
    </w:p>
    <w:p>
      <w:pPr>
        <w:pStyle w:val="87"/>
        <w:spacing w:line="360" w:lineRule="auto"/>
        <w:ind w:firstLine="602" w:firstLineChars="250"/>
        <w:outlineLvl w:val="9"/>
        <w:rPr>
          <w:bCs/>
        </w:rPr>
      </w:pPr>
      <w:r>
        <w:rPr>
          <w:b/>
          <w:bCs/>
        </w:rPr>
        <w:t>2</w:t>
      </w:r>
      <w:r>
        <w:rPr>
          <w:rFonts w:hAnsi="宋体"/>
          <w:b/>
          <w:bCs/>
        </w:rPr>
        <w:t>）</w:t>
      </w:r>
      <w:r>
        <w:rPr>
          <w:rFonts w:hAnsi="宋体"/>
          <w:bCs/>
        </w:rPr>
        <w:t>场地出入口到达小学的步行距离不大于</w:t>
      </w:r>
      <w:r>
        <w:rPr>
          <w:bCs/>
        </w:rPr>
        <w:t>500m</w:t>
      </w:r>
      <w:r>
        <w:rPr>
          <w:rFonts w:hAnsi="宋体"/>
          <w:bCs/>
        </w:rPr>
        <w:t>；</w:t>
      </w:r>
    </w:p>
    <w:p>
      <w:pPr>
        <w:pStyle w:val="87"/>
        <w:spacing w:line="360" w:lineRule="auto"/>
        <w:ind w:firstLine="602" w:firstLineChars="250"/>
        <w:outlineLvl w:val="9"/>
        <w:rPr>
          <w:bCs/>
        </w:rPr>
      </w:pPr>
      <w:r>
        <w:rPr>
          <w:rFonts w:hint="eastAsia"/>
          <w:b/>
          <w:bCs/>
        </w:rPr>
        <w:t>3</w:t>
      </w:r>
      <w:r>
        <w:rPr>
          <w:rFonts w:hAnsi="宋体"/>
          <w:b/>
          <w:bCs/>
        </w:rPr>
        <w:t>）</w:t>
      </w:r>
      <w:r>
        <w:rPr>
          <w:rFonts w:hAnsi="宋体"/>
          <w:bCs/>
        </w:rPr>
        <w:t>场地出入口到达商业服务设施的步行距离不大于</w:t>
      </w:r>
      <w:r>
        <w:rPr>
          <w:bCs/>
        </w:rPr>
        <w:t>500m</w:t>
      </w:r>
      <w:r>
        <w:rPr>
          <w:rFonts w:hAnsi="宋体"/>
          <w:bCs/>
        </w:rPr>
        <w:t>；</w:t>
      </w:r>
    </w:p>
    <w:p>
      <w:pPr>
        <w:pStyle w:val="87"/>
        <w:spacing w:line="360" w:lineRule="auto"/>
        <w:ind w:firstLine="602" w:firstLineChars="250"/>
        <w:outlineLvl w:val="9"/>
        <w:rPr>
          <w:rFonts w:hAnsi="宋体"/>
          <w:bCs/>
        </w:rPr>
      </w:pPr>
      <w:r>
        <w:rPr>
          <w:rFonts w:hint="eastAsia"/>
          <w:b/>
          <w:bCs/>
        </w:rPr>
        <w:t>4</w:t>
      </w:r>
      <w:r>
        <w:rPr>
          <w:rFonts w:hAnsi="宋体"/>
          <w:b/>
          <w:bCs/>
        </w:rPr>
        <w:t>）</w:t>
      </w:r>
      <w:r>
        <w:rPr>
          <w:rFonts w:hAnsi="宋体"/>
          <w:bCs/>
        </w:rPr>
        <w:t>相关设施集中设置并向周边居民开放</w:t>
      </w:r>
      <w:r>
        <w:rPr>
          <w:rFonts w:hint="eastAsia" w:hAnsi="宋体"/>
          <w:bCs/>
        </w:rPr>
        <w:t>；</w:t>
      </w:r>
    </w:p>
    <w:p>
      <w:pPr>
        <w:pStyle w:val="87"/>
        <w:spacing w:line="360" w:lineRule="auto"/>
        <w:ind w:firstLine="602" w:firstLineChars="250"/>
        <w:outlineLvl w:val="9"/>
        <w:rPr>
          <w:rFonts w:hAnsi="宋体"/>
          <w:bCs/>
        </w:rPr>
      </w:pPr>
      <w:r>
        <w:rPr>
          <w:rFonts w:hint="eastAsia"/>
          <w:b/>
          <w:bCs/>
        </w:rPr>
        <w:t>5</w:t>
      </w:r>
      <w:r>
        <w:rPr>
          <w:rFonts w:hAnsi="宋体"/>
          <w:b/>
          <w:bCs/>
        </w:rPr>
        <w:t>）</w:t>
      </w:r>
      <w:r>
        <w:rPr>
          <w:rFonts w:hint="eastAsia" w:hAnsi="宋体"/>
          <w:bCs/>
        </w:rPr>
        <w:t>场地1000m范围内设有5种及以上的公共服务设施。</w:t>
      </w:r>
    </w:p>
    <w:p>
      <w:pPr>
        <w:pStyle w:val="87"/>
        <w:spacing w:line="360" w:lineRule="auto"/>
        <w:ind w:firstLine="600" w:firstLineChars="250"/>
        <w:outlineLvl w:val="9"/>
        <w:rPr>
          <w:bCs/>
        </w:rPr>
      </w:pPr>
    </w:p>
    <w:p>
      <w:pPr>
        <w:pStyle w:val="87"/>
        <w:spacing w:line="360" w:lineRule="auto"/>
        <w:ind w:firstLine="482"/>
        <w:outlineLvl w:val="9"/>
        <w:rPr>
          <w:bCs/>
        </w:rPr>
      </w:pPr>
      <w:r>
        <w:rPr>
          <w:b/>
          <w:bCs/>
        </w:rPr>
        <w:t>2</w:t>
      </w:r>
      <w:r>
        <w:rPr>
          <w:rFonts w:hAnsi="宋体"/>
          <w:bCs/>
        </w:rPr>
        <w:t>　公共建筑：满足下列要求中</w:t>
      </w:r>
      <w:r>
        <w:rPr>
          <w:bCs/>
        </w:rPr>
        <w:t>2</w:t>
      </w:r>
      <w:r>
        <w:rPr>
          <w:rFonts w:hAnsi="宋体"/>
          <w:bCs/>
        </w:rPr>
        <w:t>项，得</w:t>
      </w:r>
      <w:r>
        <w:rPr>
          <w:rFonts w:hint="eastAsia"/>
          <w:bCs/>
        </w:rPr>
        <w:t>2</w:t>
      </w:r>
      <w:r>
        <w:rPr>
          <w:rFonts w:hAnsi="宋体"/>
          <w:bCs/>
        </w:rPr>
        <w:t>分；满足</w:t>
      </w:r>
      <w:r>
        <w:rPr>
          <w:bCs/>
        </w:rPr>
        <w:t>3</w:t>
      </w:r>
      <w:r>
        <w:rPr>
          <w:rFonts w:hAnsi="宋体"/>
          <w:bCs/>
        </w:rPr>
        <w:t>项及以上，得</w:t>
      </w:r>
      <w:r>
        <w:rPr>
          <w:rFonts w:hint="eastAsia"/>
          <w:bCs/>
        </w:rPr>
        <w:t>3</w:t>
      </w:r>
      <w:r>
        <w:rPr>
          <w:rFonts w:hAnsi="宋体"/>
          <w:bCs/>
        </w:rPr>
        <w:t>分：</w:t>
      </w:r>
    </w:p>
    <w:p>
      <w:pPr>
        <w:pStyle w:val="87"/>
        <w:spacing w:line="360" w:lineRule="auto"/>
        <w:ind w:firstLine="602" w:firstLineChars="250"/>
        <w:outlineLvl w:val="9"/>
        <w:rPr>
          <w:bCs/>
        </w:rPr>
      </w:pPr>
      <w:r>
        <w:rPr>
          <w:b/>
          <w:bCs/>
        </w:rPr>
        <w:t>1</w:t>
      </w:r>
      <w:r>
        <w:rPr>
          <w:rFonts w:hAnsi="宋体"/>
          <w:b/>
          <w:bCs/>
        </w:rPr>
        <w:t>）</w:t>
      </w:r>
      <w:r>
        <w:rPr>
          <w:bCs/>
        </w:rPr>
        <w:t>2</w:t>
      </w:r>
      <w:r>
        <w:rPr>
          <w:rFonts w:hAnsi="宋体"/>
          <w:bCs/>
        </w:rPr>
        <w:t>种及以上的公共建筑集中设置，或公共建筑兼容</w:t>
      </w:r>
      <w:r>
        <w:rPr>
          <w:bCs/>
        </w:rPr>
        <w:t>2</w:t>
      </w:r>
      <w:r>
        <w:rPr>
          <w:rFonts w:hAnsi="宋体"/>
          <w:bCs/>
        </w:rPr>
        <w:t>种及以上的公共服务功能；</w:t>
      </w:r>
    </w:p>
    <w:p>
      <w:pPr>
        <w:pStyle w:val="87"/>
        <w:spacing w:line="360" w:lineRule="auto"/>
        <w:ind w:firstLine="602" w:firstLineChars="250"/>
        <w:outlineLvl w:val="9"/>
        <w:rPr>
          <w:bCs/>
        </w:rPr>
      </w:pPr>
      <w:r>
        <w:rPr>
          <w:b/>
          <w:bCs/>
        </w:rPr>
        <w:t>2</w:t>
      </w:r>
      <w:r>
        <w:rPr>
          <w:rFonts w:hAnsi="宋体"/>
          <w:b/>
          <w:bCs/>
        </w:rPr>
        <w:t>）</w:t>
      </w:r>
      <w:r>
        <w:rPr>
          <w:rFonts w:hAnsi="宋体"/>
          <w:bCs/>
        </w:rPr>
        <w:t>配套辅助设施设备共同使用、资源共享；</w:t>
      </w:r>
    </w:p>
    <w:p>
      <w:pPr>
        <w:pStyle w:val="87"/>
        <w:spacing w:line="360" w:lineRule="auto"/>
        <w:ind w:firstLine="602" w:firstLineChars="250"/>
        <w:outlineLvl w:val="9"/>
        <w:rPr>
          <w:bCs/>
        </w:rPr>
      </w:pPr>
      <w:r>
        <w:rPr>
          <w:b/>
          <w:bCs/>
        </w:rPr>
        <w:t>3</w:t>
      </w:r>
      <w:r>
        <w:rPr>
          <w:rFonts w:hAnsi="宋体"/>
          <w:b/>
          <w:bCs/>
        </w:rPr>
        <w:t>）</w:t>
      </w:r>
      <w:r>
        <w:rPr>
          <w:rFonts w:hAnsi="宋体"/>
          <w:bCs/>
        </w:rPr>
        <w:t>建筑向社会公众提供开放的公共空间；</w:t>
      </w:r>
    </w:p>
    <w:p>
      <w:pPr>
        <w:pStyle w:val="87"/>
        <w:spacing w:line="360" w:lineRule="auto"/>
        <w:ind w:firstLine="602" w:firstLineChars="250"/>
        <w:outlineLvl w:val="9"/>
        <w:rPr>
          <w:rFonts w:hAnsi="宋体"/>
          <w:bCs/>
        </w:rPr>
      </w:pPr>
      <w:r>
        <w:rPr>
          <w:b/>
          <w:bCs/>
        </w:rPr>
        <w:t>4</w:t>
      </w:r>
      <w:r>
        <w:rPr>
          <w:rFonts w:hAnsi="宋体"/>
          <w:b/>
          <w:bCs/>
        </w:rPr>
        <w:t>）</w:t>
      </w:r>
      <w:r>
        <w:rPr>
          <w:rFonts w:hAnsi="宋体"/>
          <w:bCs/>
        </w:rPr>
        <w:t>室外活动场地错时向周边居民免费开放。</w:t>
      </w:r>
    </w:p>
    <w:p>
      <w:pPr>
        <w:pStyle w:val="87"/>
        <w:spacing w:line="360" w:lineRule="auto"/>
        <w:ind w:firstLine="0" w:firstLineChars="0"/>
        <w:outlineLvl w:val="9"/>
        <w:rPr>
          <w:rFonts w:ascii="仿宋" w:hAnsi="仿宋" w:eastAsia="仿宋"/>
          <w:color w:val="FF0000"/>
        </w:rPr>
      </w:pPr>
      <w:r>
        <w:rPr>
          <w:rFonts w:hint="eastAsia" w:ascii="仿宋" w:hAnsi="仿宋" w:eastAsia="仿宋"/>
          <w:color w:val="FF0000"/>
        </w:rPr>
        <w:t>【条文说明】此条文运行评价不再评价，与设计评价结论一致。此条要求与现行国家绿色建筑评价标准一致，考虑到居住建筑的公共服务设施属于城市配套，考虑到建筑的共享空间在深圳地区的重要性单独列入评分项。</w:t>
      </w:r>
    </w:p>
    <w:p>
      <w:pPr>
        <w:pStyle w:val="87"/>
        <w:spacing w:line="360" w:lineRule="auto"/>
        <w:ind w:firstLine="0" w:firstLineChars="0"/>
        <w:outlineLvl w:val="9"/>
        <w:rPr>
          <w:rFonts w:ascii="仿宋" w:hAnsi="仿宋" w:eastAsia="仿宋"/>
          <w:color w:val="FF0000"/>
        </w:rPr>
      </w:pPr>
    </w:p>
    <w:p>
      <w:pPr>
        <w:pStyle w:val="87"/>
        <w:spacing w:line="360" w:lineRule="auto"/>
        <w:ind w:firstLine="0" w:firstLineChars="0"/>
        <w:outlineLvl w:val="9"/>
        <w:rPr>
          <w:bCs/>
        </w:rPr>
      </w:pPr>
      <w:r>
        <w:rPr>
          <w:rFonts w:hint="eastAsia"/>
          <w:b/>
          <w:bCs/>
        </w:rPr>
        <w:t>6</w:t>
      </w:r>
      <w:r>
        <w:rPr>
          <w:b/>
          <w:bCs/>
        </w:rPr>
        <w:t>.2.1</w:t>
      </w:r>
      <w:r>
        <w:rPr>
          <w:rFonts w:hint="eastAsia"/>
          <w:b/>
          <w:bCs/>
        </w:rPr>
        <w:t>6</w:t>
      </w:r>
      <w:r>
        <w:rPr>
          <w:rFonts w:hAnsi="宋体"/>
          <w:bCs/>
        </w:rPr>
        <w:t>　</w:t>
      </w:r>
      <w:r>
        <w:rPr>
          <w:rFonts w:hint="eastAsia" w:hAnsi="宋体"/>
          <w:bCs/>
        </w:rPr>
        <w:t>场地内设置可遮荫避雨的步行走廊</w:t>
      </w:r>
      <w:r>
        <w:rPr>
          <w:rFonts w:hAnsi="宋体"/>
          <w:bCs/>
        </w:rPr>
        <w:t>，居住建筑</w:t>
      </w:r>
      <w:r>
        <w:rPr>
          <w:rFonts w:hint="eastAsia" w:hAnsi="宋体"/>
          <w:bCs/>
        </w:rPr>
        <w:t>总长度不少于住区人行道总长度的10%，公共建筑</w:t>
      </w:r>
      <w:r>
        <w:rPr>
          <w:rFonts w:hAnsi="宋体"/>
          <w:bCs/>
        </w:rPr>
        <w:t>评价</w:t>
      </w:r>
      <w:r>
        <w:rPr>
          <w:rFonts w:hint="eastAsia" w:hAnsi="宋体"/>
          <w:bCs/>
        </w:rPr>
        <w:t>总长度不少于住区人行道总长度的20%，</w:t>
      </w:r>
      <w:r>
        <w:rPr>
          <w:rFonts w:hAnsi="宋体"/>
          <w:bCs/>
        </w:rPr>
        <w:t>总分值为</w:t>
      </w:r>
      <w:r>
        <w:rPr>
          <w:bCs/>
        </w:rPr>
        <w:t>2</w:t>
      </w:r>
      <w:r>
        <w:rPr>
          <w:rFonts w:hAnsi="宋体"/>
          <w:bCs/>
        </w:rPr>
        <w:t>分</w:t>
      </w:r>
      <w:r>
        <w:rPr>
          <w:rFonts w:hint="eastAsia" w:hAnsi="宋体"/>
          <w:bCs/>
        </w:rPr>
        <w:t>。</w:t>
      </w:r>
    </w:p>
    <w:p>
      <w:pPr>
        <w:pStyle w:val="87"/>
        <w:spacing w:line="360" w:lineRule="auto"/>
        <w:ind w:firstLine="0" w:firstLineChars="0"/>
        <w:outlineLvl w:val="9"/>
        <w:rPr>
          <w:rFonts w:ascii="仿宋" w:hAnsi="仿宋" w:eastAsia="仿宋"/>
          <w:color w:val="FF0000"/>
        </w:rPr>
      </w:pPr>
      <w:r>
        <w:rPr>
          <w:rFonts w:hint="eastAsia" w:ascii="仿宋" w:hAnsi="仿宋" w:eastAsia="仿宋"/>
          <w:color w:val="FF0000"/>
        </w:rPr>
        <w:t>【条文说明】保留深圳标准《绿色建筑评价规范》SZJG30-2009的条文。步行走廊的设置可为建筑用户出行与其他主要功能区的通道与空间。连廊设计应综合考虑遮荫、避雨与休憩功能，避免因追求美观而设置透明的玻璃顶。</w:t>
      </w:r>
    </w:p>
    <w:p>
      <w:pPr>
        <w:pStyle w:val="87"/>
        <w:spacing w:line="360" w:lineRule="auto"/>
        <w:ind w:firstLine="0" w:firstLineChars="0"/>
        <w:outlineLvl w:val="9"/>
        <w:rPr>
          <w:bCs/>
        </w:rPr>
      </w:pPr>
    </w:p>
    <w:p>
      <w:pPr>
        <w:pStyle w:val="87"/>
        <w:spacing w:line="360" w:lineRule="auto"/>
        <w:ind w:firstLine="0" w:firstLineChars="0"/>
        <w:outlineLvl w:val="9"/>
        <w:rPr>
          <w:rFonts w:hAnsi="宋体"/>
          <w:bCs/>
        </w:rPr>
      </w:pPr>
      <w:r>
        <w:rPr>
          <w:rFonts w:hint="eastAsia"/>
          <w:b/>
          <w:bCs/>
        </w:rPr>
        <w:t>6</w:t>
      </w:r>
      <w:r>
        <w:rPr>
          <w:b/>
          <w:bCs/>
        </w:rPr>
        <w:t>.2.1</w:t>
      </w:r>
      <w:r>
        <w:rPr>
          <w:rFonts w:hint="eastAsia"/>
          <w:b/>
          <w:bCs/>
        </w:rPr>
        <w:t>7</w:t>
      </w:r>
      <w:r>
        <w:rPr>
          <w:rFonts w:hAnsi="宋体"/>
          <w:bCs/>
        </w:rPr>
        <w:t>　</w:t>
      </w:r>
      <w:r>
        <w:rPr>
          <w:rFonts w:hint="eastAsia" w:hAnsi="宋体"/>
          <w:bCs/>
        </w:rPr>
        <w:t>在场地内开辟城市公共通道、城市公共开放空间或建筑楼层架空作为绿化、休闲、健身及活动等，</w:t>
      </w:r>
      <w:r>
        <w:rPr>
          <w:rFonts w:hAnsi="宋体"/>
          <w:bCs/>
        </w:rPr>
        <w:t>总分值为</w:t>
      </w:r>
      <w:r>
        <w:rPr>
          <w:rFonts w:hint="eastAsia"/>
          <w:bCs/>
        </w:rPr>
        <w:t>2</w:t>
      </w:r>
      <w:r>
        <w:rPr>
          <w:rFonts w:hAnsi="宋体"/>
          <w:bCs/>
        </w:rPr>
        <w:t>分</w:t>
      </w:r>
      <w:r>
        <w:rPr>
          <w:rFonts w:hint="eastAsia" w:hAnsi="宋体"/>
          <w:bCs/>
        </w:rPr>
        <w:t>。</w:t>
      </w:r>
    </w:p>
    <w:p>
      <w:pPr>
        <w:pStyle w:val="87"/>
        <w:spacing w:line="360" w:lineRule="auto"/>
        <w:ind w:firstLine="0" w:firstLineChars="0"/>
        <w:outlineLvl w:val="9"/>
        <w:rPr>
          <w:rFonts w:hAnsi="宋体"/>
          <w:bCs/>
        </w:rPr>
      </w:pPr>
      <w:r>
        <w:rPr>
          <w:rFonts w:hint="eastAsia" w:hAnsi="宋体"/>
          <w:bCs/>
        </w:rPr>
        <w:tab/>
      </w:r>
      <w:r>
        <w:rPr>
          <w:rFonts w:hint="eastAsia" w:hAnsi="宋体"/>
          <w:bCs/>
        </w:rPr>
        <w:t>1）在场地内开辟城市公共通道、城市公共开放空间或建筑楼层架空作为绿化休闲等功能，得1分</w:t>
      </w:r>
      <w:r>
        <w:rPr>
          <w:rFonts w:hAnsi="宋体"/>
          <w:bCs/>
        </w:rPr>
        <w:t>；</w:t>
      </w:r>
    </w:p>
    <w:p>
      <w:pPr>
        <w:pStyle w:val="87"/>
        <w:spacing w:line="360" w:lineRule="auto"/>
        <w:ind w:firstLine="0" w:firstLineChars="0"/>
        <w:outlineLvl w:val="9"/>
        <w:rPr>
          <w:bCs/>
        </w:rPr>
      </w:pPr>
      <w:r>
        <w:rPr>
          <w:rFonts w:hAnsi="宋体"/>
          <w:bCs/>
        </w:rPr>
        <w:tab/>
      </w:r>
      <w:r>
        <w:rPr>
          <w:rFonts w:hAnsi="宋体"/>
          <w:bCs/>
        </w:rPr>
        <w:t>2</w:t>
      </w:r>
      <w:r>
        <w:rPr>
          <w:rFonts w:hint="eastAsia" w:hAnsi="宋体"/>
          <w:bCs/>
        </w:rPr>
        <w:t>）建筑设置架空层。架空部分除入口、门厅、防噪隔声设施等必要的配套设施及构件外，设置为绿化、居民健身及活动等开放空间，</w:t>
      </w:r>
      <w:r>
        <w:rPr>
          <w:rFonts w:hAnsi="宋体"/>
          <w:bCs/>
        </w:rPr>
        <w:t>得</w:t>
      </w:r>
      <w:r>
        <w:rPr>
          <w:rFonts w:hint="eastAsia" w:hAnsi="宋体"/>
          <w:bCs/>
        </w:rPr>
        <w:t>1分。</w:t>
      </w:r>
    </w:p>
    <w:p>
      <w:pPr>
        <w:pStyle w:val="87"/>
        <w:spacing w:line="360" w:lineRule="auto"/>
        <w:ind w:firstLine="0" w:firstLineChars="0"/>
        <w:outlineLvl w:val="9"/>
        <w:rPr>
          <w:rFonts w:ascii="仿宋" w:hAnsi="仿宋" w:eastAsia="仿宋"/>
          <w:color w:val="FF0000"/>
        </w:rPr>
      </w:pPr>
      <w:r>
        <w:rPr>
          <w:rFonts w:hint="eastAsia" w:ascii="仿宋" w:hAnsi="仿宋" w:eastAsia="仿宋"/>
          <w:color w:val="FF0000"/>
        </w:rPr>
        <w:t>【条文说明】保留深圳标准《绿色建筑评价规范》SZJG30-2009的条文。在场地内开辟公共步行通道或公共开放空间有利于增加公众的活动与交流空间，提高建筑的亲和力。建筑楼层架空用作绿化休闲等功能有助于改善环境质量，增加公共活动空间，有条件时应该全部面向公众开放。《深圳市城市规划标准与准则》、《深圳市建筑设计规则》也规定新建及重建项目应提供占建设用地面积5%~10%独立设置的公共空间，且利用建筑退线部分设置的公共空间及室内型公共空间，计入面积均不宜超过公共空间总面积的30%。</w:t>
      </w:r>
    </w:p>
    <w:p>
      <w:pPr>
        <w:pStyle w:val="87"/>
        <w:spacing w:line="360" w:lineRule="auto"/>
        <w:ind w:firstLine="0" w:firstLineChars="0"/>
        <w:outlineLvl w:val="9"/>
        <w:rPr>
          <w:bCs/>
        </w:rPr>
      </w:pPr>
    </w:p>
    <w:p>
      <w:pPr>
        <w:pStyle w:val="87"/>
        <w:ind w:firstLine="0" w:firstLineChars="0"/>
        <w:jc w:val="center"/>
      </w:pPr>
      <w:bookmarkStart w:id="55" w:name="_Toc349912323"/>
      <w:bookmarkStart w:id="56" w:name="_Toc449111661"/>
      <w:r>
        <w:rPr>
          <w:rFonts w:ascii="宋体" w:hAnsi="宋体"/>
        </w:rPr>
        <w:t>Ⅳ</w:t>
      </w:r>
      <w:r>
        <w:rPr>
          <w:rFonts w:hint="eastAsia" w:ascii="宋体" w:hAnsi="宋体"/>
        </w:rPr>
        <w:t xml:space="preserve"> </w:t>
      </w:r>
      <w:r>
        <w:rPr>
          <w:rFonts w:hAnsi="宋体"/>
        </w:rPr>
        <w:t>场地设计与场地生态</w:t>
      </w:r>
      <w:bookmarkEnd w:id="55"/>
      <w:r>
        <w:rPr>
          <w:rFonts w:hint="eastAsia" w:hAnsi="宋体"/>
        </w:rPr>
        <w:t>（23）</w:t>
      </w:r>
      <w:bookmarkEnd w:id="56"/>
    </w:p>
    <w:p>
      <w:pPr>
        <w:spacing w:line="300" w:lineRule="auto"/>
        <w:rPr>
          <w:b/>
          <w:bCs/>
          <w:sz w:val="24"/>
        </w:rPr>
      </w:pPr>
    </w:p>
    <w:p>
      <w:pPr>
        <w:pStyle w:val="87"/>
        <w:spacing w:line="360" w:lineRule="auto"/>
        <w:ind w:firstLine="0" w:firstLineChars="0"/>
        <w:outlineLvl w:val="9"/>
        <w:rPr>
          <w:bCs/>
        </w:rPr>
      </w:pPr>
      <w:r>
        <w:rPr>
          <w:rFonts w:hint="eastAsia"/>
          <w:b/>
          <w:bCs/>
        </w:rPr>
        <w:t>6</w:t>
      </w:r>
      <w:r>
        <w:rPr>
          <w:b/>
          <w:bCs/>
        </w:rPr>
        <w:t>.2.1</w:t>
      </w:r>
      <w:r>
        <w:rPr>
          <w:rFonts w:hint="eastAsia"/>
          <w:b/>
          <w:bCs/>
        </w:rPr>
        <w:t>8</w:t>
      </w:r>
      <w:r>
        <w:rPr>
          <w:rFonts w:hAnsi="宋体"/>
          <w:bCs/>
        </w:rPr>
        <w:t>　场地设计充分保护原有生态环境，评价总分值为</w:t>
      </w:r>
      <w:r>
        <w:rPr>
          <w:bCs/>
        </w:rPr>
        <w:t>3</w:t>
      </w:r>
      <w:r>
        <w:rPr>
          <w:rFonts w:hAnsi="宋体"/>
          <w:bCs/>
        </w:rPr>
        <w:t>分，并按下列规则分别评分并累计：</w:t>
      </w:r>
    </w:p>
    <w:p>
      <w:pPr>
        <w:pStyle w:val="87"/>
        <w:spacing w:line="360" w:lineRule="auto"/>
        <w:ind w:firstLine="482"/>
        <w:outlineLvl w:val="9"/>
        <w:rPr>
          <w:bCs/>
        </w:rPr>
      </w:pPr>
      <w:r>
        <w:rPr>
          <w:b/>
          <w:bCs/>
        </w:rPr>
        <w:t>1</w:t>
      </w:r>
      <w:r>
        <w:rPr>
          <w:rFonts w:hAnsi="宋体"/>
          <w:bCs/>
        </w:rPr>
        <w:t>　结合现状地形地貌进行场地设计与建筑布局，得</w:t>
      </w:r>
      <w:r>
        <w:rPr>
          <w:bCs/>
        </w:rPr>
        <w:t>1</w:t>
      </w:r>
      <w:r>
        <w:rPr>
          <w:rFonts w:hAnsi="宋体"/>
          <w:bCs/>
        </w:rPr>
        <w:t>分；</w:t>
      </w:r>
    </w:p>
    <w:p>
      <w:pPr>
        <w:pStyle w:val="87"/>
        <w:spacing w:line="360" w:lineRule="auto"/>
        <w:ind w:firstLine="482"/>
        <w:outlineLvl w:val="9"/>
        <w:rPr>
          <w:bCs/>
        </w:rPr>
      </w:pPr>
      <w:r>
        <w:rPr>
          <w:b/>
          <w:bCs/>
        </w:rPr>
        <w:t>2</w:t>
      </w:r>
      <w:r>
        <w:rPr>
          <w:rFonts w:hAnsi="宋体"/>
          <w:bCs/>
        </w:rPr>
        <w:t>　保护场地内原有的自然水域、湿地和植被，确需改造的，应采取生态恢复或补偿措施，得</w:t>
      </w:r>
      <w:r>
        <w:rPr>
          <w:bCs/>
        </w:rPr>
        <w:t>1</w:t>
      </w:r>
      <w:r>
        <w:rPr>
          <w:rFonts w:hAnsi="宋体"/>
          <w:bCs/>
        </w:rPr>
        <w:t>分；</w:t>
      </w:r>
    </w:p>
    <w:p>
      <w:pPr>
        <w:pStyle w:val="87"/>
        <w:spacing w:line="360" w:lineRule="auto"/>
        <w:ind w:firstLine="482"/>
        <w:outlineLvl w:val="9"/>
        <w:rPr>
          <w:rFonts w:hAnsi="宋体"/>
          <w:bCs/>
        </w:rPr>
      </w:pPr>
      <w:r>
        <w:rPr>
          <w:b/>
          <w:bCs/>
        </w:rPr>
        <w:t>3</w:t>
      </w:r>
      <w:r>
        <w:rPr>
          <w:rFonts w:hAnsi="宋体"/>
          <w:bCs/>
        </w:rPr>
        <w:t>　充分利用表层土，收集、改良并利用了用地面积的</w:t>
      </w:r>
      <w:r>
        <w:rPr>
          <w:bCs/>
        </w:rPr>
        <w:t>30%</w:t>
      </w:r>
      <w:r>
        <w:rPr>
          <w:rFonts w:hAnsi="宋体"/>
          <w:bCs/>
        </w:rPr>
        <w:t>以上的表层土，得</w:t>
      </w:r>
      <w:r>
        <w:rPr>
          <w:bCs/>
        </w:rPr>
        <w:t>1</w:t>
      </w:r>
      <w:r>
        <w:rPr>
          <w:rFonts w:hAnsi="宋体"/>
          <w:bCs/>
        </w:rPr>
        <w:t>分。</w:t>
      </w:r>
    </w:p>
    <w:p>
      <w:pPr>
        <w:pStyle w:val="87"/>
        <w:spacing w:line="360" w:lineRule="auto"/>
        <w:ind w:firstLine="0" w:firstLineChars="0"/>
        <w:outlineLvl w:val="9"/>
        <w:rPr>
          <w:rFonts w:ascii="仿宋" w:hAnsi="仿宋" w:eastAsia="仿宋"/>
          <w:color w:val="FF0000"/>
        </w:rPr>
      </w:pPr>
      <w:r>
        <w:rPr>
          <w:rFonts w:hint="eastAsia" w:ascii="仿宋" w:hAnsi="仿宋" w:eastAsia="仿宋"/>
          <w:color w:val="FF0000"/>
        </w:rPr>
        <w:t>【条文说明】与国家标准一致，按照技术细则细化了相关要求。建设项目应对场地可利用的自然资源进行勘查，充分利用原有地形地貌，尽量减少土石方工程量，减少开发建设过程对场地及周边环境生态系统的改变，包括原有水体和植被，特别是大型乔木。在建设过程中确需改造场地内的地形、地貌、水体、植被等时，应在工程结束后及时采取生态复原措施，减少对原场地环境的改变和破坏。表层土含有丰富的有机质、矿物质和微量元素，适合植物和微生物的生长，场地表层土的保护和回收利用是土壤资源保护、维持生物多样性的重要方法之一。除此之外，根据场地实际情况，采取其他生态恢复或补偿措施，如对土壤进行生态处理，对污染水体进行净化和循环，对植被进行生态设计以恢复场地原有动植物生存环境，也可作为得分依据，</w:t>
      </w:r>
    </w:p>
    <w:p>
      <w:pPr>
        <w:pStyle w:val="87"/>
        <w:spacing w:line="360" w:lineRule="auto"/>
        <w:ind w:firstLine="0" w:firstLineChars="0"/>
        <w:outlineLvl w:val="9"/>
        <w:rPr>
          <w:bCs/>
        </w:rPr>
      </w:pPr>
    </w:p>
    <w:p>
      <w:pPr>
        <w:pStyle w:val="87"/>
        <w:spacing w:line="360" w:lineRule="auto"/>
        <w:ind w:firstLine="0" w:firstLineChars="0"/>
        <w:outlineLvl w:val="9"/>
        <w:rPr>
          <w:bCs/>
        </w:rPr>
      </w:pPr>
      <w:r>
        <w:rPr>
          <w:rFonts w:hint="eastAsia"/>
          <w:b/>
          <w:bCs/>
        </w:rPr>
        <w:t>6</w:t>
      </w:r>
      <w:r>
        <w:rPr>
          <w:b/>
          <w:bCs/>
        </w:rPr>
        <w:t>.2.1</w:t>
      </w:r>
      <w:r>
        <w:rPr>
          <w:rFonts w:hint="eastAsia"/>
          <w:b/>
          <w:bCs/>
        </w:rPr>
        <w:t>9</w:t>
      </w:r>
      <w:r>
        <w:rPr>
          <w:rFonts w:hAnsi="宋体"/>
          <w:bCs/>
        </w:rPr>
        <w:t>　充分利用场地空间合理设置绿色雨水基础设施，对大于</w:t>
      </w:r>
      <w:r>
        <w:rPr>
          <w:bCs/>
        </w:rPr>
        <w:t>5hm</w:t>
      </w:r>
      <w:r>
        <w:rPr>
          <w:bCs/>
          <w:vertAlign w:val="superscript"/>
        </w:rPr>
        <w:t>2</w:t>
      </w:r>
      <w:r>
        <w:rPr>
          <w:rFonts w:hAnsi="宋体"/>
          <w:bCs/>
        </w:rPr>
        <w:t>的场地进行雨水专项规划设计，评价总分值为</w:t>
      </w:r>
      <w:r>
        <w:rPr>
          <w:rFonts w:hint="eastAsia"/>
          <w:bCs/>
        </w:rPr>
        <w:t>7</w:t>
      </w:r>
      <w:r>
        <w:rPr>
          <w:rFonts w:hAnsi="宋体"/>
          <w:bCs/>
        </w:rPr>
        <w:t>分，并按下列规则分别评分并累计：</w:t>
      </w:r>
    </w:p>
    <w:p>
      <w:pPr>
        <w:pStyle w:val="87"/>
        <w:spacing w:line="360" w:lineRule="auto"/>
        <w:ind w:firstLine="482"/>
        <w:outlineLvl w:val="9"/>
        <w:rPr>
          <w:bCs/>
        </w:rPr>
      </w:pPr>
      <w:r>
        <w:rPr>
          <w:b/>
          <w:bCs/>
        </w:rPr>
        <w:t>1</w:t>
      </w:r>
      <w:r>
        <w:rPr>
          <w:rFonts w:hAnsi="宋体"/>
          <w:bCs/>
        </w:rPr>
        <w:t>　下凹式绿地、雨水花园等有调蓄雨水功能的绿地和水体的面积之和占绿地面积的比例达到</w:t>
      </w:r>
      <w:r>
        <w:rPr>
          <w:bCs/>
        </w:rPr>
        <w:t>50%</w:t>
      </w:r>
      <w:r>
        <w:rPr>
          <w:rFonts w:hAnsi="宋体"/>
          <w:bCs/>
        </w:rPr>
        <w:t>，得</w:t>
      </w:r>
      <w:r>
        <w:rPr>
          <w:rFonts w:hint="eastAsia"/>
          <w:bCs/>
        </w:rPr>
        <w:t>2</w:t>
      </w:r>
      <w:r>
        <w:rPr>
          <w:rFonts w:hAnsi="宋体"/>
          <w:bCs/>
        </w:rPr>
        <w:t>分；达到</w:t>
      </w:r>
      <w:r>
        <w:rPr>
          <w:bCs/>
        </w:rPr>
        <w:t>65%</w:t>
      </w:r>
      <w:r>
        <w:rPr>
          <w:rFonts w:hAnsi="宋体"/>
          <w:bCs/>
        </w:rPr>
        <w:t>，得</w:t>
      </w:r>
      <w:r>
        <w:rPr>
          <w:rFonts w:hint="eastAsia"/>
          <w:bCs/>
        </w:rPr>
        <w:t>3</w:t>
      </w:r>
      <w:r>
        <w:rPr>
          <w:rFonts w:hAnsi="宋体"/>
          <w:bCs/>
        </w:rPr>
        <w:t>分；</w:t>
      </w:r>
    </w:p>
    <w:p>
      <w:pPr>
        <w:pStyle w:val="87"/>
        <w:spacing w:line="360" w:lineRule="auto"/>
        <w:ind w:firstLine="482"/>
        <w:outlineLvl w:val="9"/>
        <w:rPr>
          <w:bCs/>
        </w:rPr>
      </w:pPr>
      <w:r>
        <w:rPr>
          <w:b/>
          <w:bCs/>
        </w:rPr>
        <w:t>2</w:t>
      </w:r>
      <w:r>
        <w:rPr>
          <w:rFonts w:hAnsi="宋体"/>
          <w:bCs/>
        </w:rPr>
        <w:t>　合理衔接和引导屋面雨水、道路雨水进入生态设施，并采取相应的径流污染控制措施，得</w:t>
      </w:r>
      <w:r>
        <w:rPr>
          <w:rFonts w:hint="eastAsia"/>
          <w:bCs/>
        </w:rPr>
        <w:t>2</w:t>
      </w:r>
      <w:r>
        <w:rPr>
          <w:rFonts w:hAnsi="宋体"/>
          <w:bCs/>
        </w:rPr>
        <w:t>分；</w:t>
      </w:r>
    </w:p>
    <w:p>
      <w:pPr>
        <w:pStyle w:val="87"/>
        <w:spacing w:line="360" w:lineRule="auto"/>
        <w:ind w:firstLine="482"/>
        <w:outlineLvl w:val="9"/>
        <w:rPr>
          <w:rFonts w:hAnsi="宋体"/>
          <w:bCs/>
        </w:rPr>
      </w:pPr>
      <w:r>
        <w:rPr>
          <w:b/>
          <w:bCs/>
        </w:rPr>
        <w:t>3</w:t>
      </w:r>
      <w:r>
        <w:rPr>
          <w:rFonts w:hAnsi="宋体"/>
          <w:bCs/>
        </w:rPr>
        <w:t>　公共停车场、人行道、步行街、自行车道和休闲广场、室外庭院的透水铺装率不小于</w:t>
      </w:r>
      <w:r>
        <w:rPr>
          <w:rFonts w:hint="eastAsia"/>
          <w:bCs/>
        </w:rPr>
        <w:t>5</w:t>
      </w:r>
      <w:r>
        <w:rPr>
          <w:bCs/>
        </w:rPr>
        <w:t>0%</w:t>
      </w:r>
      <w:r>
        <w:rPr>
          <w:rFonts w:hAnsi="宋体"/>
          <w:bCs/>
        </w:rPr>
        <w:t>，得</w:t>
      </w:r>
      <w:r>
        <w:rPr>
          <w:bCs/>
        </w:rPr>
        <w:t>2</w:t>
      </w:r>
      <w:r>
        <w:rPr>
          <w:rFonts w:hAnsi="宋体"/>
          <w:bCs/>
        </w:rPr>
        <w:t>分。</w:t>
      </w:r>
    </w:p>
    <w:p>
      <w:pPr>
        <w:pStyle w:val="87"/>
        <w:spacing w:line="360" w:lineRule="auto"/>
        <w:ind w:firstLine="0" w:firstLineChars="0"/>
        <w:outlineLvl w:val="9"/>
        <w:rPr>
          <w:rFonts w:ascii="仿宋" w:hAnsi="仿宋" w:eastAsia="仿宋"/>
          <w:color w:val="FF0000"/>
        </w:rPr>
      </w:pPr>
      <w:r>
        <w:rPr>
          <w:rFonts w:hint="eastAsia" w:ascii="仿宋" w:hAnsi="仿宋" w:eastAsia="仿宋"/>
          <w:color w:val="FF0000"/>
        </w:rPr>
        <w:t>【条文说明】与国家标准一致，按照技术细则细化了相关要求。</w:t>
      </w:r>
    </w:p>
    <w:p>
      <w:pPr>
        <w:pStyle w:val="87"/>
        <w:spacing w:line="360" w:lineRule="auto"/>
        <w:ind w:firstLine="228" w:firstLineChars="95"/>
        <w:outlineLvl w:val="9"/>
        <w:rPr>
          <w:bCs/>
        </w:rPr>
      </w:pPr>
    </w:p>
    <w:p>
      <w:pPr>
        <w:pStyle w:val="87"/>
        <w:spacing w:line="360" w:lineRule="auto"/>
        <w:ind w:firstLine="0" w:firstLineChars="0"/>
        <w:outlineLvl w:val="9"/>
        <w:rPr>
          <w:rFonts w:hAnsi="宋体"/>
          <w:bCs/>
        </w:rPr>
      </w:pPr>
      <w:r>
        <w:rPr>
          <w:rFonts w:hint="eastAsia"/>
          <w:b/>
          <w:bCs/>
        </w:rPr>
        <w:t>6</w:t>
      </w:r>
      <w:r>
        <w:rPr>
          <w:b/>
          <w:bCs/>
        </w:rPr>
        <w:t>.2.</w:t>
      </w:r>
      <w:r>
        <w:rPr>
          <w:rFonts w:hint="eastAsia"/>
          <w:b/>
          <w:bCs/>
        </w:rPr>
        <w:t>20</w:t>
      </w:r>
      <w:r>
        <w:rPr>
          <w:rFonts w:hAnsi="宋体"/>
          <w:bCs/>
        </w:rPr>
        <w:t>　</w:t>
      </w:r>
      <w:r>
        <w:rPr>
          <w:rFonts w:hint="eastAsia" w:hAnsi="宋体"/>
          <w:bCs/>
        </w:rPr>
        <w:t>合理规划地表与屋面雨水径流，对场地雨水实施外排总量控制，评价总分值为6分。场地年径流总量控制率达到50%，得2分；达到55%，得4分；达到60%，得6分。</w:t>
      </w:r>
    </w:p>
    <w:p>
      <w:pPr>
        <w:pStyle w:val="87"/>
        <w:spacing w:line="360" w:lineRule="auto"/>
        <w:ind w:firstLine="0" w:firstLineChars="0"/>
        <w:outlineLvl w:val="9"/>
        <w:rPr>
          <w:rFonts w:ascii="仿宋" w:hAnsi="仿宋" w:eastAsia="仿宋"/>
          <w:color w:val="FF0000"/>
        </w:rPr>
      </w:pPr>
      <w:r>
        <w:rPr>
          <w:rFonts w:hint="eastAsia" w:ascii="仿宋" w:hAnsi="仿宋" w:eastAsia="仿宋"/>
          <w:color w:val="FF0000"/>
        </w:rPr>
        <w:t>【条文说明】与国家标准基本一致，考虑到华南地区实施难度，结合深圳的实际情况，该条目在国标的基础上降低得分难度。</w:t>
      </w:r>
    </w:p>
    <w:p>
      <w:pPr>
        <w:pStyle w:val="87"/>
        <w:spacing w:line="360" w:lineRule="auto"/>
        <w:ind w:firstLine="0" w:firstLineChars="0"/>
        <w:outlineLvl w:val="9"/>
        <w:rPr>
          <w:rFonts w:hAnsi="宋体"/>
          <w:bCs/>
        </w:rPr>
      </w:pPr>
    </w:p>
    <w:p>
      <w:pPr>
        <w:pStyle w:val="87"/>
        <w:spacing w:line="360" w:lineRule="auto"/>
        <w:ind w:firstLine="0" w:firstLineChars="0"/>
        <w:outlineLvl w:val="9"/>
        <w:rPr>
          <w:rFonts w:hAnsi="宋体"/>
          <w:bCs/>
        </w:rPr>
      </w:pPr>
      <w:r>
        <w:rPr>
          <w:rFonts w:hint="eastAsia"/>
          <w:b/>
          <w:bCs/>
        </w:rPr>
        <w:t>6</w:t>
      </w:r>
      <w:r>
        <w:rPr>
          <w:b/>
          <w:bCs/>
        </w:rPr>
        <w:t>.2.</w:t>
      </w:r>
      <w:r>
        <w:rPr>
          <w:rFonts w:hint="eastAsia"/>
          <w:b/>
          <w:bCs/>
        </w:rPr>
        <w:t>21</w:t>
      </w:r>
      <w:r>
        <w:rPr>
          <w:rFonts w:hAnsi="宋体"/>
          <w:bCs/>
        </w:rPr>
        <w:t>　</w:t>
      </w:r>
      <w:r>
        <w:rPr>
          <w:rFonts w:hint="eastAsia" w:hAnsi="宋体"/>
          <w:bCs/>
        </w:rPr>
        <w:t>根据深圳市气候条件和植物自然分布特点，栽植多种类型的植物，构成乔、灌、草及层间植物相结合的多层次植物群落，</w:t>
      </w:r>
      <w:r>
        <w:rPr>
          <w:rFonts w:hAnsi="宋体"/>
          <w:bCs/>
        </w:rPr>
        <w:t>评价总分值为</w:t>
      </w:r>
      <w:r>
        <w:rPr>
          <w:rFonts w:hint="eastAsia"/>
          <w:bCs/>
        </w:rPr>
        <w:t>3</w:t>
      </w:r>
      <w:r>
        <w:rPr>
          <w:rFonts w:hAnsi="宋体"/>
          <w:bCs/>
        </w:rPr>
        <w:t>分，并按下列规则分别评分并累计：</w:t>
      </w:r>
    </w:p>
    <w:p>
      <w:pPr>
        <w:pStyle w:val="87"/>
        <w:spacing w:line="360" w:lineRule="auto"/>
        <w:ind w:firstLine="482"/>
        <w:outlineLvl w:val="9"/>
        <w:rPr>
          <w:rFonts w:hAnsi="宋体"/>
          <w:bCs/>
        </w:rPr>
      </w:pPr>
      <w:r>
        <w:rPr>
          <w:b/>
          <w:bCs/>
        </w:rPr>
        <w:t>1</w:t>
      </w:r>
      <w:r>
        <w:rPr>
          <w:rFonts w:hAnsi="宋体"/>
          <w:bCs/>
        </w:rPr>
        <w:t>　种植适应</w:t>
      </w:r>
      <w:r>
        <w:rPr>
          <w:rFonts w:hint="eastAsia" w:hAnsi="宋体"/>
          <w:bCs/>
        </w:rPr>
        <w:t>深圳</w:t>
      </w:r>
      <w:r>
        <w:rPr>
          <w:rFonts w:hAnsi="宋体"/>
          <w:bCs/>
        </w:rPr>
        <w:t>市气候和土壤条件的植物，采用乔、灌、草结合的复层绿化，种植区域覆土深度和排水能力满足植物生长需求，得</w:t>
      </w:r>
      <w:r>
        <w:rPr>
          <w:rFonts w:hint="eastAsia"/>
          <w:bCs/>
        </w:rPr>
        <w:t>1</w:t>
      </w:r>
      <w:r>
        <w:rPr>
          <w:rFonts w:hAnsi="宋体"/>
          <w:bCs/>
        </w:rPr>
        <w:t>分；</w:t>
      </w:r>
    </w:p>
    <w:p>
      <w:pPr>
        <w:pStyle w:val="87"/>
        <w:spacing w:line="360" w:lineRule="auto"/>
        <w:ind w:firstLine="482"/>
        <w:outlineLvl w:val="9"/>
        <w:rPr>
          <w:rFonts w:hAnsi="宋体"/>
          <w:bCs/>
        </w:rPr>
      </w:pPr>
      <w:r>
        <w:rPr>
          <w:rFonts w:hint="eastAsia"/>
          <w:b/>
          <w:bCs/>
        </w:rPr>
        <w:t>2</w:t>
      </w:r>
      <w:r>
        <w:rPr>
          <w:rFonts w:hint="eastAsia" w:hAnsi="宋体"/>
          <w:bCs/>
        </w:rPr>
        <w:t xml:space="preserve"> 选用木本植物种类满足：场地面积≤5万㎡时不少于45种，场地面积5~10万㎡时不少于55种，场地面积大于10万㎡时不小于60种，得1分；</w:t>
      </w:r>
    </w:p>
    <w:p>
      <w:pPr>
        <w:pStyle w:val="87"/>
        <w:spacing w:line="360" w:lineRule="auto"/>
        <w:ind w:firstLine="482"/>
        <w:outlineLvl w:val="9"/>
        <w:rPr>
          <w:rFonts w:hAnsi="宋体"/>
          <w:bCs/>
        </w:rPr>
      </w:pPr>
      <w:r>
        <w:rPr>
          <w:rFonts w:hint="eastAsia"/>
          <w:b/>
          <w:bCs/>
        </w:rPr>
        <w:t>3</w:t>
      </w:r>
      <w:r>
        <w:rPr>
          <w:rFonts w:hint="eastAsia" w:hAnsi="宋体"/>
          <w:bCs/>
        </w:rPr>
        <w:t xml:space="preserve"> 每100㎡绿地上乔木量不少于3株，灌木量不小于10株，得1分。</w:t>
      </w:r>
    </w:p>
    <w:p>
      <w:pPr>
        <w:pStyle w:val="87"/>
        <w:spacing w:line="360" w:lineRule="auto"/>
        <w:ind w:firstLine="0" w:firstLineChars="0"/>
        <w:outlineLvl w:val="9"/>
        <w:rPr>
          <w:rFonts w:ascii="仿宋" w:hAnsi="仿宋" w:eastAsia="仿宋"/>
          <w:color w:val="FF0000"/>
        </w:rPr>
      </w:pPr>
      <w:r>
        <w:rPr>
          <w:rFonts w:hint="eastAsia" w:ascii="仿宋" w:hAnsi="仿宋" w:eastAsia="仿宋"/>
          <w:color w:val="FF0000"/>
        </w:rPr>
        <w:t>【条文说明】将国家标准4.2.15条文的植物类别单独作为一条，且基本按照深圳标准中的6.1.10条文和5.1.16条文的要求。选择适宜深圳气候和土壤条件的物种，可以减少病虫害，有效降低维护费用。合理采用包括乔、灌、草的复层绿化，可改善场地的生态环境。乔木的生态效益远远大于灌木和草坪等产生的生态效益，不但可以改善住区的生态环境，还可为居民提供遮阳、游憩的良好场所。植物种类的丰富程度是住区营造不同植物群落景观的基础，同时也是生物多样性的保证。</w:t>
      </w:r>
    </w:p>
    <w:p>
      <w:pPr>
        <w:pStyle w:val="87"/>
        <w:spacing w:line="360" w:lineRule="auto"/>
        <w:ind w:firstLine="0" w:firstLineChars="0"/>
        <w:outlineLvl w:val="9"/>
        <w:rPr>
          <w:bCs/>
        </w:rPr>
      </w:pPr>
    </w:p>
    <w:p>
      <w:pPr>
        <w:pStyle w:val="87"/>
        <w:spacing w:line="360" w:lineRule="auto"/>
        <w:ind w:firstLine="0" w:firstLineChars="0"/>
        <w:outlineLvl w:val="9"/>
        <w:rPr>
          <w:rFonts w:hAnsi="宋体"/>
          <w:bCs/>
        </w:rPr>
      </w:pPr>
      <w:r>
        <w:rPr>
          <w:rFonts w:hint="eastAsia"/>
          <w:b/>
          <w:bCs/>
        </w:rPr>
        <w:t>6</w:t>
      </w:r>
      <w:r>
        <w:rPr>
          <w:b/>
          <w:bCs/>
        </w:rPr>
        <w:t>.2.</w:t>
      </w:r>
      <w:r>
        <w:rPr>
          <w:rFonts w:hint="eastAsia"/>
          <w:b/>
          <w:bCs/>
        </w:rPr>
        <w:t>22</w:t>
      </w:r>
      <w:r>
        <w:rPr>
          <w:rFonts w:hAnsi="宋体"/>
          <w:bCs/>
        </w:rPr>
        <w:t>　</w:t>
      </w:r>
      <w:r>
        <w:rPr>
          <w:rFonts w:hint="eastAsia" w:hAnsi="宋体"/>
          <w:bCs/>
        </w:rPr>
        <w:t>合理采用屋顶绿化、架空绿化、垂直绿化等立体绿化方式，</w:t>
      </w:r>
      <w:r>
        <w:rPr>
          <w:rFonts w:hAnsi="宋体"/>
          <w:bCs/>
        </w:rPr>
        <w:t>评价总分值为</w:t>
      </w:r>
      <w:r>
        <w:rPr>
          <w:rFonts w:hint="eastAsia"/>
          <w:bCs/>
        </w:rPr>
        <w:t>4</w:t>
      </w:r>
      <w:r>
        <w:rPr>
          <w:rFonts w:hAnsi="宋体"/>
          <w:bCs/>
        </w:rPr>
        <w:t>分，并按下列规则分别评分并累计：</w:t>
      </w:r>
    </w:p>
    <w:p>
      <w:pPr>
        <w:pStyle w:val="87"/>
        <w:spacing w:line="360" w:lineRule="auto"/>
        <w:ind w:firstLine="482"/>
        <w:outlineLvl w:val="9"/>
        <w:rPr>
          <w:rFonts w:hAnsi="宋体"/>
          <w:bCs/>
        </w:rPr>
      </w:pPr>
      <w:r>
        <w:rPr>
          <w:b/>
          <w:bCs/>
        </w:rPr>
        <w:t>1</w:t>
      </w:r>
      <w:r>
        <w:rPr>
          <w:rFonts w:hint="eastAsia" w:hAnsi="宋体"/>
          <w:bCs/>
        </w:rPr>
        <w:t xml:space="preserve"> 屋面绿化面积占屋面可绿化面积的比例不小于30%</w:t>
      </w:r>
      <w:r>
        <w:rPr>
          <w:rFonts w:hAnsi="宋体"/>
          <w:bCs/>
        </w:rPr>
        <w:t>，得</w:t>
      </w:r>
      <w:r>
        <w:rPr>
          <w:rFonts w:hint="eastAsia"/>
          <w:bCs/>
        </w:rPr>
        <w:t>1</w:t>
      </w:r>
      <w:r>
        <w:rPr>
          <w:rFonts w:hAnsi="宋体"/>
          <w:bCs/>
        </w:rPr>
        <w:t>分</w:t>
      </w:r>
      <w:r>
        <w:rPr>
          <w:rFonts w:hint="eastAsia" w:hAnsi="宋体"/>
          <w:bCs/>
        </w:rPr>
        <w:t>，不小于50%，得2分</w:t>
      </w:r>
      <w:r>
        <w:rPr>
          <w:rFonts w:hAnsi="宋体"/>
          <w:bCs/>
        </w:rPr>
        <w:t>；</w:t>
      </w:r>
    </w:p>
    <w:p>
      <w:pPr>
        <w:pStyle w:val="87"/>
        <w:spacing w:line="360" w:lineRule="auto"/>
        <w:ind w:firstLine="482"/>
        <w:outlineLvl w:val="9"/>
        <w:rPr>
          <w:rFonts w:hAnsi="宋体"/>
          <w:bCs/>
        </w:rPr>
      </w:pPr>
      <w:r>
        <w:rPr>
          <w:rFonts w:hint="eastAsia"/>
          <w:b/>
          <w:bCs/>
        </w:rPr>
        <w:t>2</w:t>
      </w:r>
      <w:r>
        <w:rPr>
          <w:rFonts w:hint="eastAsia" w:hAnsi="宋体"/>
          <w:bCs/>
        </w:rPr>
        <w:t xml:space="preserve"> </w:t>
      </w:r>
      <w:r>
        <w:rPr>
          <w:rFonts w:hAnsi="宋体"/>
          <w:bCs/>
        </w:rPr>
        <w:t>垂直绿化</w:t>
      </w:r>
      <w:r>
        <w:rPr>
          <w:rFonts w:hint="eastAsia" w:hAnsi="宋体"/>
          <w:bCs/>
        </w:rPr>
        <w:t>种植长度不小于10%的屋面周长，得1分，不小于20%，得2分。</w:t>
      </w:r>
    </w:p>
    <w:p>
      <w:pPr>
        <w:pStyle w:val="87"/>
        <w:spacing w:line="360" w:lineRule="auto"/>
        <w:ind w:firstLine="0" w:firstLineChars="0"/>
        <w:outlineLvl w:val="9"/>
        <w:rPr>
          <w:rFonts w:ascii="仿宋" w:hAnsi="仿宋" w:eastAsia="仿宋"/>
          <w:color w:val="FF0000"/>
        </w:rPr>
      </w:pPr>
      <w:r>
        <w:rPr>
          <w:rFonts w:hint="eastAsia" w:ascii="仿宋" w:hAnsi="仿宋" w:eastAsia="仿宋"/>
          <w:color w:val="FF0000"/>
        </w:rPr>
        <w:t>【条文说明】将国家标准4.2.15条文的屋面绿化和垂直绿化单独作为一条，且将架空绿化也扩展为屋面绿化，且基本按照深圳标准中的6.1.8条文和6.1.9条文的要求。《深圳市城市规划标准与准则》、《深圳市建筑设计规则》等结合深圳实际情况，采用绿化覆盖率代替绿地率指标，鼓励进行垂直绿化、屋顶绿化和架空绿化，也是与绿色建筑的要求一致。</w:t>
      </w:r>
    </w:p>
    <w:p>
      <w:pPr>
        <w:pStyle w:val="87"/>
        <w:ind w:firstLine="420"/>
        <w:outlineLvl w:val="9"/>
        <w:rPr>
          <w:bCs/>
          <w:sz w:val="21"/>
          <w:szCs w:val="21"/>
        </w:rPr>
      </w:pPr>
    </w:p>
    <w:p>
      <w:pPr>
        <w:pStyle w:val="2"/>
        <w:spacing w:before="240" w:after="240" w:line="360" w:lineRule="auto"/>
        <w:jc w:val="center"/>
        <w:rPr>
          <w:rFonts w:eastAsia="黑体"/>
          <w:sz w:val="28"/>
          <w:szCs w:val="24"/>
        </w:rPr>
      </w:pPr>
      <w:bookmarkStart w:id="57" w:name="_Toc449111662"/>
      <w:r>
        <w:rPr>
          <w:rFonts w:eastAsia="黑体"/>
          <w:sz w:val="28"/>
          <w:szCs w:val="24"/>
        </w:rPr>
        <w:t xml:space="preserve">7 </w:t>
      </w:r>
      <w:r>
        <w:rPr>
          <w:rFonts w:hint="eastAsia" w:eastAsia="黑体"/>
          <w:sz w:val="28"/>
          <w:szCs w:val="24"/>
        </w:rPr>
        <w:t>节能与能源利用</w:t>
      </w:r>
      <w:bookmarkEnd w:id="57"/>
    </w:p>
    <w:p>
      <w:pPr>
        <w:pStyle w:val="3"/>
        <w:numPr>
          <w:ilvl w:val="0"/>
          <w:numId w:val="0"/>
        </w:numPr>
        <w:spacing w:before="120" w:after="120" w:line="240" w:lineRule="auto"/>
        <w:ind w:left="482" w:hanging="481" w:hangingChars="200"/>
        <w:jc w:val="center"/>
        <w:rPr>
          <w:rFonts w:ascii="Times New Roman" w:hAnsi="Times New Roman"/>
        </w:rPr>
      </w:pPr>
      <w:bookmarkStart w:id="58" w:name="_Toc449111663"/>
      <w:r>
        <w:rPr>
          <w:rFonts w:ascii="Times New Roman" w:hAnsi="Times New Roman"/>
        </w:rPr>
        <w:t xml:space="preserve">7.1 </w:t>
      </w:r>
      <w:r>
        <w:rPr>
          <w:rFonts w:hint="eastAsia" w:ascii="Times New Roman" w:hAnsi="Times New Roman"/>
        </w:rPr>
        <w:t>控制项</w:t>
      </w:r>
      <w:bookmarkEnd w:id="58"/>
    </w:p>
    <w:p>
      <w:pPr>
        <w:pStyle w:val="87"/>
        <w:spacing w:line="360" w:lineRule="auto"/>
        <w:ind w:firstLine="0" w:firstLineChars="0"/>
        <w:outlineLvl w:val="9"/>
        <w:rPr>
          <w:rFonts w:hAnsi="宋体"/>
          <w:bCs/>
        </w:rPr>
      </w:pPr>
      <w:r>
        <w:rPr>
          <w:rFonts w:hint="eastAsia"/>
          <w:b/>
          <w:bCs/>
        </w:rPr>
        <w:t>7</w:t>
      </w:r>
      <w:r>
        <w:rPr>
          <w:b/>
          <w:bCs/>
        </w:rPr>
        <w:t>.1.1</w:t>
      </w:r>
      <w:r>
        <w:rPr>
          <w:rFonts w:hAnsi="宋体"/>
          <w:bCs/>
        </w:rPr>
        <w:t>　建筑</w:t>
      </w:r>
      <w:r>
        <w:rPr>
          <w:rFonts w:hint="eastAsia" w:hAnsi="宋体"/>
          <w:bCs/>
        </w:rPr>
        <w:t>节能</w:t>
      </w:r>
      <w:r>
        <w:rPr>
          <w:rFonts w:hAnsi="宋体"/>
          <w:bCs/>
        </w:rPr>
        <w:t>设计应符合国家</w:t>
      </w:r>
      <w:r>
        <w:rPr>
          <w:rFonts w:hint="eastAsia" w:hAnsi="宋体"/>
          <w:bCs/>
        </w:rPr>
        <w:t>、广东省</w:t>
      </w:r>
      <w:r>
        <w:rPr>
          <w:rFonts w:hAnsi="宋体"/>
          <w:bCs/>
        </w:rPr>
        <w:t>及</w:t>
      </w:r>
      <w:r>
        <w:rPr>
          <w:rFonts w:hint="eastAsia" w:hAnsi="宋体"/>
          <w:bCs/>
        </w:rPr>
        <w:t>深圳</w:t>
      </w:r>
      <w:r>
        <w:rPr>
          <w:rFonts w:hAnsi="宋体"/>
          <w:bCs/>
        </w:rPr>
        <w:t>市现行有关建筑节能设计</w:t>
      </w:r>
      <w:r>
        <w:rPr>
          <w:rFonts w:hint="eastAsia" w:hAnsi="宋体"/>
          <w:bCs/>
        </w:rPr>
        <w:t>法规和</w:t>
      </w:r>
      <w:r>
        <w:rPr>
          <w:rFonts w:hAnsi="宋体"/>
          <w:bCs/>
        </w:rPr>
        <w:t>标准的规定。</w:t>
      </w:r>
    </w:p>
    <w:p>
      <w:pPr>
        <w:pStyle w:val="87"/>
        <w:spacing w:line="360" w:lineRule="auto"/>
        <w:ind w:firstLine="0" w:firstLineChars="0"/>
        <w:outlineLvl w:val="9"/>
        <w:rPr>
          <w:rFonts w:ascii="仿宋" w:hAnsi="仿宋" w:eastAsia="仿宋"/>
          <w:color w:val="FF0000"/>
        </w:rPr>
      </w:pPr>
      <w:r>
        <w:rPr>
          <w:rFonts w:hint="eastAsia" w:ascii="仿宋" w:hAnsi="仿宋" w:eastAsia="仿宋"/>
          <w:color w:val="FF0000"/>
        </w:rPr>
        <w:t>【条文说明】本条适用于各类民用建筑的设计、运行评价。本条基本集中了 “节能与能源利用”方面热工、暖通专业的控制项条文。建筑围护结构的热工性能指标、外窗和玻璃幕墙的气密性能指标、供暖锅炉的额定热效率、空调系统的冷热源机组能效比、分户（单元）热计量和分室（户）温度调节等对建筑供暖和空调能耗都有很大的影响。国家和行业的建筑节能设计标准都对这些性能参数提出了明确的要求，有的地方标准的要求比国家标准更高，而且这些要求都是以强制性条文的形式出现的。对于国家和地方标准应按照适宜、从严原则执行。</w:t>
      </w:r>
    </w:p>
    <w:p>
      <w:pPr>
        <w:pStyle w:val="87"/>
        <w:spacing w:line="360" w:lineRule="auto"/>
        <w:ind w:firstLine="0" w:firstLineChars="0"/>
        <w:outlineLvl w:val="9"/>
        <w:rPr>
          <w:rFonts w:ascii="仿宋" w:hAnsi="仿宋" w:eastAsia="仿宋"/>
          <w:color w:val="FF0000"/>
        </w:rPr>
      </w:pPr>
      <w:r>
        <w:rPr>
          <w:rFonts w:hint="eastAsia" w:ascii="仿宋" w:hAnsi="仿宋" w:eastAsia="仿宋"/>
          <w:color w:val="FF0000"/>
        </w:rPr>
        <w:t>本条的评价方法为：设计评价查阅相关设计文件（含设计说明、施工图和计算书运行评价查阅相关竣工图、计算书、验收记录，并现场核实。</w:t>
      </w:r>
    </w:p>
    <w:p>
      <w:pPr>
        <w:pStyle w:val="87"/>
        <w:spacing w:line="360" w:lineRule="auto"/>
        <w:ind w:firstLine="0" w:firstLineChars="0"/>
        <w:outlineLvl w:val="9"/>
        <w:rPr>
          <w:bCs/>
        </w:rPr>
      </w:pPr>
    </w:p>
    <w:p>
      <w:pPr>
        <w:pStyle w:val="87"/>
        <w:spacing w:line="360" w:lineRule="auto"/>
        <w:ind w:firstLine="0" w:firstLineChars="0"/>
        <w:outlineLvl w:val="9"/>
        <w:rPr>
          <w:bCs/>
        </w:rPr>
      </w:pPr>
      <w:r>
        <w:rPr>
          <w:rFonts w:hint="eastAsia"/>
          <w:b/>
          <w:bCs/>
        </w:rPr>
        <w:t>7</w:t>
      </w:r>
      <w:r>
        <w:rPr>
          <w:b/>
          <w:bCs/>
        </w:rPr>
        <w:t>.1.2</w:t>
      </w:r>
      <w:r>
        <w:rPr>
          <w:rFonts w:hAnsi="宋体"/>
          <w:bCs/>
        </w:rPr>
        <w:t>　</w:t>
      </w:r>
      <w:r>
        <w:rPr>
          <w:rFonts w:hint="eastAsia" w:hAnsi="宋体"/>
          <w:bCs/>
        </w:rPr>
        <w:t>应对建筑的主要能耗进行分项分类独立计量。</w:t>
      </w:r>
    </w:p>
    <w:p>
      <w:pPr>
        <w:pStyle w:val="87"/>
        <w:spacing w:line="360" w:lineRule="auto"/>
        <w:ind w:firstLine="482"/>
        <w:outlineLvl w:val="9"/>
        <w:rPr>
          <w:bCs/>
        </w:rPr>
      </w:pPr>
      <w:r>
        <w:rPr>
          <w:b/>
          <w:bCs/>
        </w:rPr>
        <w:t>1</w:t>
      </w:r>
      <w:r>
        <w:rPr>
          <w:rFonts w:hAnsi="宋体"/>
          <w:bCs/>
        </w:rPr>
        <w:t>　</w:t>
      </w:r>
      <w:r>
        <w:rPr>
          <w:rFonts w:hint="eastAsia" w:hAnsi="宋体"/>
          <w:bCs/>
        </w:rPr>
        <w:t>建立有低压配电系统应在空调系统、照明插座、电梯系统、信息中心及相关的出线回路上设置具有标准通讯接口的分项能耗数据计量仪表</w:t>
      </w:r>
      <w:r>
        <w:rPr>
          <w:rFonts w:hAnsi="宋体"/>
          <w:bCs/>
        </w:rPr>
        <w:t>；</w:t>
      </w:r>
    </w:p>
    <w:p>
      <w:pPr>
        <w:pStyle w:val="87"/>
        <w:spacing w:line="360" w:lineRule="auto"/>
        <w:ind w:firstLine="482"/>
        <w:outlineLvl w:val="9"/>
        <w:rPr>
          <w:rFonts w:hAnsi="宋体"/>
          <w:bCs/>
        </w:rPr>
      </w:pPr>
      <w:r>
        <w:rPr>
          <w:b/>
          <w:bCs/>
        </w:rPr>
        <w:t>2</w:t>
      </w:r>
      <w:r>
        <w:rPr>
          <w:rFonts w:hAnsi="宋体"/>
          <w:bCs/>
        </w:rPr>
        <w:t>　</w:t>
      </w:r>
      <w:r>
        <w:rPr>
          <w:rFonts w:hint="eastAsia" w:hAnsi="宋体"/>
          <w:bCs/>
        </w:rPr>
        <w:t>采用区域性冷源时，在每栋建筑的冷源入口处，应设置冷量计量装置；</w:t>
      </w:r>
    </w:p>
    <w:p>
      <w:pPr>
        <w:pStyle w:val="87"/>
        <w:spacing w:line="360" w:lineRule="auto"/>
        <w:ind w:firstLine="482"/>
        <w:outlineLvl w:val="9"/>
        <w:rPr>
          <w:rFonts w:hAnsi="宋体"/>
          <w:bCs/>
        </w:rPr>
      </w:pPr>
      <w:r>
        <w:rPr>
          <w:rFonts w:hint="eastAsia"/>
          <w:b/>
          <w:bCs/>
        </w:rPr>
        <w:t>3</w:t>
      </w:r>
      <w:r>
        <w:rPr>
          <w:rFonts w:hAnsi="宋体"/>
          <w:bCs/>
        </w:rPr>
        <w:t>　</w:t>
      </w:r>
      <w:r>
        <w:rPr>
          <w:rFonts w:hint="eastAsia" w:hAnsi="宋体"/>
          <w:bCs/>
        </w:rPr>
        <w:t>其他能源如燃气、燃油等应进行分项分类独立计量。</w:t>
      </w:r>
    </w:p>
    <w:p>
      <w:pPr>
        <w:pStyle w:val="87"/>
        <w:spacing w:line="360" w:lineRule="auto"/>
        <w:ind w:firstLine="0" w:firstLineChars="0"/>
        <w:outlineLvl w:val="9"/>
        <w:rPr>
          <w:rFonts w:ascii="仿宋" w:hAnsi="仿宋" w:eastAsia="仿宋"/>
          <w:color w:val="FF0000"/>
        </w:rPr>
      </w:pPr>
      <w:r>
        <w:rPr>
          <w:rFonts w:hint="eastAsia" w:ascii="仿宋" w:hAnsi="仿宋" w:eastAsia="仿宋"/>
          <w:color w:val="FF0000"/>
        </w:rPr>
        <w:t>【条文说明】与国家标准要求基本一致，根据技术细则进行细化，本条文主要进行分项分类独立计量。本条适用于公共建筑的设计、运行评价。建筑能源消耗情况较复杂，主要包括空调系统、照明系统、其他动力系统等。当未分项计量时，不利于统计建筑各类系统设备的能耗分布，难以发现能耗不合理之处。为此，要求采用集中冷热源的建筑，在系统设计（或既有建筑改造设计）时必须考虑使建筑内各能耗环节如冷热源、输配系统、照明、热水能耗等都能实现独立分项计量。这有助于分析建筑各项能耗水平和能耗结构是否合理，发现问题并提出改进措施，从而有效地实施建筑节能。低压配电系统应按照《民用建筑节能条例》、《民用建筑能耗数据采集标准》JGJ/T 154-2007、《国家机关办公建筑和大型公共建筑能耗监测系统分项能耗数据采集技术导则》、《国家机关办公建筑和大型公共建筑能耗监测系统楼宇分项计量设计安装技术导则》的要求，在空调用电（包括冷热源、输配系统、末端设备等子项）、照明用电（包括照明和插座用电、走廊和应急照明用电、室外景观照明等子项）、动力用电（包括电梯用电、水泵用电、通风机用电等子项）、信息中心系统及其相关系统的出线回路上设置具有标准通讯协议接口的分项能耗数据计量仪表；采用区域性冷热源时，在每栋建筑的冷源入口处，应设置冷量计量装置；建筑内部归属不同的使用单位时，应分别设置冷量计量装置；每台冷水机组均应设置冷量计量装置；应根据使用要求，设置分楼层、分室内区域、分用户或分室的冷量计量要求；其他能源如燃气、燃油等应进行分项分类独立计量。</w:t>
      </w:r>
    </w:p>
    <w:p>
      <w:pPr>
        <w:pStyle w:val="87"/>
        <w:spacing w:line="360" w:lineRule="auto"/>
        <w:ind w:firstLine="0" w:firstLineChars="0"/>
        <w:outlineLvl w:val="9"/>
        <w:rPr>
          <w:rFonts w:ascii="仿宋" w:hAnsi="仿宋" w:eastAsia="仿宋"/>
          <w:color w:val="FF0000"/>
        </w:rPr>
      </w:pPr>
      <w:r>
        <w:rPr>
          <w:rFonts w:hint="eastAsia" w:ascii="仿宋" w:hAnsi="仿宋" w:eastAsia="仿宋"/>
          <w:color w:val="FF0000"/>
        </w:rPr>
        <w:t>本条的评价方法为：设计评价查阅相关设计文件；运行评价查阅相关竣工图、分项计量记录，并现场核实。</w:t>
      </w:r>
    </w:p>
    <w:p>
      <w:pPr>
        <w:pStyle w:val="87"/>
        <w:ind w:firstLine="0" w:firstLineChars="0"/>
        <w:outlineLvl w:val="9"/>
        <w:rPr>
          <w:bCs/>
          <w:sz w:val="21"/>
          <w:szCs w:val="21"/>
        </w:rPr>
      </w:pPr>
    </w:p>
    <w:p>
      <w:pPr>
        <w:pStyle w:val="3"/>
        <w:numPr>
          <w:ilvl w:val="0"/>
          <w:numId w:val="0"/>
        </w:numPr>
        <w:spacing w:before="120" w:after="120" w:line="240" w:lineRule="auto"/>
        <w:ind w:left="482" w:hanging="481" w:hangingChars="200"/>
        <w:jc w:val="center"/>
        <w:rPr>
          <w:rFonts w:ascii="Times New Roman" w:hAnsi="Times New Roman"/>
        </w:rPr>
      </w:pPr>
      <w:bookmarkStart w:id="59" w:name="_Toc449111664"/>
      <w:r>
        <w:rPr>
          <w:rFonts w:ascii="Times New Roman" w:hAnsi="Times New Roman"/>
        </w:rPr>
        <w:t xml:space="preserve">7.2 </w:t>
      </w:r>
      <w:r>
        <w:rPr>
          <w:rFonts w:hint="eastAsia" w:ascii="Times New Roman" w:hAnsi="Times New Roman"/>
        </w:rPr>
        <w:t>评分项</w:t>
      </w:r>
      <w:bookmarkEnd w:id="59"/>
    </w:p>
    <w:p>
      <w:pPr>
        <w:pStyle w:val="87"/>
        <w:ind w:firstLine="0" w:firstLineChars="0"/>
        <w:jc w:val="center"/>
      </w:pPr>
      <w:bookmarkStart w:id="60" w:name="_Toc449111665"/>
      <w:r>
        <w:rPr>
          <w:rFonts w:ascii="宋体" w:hAnsi="宋体"/>
        </w:rPr>
        <w:t>Ⅰ</w:t>
      </w:r>
      <w:r>
        <w:rPr>
          <w:rFonts w:hint="eastAsia" w:ascii="宋体" w:hAnsi="宋体"/>
        </w:rPr>
        <w:t xml:space="preserve"> </w:t>
      </w:r>
      <w:r>
        <w:rPr>
          <w:rFonts w:hAnsi="宋体"/>
        </w:rPr>
        <w:t>建筑</w:t>
      </w:r>
      <w:r>
        <w:rPr>
          <w:rFonts w:hint="eastAsia" w:hAnsi="宋体"/>
        </w:rPr>
        <w:t>能耗指标（40）</w:t>
      </w:r>
      <w:bookmarkEnd w:id="60"/>
    </w:p>
    <w:p>
      <w:pPr>
        <w:pStyle w:val="87"/>
        <w:spacing w:line="360" w:lineRule="auto"/>
        <w:ind w:firstLine="0" w:firstLineChars="0"/>
        <w:outlineLvl w:val="9"/>
        <w:rPr>
          <w:bCs/>
        </w:rPr>
      </w:pPr>
      <w:r>
        <w:rPr>
          <w:rFonts w:hint="eastAsia"/>
          <w:b/>
          <w:bCs/>
        </w:rPr>
        <w:t>7</w:t>
      </w:r>
      <w:r>
        <w:rPr>
          <w:b/>
          <w:bCs/>
        </w:rPr>
        <w:t>.2.</w:t>
      </w:r>
      <w:r>
        <w:rPr>
          <w:rFonts w:hint="eastAsia"/>
          <w:b/>
          <w:bCs/>
        </w:rPr>
        <w:t>1</w:t>
      </w:r>
      <w:r>
        <w:rPr>
          <w:rFonts w:hAnsi="宋体"/>
          <w:bCs/>
        </w:rPr>
        <w:t>　</w:t>
      </w:r>
      <w:r>
        <w:rPr>
          <w:rFonts w:hint="eastAsia" w:hAnsi="宋体"/>
          <w:bCs/>
        </w:rPr>
        <w:t>建筑能耗指标优于现行有关国家、广东省和深圳市能耗限定值的要求，评价总分值为40分，</w:t>
      </w:r>
      <w:r>
        <w:rPr>
          <w:rFonts w:hAnsi="宋体"/>
          <w:bCs/>
        </w:rPr>
        <w:t>并按下列规则评分。</w:t>
      </w:r>
    </w:p>
    <w:p>
      <w:pPr>
        <w:jc w:val="center"/>
        <w:rPr>
          <w:b/>
        </w:rPr>
      </w:pPr>
      <w:r>
        <w:rPr>
          <w:rFonts w:hint="eastAsia"/>
          <w:b/>
        </w:rPr>
        <w:t>表7.2.1 建筑能耗指标降低幅度评分规则</w:t>
      </w:r>
    </w:p>
    <w:tbl>
      <w:tblPr>
        <w:tblStyle w:val="38"/>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40"/>
        <w:gridCol w:w="2841"/>
        <w:gridCol w:w="28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81" w:type="dxa"/>
            <w:gridSpan w:val="2"/>
            <w:vAlign w:val="top"/>
          </w:tcPr>
          <w:p>
            <w:pPr>
              <w:jc w:val="center"/>
              <w:rPr>
                <w:color w:val="000000"/>
                <w:szCs w:val="21"/>
              </w:rPr>
            </w:pPr>
            <w:r>
              <w:rPr>
                <w:rFonts w:hint="eastAsia"/>
              </w:rPr>
              <w:t>建筑能耗指标降低幅度</w:t>
            </w:r>
          </w:p>
        </w:tc>
        <w:tc>
          <w:tcPr>
            <w:tcW w:w="2841" w:type="dxa"/>
            <w:vMerge w:val="restart"/>
            <w:vAlign w:val="center"/>
          </w:tcPr>
          <w:p>
            <w:pPr>
              <w:jc w:val="center"/>
              <w:rPr>
                <w:color w:val="000000"/>
                <w:szCs w:val="21"/>
              </w:rPr>
            </w:pPr>
            <w:r>
              <w:rPr>
                <w:rFonts w:hint="eastAsia"/>
                <w:color w:val="000000"/>
                <w:szCs w:val="21"/>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jc w:val="center"/>
              <w:rPr>
                <w:color w:val="000000"/>
                <w:szCs w:val="21"/>
              </w:rPr>
            </w:pPr>
            <w:r>
              <w:rPr>
                <w:rFonts w:hint="eastAsia"/>
                <w:color w:val="000000"/>
                <w:szCs w:val="21"/>
              </w:rPr>
              <w:t>居住建筑</w:t>
            </w:r>
          </w:p>
        </w:tc>
        <w:tc>
          <w:tcPr>
            <w:tcW w:w="2841" w:type="dxa"/>
            <w:vAlign w:val="top"/>
          </w:tcPr>
          <w:p>
            <w:pPr>
              <w:jc w:val="center"/>
              <w:rPr>
                <w:color w:val="000000"/>
                <w:szCs w:val="21"/>
              </w:rPr>
            </w:pPr>
            <w:r>
              <w:rPr>
                <w:rFonts w:hint="eastAsia"/>
                <w:color w:val="000000"/>
                <w:szCs w:val="21"/>
              </w:rPr>
              <w:t>公共建筑</w:t>
            </w:r>
          </w:p>
        </w:tc>
        <w:tc>
          <w:tcPr>
            <w:tcW w:w="2841" w:type="dxa"/>
            <w:vMerge w:val="continue"/>
            <w:vAlign w:val="top"/>
          </w:tcPr>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jc w:val="center"/>
              <w:rPr>
                <w:color w:val="000000"/>
                <w:szCs w:val="21"/>
              </w:rPr>
            </w:pPr>
            <w:r>
              <w:rPr>
                <w:rFonts w:hint="eastAsia"/>
                <w:color w:val="000000"/>
                <w:szCs w:val="21"/>
              </w:rPr>
              <w:t>3%</w:t>
            </w:r>
          </w:p>
        </w:tc>
        <w:tc>
          <w:tcPr>
            <w:tcW w:w="2841" w:type="dxa"/>
            <w:vAlign w:val="top"/>
          </w:tcPr>
          <w:p>
            <w:pPr>
              <w:jc w:val="center"/>
              <w:rPr>
                <w:color w:val="000000"/>
                <w:szCs w:val="21"/>
              </w:rPr>
            </w:pPr>
            <w:r>
              <w:rPr>
                <w:rFonts w:hint="eastAsia"/>
                <w:color w:val="000000"/>
                <w:szCs w:val="21"/>
              </w:rPr>
              <w:t>2%</w:t>
            </w:r>
          </w:p>
        </w:tc>
        <w:tc>
          <w:tcPr>
            <w:tcW w:w="2841" w:type="dxa"/>
            <w:vAlign w:val="top"/>
          </w:tcPr>
          <w:p>
            <w:pPr>
              <w:jc w:val="center"/>
              <w:rPr>
                <w:color w:val="000000"/>
                <w:szCs w:val="21"/>
              </w:rPr>
            </w:pPr>
            <w:r>
              <w:rPr>
                <w:rFonts w:hint="eastAsia"/>
                <w:color w:val="000000"/>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840" w:type="dxa"/>
            <w:vAlign w:val="top"/>
          </w:tcPr>
          <w:p>
            <w:pPr>
              <w:jc w:val="center"/>
              <w:rPr>
                <w:color w:val="000000"/>
                <w:szCs w:val="21"/>
              </w:rPr>
            </w:pPr>
            <w:r>
              <w:rPr>
                <w:rFonts w:hint="eastAsia"/>
                <w:color w:val="000000"/>
                <w:szCs w:val="21"/>
              </w:rPr>
              <w:t>6%</w:t>
            </w:r>
          </w:p>
        </w:tc>
        <w:tc>
          <w:tcPr>
            <w:tcW w:w="2841" w:type="dxa"/>
            <w:vAlign w:val="top"/>
          </w:tcPr>
          <w:p>
            <w:pPr>
              <w:jc w:val="center"/>
              <w:rPr>
                <w:color w:val="000000"/>
                <w:szCs w:val="21"/>
              </w:rPr>
            </w:pPr>
            <w:r>
              <w:rPr>
                <w:rFonts w:hint="eastAsia"/>
                <w:color w:val="000000"/>
                <w:szCs w:val="21"/>
              </w:rPr>
              <w:t>4%</w:t>
            </w:r>
          </w:p>
        </w:tc>
        <w:tc>
          <w:tcPr>
            <w:tcW w:w="2841" w:type="dxa"/>
            <w:vAlign w:val="top"/>
          </w:tcPr>
          <w:p>
            <w:pPr>
              <w:jc w:val="center"/>
              <w:rPr>
                <w:color w:val="000000"/>
                <w:szCs w:val="21"/>
              </w:rPr>
            </w:pPr>
            <w:r>
              <w:rPr>
                <w:rFonts w:hint="eastAsia"/>
                <w:color w:val="000000"/>
                <w:szCs w:val="21"/>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jc w:val="center"/>
              <w:rPr>
                <w:color w:val="000000"/>
                <w:szCs w:val="21"/>
              </w:rPr>
            </w:pPr>
            <w:r>
              <w:rPr>
                <w:rFonts w:hint="eastAsia"/>
                <w:color w:val="000000"/>
                <w:szCs w:val="21"/>
              </w:rPr>
              <w:t>9%</w:t>
            </w:r>
          </w:p>
        </w:tc>
        <w:tc>
          <w:tcPr>
            <w:tcW w:w="2841" w:type="dxa"/>
            <w:vAlign w:val="top"/>
          </w:tcPr>
          <w:p>
            <w:pPr>
              <w:jc w:val="center"/>
              <w:rPr>
                <w:color w:val="000000"/>
                <w:szCs w:val="21"/>
              </w:rPr>
            </w:pPr>
            <w:r>
              <w:rPr>
                <w:rFonts w:hint="eastAsia"/>
                <w:color w:val="000000"/>
                <w:szCs w:val="21"/>
              </w:rPr>
              <w:t>6%</w:t>
            </w:r>
          </w:p>
        </w:tc>
        <w:tc>
          <w:tcPr>
            <w:tcW w:w="2841" w:type="dxa"/>
            <w:vAlign w:val="top"/>
          </w:tcPr>
          <w:p>
            <w:pPr>
              <w:jc w:val="center"/>
              <w:rPr>
                <w:color w:val="000000"/>
                <w:szCs w:val="21"/>
              </w:rPr>
            </w:pPr>
            <w:r>
              <w:rPr>
                <w:rFonts w:hint="eastAsia"/>
                <w:color w:val="000000"/>
                <w:szCs w:val="21"/>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jc w:val="center"/>
              <w:rPr>
                <w:color w:val="000000"/>
                <w:szCs w:val="21"/>
              </w:rPr>
            </w:pPr>
            <w:r>
              <w:rPr>
                <w:rFonts w:hint="eastAsia"/>
                <w:color w:val="000000"/>
                <w:szCs w:val="21"/>
              </w:rPr>
              <w:t>12%</w:t>
            </w:r>
          </w:p>
        </w:tc>
        <w:tc>
          <w:tcPr>
            <w:tcW w:w="2841" w:type="dxa"/>
            <w:vAlign w:val="top"/>
          </w:tcPr>
          <w:p>
            <w:pPr>
              <w:jc w:val="center"/>
              <w:rPr>
                <w:color w:val="000000"/>
                <w:szCs w:val="21"/>
              </w:rPr>
            </w:pPr>
            <w:r>
              <w:rPr>
                <w:rFonts w:hint="eastAsia"/>
                <w:color w:val="000000"/>
                <w:szCs w:val="21"/>
              </w:rPr>
              <w:t>8%</w:t>
            </w:r>
          </w:p>
        </w:tc>
        <w:tc>
          <w:tcPr>
            <w:tcW w:w="2841" w:type="dxa"/>
            <w:vAlign w:val="top"/>
          </w:tcPr>
          <w:p>
            <w:pPr>
              <w:jc w:val="center"/>
              <w:rPr>
                <w:color w:val="000000"/>
                <w:szCs w:val="21"/>
              </w:rPr>
            </w:pPr>
            <w:r>
              <w:rPr>
                <w:rFonts w:hint="eastAsia"/>
                <w:color w:val="000000"/>
                <w:szCs w:val="21"/>
              </w:rPr>
              <w:t>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jc w:val="center"/>
              <w:rPr>
                <w:color w:val="000000"/>
                <w:szCs w:val="21"/>
              </w:rPr>
            </w:pPr>
            <w:r>
              <w:rPr>
                <w:rFonts w:hint="eastAsia"/>
                <w:color w:val="000000"/>
                <w:szCs w:val="21"/>
              </w:rPr>
              <w:t>15%</w:t>
            </w:r>
          </w:p>
        </w:tc>
        <w:tc>
          <w:tcPr>
            <w:tcW w:w="2841" w:type="dxa"/>
            <w:vAlign w:val="top"/>
          </w:tcPr>
          <w:p>
            <w:pPr>
              <w:jc w:val="center"/>
              <w:rPr>
                <w:szCs w:val="21"/>
              </w:rPr>
            </w:pPr>
            <w:r>
              <w:rPr>
                <w:rFonts w:hint="eastAsia"/>
                <w:szCs w:val="21"/>
              </w:rPr>
              <w:t>10%</w:t>
            </w:r>
          </w:p>
        </w:tc>
        <w:tc>
          <w:tcPr>
            <w:tcW w:w="2841" w:type="dxa"/>
            <w:vAlign w:val="top"/>
          </w:tcPr>
          <w:p>
            <w:pPr>
              <w:jc w:val="center"/>
              <w:rPr>
                <w:color w:val="000000"/>
                <w:szCs w:val="21"/>
              </w:rPr>
            </w:pPr>
            <w:r>
              <w:rPr>
                <w:rFonts w:hint="eastAsia"/>
                <w:color w:val="000000"/>
                <w:szCs w:val="21"/>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840" w:type="dxa"/>
            <w:vAlign w:val="top"/>
          </w:tcPr>
          <w:p>
            <w:pPr>
              <w:jc w:val="center"/>
              <w:rPr>
                <w:color w:val="000000"/>
                <w:szCs w:val="21"/>
              </w:rPr>
            </w:pPr>
            <w:r>
              <w:rPr>
                <w:rFonts w:hint="eastAsia"/>
                <w:color w:val="000000"/>
                <w:szCs w:val="21"/>
              </w:rPr>
              <w:t>18%</w:t>
            </w:r>
          </w:p>
        </w:tc>
        <w:tc>
          <w:tcPr>
            <w:tcW w:w="2841" w:type="dxa"/>
            <w:vAlign w:val="top"/>
          </w:tcPr>
          <w:p>
            <w:pPr>
              <w:jc w:val="center"/>
              <w:rPr>
                <w:szCs w:val="21"/>
              </w:rPr>
            </w:pPr>
            <w:r>
              <w:rPr>
                <w:rFonts w:hint="eastAsia"/>
                <w:szCs w:val="21"/>
              </w:rPr>
              <w:t>12%</w:t>
            </w:r>
          </w:p>
        </w:tc>
        <w:tc>
          <w:tcPr>
            <w:tcW w:w="2841" w:type="dxa"/>
            <w:vAlign w:val="top"/>
          </w:tcPr>
          <w:p>
            <w:pPr>
              <w:jc w:val="center"/>
              <w:rPr>
                <w:color w:val="000000"/>
                <w:szCs w:val="21"/>
              </w:rPr>
            </w:pPr>
            <w:r>
              <w:rPr>
                <w:rFonts w:hint="eastAsia"/>
                <w:color w:val="000000"/>
                <w:szCs w:val="21"/>
              </w:rPr>
              <w:t>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jc w:val="center"/>
              <w:rPr>
                <w:color w:val="000000"/>
                <w:szCs w:val="21"/>
              </w:rPr>
            </w:pPr>
            <w:r>
              <w:rPr>
                <w:rFonts w:hint="eastAsia"/>
                <w:color w:val="000000"/>
                <w:szCs w:val="21"/>
              </w:rPr>
              <w:t>21%</w:t>
            </w:r>
          </w:p>
        </w:tc>
        <w:tc>
          <w:tcPr>
            <w:tcW w:w="2841" w:type="dxa"/>
            <w:vAlign w:val="top"/>
          </w:tcPr>
          <w:p>
            <w:pPr>
              <w:jc w:val="center"/>
              <w:rPr>
                <w:szCs w:val="21"/>
              </w:rPr>
            </w:pPr>
            <w:r>
              <w:rPr>
                <w:rFonts w:hint="eastAsia"/>
                <w:szCs w:val="21"/>
              </w:rPr>
              <w:t>14%</w:t>
            </w:r>
          </w:p>
        </w:tc>
        <w:tc>
          <w:tcPr>
            <w:tcW w:w="2841" w:type="dxa"/>
            <w:vAlign w:val="top"/>
          </w:tcPr>
          <w:p>
            <w:pPr>
              <w:jc w:val="center"/>
              <w:rPr>
                <w:color w:val="000000"/>
                <w:szCs w:val="21"/>
              </w:rPr>
            </w:pPr>
            <w:r>
              <w:rPr>
                <w:rFonts w:hint="eastAsia"/>
                <w:color w:val="000000"/>
                <w:szCs w:val="21"/>
              </w:rPr>
              <w:t>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jc w:val="center"/>
              <w:rPr>
                <w:color w:val="000000"/>
                <w:szCs w:val="21"/>
              </w:rPr>
            </w:pPr>
            <w:r>
              <w:rPr>
                <w:rFonts w:hint="eastAsia"/>
                <w:color w:val="000000"/>
                <w:szCs w:val="21"/>
              </w:rPr>
              <w:t>24%</w:t>
            </w:r>
          </w:p>
        </w:tc>
        <w:tc>
          <w:tcPr>
            <w:tcW w:w="2841" w:type="dxa"/>
            <w:vAlign w:val="top"/>
          </w:tcPr>
          <w:p>
            <w:pPr>
              <w:jc w:val="center"/>
              <w:rPr>
                <w:szCs w:val="21"/>
              </w:rPr>
            </w:pPr>
            <w:r>
              <w:rPr>
                <w:rFonts w:hint="eastAsia"/>
                <w:szCs w:val="21"/>
              </w:rPr>
              <w:t>16%</w:t>
            </w:r>
          </w:p>
        </w:tc>
        <w:tc>
          <w:tcPr>
            <w:tcW w:w="2841" w:type="dxa"/>
            <w:vAlign w:val="top"/>
          </w:tcPr>
          <w:p>
            <w:pPr>
              <w:jc w:val="center"/>
              <w:rPr>
                <w:color w:val="000000"/>
                <w:szCs w:val="21"/>
              </w:rPr>
            </w:pPr>
            <w:r>
              <w:rPr>
                <w:rFonts w:hint="eastAsia"/>
                <w:color w:val="000000"/>
                <w:szCs w:val="21"/>
              </w:rPr>
              <w:t>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jc w:val="center"/>
              <w:rPr>
                <w:color w:val="000000"/>
                <w:szCs w:val="21"/>
              </w:rPr>
            </w:pPr>
            <w:r>
              <w:rPr>
                <w:rFonts w:hint="eastAsia"/>
                <w:color w:val="000000"/>
                <w:szCs w:val="21"/>
              </w:rPr>
              <w:t>27%</w:t>
            </w:r>
          </w:p>
        </w:tc>
        <w:tc>
          <w:tcPr>
            <w:tcW w:w="2841" w:type="dxa"/>
            <w:vAlign w:val="top"/>
          </w:tcPr>
          <w:p>
            <w:pPr>
              <w:jc w:val="center"/>
              <w:rPr>
                <w:szCs w:val="21"/>
              </w:rPr>
            </w:pPr>
            <w:r>
              <w:rPr>
                <w:rFonts w:hint="eastAsia"/>
                <w:szCs w:val="21"/>
              </w:rPr>
              <w:t>18%</w:t>
            </w:r>
          </w:p>
        </w:tc>
        <w:tc>
          <w:tcPr>
            <w:tcW w:w="2841" w:type="dxa"/>
            <w:vAlign w:val="top"/>
          </w:tcPr>
          <w:p>
            <w:pPr>
              <w:jc w:val="center"/>
              <w:rPr>
                <w:color w:val="000000"/>
                <w:szCs w:val="21"/>
              </w:rPr>
            </w:pPr>
            <w:r>
              <w:rPr>
                <w:rFonts w:hint="eastAsia"/>
                <w:color w:val="000000"/>
                <w:szCs w:val="21"/>
              </w:rPr>
              <w:t>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840" w:type="dxa"/>
            <w:vAlign w:val="top"/>
          </w:tcPr>
          <w:p>
            <w:pPr>
              <w:jc w:val="center"/>
              <w:rPr>
                <w:color w:val="000000"/>
                <w:szCs w:val="21"/>
              </w:rPr>
            </w:pPr>
            <w:r>
              <w:rPr>
                <w:rFonts w:hint="eastAsia"/>
                <w:color w:val="000000"/>
                <w:szCs w:val="21"/>
              </w:rPr>
              <w:t>30%</w:t>
            </w:r>
          </w:p>
        </w:tc>
        <w:tc>
          <w:tcPr>
            <w:tcW w:w="2841" w:type="dxa"/>
            <w:vAlign w:val="top"/>
          </w:tcPr>
          <w:p>
            <w:pPr>
              <w:jc w:val="center"/>
              <w:rPr>
                <w:szCs w:val="21"/>
              </w:rPr>
            </w:pPr>
            <w:r>
              <w:rPr>
                <w:rFonts w:hint="eastAsia"/>
                <w:szCs w:val="21"/>
              </w:rPr>
              <w:t>20%</w:t>
            </w:r>
          </w:p>
        </w:tc>
        <w:tc>
          <w:tcPr>
            <w:tcW w:w="2841" w:type="dxa"/>
            <w:vAlign w:val="top"/>
          </w:tcPr>
          <w:p>
            <w:pPr>
              <w:jc w:val="center"/>
              <w:rPr>
                <w:color w:val="000000"/>
                <w:szCs w:val="21"/>
              </w:rPr>
            </w:pPr>
            <w:r>
              <w:rPr>
                <w:rFonts w:hint="eastAsia"/>
                <w:color w:val="000000"/>
                <w:szCs w:val="21"/>
              </w:rPr>
              <w:t>40</w:t>
            </w:r>
          </w:p>
        </w:tc>
      </w:tr>
    </w:tbl>
    <w:p>
      <w:pPr>
        <w:pStyle w:val="87"/>
        <w:spacing w:line="360" w:lineRule="auto"/>
        <w:ind w:firstLine="0" w:firstLineChars="0"/>
        <w:outlineLvl w:val="9"/>
        <w:rPr>
          <w:rFonts w:ascii="仿宋" w:hAnsi="仿宋" w:eastAsia="仿宋"/>
          <w:color w:val="FF0000"/>
        </w:rPr>
      </w:pPr>
      <w:r>
        <w:rPr>
          <w:rFonts w:hint="eastAsia" w:ascii="仿宋" w:hAnsi="仿宋" w:eastAsia="仿宋"/>
          <w:color w:val="FF0000"/>
        </w:rPr>
        <w:t>【条文说明】：本条文为新增条文，将国标节能与能源利用中涉及能够综合的条文合并在一起，如5.2.3/5.2.4/5.2.5/5.2.6/5.2.10条文。《生态文明体制改革总体方案》、《能源发展战略行动计划（2014-2020年）》、《党中央关于“十三五”规划建议的说明》均提出要对能源消耗总量进行目标控制，深圳市也已经发布了办公建筑、商场建筑和酒店建筑的能耗限额标准。《建筑能耗标准》（报批阶段）明确了不同气候区域公共建筑和居住建筑能耗限额标准，广东省也编制了《广东省公共建筑能耗限额标准》和《广东省城市规划建设用电约束性指标编制技术导则》，《广东省建筑、电力、钢铁、石化、水泥行业固定资产投资项目能评对标准入值》对各种建筑类型能耗限额值和引导值进行了明确规定。采用建筑能耗综合指标，是体现建筑节能结果而不强调节能技术措施，国外的绿色建筑评价体系均采用建筑能耗综合指标进行节能的评价。</w:t>
      </w:r>
      <w:bookmarkStart w:id="61" w:name="OLE_LINK34"/>
      <w:bookmarkStart w:id="62" w:name="OLE_LINK35"/>
      <w:r>
        <w:rPr>
          <w:rFonts w:hint="eastAsia" w:ascii="仿宋" w:hAnsi="仿宋" w:eastAsia="仿宋"/>
          <w:color w:val="FF0000"/>
        </w:rPr>
        <w:t>根据相关统计，建筑工业化可以降低23%的施工能耗，装配率不低于30%，附加2分；装配率不低于50%且预制率不低于15%，附加4分；对于钢结构建筑，装配率不低于30%，附加2分；装配率不低于50%，附加4分。</w:t>
      </w:r>
      <w:bookmarkEnd w:id="61"/>
      <w:bookmarkEnd w:id="62"/>
    </w:p>
    <w:p>
      <w:pPr>
        <w:pStyle w:val="87"/>
        <w:spacing w:line="360" w:lineRule="auto"/>
        <w:ind w:firstLine="0" w:firstLineChars="0"/>
        <w:outlineLvl w:val="9"/>
        <w:rPr>
          <w:rFonts w:ascii="仿宋" w:hAnsi="仿宋" w:eastAsia="仿宋"/>
          <w:color w:val="FF0000"/>
        </w:rPr>
      </w:pPr>
      <w:r>
        <w:rPr>
          <w:rFonts w:hint="eastAsia" w:ascii="仿宋" w:hAnsi="仿宋" w:eastAsia="仿宋"/>
          <w:color w:val="FF0000"/>
        </w:rPr>
        <w:t>建筑基准能耗的选择，办公建筑（国家机关办公建筑、非国家机关办公建筑），宾馆酒店建筑（三星级及以下，四星级和五星级），商场建筑（百货店，购物中心，大型超市，家居建材/电子市场，餐饮店，一般商铺），公共建筑中机动停车库等参照《深圳市公共建筑能耗限额标准》（征求意见稿）的要求，其他建筑类型按照满足现行节能设计标准的参照建筑计算能耗为基准。建筑计算能耗包括围护结构、空调和照明系统，不包括室内设备、电梯、特殊等能耗。</w:t>
      </w:r>
    </w:p>
    <w:p/>
    <w:p>
      <w:pPr>
        <w:pStyle w:val="87"/>
        <w:ind w:firstLine="0" w:firstLineChars="0"/>
        <w:jc w:val="center"/>
      </w:pPr>
      <w:bookmarkStart w:id="63" w:name="_Toc349912327"/>
      <w:bookmarkStart w:id="64" w:name="_Toc449111666"/>
      <w:r>
        <w:rPr>
          <w:rFonts w:hint="eastAsia" w:ascii="宋体" w:hAnsi="宋体"/>
        </w:rPr>
        <w:t xml:space="preserve">Ⅱ </w:t>
      </w:r>
      <w:r>
        <w:rPr>
          <w:rFonts w:hAnsi="宋体"/>
        </w:rPr>
        <w:t>建筑与围护结构</w:t>
      </w:r>
      <w:bookmarkEnd w:id="63"/>
      <w:r>
        <w:rPr>
          <w:rFonts w:hint="eastAsia" w:hAnsi="宋体"/>
        </w:rPr>
        <w:t>（12）</w:t>
      </w:r>
      <w:bookmarkEnd w:id="64"/>
    </w:p>
    <w:p>
      <w:pPr>
        <w:pStyle w:val="87"/>
        <w:spacing w:line="360" w:lineRule="auto"/>
        <w:ind w:firstLine="0" w:firstLineChars="0"/>
        <w:outlineLvl w:val="9"/>
        <w:rPr>
          <w:bCs/>
        </w:rPr>
      </w:pPr>
      <w:r>
        <w:rPr>
          <w:rFonts w:hint="eastAsia"/>
          <w:b/>
          <w:bCs/>
        </w:rPr>
        <w:t>7</w:t>
      </w:r>
      <w:r>
        <w:rPr>
          <w:b/>
          <w:bCs/>
        </w:rPr>
        <w:t>.2.</w:t>
      </w:r>
      <w:r>
        <w:rPr>
          <w:rFonts w:hint="eastAsia"/>
          <w:b/>
          <w:bCs/>
        </w:rPr>
        <w:t>2</w:t>
      </w:r>
      <w:r>
        <w:rPr>
          <w:rFonts w:hAnsi="宋体"/>
          <w:bCs/>
        </w:rPr>
        <w:t>　结合场地自然条件，对建筑的体形、朝向、楼距、窗墙比等进行优化设计，评价分值为</w:t>
      </w:r>
      <w:r>
        <w:rPr>
          <w:bCs/>
        </w:rPr>
        <w:t>6</w:t>
      </w:r>
      <w:r>
        <w:rPr>
          <w:rFonts w:hAnsi="宋体"/>
          <w:bCs/>
        </w:rPr>
        <w:t>分。</w:t>
      </w:r>
    </w:p>
    <w:p>
      <w:pPr>
        <w:pStyle w:val="87"/>
        <w:spacing w:line="360" w:lineRule="auto"/>
        <w:ind w:firstLine="0" w:firstLineChars="0"/>
        <w:outlineLvl w:val="9"/>
        <w:rPr>
          <w:rFonts w:ascii="仿宋" w:hAnsi="仿宋" w:eastAsia="仿宋"/>
          <w:color w:val="FF0000"/>
        </w:rPr>
      </w:pPr>
      <w:r>
        <w:rPr>
          <w:rFonts w:hint="eastAsia" w:ascii="仿宋" w:hAnsi="仿宋" w:eastAsia="仿宋"/>
          <w:color w:val="FF0000"/>
        </w:rPr>
        <w:t>【条文说明】与国家标准要求基本一致。建筑的体形、朝向、窗墙比、楼距以及楼群的布置都对通风、日照、采光以及遮阳有明显的影响，因而也间接影响建筑的供暖和空调能耗以及建筑室内环境的舒适性，应该给予足够的重视。本条所指优化设计包括体形、朝向、楼距、窗墙比等。如果建筑的体形简单、朝向接近正南正北，楼间距、窗墙比也满足标准要求，可视为设计合理，本条直接得6 分。体形等复杂时，应对体形、朝向、楼距、窗墙比等进行综合性优化设计。对于公共建筑，如果经过优化之后的建筑窗墙比都低于0.5，本条直接得6 分。</w:t>
      </w:r>
    </w:p>
    <w:p>
      <w:pPr>
        <w:pStyle w:val="87"/>
        <w:spacing w:line="360" w:lineRule="auto"/>
        <w:ind w:firstLine="0" w:firstLineChars="0"/>
        <w:outlineLvl w:val="9"/>
        <w:rPr>
          <w:rFonts w:ascii="仿宋" w:hAnsi="仿宋" w:eastAsia="仿宋"/>
          <w:color w:val="FF0000"/>
        </w:rPr>
      </w:pPr>
      <w:r>
        <w:rPr>
          <w:rFonts w:hint="eastAsia" w:ascii="仿宋" w:hAnsi="仿宋" w:eastAsia="仿宋"/>
          <w:color w:val="FF0000"/>
        </w:rPr>
        <w:t>本条的评价方法为：设计评价查阅相关设计文件、优化设计报告；运行评价査阅相关竣工图、优化设计报告，并现场核实。</w:t>
      </w:r>
    </w:p>
    <w:p>
      <w:pPr>
        <w:tabs>
          <w:tab w:val="left" w:pos="3560"/>
        </w:tabs>
        <w:spacing w:line="360" w:lineRule="auto"/>
        <w:jc w:val="left"/>
        <w:rPr>
          <w:color w:val="000000"/>
          <w:sz w:val="24"/>
        </w:rPr>
      </w:pPr>
    </w:p>
    <w:p>
      <w:pPr>
        <w:pStyle w:val="87"/>
        <w:spacing w:line="360" w:lineRule="auto"/>
        <w:ind w:firstLine="0" w:firstLineChars="0"/>
        <w:outlineLvl w:val="9"/>
        <w:rPr>
          <w:bCs/>
        </w:rPr>
      </w:pPr>
      <w:r>
        <w:rPr>
          <w:rFonts w:hint="eastAsia"/>
          <w:b/>
          <w:bCs/>
        </w:rPr>
        <w:t>7</w:t>
      </w:r>
      <w:r>
        <w:rPr>
          <w:b/>
          <w:bCs/>
        </w:rPr>
        <w:t>.2.</w:t>
      </w:r>
      <w:r>
        <w:rPr>
          <w:rFonts w:hint="eastAsia"/>
          <w:b/>
          <w:bCs/>
        </w:rPr>
        <w:t>3</w:t>
      </w:r>
      <w:r>
        <w:rPr>
          <w:rFonts w:hAnsi="宋体"/>
          <w:bCs/>
        </w:rPr>
        <w:t>　外窗、玻璃幕墙的可开启部分能使建筑获得良好的通风。评价总分值为</w:t>
      </w:r>
      <w:r>
        <w:rPr>
          <w:bCs/>
        </w:rPr>
        <w:t>6</w:t>
      </w:r>
      <w:r>
        <w:rPr>
          <w:rFonts w:hAnsi="宋体"/>
          <w:bCs/>
        </w:rPr>
        <w:t>分，并按下列规则评分：</w:t>
      </w:r>
    </w:p>
    <w:p>
      <w:pPr>
        <w:autoSpaceDE w:val="0"/>
        <w:autoSpaceDN w:val="0"/>
        <w:adjustRightInd w:val="0"/>
        <w:spacing w:line="360" w:lineRule="auto"/>
        <w:ind w:firstLine="481" w:firstLineChars="200"/>
        <w:jc w:val="left"/>
        <w:rPr>
          <w:kern w:val="0"/>
          <w:sz w:val="24"/>
        </w:rPr>
      </w:pPr>
      <w:r>
        <w:rPr>
          <w:b/>
          <w:bCs/>
          <w:sz w:val="24"/>
        </w:rPr>
        <w:t>1</w:t>
      </w:r>
      <w:r>
        <w:rPr>
          <w:bCs/>
          <w:sz w:val="24"/>
        </w:rPr>
        <w:t xml:space="preserve">  </w:t>
      </w:r>
      <w:r>
        <w:rPr>
          <w:rFonts w:hint="eastAsia" w:hAnsi="宋体"/>
          <w:kern w:val="0"/>
          <w:sz w:val="24"/>
        </w:rPr>
        <w:t>设玻璃幕墙且不设外窗的</w:t>
      </w:r>
      <w:r>
        <w:rPr>
          <w:rFonts w:hAnsi="宋体"/>
          <w:kern w:val="0"/>
          <w:sz w:val="24"/>
        </w:rPr>
        <w:t>建筑，</w:t>
      </w:r>
      <w:r>
        <w:rPr>
          <w:rFonts w:hint="eastAsia" w:hAnsi="宋体"/>
          <w:kern w:val="0"/>
          <w:sz w:val="24"/>
        </w:rPr>
        <w:t>其玻璃幕墙透明部分有效通风面积比例达到10%</w:t>
      </w:r>
      <w:r>
        <w:rPr>
          <w:rFonts w:hAnsi="宋体"/>
          <w:kern w:val="0"/>
          <w:sz w:val="24"/>
        </w:rPr>
        <w:t>，</w:t>
      </w:r>
      <w:r>
        <w:rPr>
          <w:rFonts w:hint="eastAsia" w:hAnsi="宋体"/>
          <w:kern w:val="0"/>
          <w:sz w:val="24"/>
        </w:rPr>
        <w:t>得4分；达到15%，得6分</w:t>
      </w:r>
      <w:r>
        <w:rPr>
          <w:rFonts w:hAnsi="宋体"/>
          <w:kern w:val="0"/>
          <w:sz w:val="24"/>
        </w:rPr>
        <w:t>；</w:t>
      </w:r>
    </w:p>
    <w:p>
      <w:pPr>
        <w:autoSpaceDE w:val="0"/>
        <w:autoSpaceDN w:val="0"/>
        <w:adjustRightInd w:val="0"/>
        <w:spacing w:line="360" w:lineRule="auto"/>
        <w:ind w:firstLine="481" w:firstLineChars="200"/>
        <w:jc w:val="left"/>
        <w:rPr>
          <w:rFonts w:hAnsi="宋体"/>
          <w:kern w:val="0"/>
          <w:sz w:val="24"/>
        </w:rPr>
      </w:pPr>
      <w:r>
        <w:rPr>
          <w:b/>
          <w:kern w:val="0"/>
          <w:sz w:val="24"/>
        </w:rPr>
        <w:t>2</w:t>
      </w:r>
      <w:r>
        <w:rPr>
          <w:kern w:val="0"/>
          <w:sz w:val="24"/>
        </w:rPr>
        <w:t xml:space="preserve">  </w:t>
      </w:r>
      <w:r>
        <w:rPr>
          <w:rFonts w:hint="eastAsia" w:hAnsi="宋体"/>
          <w:kern w:val="0"/>
          <w:sz w:val="24"/>
        </w:rPr>
        <w:t>设外窗且不设玻璃幕墙的建筑，外窗有效通风面积比例达到30%，得4分；达到35%，得6分</w:t>
      </w:r>
      <w:r>
        <w:rPr>
          <w:rFonts w:hAnsi="宋体"/>
          <w:kern w:val="0"/>
          <w:sz w:val="24"/>
        </w:rPr>
        <w:t>；</w:t>
      </w:r>
    </w:p>
    <w:p>
      <w:pPr>
        <w:autoSpaceDE w:val="0"/>
        <w:autoSpaceDN w:val="0"/>
        <w:adjustRightInd w:val="0"/>
        <w:spacing w:line="360" w:lineRule="auto"/>
        <w:ind w:firstLine="480" w:firstLineChars="200"/>
        <w:jc w:val="left"/>
        <w:rPr>
          <w:rFonts w:hAnsi="宋体"/>
          <w:kern w:val="0"/>
          <w:sz w:val="24"/>
        </w:rPr>
      </w:pPr>
      <w:r>
        <w:rPr>
          <w:rFonts w:hint="eastAsia" w:hAnsi="宋体"/>
          <w:kern w:val="0"/>
          <w:sz w:val="24"/>
        </w:rPr>
        <w:t>3  设玻璃幕墙和外窗的建筑，对其玻璃幕墙透明部分和外窗分别按本条第 1 款和第 2 款进行评价，得分取两项得分的平均值；</w:t>
      </w:r>
    </w:p>
    <w:p>
      <w:pPr>
        <w:autoSpaceDE w:val="0"/>
        <w:autoSpaceDN w:val="0"/>
        <w:adjustRightInd w:val="0"/>
        <w:spacing w:line="360" w:lineRule="auto"/>
        <w:ind w:firstLine="480" w:firstLineChars="200"/>
        <w:jc w:val="left"/>
        <w:rPr>
          <w:kern w:val="0"/>
          <w:sz w:val="24"/>
        </w:rPr>
      </w:pPr>
      <w:r>
        <w:rPr>
          <w:rFonts w:hint="eastAsia" w:hAnsi="宋体"/>
          <w:kern w:val="0"/>
          <w:sz w:val="24"/>
        </w:rPr>
        <w:t>4  采用与外窗和透明幕墙部分可开启同等效果的通风器，可以按以上条款进行得分。</w:t>
      </w:r>
    </w:p>
    <w:p>
      <w:pPr>
        <w:pStyle w:val="87"/>
        <w:spacing w:line="360" w:lineRule="auto"/>
        <w:ind w:firstLine="0" w:firstLineChars="0"/>
        <w:outlineLvl w:val="9"/>
        <w:rPr>
          <w:rFonts w:ascii="仿宋" w:hAnsi="仿宋" w:eastAsia="仿宋"/>
          <w:color w:val="FF0000"/>
        </w:rPr>
      </w:pPr>
      <w:r>
        <w:rPr>
          <w:rFonts w:hint="eastAsia" w:ascii="仿宋" w:hAnsi="仿宋" w:eastAsia="仿宋"/>
          <w:color w:val="FF0000"/>
        </w:rPr>
        <w:t>【条文说明】相对国家标准，本条参照《公共建筑节能设计标准深圳市实施细则》SZJG29-2009、《夏热冬暖地区居住建筑节能设计标准》JGJ75-2012、《公共建筑节能设计标准》GB50189-2015进行相关调整。由于外窗和透明幕墙的开启方式有推拉、平开、外上悬、内上悬、中悬等，采用有效通风面积进行衡量外窗和透明幕墙开启对通风的贡献。另外在深圳地区，不少的公共建筑甚至超高层建筑，采取通风器来替代外窗和幕墙的开启部分，且有较好的效果，但此类通风器不能完全按照开启面积进行判断，只要其通风效果能够达到相应外窗和幕墙可开启部分的要求，可以按照相关条款进行得分。</w:t>
      </w:r>
    </w:p>
    <w:p>
      <w:pPr>
        <w:tabs>
          <w:tab w:val="left" w:pos="3560"/>
        </w:tabs>
        <w:spacing w:line="360" w:lineRule="auto"/>
        <w:jc w:val="left"/>
        <w:rPr>
          <w:color w:val="000000"/>
          <w:sz w:val="24"/>
        </w:rPr>
      </w:pPr>
    </w:p>
    <w:p>
      <w:pPr>
        <w:pStyle w:val="87"/>
        <w:ind w:firstLine="0" w:firstLineChars="0"/>
        <w:jc w:val="center"/>
      </w:pPr>
      <w:bookmarkStart w:id="65" w:name="_Toc449111667"/>
      <w:r>
        <w:rPr>
          <w:rFonts w:hint="eastAsia" w:ascii="宋体" w:hAnsi="宋体"/>
        </w:rPr>
        <w:t xml:space="preserve">Ⅲ </w:t>
      </w:r>
      <w:r>
        <w:rPr>
          <w:rFonts w:hint="eastAsia" w:hAnsi="宋体"/>
        </w:rPr>
        <w:t>通风与空调（11）</w:t>
      </w:r>
      <w:bookmarkEnd w:id="65"/>
    </w:p>
    <w:p>
      <w:pPr>
        <w:tabs>
          <w:tab w:val="left" w:pos="3560"/>
        </w:tabs>
        <w:spacing w:line="360" w:lineRule="auto"/>
        <w:jc w:val="left"/>
        <w:rPr>
          <w:color w:val="000000"/>
          <w:sz w:val="24"/>
        </w:rPr>
      </w:pPr>
    </w:p>
    <w:p>
      <w:pPr>
        <w:pStyle w:val="87"/>
        <w:spacing w:line="360" w:lineRule="auto"/>
        <w:ind w:firstLine="0" w:firstLineChars="0"/>
        <w:outlineLvl w:val="9"/>
        <w:rPr>
          <w:bCs/>
        </w:rPr>
      </w:pPr>
      <w:bookmarkStart w:id="66" w:name="_Toc326849731"/>
      <w:bookmarkStart w:id="67" w:name="_Toc331422072"/>
      <w:bookmarkStart w:id="68" w:name="_Toc331065724"/>
      <w:r>
        <w:rPr>
          <w:rFonts w:hint="eastAsia"/>
          <w:b/>
          <w:bCs/>
        </w:rPr>
        <w:t>7</w:t>
      </w:r>
      <w:r>
        <w:rPr>
          <w:b/>
          <w:bCs/>
        </w:rPr>
        <w:t>.2.</w:t>
      </w:r>
      <w:r>
        <w:rPr>
          <w:rFonts w:hint="eastAsia"/>
          <w:b/>
          <w:bCs/>
        </w:rPr>
        <w:t>4</w:t>
      </w:r>
      <w:r>
        <w:rPr>
          <w:rFonts w:hAnsi="宋体"/>
          <w:bCs/>
        </w:rPr>
        <w:t>　采取措施降低过渡季节通风与空调系统能耗，评价总分值为</w:t>
      </w:r>
      <w:r>
        <w:rPr>
          <w:bCs/>
        </w:rPr>
        <w:t>6</w:t>
      </w:r>
      <w:r>
        <w:rPr>
          <w:rFonts w:hAnsi="宋体"/>
          <w:bCs/>
        </w:rPr>
        <w:t>分，并按下列规则分别评分并累计：</w:t>
      </w:r>
    </w:p>
    <w:p>
      <w:pPr>
        <w:pStyle w:val="87"/>
        <w:spacing w:line="360" w:lineRule="auto"/>
        <w:ind w:firstLine="482"/>
        <w:outlineLvl w:val="9"/>
        <w:rPr>
          <w:kern w:val="0"/>
        </w:rPr>
      </w:pPr>
      <w:r>
        <w:rPr>
          <w:rStyle w:val="41"/>
        </w:rPr>
        <w:t>1</w:t>
      </w:r>
      <w:r>
        <w:rPr>
          <w:rStyle w:val="41"/>
          <w:rFonts w:hAnsi="宋体"/>
        </w:rPr>
        <w:t>　</w:t>
      </w:r>
      <w:r>
        <w:rPr>
          <w:rFonts w:hAnsi="宋体"/>
          <w:kern w:val="0"/>
        </w:rPr>
        <w:t>全空气空调系统能够实现全新风或变新风运行，且排风系统应与新风量的调节相适应，得3分；</w:t>
      </w:r>
    </w:p>
    <w:p>
      <w:pPr>
        <w:pStyle w:val="87"/>
        <w:spacing w:line="360" w:lineRule="auto"/>
        <w:ind w:firstLine="482"/>
        <w:outlineLvl w:val="9"/>
        <w:rPr>
          <w:rFonts w:hAnsi="宋体"/>
          <w:kern w:val="0"/>
        </w:rPr>
      </w:pPr>
      <w:r>
        <w:rPr>
          <w:b/>
          <w:kern w:val="0"/>
        </w:rPr>
        <w:t>2</w:t>
      </w:r>
      <w:r>
        <w:rPr>
          <w:rFonts w:hAnsi="宋体"/>
          <w:kern w:val="0"/>
        </w:rPr>
        <w:t>　过渡季节改变新风送风温度、优化冷却塔供冷的运行时数、处理负荷及调整供冷温度等节能措施，得</w:t>
      </w:r>
      <w:r>
        <w:rPr>
          <w:kern w:val="0"/>
        </w:rPr>
        <w:t>3</w:t>
      </w:r>
      <w:r>
        <w:rPr>
          <w:rFonts w:hAnsi="宋体"/>
          <w:kern w:val="0"/>
        </w:rPr>
        <w:t>分。</w:t>
      </w:r>
    </w:p>
    <w:p>
      <w:pPr>
        <w:pStyle w:val="87"/>
        <w:spacing w:line="360" w:lineRule="auto"/>
        <w:ind w:firstLine="0" w:firstLineChars="0"/>
        <w:outlineLvl w:val="9"/>
        <w:rPr>
          <w:rFonts w:ascii="仿宋" w:hAnsi="仿宋" w:eastAsia="仿宋"/>
          <w:color w:val="FF0000"/>
        </w:rPr>
      </w:pPr>
      <w:r>
        <w:rPr>
          <w:rFonts w:hint="eastAsia" w:ascii="仿宋" w:hAnsi="仿宋" w:eastAsia="仿宋"/>
          <w:color w:val="FF0000"/>
        </w:rPr>
        <w:t>【条文说明】与国家标准要求基本一致，按照技术细则要求进行了相应的细化。本条适用于各类民用建筑的设计、运行评价。对于采用分体空调、可随时开窗通风的民用建筑，本条可直接得分。对于不设暖通空调系统的民用建筑，本条不参评。对于非全空气系统，本条第1款不参评。空调系统设计时不仅要考虑到设计工况，而且应考虑全年运行模式。尤其在过渡季，空调系统可以有多种节能措施，例如对于全空气系统，可以采用全新风或增大新风比运行，且其可达到的最大总新风比应不低于50%；人员密集的大空间、需全年供冷的空调区，则可达到的最大总新风比应不低于 70%，这样可有效地改善空调区内空气的品质，大量节省空气处理所需消耗的能量。但要实现全新风运行或增大新风比运行，设计时必须认真考虑新风取风口和新风管所需的截面积，妥善安排好排风出路，并应确保室内合理的正压值。此外还有过渡季节改变新成送风温度、优化冷却塔供冷的运行时数、处理负荷及调整供冷温度等节能措施。</w:t>
      </w:r>
    </w:p>
    <w:p>
      <w:pPr>
        <w:pStyle w:val="87"/>
        <w:spacing w:line="360" w:lineRule="auto"/>
        <w:ind w:firstLine="0" w:firstLineChars="0"/>
        <w:outlineLvl w:val="9"/>
        <w:rPr>
          <w:rFonts w:ascii="仿宋" w:hAnsi="仿宋" w:eastAsia="仿宋"/>
          <w:color w:val="FF0000"/>
        </w:rPr>
      </w:pPr>
      <w:r>
        <w:rPr>
          <w:rFonts w:hint="eastAsia" w:ascii="仿宋" w:hAnsi="仿宋" w:eastAsia="仿宋"/>
          <w:color w:val="FF0000"/>
        </w:rPr>
        <w:t>本条的评价方法为：设计评价查阅相关设计文件；运行评价查阅相关竣工图、运行记录，并现场核实。</w:t>
      </w:r>
    </w:p>
    <w:p>
      <w:pPr>
        <w:pStyle w:val="87"/>
        <w:spacing w:line="360" w:lineRule="auto"/>
        <w:ind w:firstLine="0" w:firstLineChars="0"/>
        <w:outlineLvl w:val="9"/>
        <w:rPr>
          <w:bCs/>
        </w:rPr>
      </w:pPr>
    </w:p>
    <w:p>
      <w:pPr>
        <w:pStyle w:val="87"/>
        <w:spacing w:line="360" w:lineRule="auto"/>
        <w:ind w:firstLine="0" w:firstLineChars="0"/>
        <w:outlineLvl w:val="9"/>
        <w:rPr>
          <w:bCs/>
        </w:rPr>
      </w:pPr>
      <w:r>
        <w:rPr>
          <w:rFonts w:hint="eastAsia"/>
          <w:b/>
          <w:bCs/>
        </w:rPr>
        <w:t>7</w:t>
      </w:r>
      <w:r>
        <w:rPr>
          <w:b/>
          <w:bCs/>
        </w:rPr>
        <w:t>.2.</w:t>
      </w:r>
      <w:r>
        <w:rPr>
          <w:rFonts w:hint="eastAsia"/>
          <w:b/>
          <w:bCs/>
        </w:rPr>
        <w:t>5</w:t>
      </w:r>
      <w:r>
        <w:rPr>
          <w:rFonts w:hAnsi="宋体"/>
          <w:bCs/>
        </w:rPr>
        <w:t>　采取措施降低部分负荷、部分空间使用下的供暖、通风与空调系统能耗，评价总分值为</w:t>
      </w:r>
      <w:r>
        <w:rPr>
          <w:rFonts w:hint="eastAsia"/>
          <w:bCs/>
        </w:rPr>
        <w:t>5</w:t>
      </w:r>
      <w:r>
        <w:rPr>
          <w:rFonts w:hAnsi="宋体"/>
          <w:bCs/>
        </w:rPr>
        <w:t>分，并按下列规则分别评分并累计：</w:t>
      </w:r>
    </w:p>
    <w:p>
      <w:pPr>
        <w:pStyle w:val="87"/>
        <w:spacing w:line="360" w:lineRule="auto"/>
        <w:ind w:firstLine="482"/>
        <w:outlineLvl w:val="9"/>
        <w:rPr>
          <w:bCs/>
        </w:rPr>
      </w:pPr>
      <w:r>
        <w:rPr>
          <w:b/>
          <w:bCs/>
        </w:rPr>
        <w:t>1</w:t>
      </w:r>
      <w:r>
        <w:rPr>
          <w:rFonts w:hAnsi="宋体"/>
          <w:bCs/>
        </w:rPr>
        <w:t>　区分房间的朝向，细分空调区域，对系统进行分区控制，得</w:t>
      </w:r>
      <w:r>
        <w:rPr>
          <w:rFonts w:hint="eastAsia"/>
          <w:bCs/>
        </w:rPr>
        <w:t>1</w:t>
      </w:r>
      <w:r>
        <w:rPr>
          <w:rFonts w:hAnsi="宋体"/>
          <w:bCs/>
        </w:rPr>
        <w:t>分；</w:t>
      </w:r>
      <w:r>
        <w:rPr>
          <w:bCs/>
        </w:rPr>
        <w:br w:type="textWrapping"/>
      </w:r>
      <w:r>
        <w:rPr>
          <w:rFonts w:hAnsi="宋体"/>
          <w:bCs/>
        </w:rPr>
        <w:t>　　</w:t>
      </w:r>
      <w:r>
        <w:rPr>
          <w:b/>
          <w:bCs/>
        </w:rPr>
        <w:t>2</w:t>
      </w:r>
      <w:r>
        <w:rPr>
          <w:rFonts w:hAnsi="宋体"/>
          <w:bCs/>
        </w:rPr>
        <w:t>　合理选配空调冷、热源机组台数与容量，制定实施根据负荷变化调节制冷</w:t>
      </w:r>
      <w:r>
        <w:rPr>
          <w:bCs/>
        </w:rPr>
        <w:t>(</w:t>
      </w:r>
      <w:r>
        <w:rPr>
          <w:rFonts w:hAnsi="宋体"/>
          <w:bCs/>
        </w:rPr>
        <w:t>热</w:t>
      </w:r>
      <w:r>
        <w:rPr>
          <w:bCs/>
        </w:rPr>
        <w:t>)</w:t>
      </w:r>
      <w:r>
        <w:rPr>
          <w:rFonts w:hAnsi="宋体"/>
          <w:bCs/>
        </w:rPr>
        <w:t>量的控制策略，且空调冷源的部分负荷性能符合</w:t>
      </w:r>
      <w:r>
        <w:rPr>
          <w:rFonts w:hint="eastAsia" w:hAnsi="宋体"/>
          <w:bCs/>
        </w:rPr>
        <w:t>现行</w:t>
      </w:r>
      <w:r>
        <w:rPr>
          <w:rFonts w:hAnsi="宋体"/>
          <w:bCs/>
        </w:rPr>
        <w:t>《</w:t>
      </w:r>
      <w:r>
        <w:rPr>
          <w:rFonts w:hint="eastAsia" w:hAnsi="宋体"/>
          <w:bCs/>
        </w:rPr>
        <w:t>&lt;</w:t>
      </w:r>
      <w:r>
        <w:rPr>
          <w:rFonts w:hAnsi="宋体"/>
          <w:bCs/>
        </w:rPr>
        <w:t>公共建筑节能设计标准</w:t>
      </w:r>
      <w:r>
        <w:rPr>
          <w:rFonts w:hint="eastAsia" w:hAnsi="宋体"/>
          <w:bCs/>
        </w:rPr>
        <w:t>&gt;深圳市实施细则</w:t>
      </w:r>
      <w:r>
        <w:rPr>
          <w:rFonts w:hAnsi="宋体"/>
          <w:bCs/>
        </w:rPr>
        <w:t>》</w:t>
      </w:r>
      <w:r>
        <w:rPr>
          <w:rFonts w:hint="eastAsia"/>
          <w:bCs/>
        </w:rPr>
        <w:t>SZJG29</w:t>
      </w:r>
      <w:r>
        <w:rPr>
          <w:rFonts w:hAnsi="宋体"/>
          <w:bCs/>
        </w:rPr>
        <w:t>的规定，得</w:t>
      </w:r>
      <w:r>
        <w:rPr>
          <w:bCs/>
        </w:rPr>
        <w:t>2</w:t>
      </w:r>
      <w:r>
        <w:rPr>
          <w:rFonts w:hAnsi="宋体"/>
          <w:bCs/>
        </w:rPr>
        <w:t>分；</w:t>
      </w:r>
    </w:p>
    <w:p>
      <w:pPr>
        <w:pStyle w:val="87"/>
        <w:spacing w:line="360" w:lineRule="auto"/>
        <w:ind w:firstLine="482"/>
        <w:outlineLvl w:val="9"/>
        <w:rPr>
          <w:bCs/>
        </w:rPr>
      </w:pPr>
      <w:r>
        <w:rPr>
          <w:b/>
          <w:bCs/>
        </w:rPr>
        <w:t>3</w:t>
      </w:r>
      <w:r>
        <w:rPr>
          <w:rFonts w:hAnsi="宋体"/>
          <w:bCs/>
        </w:rPr>
        <w:t>　水系统、风系统合理采用变频控制技术，</w:t>
      </w:r>
      <w:r>
        <w:rPr>
          <w:rFonts w:hint="eastAsia" w:hAnsi="宋体"/>
          <w:bCs/>
        </w:rPr>
        <w:t>且采取相应的水力平衡措施，</w:t>
      </w:r>
      <w:r>
        <w:rPr>
          <w:rFonts w:hAnsi="宋体"/>
          <w:bCs/>
        </w:rPr>
        <w:t>符合</w:t>
      </w:r>
      <w:r>
        <w:rPr>
          <w:rFonts w:hint="eastAsia" w:hAnsi="宋体"/>
          <w:bCs/>
        </w:rPr>
        <w:t>现行</w:t>
      </w:r>
      <w:r>
        <w:rPr>
          <w:rFonts w:hAnsi="宋体"/>
          <w:bCs/>
        </w:rPr>
        <w:t>《</w:t>
      </w:r>
      <w:r>
        <w:rPr>
          <w:rFonts w:hint="eastAsia" w:hAnsi="宋体"/>
          <w:bCs/>
        </w:rPr>
        <w:t>&lt;</w:t>
      </w:r>
      <w:r>
        <w:rPr>
          <w:rFonts w:hAnsi="宋体"/>
          <w:bCs/>
        </w:rPr>
        <w:t>公共建筑节能设计标准</w:t>
      </w:r>
      <w:r>
        <w:rPr>
          <w:rFonts w:hint="eastAsia" w:hAnsi="宋体"/>
          <w:bCs/>
        </w:rPr>
        <w:t>&gt;深圳市实施细则</w:t>
      </w:r>
      <w:r>
        <w:rPr>
          <w:rFonts w:hAnsi="宋体"/>
          <w:bCs/>
        </w:rPr>
        <w:t>》</w:t>
      </w:r>
      <w:r>
        <w:rPr>
          <w:rFonts w:hint="eastAsia"/>
          <w:bCs/>
        </w:rPr>
        <w:t>SZJG2</w:t>
      </w:r>
      <w:r>
        <w:rPr>
          <w:rFonts w:hAnsi="宋体"/>
          <w:bCs/>
        </w:rPr>
        <w:t>的相关要求，得</w:t>
      </w:r>
      <w:r>
        <w:rPr>
          <w:bCs/>
        </w:rPr>
        <w:t>2</w:t>
      </w:r>
      <w:r>
        <w:rPr>
          <w:rFonts w:hAnsi="宋体"/>
          <w:bCs/>
        </w:rPr>
        <w:t>分。</w:t>
      </w:r>
      <w:bookmarkEnd w:id="66"/>
      <w:bookmarkEnd w:id="67"/>
      <w:bookmarkEnd w:id="68"/>
    </w:p>
    <w:p>
      <w:pPr>
        <w:pStyle w:val="87"/>
        <w:spacing w:line="360" w:lineRule="auto"/>
        <w:ind w:firstLine="0" w:firstLineChars="0"/>
        <w:outlineLvl w:val="9"/>
        <w:rPr>
          <w:rFonts w:ascii="仿宋" w:hAnsi="仿宋" w:eastAsia="仿宋"/>
          <w:color w:val="FF0000"/>
        </w:rPr>
      </w:pPr>
      <w:r>
        <w:rPr>
          <w:rFonts w:hint="eastAsia" w:ascii="仿宋" w:hAnsi="仿宋" w:eastAsia="仿宋"/>
          <w:color w:val="FF0000"/>
        </w:rPr>
        <w:t>【条文说明】本条适用于各类民用建筑的设计、运行评价。多数空调系统都是按照最不利情况（满负荷）进行系统设计和设备选型的，而建筑在绝大部分时间内是处于部分负荷状况的，或者同一时间仅有一部分空间处于使用状态针对部分负荷、部分空间使用条件的情况，如何采取有效的措施以节约能源，显得至关重要。系统设计中应考虑合理的系统分区、水泵变频、变风量、变水量等节能措施，保证在建筑物处于部分冷热负荷时和仅部分建筑使用时，能根据实际需要提供恰当的能源供给，同时不降低能源转换效率，并能够指导系统在实际运行中实现节能高效运行。本条第1款主要针对系统划分及其末端控制，空调方式采用分体空调以及多联机的，可认定为满足。本条第2 款主要针对系统冷热源，如冷源为市政冷源可不予考察；本条第3 款主要针对系统输配系统，包括空调、通风等系统，如冷源和末端一体化而不存在输配系统的，可认定为满足。例如住宅中仅设分体空调以及多联机，本款可直接得分。</w:t>
      </w:r>
    </w:p>
    <w:p>
      <w:pPr>
        <w:pStyle w:val="87"/>
        <w:spacing w:line="360" w:lineRule="auto"/>
        <w:ind w:firstLine="0" w:firstLineChars="0"/>
        <w:outlineLvl w:val="9"/>
        <w:rPr>
          <w:rFonts w:ascii="仿宋" w:hAnsi="仿宋" w:eastAsia="仿宋"/>
          <w:color w:val="FF0000"/>
        </w:rPr>
      </w:pPr>
      <w:r>
        <w:rPr>
          <w:rFonts w:hint="eastAsia" w:ascii="仿宋" w:hAnsi="仿宋" w:eastAsia="仿宋"/>
          <w:color w:val="FF0000"/>
        </w:rPr>
        <w:t>本条的评价方法为：设计评价查阅相关设计文件、计算书；运行评价查阅相关竣工图、计算书、运行记录，并现场核实。</w:t>
      </w:r>
    </w:p>
    <w:p>
      <w:pPr>
        <w:tabs>
          <w:tab w:val="left" w:pos="3560"/>
        </w:tabs>
        <w:spacing w:line="360" w:lineRule="auto"/>
        <w:jc w:val="left"/>
        <w:rPr>
          <w:color w:val="000000"/>
          <w:sz w:val="24"/>
        </w:rPr>
      </w:pPr>
    </w:p>
    <w:p>
      <w:pPr>
        <w:pStyle w:val="87"/>
        <w:spacing w:line="360" w:lineRule="auto"/>
        <w:ind w:firstLine="0" w:firstLineChars="0"/>
        <w:jc w:val="center"/>
      </w:pPr>
      <w:bookmarkStart w:id="69" w:name="_Toc449111668"/>
      <w:r>
        <w:rPr>
          <w:rFonts w:hint="eastAsia" w:ascii="宋体" w:hAnsi="宋体"/>
        </w:rPr>
        <w:t xml:space="preserve">Ⅳ </w:t>
      </w:r>
      <w:r>
        <w:rPr>
          <w:rFonts w:hint="eastAsia" w:hAnsi="宋体"/>
        </w:rPr>
        <w:t>照明与电气（20）</w:t>
      </w:r>
      <w:bookmarkEnd w:id="69"/>
    </w:p>
    <w:p>
      <w:pPr>
        <w:pStyle w:val="87"/>
        <w:spacing w:line="360" w:lineRule="auto"/>
        <w:ind w:firstLine="0" w:firstLineChars="0"/>
        <w:outlineLvl w:val="9"/>
        <w:rPr>
          <w:rFonts w:hAnsi="宋体"/>
          <w:bCs/>
        </w:rPr>
      </w:pPr>
      <w:r>
        <w:rPr>
          <w:rFonts w:hint="eastAsia"/>
          <w:b/>
          <w:bCs/>
        </w:rPr>
        <w:t>7</w:t>
      </w:r>
      <w:r>
        <w:rPr>
          <w:b/>
          <w:bCs/>
        </w:rPr>
        <w:t>.2.</w:t>
      </w:r>
      <w:r>
        <w:rPr>
          <w:rFonts w:hint="eastAsia"/>
          <w:b/>
          <w:bCs/>
        </w:rPr>
        <w:t>6</w:t>
      </w:r>
      <w:r>
        <w:rPr>
          <w:rFonts w:hAnsi="宋体"/>
          <w:bCs/>
        </w:rPr>
        <w:t>　走廊、楼梯间、门厅、大堂、大空间、地下停车场等场所的照明系统采取分区、定时、感应等节能控制措施，评价分值为</w:t>
      </w:r>
      <w:r>
        <w:rPr>
          <w:rFonts w:hint="eastAsia"/>
          <w:bCs/>
        </w:rPr>
        <w:t>4</w:t>
      </w:r>
      <w:r>
        <w:rPr>
          <w:rFonts w:hAnsi="宋体"/>
          <w:bCs/>
        </w:rPr>
        <w:t>分。</w:t>
      </w:r>
    </w:p>
    <w:p>
      <w:pPr>
        <w:pStyle w:val="87"/>
        <w:spacing w:line="360" w:lineRule="auto"/>
        <w:ind w:firstLine="0" w:firstLineChars="0"/>
        <w:outlineLvl w:val="9"/>
        <w:rPr>
          <w:rFonts w:ascii="仿宋" w:hAnsi="仿宋" w:eastAsia="仿宋"/>
          <w:color w:val="FF0000"/>
        </w:rPr>
      </w:pPr>
      <w:r>
        <w:rPr>
          <w:rFonts w:hint="eastAsia" w:ascii="仿宋" w:hAnsi="仿宋" w:eastAsia="仿宋"/>
          <w:color w:val="FF0000"/>
        </w:rPr>
        <w:t>【条文说明】本条适用于各类民用建筑的设计、运行评价。对于住宅建筑，仅评价其公共部分。在建筑的实际运行过程中，照明系统的分区控制、定时控制、自动感应开关、照度调节等措施对降低照明能耗作用很明显。照明系统分区需满足自然光細用、功能和作息差异的要求。公共活动区域（门厅、大堂、走廊、楼梯间、地下车库等）以及大空间应采取定时、感应等节能控制措施。</w:t>
      </w:r>
    </w:p>
    <w:p>
      <w:pPr>
        <w:pStyle w:val="87"/>
        <w:spacing w:line="360" w:lineRule="auto"/>
        <w:ind w:firstLine="0" w:firstLineChars="0"/>
        <w:outlineLvl w:val="9"/>
        <w:rPr>
          <w:rFonts w:ascii="仿宋" w:hAnsi="仿宋" w:eastAsia="仿宋"/>
          <w:color w:val="FF0000"/>
        </w:rPr>
      </w:pPr>
      <w:r>
        <w:rPr>
          <w:rFonts w:hint="eastAsia" w:ascii="仿宋" w:hAnsi="仿宋" w:eastAsia="仿宋"/>
          <w:color w:val="FF0000"/>
        </w:rPr>
        <w:t>本条的评价方法为：设计评价查阅相关设计文件；运行评价查阅相关竣工图，并现场核实。</w:t>
      </w:r>
    </w:p>
    <w:p>
      <w:pPr>
        <w:pStyle w:val="87"/>
        <w:spacing w:line="360" w:lineRule="auto"/>
        <w:ind w:firstLine="0" w:firstLineChars="0"/>
        <w:outlineLvl w:val="9"/>
        <w:rPr>
          <w:bCs/>
        </w:rPr>
      </w:pPr>
    </w:p>
    <w:p>
      <w:pPr>
        <w:pStyle w:val="87"/>
        <w:spacing w:line="360" w:lineRule="auto"/>
        <w:ind w:firstLine="0" w:firstLineChars="0"/>
        <w:outlineLvl w:val="9"/>
        <w:rPr>
          <w:rFonts w:hAnsi="宋体"/>
          <w:bCs/>
        </w:rPr>
      </w:pPr>
      <w:bookmarkStart w:id="70" w:name="OLE_LINK13"/>
      <w:r>
        <w:rPr>
          <w:rFonts w:hint="eastAsia"/>
          <w:b/>
          <w:bCs/>
        </w:rPr>
        <w:t>7</w:t>
      </w:r>
      <w:r>
        <w:rPr>
          <w:b/>
          <w:bCs/>
        </w:rPr>
        <w:t>.</w:t>
      </w:r>
      <w:bookmarkEnd w:id="70"/>
      <w:r>
        <w:rPr>
          <w:b/>
          <w:bCs/>
        </w:rPr>
        <w:t>2.</w:t>
      </w:r>
      <w:r>
        <w:rPr>
          <w:rFonts w:hint="eastAsia"/>
          <w:b/>
          <w:bCs/>
        </w:rPr>
        <w:t>7</w:t>
      </w:r>
      <w:r>
        <w:rPr>
          <w:rFonts w:hAnsi="宋体"/>
          <w:bCs/>
        </w:rPr>
        <w:t>　合理选用电梯和自动扶梯，</w:t>
      </w:r>
      <w:r>
        <w:rPr>
          <w:rFonts w:hint="eastAsia" w:hAnsi="宋体"/>
          <w:bCs/>
        </w:rPr>
        <w:t>评价总分值为3分，并按照下列规则分别评分并累计：</w:t>
      </w:r>
    </w:p>
    <w:p>
      <w:pPr>
        <w:pStyle w:val="87"/>
        <w:spacing w:line="360" w:lineRule="auto"/>
        <w:ind w:firstLine="420" w:firstLineChars="0"/>
        <w:outlineLvl w:val="9"/>
        <w:rPr>
          <w:rFonts w:hAnsi="宋体"/>
          <w:bCs/>
        </w:rPr>
      </w:pPr>
      <w:r>
        <w:rPr>
          <w:rFonts w:hint="eastAsia"/>
          <w:b/>
          <w:bCs/>
        </w:rPr>
        <w:t>1</w:t>
      </w:r>
      <w:bookmarkStart w:id="71" w:name="OLE_LINK14"/>
      <w:r>
        <w:rPr>
          <w:rFonts w:hint="eastAsia" w:hAnsi="宋体"/>
          <w:bCs/>
        </w:rPr>
        <w:t>根据使用需求和功能定位，合理确定电梯、扶梯的台数、载客量、速度等指标</w:t>
      </w:r>
      <w:r>
        <w:rPr>
          <w:rFonts w:hAnsi="宋体"/>
          <w:bCs/>
        </w:rPr>
        <w:t>，</w:t>
      </w:r>
      <w:r>
        <w:rPr>
          <w:rFonts w:hint="eastAsia" w:hAnsi="宋体"/>
          <w:bCs/>
        </w:rPr>
        <w:t>得</w:t>
      </w:r>
      <w:r>
        <w:rPr>
          <w:rFonts w:hint="eastAsia"/>
          <w:bCs/>
        </w:rPr>
        <w:t>1</w:t>
      </w:r>
      <w:r>
        <w:rPr>
          <w:rFonts w:hAnsi="宋体"/>
          <w:bCs/>
        </w:rPr>
        <w:t>分</w:t>
      </w:r>
      <w:bookmarkEnd w:id="71"/>
      <w:r>
        <w:rPr>
          <w:rFonts w:hint="eastAsia" w:hAnsi="宋体"/>
          <w:bCs/>
        </w:rPr>
        <w:t>；</w:t>
      </w:r>
    </w:p>
    <w:p>
      <w:pPr>
        <w:pStyle w:val="87"/>
        <w:spacing w:line="360" w:lineRule="auto"/>
        <w:ind w:firstLine="420" w:firstLineChars="0"/>
        <w:outlineLvl w:val="9"/>
        <w:rPr>
          <w:rFonts w:hAnsi="宋体"/>
          <w:bCs/>
        </w:rPr>
      </w:pPr>
      <w:r>
        <w:rPr>
          <w:rFonts w:hint="eastAsia"/>
          <w:b/>
          <w:bCs/>
        </w:rPr>
        <w:t>2</w:t>
      </w:r>
      <w:r>
        <w:rPr>
          <w:rFonts w:hint="eastAsia" w:hAnsi="宋体"/>
          <w:bCs/>
        </w:rPr>
        <w:t>选择节能型电梯和自动扶梯，得1分；</w:t>
      </w:r>
    </w:p>
    <w:p>
      <w:pPr>
        <w:pStyle w:val="87"/>
        <w:spacing w:line="360" w:lineRule="auto"/>
        <w:ind w:firstLine="420" w:firstLineChars="0"/>
        <w:outlineLvl w:val="9"/>
        <w:rPr>
          <w:rFonts w:hAnsi="宋体"/>
          <w:bCs/>
        </w:rPr>
      </w:pPr>
      <w:r>
        <w:rPr>
          <w:rFonts w:hint="eastAsia"/>
          <w:b/>
          <w:bCs/>
        </w:rPr>
        <w:t>3</w:t>
      </w:r>
      <w:r>
        <w:rPr>
          <w:rFonts w:hint="eastAsia" w:hAnsi="宋体"/>
          <w:bCs/>
        </w:rPr>
        <w:t>合理采取电梯群控、扶梯自动启停等节能控制措施</w:t>
      </w:r>
      <w:r>
        <w:rPr>
          <w:rFonts w:hAnsi="宋体"/>
          <w:bCs/>
        </w:rPr>
        <w:t>，</w:t>
      </w:r>
      <w:r>
        <w:rPr>
          <w:rFonts w:hint="eastAsia" w:hAnsi="宋体"/>
          <w:bCs/>
        </w:rPr>
        <w:t>得</w:t>
      </w:r>
      <w:r>
        <w:rPr>
          <w:rFonts w:hint="eastAsia"/>
          <w:bCs/>
        </w:rPr>
        <w:t>1</w:t>
      </w:r>
      <w:r>
        <w:rPr>
          <w:rFonts w:hAnsi="宋体"/>
          <w:bCs/>
        </w:rPr>
        <w:t>分。</w:t>
      </w:r>
    </w:p>
    <w:p>
      <w:pPr>
        <w:pStyle w:val="87"/>
        <w:spacing w:line="360" w:lineRule="auto"/>
        <w:ind w:firstLine="0" w:firstLineChars="0"/>
        <w:outlineLvl w:val="9"/>
        <w:rPr>
          <w:rFonts w:ascii="仿宋" w:hAnsi="仿宋" w:eastAsia="仿宋"/>
          <w:color w:val="FF0000"/>
        </w:rPr>
      </w:pPr>
      <w:r>
        <w:rPr>
          <w:rFonts w:hint="eastAsia" w:ascii="仿宋" w:hAnsi="仿宋" w:eastAsia="仿宋"/>
          <w:color w:val="FF0000"/>
        </w:rPr>
        <w:t>【条文说明】与国家标准要求基本一致，按照技术细则进行了细分，同时考虑深圳地区高层建筑较多，电梯能耗比重较大，将总分从3分调整到5分。本条适用于各类民用建筑的设计、运行评价。对于仅设有1台电梯的建筑，本条中的节能控制措施不参评。对于不设电梯、自动扶梯的建筑，本条不参评。本条包括以下3层含义：1.电梯、扶梯的选用：应充分考虑使用需求和客\货流量，电梯台数、载客量、速度等指标；2.电梯、扶梯产品的节能特性：由于目前并未明确电梯和扶梯的节能型号，暂以是否采取变频调速拖动方式或能量再生回馈技术判定；3.电梯节能控制措施：包括电梯并联或群控控制、扶梯感应启停、轿厢无人自动关灯技术、驱动器休眠技术、自动扶梯变频感应启动技术、群控楼宇智能管理技术等。</w:t>
      </w:r>
    </w:p>
    <w:p>
      <w:pPr>
        <w:pStyle w:val="87"/>
        <w:spacing w:line="360" w:lineRule="auto"/>
        <w:ind w:firstLine="0" w:firstLineChars="0"/>
        <w:outlineLvl w:val="9"/>
        <w:rPr>
          <w:rFonts w:ascii="仿宋" w:hAnsi="仿宋" w:eastAsia="仿宋"/>
          <w:color w:val="FF0000"/>
        </w:rPr>
      </w:pPr>
      <w:r>
        <w:rPr>
          <w:rFonts w:hint="eastAsia" w:ascii="仿宋" w:hAnsi="仿宋" w:eastAsia="仿宋"/>
          <w:color w:val="FF0000"/>
        </w:rPr>
        <w:t>本条的评价方法为：设计评价查阅电梯及扶梯设计等相关设计文件、人流平衡计算分析报告；运行评价查阅相关竣工图、电梯检验报告、电梯运行记录、电梯检测报告等，并现场核实。</w:t>
      </w:r>
    </w:p>
    <w:p>
      <w:pPr>
        <w:pStyle w:val="87"/>
        <w:spacing w:line="360" w:lineRule="auto"/>
        <w:ind w:firstLine="0" w:firstLineChars="0"/>
        <w:outlineLvl w:val="9"/>
        <w:rPr>
          <w:bCs/>
        </w:rPr>
      </w:pPr>
    </w:p>
    <w:p>
      <w:pPr>
        <w:pStyle w:val="87"/>
        <w:spacing w:line="360" w:lineRule="auto"/>
        <w:ind w:firstLine="0" w:firstLineChars="0"/>
        <w:outlineLvl w:val="9"/>
        <w:rPr>
          <w:bCs/>
        </w:rPr>
      </w:pPr>
      <w:r>
        <w:rPr>
          <w:rFonts w:hint="eastAsia"/>
          <w:b/>
          <w:bCs/>
        </w:rPr>
        <w:t>7</w:t>
      </w:r>
      <w:r>
        <w:rPr>
          <w:b/>
          <w:bCs/>
        </w:rPr>
        <w:t>.2.</w:t>
      </w:r>
      <w:r>
        <w:rPr>
          <w:rFonts w:hint="eastAsia"/>
          <w:b/>
          <w:bCs/>
        </w:rPr>
        <w:t>8</w:t>
      </w:r>
      <w:r>
        <w:rPr>
          <w:rFonts w:hAnsi="宋体"/>
          <w:bCs/>
        </w:rPr>
        <w:t>　合理选用节能型电气设备，评价总分值为</w:t>
      </w:r>
      <w:r>
        <w:rPr>
          <w:rFonts w:hint="eastAsia"/>
          <w:bCs/>
        </w:rPr>
        <w:t>3</w:t>
      </w:r>
      <w:r>
        <w:rPr>
          <w:rFonts w:hAnsi="宋体"/>
          <w:bCs/>
        </w:rPr>
        <w:t>分，并按下列规则分别评分并累计：</w:t>
      </w:r>
    </w:p>
    <w:p>
      <w:pPr>
        <w:pStyle w:val="87"/>
        <w:spacing w:line="360" w:lineRule="auto"/>
        <w:ind w:firstLine="482"/>
        <w:outlineLvl w:val="9"/>
        <w:rPr>
          <w:bCs/>
        </w:rPr>
      </w:pPr>
      <w:r>
        <w:rPr>
          <w:b/>
          <w:bCs/>
        </w:rPr>
        <w:t>1</w:t>
      </w:r>
      <w:r>
        <w:rPr>
          <w:rFonts w:hAnsi="宋体"/>
          <w:bCs/>
        </w:rPr>
        <w:t>　三相配电变压器达到现行国家标准《三相配电变压器能效限定值及能效等级》</w:t>
      </w:r>
      <w:r>
        <w:rPr>
          <w:bCs/>
        </w:rPr>
        <w:t>GB 20052</w:t>
      </w:r>
      <w:r>
        <w:rPr>
          <w:rFonts w:hAnsi="宋体"/>
          <w:bCs/>
        </w:rPr>
        <w:t>的</w:t>
      </w:r>
      <w:r>
        <w:rPr>
          <w:rFonts w:hint="eastAsia"/>
          <w:bCs/>
        </w:rPr>
        <w:t>节能评价值</w:t>
      </w:r>
      <w:r>
        <w:rPr>
          <w:rFonts w:hAnsi="宋体"/>
          <w:bCs/>
        </w:rPr>
        <w:t>要求，得</w:t>
      </w:r>
      <w:r>
        <w:rPr>
          <w:rFonts w:hint="eastAsia"/>
          <w:bCs/>
        </w:rPr>
        <w:t>2</w:t>
      </w:r>
      <w:r>
        <w:rPr>
          <w:rFonts w:hAnsi="宋体"/>
          <w:bCs/>
        </w:rPr>
        <w:t>分；</w:t>
      </w:r>
    </w:p>
    <w:p>
      <w:pPr>
        <w:pStyle w:val="87"/>
        <w:spacing w:line="360" w:lineRule="auto"/>
        <w:ind w:firstLine="482"/>
        <w:outlineLvl w:val="9"/>
        <w:rPr>
          <w:bCs/>
        </w:rPr>
      </w:pPr>
      <w:r>
        <w:rPr>
          <w:b/>
          <w:bCs/>
        </w:rPr>
        <w:t>2</w:t>
      </w:r>
      <w:r>
        <w:rPr>
          <w:rFonts w:hAnsi="宋体"/>
          <w:bCs/>
        </w:rPr>
        <w:t>　水泵、风机等设备，及其他电气装置满足相关现行国家标准的节能评价值要求，得</w:t>
      </w:r>
      <w:r>
        <w:rPr>
          <w:rFonts w:hint="eastAsia"/>
          <w:bCs/>
        </w:rPr>
        <w:t>1</w:t>
      </w:r>
      <w:r>
        <w:rPr>
          <w:rFonts w:hAnsi="宋体"/>
          <w:bCs/>
        </w:rPr>
        <w:t>分。</w:t>
      </w:r>
    </w:p>
    <w:p>
      <w:pPr>
        <w:pStyle w:val="87"/>
        <w:spacing w:line="360" w:lineRule="auto"/>
        <w:ind w:firstLine="0" w:firstLineChars="0"/>
        <w:outlineLvl w:val="9"/>
        <w:rPr>
          <w:rFonts w:ascii="仿宋" w:hAnsi="仿宋" w:eastAsia="仿宋"/>
          <w:color w:val="FF0000"/>
        </w:rPr>
      </w:pPr>
      <w:r>
        <w:rPr>
          <w:rFonts w:hint="eastAsia" w:ascii="仿宋" w:hAnsi="仿宋" w:eastAsia="仿宋"/>
          <w:color w:val="FF0000"/>
        </w:rPr>
        <w:t>【条文说明】与国家标准要求基本一致。本条适用于各类民用建筑的设计、运行评价。2010年，国家发改委发布《电力需求侧管理办法》（发改运行[2010] 2643号）。虽然其实施主体是电网企业，但也需要建筑业主、用户等方面的积极参与。</w:t>
      </w:r>
    </w:p>
    <w:p>
      <w:pPr>
        <w:pStyle w:val="87"/>
        <w:spacing w:line="360" w:lineRule="auto"/>
        <w:ind w:firstLine="0" w:firstLineChars="0"/>
        <w:outlineLvl w:val="9"/>
        <w:rPr>
          <w:rFonts w:ascii="仿宋" w:hAnsi="仿宋" w:eastAsia="仿宋"/>
          <w:color w:val="FF0000"/>
        </w:rPr>
      </w:pPr>
      <w:r>
        <w:rPr>
          <w:rFonts w:hint="eastAsia" w:ascii="仿宋" w:hAnsi="仿宋" w:eastAsia="仿宋"/>
          <w:color w:val="FF0000"/>
        </w:rPr>
        <w:t>1.</w:t>
      </w:r>
      <w:r>
        <w:rPr>
          <w:rFonts w:hint="eastAsia" w:ascii="仿宋" w:hAnsi="仿宋" w:eastAsia="仿宋"/>
          <w:color w:val="FF0000"/>
        </w:rPr>
        <w:tab/>
      </w:r>
      <w:r>
        <w:rPr>
          <w:rFonts w:hint="eastAsia" w:ascii="仿宋" w:hAnsi="仿宋" w:eastAsia="仿宋"/>
          <w:color w:val="FF0000"/>
        </w:rPr>
        <w:t>对于第1款，现行国家标准《三相配电变压器能效限定值及节能评价值》 GB 20052-2013中“4.4配电变压器节能评价值”规定：油浸式配电变压器、干式配电变压器的空载损耗和负载损耗值均应不高于能效等级 2级的规定。对于20kV变压器，不属于《三相配电变压器能效限定值及节能评价值》GB 20052的适用范围，第1款可作为不参评处理；</w:t>
      </w:r>
    </w:p>
    <w:p>
      <w:pPr>
        <w:pStyle w:val="87"/>
        <w:spacing w:line="360" w:lineRule="auto"/>
        <w:ind w:firstLine="0" w:firstLineChars="0"/>
        <w:outlineLvl w:val="9"/>
        <w:rPr>
          <w:rFonts w:ascii="仿宋" w:hAnsi="仿宋" w:eastAsia="仿宋"/>
          <w:color w:val="FF0000"/>
        </w:rPr>
      </w:pPr>
      <w:r>
        <w:rPr>
          <w:rFonts w:hint="eastAsia" w:ascii="仿宋" w:hAnsi="仿宋" w:eastAsia="仿宋"/>
          <w:color w:val="FF0000"/>
        </w:rPr>
        <w:t>2.</w:t>
      </w:r>
      <w:r>
        <w:rPr>
          <w:rFonts w:hint="eastAsia" w:ascii="仿宋" w:hAnsi="仿宋" w:eastAsia="仿宋"/>
          <w:color w:val="FF0000"/>
        </w:rPr>
        <w:tab/>
      </w:r>
      <w:r>
        <w:rPr>
          <w:rFonts w:hint="eastAsia" w:ascii="仿宋" w:hAnsi="仿宋" w:eastAsia="仿宋"/>
          <w:color w:val="FF0000"/>
        </w:rPr>
        <w:t>对于第2款，水泵、风机等其他电气设备应满足相关国家标准（例如《中小型三相异步电动机能效限定值及能效等级》GB18613、《通风机能效限定值及能效等级》 GB19761、《清水离心泵能效限定值及节能评价值》GB19762）的节能评价值。对于应急设备，例如消防水泵、潜水泵、防排烟风机等，不包括在本条评价范围内。</w:t>
      </w:r>
    </w:p>
    <w:p>
      <w:pPr>
        <w:pStyle w:val="87"/>
        <w:spacing w:line="360" w:lineRule="auto"/>
        <w:ind w:firstLine="0" w:firstLineChars="0"/>
        <w:outlineLvl w:val="9"/>
        <w:rPr>
          <w:rFonts w:ascii="仿宋" w:hAnsi="仿宋" w:eastAsia="仿宋"/>
          <w:color w:val="FF0000"/>
        </w:rPr>
      </w:pPr>
      <w:r>
        <w:rPr>
          <w:rFonts w:hint="eastAsia" w:ascii="仿宋" w:hAnsi="仿宋" w:eastAsia="仿宋"/>
          <w:color w:val="FF0000"/>
        </w:rPr>
        <w:t>本条的评价方法为：设计评价查阅相关设计文件；运行评价查阅相关竣工图、主要产品型式检验报告，并现场核实。</w:t>
      </w:r>
    </w:p>
    <w:p>
      <w:pPr>
        <w:tabs>
          <w:tab w:val="left" w:pos="3560"/>
        </w:tabs>
        <w:spacing w:line="360" w:lineRule="auto"/>
        <w:jc w:val="left"/>
        <w:rPr>
          <w:color w:val="000000"/>
          <w:sz w:val="24"/>
        </w:rPr>
      </w:pPr>
    </w:p>
    <w:p>
      <w:pPr>
        <w:pStyle w:val="87"/>
        <w:spacing w:line="360" w:lineRule="auto"/>
        <w:ind w:firstLine="0" w:firstLineChars="0"/>
        <w:outlineLvl w:val="9"/>
        <w:rPr>
          <w:rFonts w:hAnsi="宋体"/>
          <w:bCs/>
        </w:rPr>
      </w:pPr>
      <w:r>
        <w:rPr>
          <w:rFonts w:hint="eastAsia"/>
          <w:b/>
          <w:bCs/>
        </w:rPr>
        <w:t>7</w:t>
      </w:r>
      <w:r>
        <w:rPr>
          <w:b/>
          <w:bCs/>
        </w:rPr>
        <w:t>.2.</w:t>
      </w:r>
      <w:r>
        <w:rPr>
          <w:rFonts w:hint="eastAsia"/>
          <w:b/>
          <w:bCs/>
        </w:rPr>
        <w:t>9</w:t>
      </w:r>
      <w:r>
        <w:rPr>
          <w:bCs/>
        </w:rPr>
        <w:t xml:space="preserve">  </w:t>
      </w:r>
      <w:r>
        <w:rPr>
          <w:rFonts w:hAnsi="宋体"/>
          <w:bCs/>
        </w:rPr>
        <w:t>合理设置</w:t>
      </w:r>
      <w:r>
        <w:rPr>
          <w:rFonts w:hint="eastAsia" w:hAnsi="宋体"/>
          <w:bCs/>
        </w:rPr>
        <w:t>建筑</w:t>
      </w:r>
      <w:r>
        <w:rPr>
          <w:rFonts w:hAnsi="宋体"/>
          <w:bCs/>
        </w:rPr>
        <w:t>能耗</w:t>
      </w:r>
      <w:r>
        <w:rPr>
          <w:rFonts w:hint="eastAsia" w:hAnsi="宋体"/>
          <w:bCs/>
        </w:rPr>
        <w:t>远程</w:t>
      </w:r>
      <w:r>
        <w:rPr>
          <w:rFonts w:hAnsi="宋体"/>
          <w:bCs/>
        </w:rPr>
        <w:t>监测与管理系统，评价总分值为</w:t>
      </w:r>
      <w:r>
        <w:rPr>
          <w:rFonts w:hint="eastAsia"/>
          <w:bCs/>
        </w:rPr>
        <w:t>4</w:t>
      </w:r>
      <w:r>
        <w:rPr>
          <w:rFonts w:hAnsi="宋体"/>
          <w:bCs/>
        </w:rPr>
        <w:t>分，并按下列规则分别评分并累计：</w:t>
      </w:r>
    </w:p>
    <w:p>
      <w:pPr>
        <w:pStyle w:val="87"/>
        <w:spacing w:line="360" w:lineRule="auto"/>
        <w:ind w:firstLine="482"/>
        <w:outlineLvl w:val="9"/>
        <w:rPr>
          <w:b/>
        </w:rPr>
      </w:pPr>
      <w:r>
        <w:rPr>
          <w:b/>
        </w:rPr>
        <w:t xml:space="preserve">1  </w:t>
      </w:r>
      <w:r>
        <w:rPr>
          <w:rFonts w:hint="eastAsia" w:hAnsi="宋体"/>
        </w:rPr>
        <w:t>建立有能耗远程监测系统，能够实时采集能耗数据，并具有在线监测与动态分析功能的软件和硬件系统</w:t>
      </w:r>
      <w:r>
        <w:rPr>
          <w:rFonts w:hAnsi="宋体"/>
        </w:rPr>
        <w:t>，得</w:t>
      </w:r>
      <w:r>
        <w:rPr>
          <w:rFonts w:hint="eastAsia" w:hAnsi="宋体"/>
        </w:rPr>
        <w:t>2</w:t>
      </w:r>
      <w:r>
        <w:rPr>
          <w:rFonts w:hAnsi="宋体"/>
        </w:rPr>
        <w:t>分；</w:t>
      </w:r>
      <w:r>
        <w:rPr>
          <w:b/>
        </w:rPr>
        <w:t xml:space="preserve"> </w:t>
      </w:r>
    </w:p>
    <w:p>
      <w:pPr>
        <w:pStyle w:val="87"/>
        <w:spacing w:line="360" w:lineRule="auto"/>
        <w:ind w:firstLine="482"/>
        <w:outlineLvl w:val="9"/>
      </w:pPr>
      <w:r>
        <w:rPr>
          <w:b/>
        </w:rPr>
        <w:t>2</w:t>
      </w:r>
      <w:r>
        <w:rPr>
          <w:rFonts w:hAnsi="宋体"/>
        </w:rPr>
        <w:t>　能够</w:t>
      </w:r>
      <w:r>
        <w:rPr>
          <w:rFonts w:hint="eastAsia" w:hAnsi="宋体"/>
        </w:rPr>
        <w:t>与城市能耗数据中心进行联网共享</w:t>
      </w:r>
      <w:r>
        <w:rPr>
          <w:rFonts w:hAnsi="宋体"/>
        </w:rPr>
        <w:t>，得</w:t>
      </w:r>
      <w:r>
        <w:rPr>
          <w:rFonts w:hint="eastAsia"/>
        </w:rPr>
        <w:t>2</w:t>
      </w:r>
      <w:r>
        <w:rPr>
          <w:rFonts w:hAnsi="宋体"/>
        </w:rPr>
        <w:t>分。</w:t>
      </w:r>
    </w:p>
    <w:p>
      <w:pPr>
        <w:pStyle w:val="87"/>
        <w:spacing w:line="360" w:lineRule="auto"/>
        <w:ind w:firstLine="0" w:firstLineChars="0"/>
        <w:outlineLvl w:val="9"/>
        <w:rPr>
          <w:rFonts w:ascii="仿宋" w:hAnsi="仿宋" w:eastAsia="仿宋"/>
          <w:color w:val="FF0000"/>
        </w:rPr>
      </w:pPr>
      <w:r>
        <w:rPr>
          <w:rFonts w:hint="eastAsia" w:ascii="仿宋" w:hAnsi="仿宋" w:eastAsia="仿宋"/>
          <w:color w:val="FF0000"/>
        </w:rPr>
        <w:t>【条文说明】新增条文，深圳已建有建筑能耗数据中心，鼓励将新建公共建筑纳入其中，</w:t>
      </w:r>
      <w:r>
        <w:rPr>
          <w:rFonts w:hint="eastAsia" w:ascii="仿宋" w:hAnsi="仿宋" w:eastAsia="仿宋"/>
          <w:color w:val="FF0000"/>
          <w:lang w:eastAsia="zh-CN"/>
        </w:rPr>
        <w:t>并</w:t>
      </w:r>
      <w:r>
        <w:rPr>
          <w:rFonts w:hint="eastAsia" w:ascii="仿宋" w:hAnsi="仿宋" w:eastAsia="仿宋"/>
          <w:color w:val="FF0000"/>
        </w:rPr>
        <w:t>分为两个层次得分，第一个层次有能耗远程监测系统的软件和硬件系统，第二个层次与城市能耗数据中心进行联网。本条适用于公共建筑的设计、运行评价。在控制项7.1.2条安装分项分类独立计量装置的基础上，通过设置数据采集子系统、传输子系统及处理子系统，实时采集、监测及分析能耗数据，并能够与深圳市建筑能耗数据中心进行联网共享。</w:t>
      </w:r>
    </w:p>
    <w:p>
      <w:pPr>
        <w:pStyle w:val="87"/>
        <w:spacing w:line="360" w:lineRule="auto"/>
        <w:ind w:firstLine="0" w:firstLineChars="0"/>
        <w:outlineLvl w:val="9"/>
        <w:rPr>
          <w:rFonts w:ascii="仿宋" w:hAnsi="仿宋" w:eastAsia="仿宋"/>
          <w:color w:val="FF0000"/>
        </w:rPr>
      </w:pPr>
      <w:r>
        <w:rPr>
          <w:rFonts w:hint="eastAsia" w:ascii="仿宋" w:hAnsi="仿宋" w:eastAsia="仿宋"/>
          <w:color w:val="FF0000"/>
        </w:rPr>
        <w:t>本条的评价方法为：设计评价查阅相关设计文件；运行评价查阅相关竣工图、分项计量记录，并现场核实。</w:t>
      </w:r>
    </w:p>
    <w:p>
      <w:pPr>
        <w:tabs>
          <w:tab w:val="left" w:pos="3560"/>
        </w:tabs>
        <w:spacing w:line="360" w:lineRule="auto"/>
        <w:jc w:val="left"/>
        <w:rPr>
          <w:color w:val="000000"/>
          <w:sz w:val="24"/>
        </w:rPr>
      </w:pPr>
    </w:p>
    <w:p>
      <w:pPr>
        <w:snapToGrid w:val="0"/>
        <w:spacing w:line="360" w:lineRule="auto"/>
        <w:rPr>
          <w:bCs/>
          <w:sz w:val="24"/>
        </w:rPr>
      </w:pPr>
      <w:r>
        <w:rPr>
          <w:rFonts w:hint="eastAsia"/>
          <w:b/>
          <w:sz w:val="24"/>
        </w:rPr>
        <w:t>7</w:t>
      </w:r>
      <w:r>
        <w:rPr>
          <w:b/>
          <w:sz w:val="24"/>
        </w:rPr>
        <w:t>.2.</w:t>
      </w:r>
      <w:r>
        <w:rPr>
          <w:rFonts w:hint="eastAsia"/>
          <w:b/>
          <w:sz w:val="24"/>
        </w:rPr>
        <w:t>10</w:t>
      </w:r>
      <w:r>
        <w:rPr>
          <w:rFonts w:hAnsi="宋体"/>
          <w:sz w:val="24"/>
        </w:rPr>
        <w:t>　</w:t>
      </w:r>
      <w:r>
        <w:rPr>
          <w:rFonts w:hAnsi="宋体"/>
          <w:bCs/>
          <w:sz w:val="24"/>
        </w:rPr>
        <w:t>智能化系统的运行效果满足建筑运行与管理的需要，评价总分值为</w:t>
      </w:r>
      <w:r>
        <w:rPr>
          <w:rFonts w:hint="eastAsia"/>
          <w:bCs/>
          <w:sz w:val="24"/>
        </w:rPr>
        <w:t>6</w:t>
      </w:r>
      <w:r>
        <w:rPr>
          <w:rFonts w:hAnsi="宋体"/>
          <w:bCs/>
          <w:sz w:val="24"/>
        </w:rPr>
        <w:t>分，并按下列规则</w:t>
      </w:r>
      <w:r>
        <w:rPr>
          <w:rFonts w:hint="eastAsia" w:hAnsi="宋体"/>
          <w:bCs/>
          <w:sz w:val="24"/>
        </w:rPr>
        <w:t>分别</w:t>
      </w:r>
      <w:r>
        <w:rPr>
          <w:rFonts w:hAnsi="宋体"/>
          <w:bCs/>
          <w:sz w:val="24"/>
        </w:rPr>
        <w:t>评分</w:t>
      </w:r>
      <w:r>
        <w:rPr>
          <w:rFonts w:hint="eastAsia" w:hAnsi="宋体"/>
          <w:bCs/>
          <w:sz w:val="24"/>
        </w:rPr>
        <w:t>并累计：</w:t>
      </w:r>
    </w:p>
    <w:p>
      <w:pPr>
        <w:snapToGrid w:val="0"/>
        <w:spacing w:line="360" w:lineRule="auto"/>
        <w:ind w:firstLine="481" w:firstLineChars="200"/>
        <w:rPr>
          <w:sz w:val="24"/>
        </w:rPr>
      </w:pPr>
      <w:r>
        <w:rPr>
          <w:b/>
          <w:sz w:val="24"/>
        </w:rPr>
        <w:t>1</w:t>
      </w:r>
      <w:r>
        <w:rPr>
          <w:rFonts w:hAnsi="宋体"/>
          <w:sz w:val="24"/>
        </w:rPr>
        <w:t>　居住建筑的智能化系统满足现行行业标准《居住区智能化系统配置与技术要求》</w:t>
      </w:r>
      <w:r>
        <w:rPr>
          <w:sz w:val="24"/>
        </w:rPr>
        <w:t>CJ/T 174</w:t>
      </w:r>
      <w:r>
        <w:rPr>
          <w:rFonts w:hAnsi="宋体"/>
          <w:sz w:val="24"/>
        </w:rPr>
        <w:t>的基本配置要求；公共建筑的智能化系统满足现行国家标准《智能建筑设计标准》</w:t>
      </w:r>
      <w:r>
        <w:rPr>
          <w:sz w:val="24"/>
        </w:rPr>
        <w:t>GB 50314</w:t>
      </w:r>
      <w:r>
        <w:rPr>
          <w:rFonts w:hAnsi="宋体"/>
          <w:sz w:val="24"/>
        </w:rPr>
        <w:t>的基本配置要求，得</w:t>
      </w:r>
      <w:r>
        <w:rPr>
          <w:rFonts w:hint="eastAsia"/>
          <w:sz w:val="24"/>
        </w:rPr>
        <w:t>2</w:t>
      </w:r>
      <w:r>
        <w:rPr>
          <w:rFonts w:hAnsi="宋体"/>
          <w:sz w:val="24"/>
        </w:rPr>
        <w:t>分；</w:t>
      </w:r>
    </w:p>
    <w:p>
      <w:pPr>
        <w:snapToGrid w:val="0"/>
        <w:spacing w:line="360" w:lineRule="auto"/>
        <w:ind w:firstLine="481" w:firstLineChars="200"/>
        <w:rPr>
          <w:sz w:val="24"/>
        </w:rPr>
      </w:pPr>
      <w:r>
        <w:rPr>
          <w:b/>
          <w:sz w:val="24"/>
        </w:rPr>
        <w:t>2</w:t>
      </w:r>
      <w:r>
        <w:rPr>
          <w:rFonts w:hAnsi="宋体"/>
          <w:sz w:val="24"/>
        </w:rPr>
        <w:t>　智能化系统工作正常，符合设计要求，得</w:t>
      </w:r>
      <w:r>
        <w:rPr>
          <w:rFonts w:hint="eastAsia"/>
          <w:sz w:val="24"/>
        </w:rPr>
        <w:t>2</w:t>
      </w:r>
      <w:r>
        <w:rPr>
          <w:rFonts w:hAnsi="宋体"/>
          <w:sz w:val="24"/>
        </w:rPr>
        <w:t>分。</w:t>
      </w:r>
    </w:p>
    <w:p>
      <w:pPr>
        <w:snapToGrid w:val="0"/>
        <w:spacing w:line="360" w:lineRule="auto"/>
        <w:ind w:firstLine="481" w:firstLineChars="200"/>
        <w:rPr>
          <w:bCs/>
          <w:sz w:val="24"/>
        </w:rPr>
      </w:pPr>
      <w:r>
        <w:rPr>
          <w:b/>
          <w:sz w:val="24"/>
        </w:rPr>
        <w:t>3</w:t>
      </w:r>
      <w:r>
        <w:rPr>
          <w:rFonts w:hAnsi="宋体"/>
          <w:sz w:val="24"/>
        </w:rPr>
        <w:t>　定期检测或校验建筑智能化系统传感器和执行器的运行状态，使各设备的性能参数符合设计使用要求，得</w:t>
      </w:r>
      <w:r>
        <w:rPr>
          <w:sz w:val="24"/>
        </w:rPr>
        <w:t>2</w:t>
      </w:r>
      <w:r>
        <w:rPr>
          <w:rFonts w:hAnsi="宋体"/>
          <w:sz w:val="24"/>
        </w:rPr>
        <w:t>分。</w:t>
      </w:r>
    </w:p>
    <w:p>
      <w:pPr>
        <w:pStyle w:val="87"/>
        <w:spacing w:line="360" w:lineRule="auto"/>
        <w:ind w:firstLine="0" w:firstLineChars="0"/>
        <w:outlineLvl w:val="9"/>
        <w:rPr>
          <w:rFonts w:ascii="仿宋" w:hAnsi="仿宋" w:eastAsia="仿宋"/>
          <w:color w:val="FF0000"/>
        </w:rPr>
      </w:pPr>
      <w:r>
        <w:rPr>
          <w:rFonts w:hint="eastAsia" w:ascii="仿宋" w:hAnsi="仿宋" w:eastAsia="仿宋"/>
          <w:color w:val="FF0000"/>
        </w:rPr>
        <w:t>【条文说明】</w:t>
      </w:r>
    </w:p>
    <w:p>
      <w:pPr>
        <w:pStyle w:val="87"/>
        <w:spacing w:line="360" w:lineRule="auto"/>
        <w:ind w:firstLine="0" w:firstLineChars="0"/>
        <w:outlineLvl w:val="9"/>
        <w:rPr>
          <w:rFonts w:ascii="仿宋" w:hAnsi="仿宋" w:eastAsia="仿宋"/>
          <w:color w:val="FF0000"/>
        </w:rPr>
      </w:pPr>
      <w:r>
        <w:rPr>
          <w:rFonts w:hint="eastAsia" w:ascii="仿宋" w:hAnsi="仿宋" w:eastAsia="仿宋"/>
          <w:color w:val="FF0000"/>
        </w:rPr>
        <w:t>本条沿用自本规范《绿色建筑评价规范》SZJG30-2009得分项第5.6.8、6.6.7 条，将此条从运营管理章节调整到节能章节。本条第1款设计阶段参评，第2款、第3款运行阶段参评。通过智能化技术与绿色建筑其他方面技术的有机结合，可望有效提升建筑综合性能。由于居住建筑/居住区和公共建筑的使用特性与技术需求差别较大，故其智能化系统的技术要求也有所不同；但系统设计上均要求达到基本配置。此外，还对系统工作运行情况也提出了要求。</w:t>
      </w:r>
    </w:p>
    <w:p>
      <w:pPr>
        <w:pStyle w:val="87"/>
        <w:spacing w:line="360" w:lineRule="auto"/>
        <w:ind w:firstLine="0" w:firstLineChars="0"/>
        <w:outlineLvl w:val="9"/>
        <w:rPr>
          <w:rFonts w:ascii="仿宋" w:hAnsi="仿宋" w:eastAsia="仿宋"/>
          <w:color w:val="FF0000"/>
        </w:rPr>
      </w:pPr>
      <w:r>
        <w:rPr>
          <w:rFonts w:hint="eastAsia" w:ascii="仿宋" w:hAnsi="仿宋" w:eastAsia="仿宋"/>
          <w:color w:val="FF0000"/>
        </w:rPr>
        <w:t>居住建筑智能化系统应满足《居住区智能化系统配置与技术要求》CJ/T 174的基本配置要求，主要评价内容为居住区安全技术防范系统、住宅信息通信系统（新建住宅必须采用光纤到户）、居住区建筑设备监控管理系统、居住区监控中心等。公共建筑的智能化系统应满足《智能建筑设计标准》GB/T 50314的基础配置要求，主要评价内容为安全技术防范系统、信息通信系统（商住及商业楼宇必须采用光纤到户）、建筑设备监控管理系统、安（消）防监控中心等。《智能建筑设计标准》GB/T 50314以系统合成配置的综合技术功效对智能化系统工程标准等级予以了界定，绿色建筑应达到其中的应选配置（即符合建筑基本功能的基础配置）的要求。</w:t>
      </w:r>
    </w:p>
    <w:p>
      <w:pPr>
        <w:pStyle w:val="87"/>
        <w:spacing w:line="360" w:lineRule="auto"/>
        <w:ind w:firstLine="0" w:firstLineChars="0"/>
        <w:outlineLvl w:val="9"/>
        <w:rPr>
          <w:rFonts w:ascii="仿宋" w:hAnsi="仿宋" w:eastAsia="仿宋"/>
          <w:color w:val="FF0000"/>
        </w:rPr>
      </w:pPr>
      <w:r>
        <w:rPr>
          <w:rFonts w:hint="eastAsia" w:ascii="仿宋" w:hAnsi="仿宋" w:eastAsia="仿宋"/>
          <w:color w:val="FF0000"/>
        </w:rPr>
        <w:t>绿色建筑的智能化管理系统的准确性与节能性，依托于系统传感器和执行器的灵敏度和精密度。部分工程因长时间未检测，传感器与执行器部分故障，精密度达不到要求，智能管理系统非正常运行，使得整个智能化系统高能耗运转达不到绿色节能标准。</w:t>
      </w:r>
    </w:p>
    <w:p>
      <w:pPr>
        <w:pStyle w:val="87"/>
        <w:spacing w:line="360" w:lineRule="auto"/>
        <w:ind w:firstLine="0" w:firstLineChars="0"/>
        <w:outlineLvl w:val="9"/>
        <w:rPr>
          <w:rFonts w:ascii="仿宋" w:hAnsi="仿宋" w:eastAsia="仿宋"/>
          <w:color w:val="FF0000"/>
        </w:rPr>
      </w:pPr>
      <w:r>
        <w:rPr>
          <w:rFonts w:hint="eastAsia" w:ascii="仿宋" w:hAnsi="仿宋" w:eastAsia="仿宋"/>
          <w:color w:val="FF0000"/>
        </w:rPr>
        <w:t>本条的评价方法为：查阅智能化系统竣工文件、验收报告及运行记录，传感器和执行器检测或校验记录，并现场核查。设计评价预审时，查阅安全技术防范系统、信息通信系统、建筑设备监控管理系统、监控中心等设计文件。</w:t>
      </w:r>
    </w:p>
    <w:p>
      <w:pPr>
        <w:tabs>
          <w:tab w:val="left" w:pos="3560"/>
        </w:tabs>
        <w:spacing w:line="360" w:lineRule="auto"/>
        <w:jc w:val="left"/>
        <w:rPr>
          <w:color w:val="000000"/>
          <w:sz w:val="24"/>
        </w:rPr>
      </w:pPr>
    </w:p>
    <w:p>
      <w:pPr>
        <w:pStyle w:val="87"/>
        <w:spacing w:line="360" w:lineRule="auto"/>
        <w:ind w:firstLine="0" w:firstLineChars="0"/>
        <w:jc w:val="center"/>
      </w:pPr>
      <w:bookmarkStart w:id="72" w:name="_Toc449111669"/>
      <w:r>
        <w:rPr>
          <w:rFonts w:hint="eastAsia" w:ascii="宋体" w:hAnsi="宋体"/>
        </w:rPr>
        <w:t xml:space="preserve">Ⅴ </w:t>
      </w:r>
      <w:r>
        <w:rPr>
          <w:rFonts w:hint="eastAsia" w:hAnsi="宋体"/>
        </w:rPr>
        <w:t>能量综合利用（17）</w:t>
      </w:r>
      <w:bookmarkEnd w:id="72"/>
    </w:p>
    <w:p>
      <w:pPr>
        <w:tabs>
          <w:tab w:val="left" w:pos="3560"/>
        </w:tabs>
        <w:spacing w:line="360" w:lineRule="auto"/>
        <w:jc w:val="left"/>
        <w:rPr>
          <w:rFonts w:hAnsi="宋体"/>
          <w:bCs/>
          <w:sz w:val="24"/>
        </w:rPr>
      </w:pPr>
      <w:r>
        <w:rPr>
          <w:rFonts w:hint="eastAsia"/>
          <w:b/>
          <w:bCs/>
          <w:sz w:val="24"/>
        </w:rPr>
        <w:t>7</w:t>
      </w:r>
      <w:r>
        <w:rPr>
          <w:b/>
          <w:bCs/>
          <w:sz w:val="24"/>
        </w:rPr>
        <w:t>.2.1</w:t>
      </w:r>
      <w:r>
        <w:rPr>
          <w:rFonts w:hint="eastAsia"/>
          <w:b/>
          <w:bCs/>
          <w:sz w:val="24"/>
        </w:rPr>
        <w:t>1</w:t>
      </w:r>
      <w:r>
        <w:rPr>
          <w:rFonts w:hAnsi="宋体"/>
          <w:bCs/>
          <w:sz w:val="24"/>
        </w:rPr>
        <w:t>　</w:t>
      </w:r>
      <w:r>
        <w:rPr>
          <w:rFonts w:hint="eastAsia" w:hAnsi="宋体"/>
          <w:bCs/>
          <w:sz w:val="24"/>
        </w:rPr>
        <w:t>合理利用余热废热解决建筑的蒸汽、供暖或生活热水需求</w:t>
      </w:r>
      <w:r>
        <w:rPr>
          <w:rFonts w:hAnsi="宋体"/>
          <w:bCs/>
          <w:sz w:val="24"/>
        </w:rPr>
        <w:t>，评价分值为</w:t>
      </w:r>
      <w:r>
        <w:rPr>
          <w:rFonts w:hint="eastAsia"/>
          <w:bCs/>
          <w:sz w:val="24"/>
        </w:rPr>
        <w:t>3</w:t>
      </w:r>
      <w:r>
        <w:rPr>
          <w:rFonts w:hAnsi="宋体"/>
          <w:bCs/>
          <w:sz w:val="24"/>
        </w:rPr>
        <w:t>分</w:t>
      </w:r>
      <w:r>
        <w:rPr>
          <w:rFonts w:hint="eastAsia" w:hAnsi="宋体"/>
          <w:bCs/>
          <w:sz w:val="24"/>
        </w:rPr>
        <w:t>。</w:t>
      </w:r>
    </w:p>
    <w:p>
      <w:pPr>
        <w:pStyle w:val="87"/>
        <w:spacing w:line="360" w:lineRule="auto"/>
        <w:ind w:firstLine="0" w:firstLineChars="0"/>
        <w:outlineLvl w:val="9"/>
        <w:rPr>
          <w:rFonts w:ascii="仿宋" w:hAnsi="仿宋" w:eastAsia="仿宋"/>
          <w:color w:val="FF0000"/>
        </w:rPr>
      </w:pPr>
      <w:r>
        <w:rPr>
          <w:rFonts w:hint="eastAsia" w:ascii="仿宋" w:hAnsi="仿宋" w:eastAsia="仿宋"/>
          <w:color w:val="FF0000"/>
        </w:rPr>
        <w:t>【条文说明】与国家标准要求基本一致，考虑到深圳地区余热废热的投入产出效果一般，只能对于特定建筑如酒店等有较好的使用效果。将总分从4分调整到3分。本条适用于各类民用建筑的设计、运行评价。若建筑无可用的余热废热源，或建筑无稳定的热需求，本条不参评。生活用能系统的能耗在整个建筑总能耗中占有不容忽视的比例，尤其是对于有稳定热需求的公共建筑而言更是如此。用自备锅炉房满足建筑生活热水，不仅可能对环境造成较大污染，而且其能源转换和利用也不符合“高质高用”的原则，不宜采用。鼓励采用热泵、空调余热、其他废热等供应生活热水。在靠近热电厂、高能耗工厂等余热、废热丰富的地域，如果设计方案中很好地实现了回收排水中的热量，以及利用其他余热废热作为预热，可降低能源的消耗，同样也能够提高生活热水系统的用能效率。一般情况下的具体指标可取为：余热或废热提供的能量应不少于建筑所需生活热水设计日总量的60%。</w:t>
      </w:r>
    </w:p>
    <w:p>
      <w:pPr>
        <w:pStyle w:val="87"/>
        <w:spacing w:line="360" w:lineRule="auto"/>
        <w:ind w:firstLine="0" w:firstLineChars="0"/>
        <w:outlineLvl w:val="9"/>
        <w:rPr>
          <w:rFonts w:ascii="仿宋" w:hAnsi="仿宋" w:eastAsia="仿宋"/>
          <w:color w:val="FF0000"/>
        </w:rPr>
      </w:pPr>
      <w:r>
        <w:rPr>
          <w:rFonts w:hint="eastAsia" w:ascii="仿宋" w:hAnsi="仿宋" w:eastAsia="仿宋"/>
          <w:color w:val="FF0000"/>
        </w:rPr>
        <w:t>本条的评价方法为：设计评价查阅相关设计文件、计算分析报告；运行评价查阅相关竣工图、计算分析报告，并现场核实。</w:t>
      </w:r>
    </w:p>
    <w:p>
      <w:pPr>
        <w:tabs>
          <w:tab w:val="left" w:pos="3560"/>
        </w:tabs>
        <w:spacing w:line="360" w:lineRule="auto"/>
        <w:jc w:val="left"/>
        <w:rPr>
          <w:color w:val="000000"/>
          <w:sz w:val="24"/>
        </w:rPr>
      </w:pPr>
    </w:p>
    <w:p>
      <w:pPr>
        <w:spacing w:line="360" w:lineRule="auto"/>
        <w:rPr>
          <w:color w:val="000000"/>
          <w:sz w:val="24"/>
        </w:rPr>
      </w:pPr>
      <w:r>
        <w:rPr>
          <w:rFonts w:hint="eastAsia"/>
          <w:b/>
          <w:bCs/>
          <w:sz w:val="24"/>
        </w:rPr>
        <w:t>7</w:t>
      </w:r>
      <w:r>
        <w:rPr>
          <w:b/>
          <w:bCs/>
          <w:sz w:val="24"/>
        </w:rPr>
        <w:t>.2.1</w:t>
      </w:r>
      <w:r>
        <w:rPr>
          <w:rFonts w:hint="eastAsia"/>
          <w:b/>
          <w:bCs/>
          <w:sz w:val="24"/>
        </w:rPr>
        <w:t>2</w:t>
      </w:r>
      <w:r>
        <w:rPr>
          <w:rFonts w:hAnsi="宋体"/>
          <w:bCs/>
          <w:sz w:val="24"/>
        </w:rPr>
        <w:t>　</w:t>
      </w:r>
      <w:r>
        <w:rPr>
          <w:rFonts w:hint="eastAsia" w:hAnsi="宋体"/>
          <w:bCs/>
          <w:sz w:val="24"/>
        </w:rPr>
        <w:t>合理采用蓄冷蓄热系统，削减高峰用电需求，</w:t>
      </w:r>
      <w:r>
        <w:rPr>
          <w:rFonts w:hAnsi="宋体"/>
          <w:bCs/>
          <w:sz w:val="24"/>
        </w:rPr>
        <w:t>评价</w:t>
      </w:r>
      <w:r>
        <w:rPr>
          <w:rFonts w:hint="eastAsia" w:hAnsi="宋体"/>
          <w:bCs/>
          <w:sz w:val="24"/>
        </w:rPr>
        <w:t>总</w:t>
      </w:r>
      <w:r>
        <w:rPr>
          <w:rFonts w:hAnsi="宋体"/>
          <w:bCs/>
          <w:sz w:val="24"/>
        </w:rPr>
        <w:t>分值为</w:t>
      </w:r>
      <w:r>
        <w:rPr>
          <w:rFonts w:hint="eastAsia"/>
          <w:bCs/>
          <w:sz w:val="24"/>
        </w:rPr>
        <w:t>6</w:t>
      </w:r>
      <w:r>
        <w:rPr>
          <w:rFonts w:hAnsi="宋体"/>
          <w:bCs/>
          <w:sz w:val="24"/>
        </w:rPr>
        <w:t>分</w:t>
      </w:r>
      <w:r>
        <w:rPr>
          <w:rFonts w:hint="eastAsia"/>
          <w:color w:val="000000"/>
          <w:sz w:val="24"/>
        </w:rPr>
        <w:t>。</w:t>
      </w:r>
    </w:p>
    <w:p>
      <w:pPr>
        <w:pStyle w:val="87"/>
        <w:spacing w:line="360" w:lineRule="auto"/>
        <w:ind w:firstLine="0" w:firstLineChars="0"/>
        <w:outlineLvl w:val="9"/>
        <w:rPr>
          <w:rFonts w:ascii="仿宋" w:hAnsi="仿宋" w:eastAsia="仿宋"/>
          <w:color w:val="FF0000"/>
        </w:rPr>
      </w:pPr>
      <w:r>
        <w:rPr>
          <w:rFonts w:hint="eastAsia" w:ascii="仿宋" w:hAnsi="仿宋" w:eastAsia="仿宋"/>
          <w:color w:val="FF0000"/>
        </w:rPr>
        <w:t>【条文说明】考虑到深圳蓄冷空调用电谷期电价按0.2788元/千瓦时执行，峰谷电价比达到3.9倍，高于蓄冰空调不低于2.5倍的要求，为鼓励合理采用蓄冷蓄热系统，本条提高了分值。本条提供了释冷\热、蓄冷\热两种可选的达标途径，参评建筑满足下列两项之一即可：</w:t>
      </w:r>
    </w:p>
    <w:p>
      <w:pPr>
        <w:pStyle w:val="87"/>
        <w:spacing w:line="360" w:lineRule="auto"/>
        <w:ind w:firstLine="0" w:firstLineChars="0"/>
        <w:outlineLvl w:val="9"/>
        <w:rPr>
          <w:rFonts w:ascii="仿宋" w:hAnsi="仿宋" w:eastAsia="仿宋"/>
          <w:color w:val="FF0000"/>
        </w:rPr>
      </w:pPr>
      <w:r>
        <w:rPr>
          <w:rFonts w:hint="eastAsia" w:ascii="仿宋" w:hAnsi="仿宋" w:eastAsia="仿宋"/>
          <w:color w:val="FF0000"/>
        </w:rPr>
        <w:t>1.</w:t>
      </w:r>
      <w:r>
        <w:rPr>
          <w:rFonts w:hint="eastAsia" w:ascii="仿宋" w:hAnsi="仿宋" w:eastAsia="仿宋"/>
          <w:color w:val="FF0000"/>
        </w:rPr>
        <w:tab/>
      </w:r>
      <w:r>
        <w:rPr>
          <w:rFonts w:hint="eastAsia" w:ascii="仿宋" w:hAnsi="仿宋" w:eastAsia="仿宋"/>
          <w:color w:val="FF0000"/>
        </w:rPr>
        <w:t>以释能阶段作为评价要点时，蓄能装置提供的冷量不低于设计日空调冷量的15%,得3分，30%得6分；</w:t>
      </w:r>
    </w:p>
    <w:p>
      <w:pPr>
        <w:pStyle w:val="87"/>
        <w:spacing w:line="360" w:lineRule="auto"/>
        <w:ind w:firstLine="0" w:firstLineChars="0"/>
        <w:outlineLvl w:val="9"/>
        <w:rPr>
          <w:rFonts w:ascii="仿宋" w:hAnsi="仿宋" w:eastAsia="仿宋"/>
          <w:color w:val="FF0000"/>
        </w:rPr>
      </w:pPr>
      <w:r>
        <w:rPr>
          <w:rFonts w:hint="eastAsia" w:ascii="仿宋" w:hAnsi="仿宋" w:eastAsia="仿宋"/>
          <w:color w:val="FF0000"/>
        </w:rPr>
        <w:t>2.</w:t>
      </w:r>
      <w:r>
        <w:rPr>
          <w:rFonts w:hint="eastAsia" w:ascii="仿宋" w:hAnsi="仿宋" w:eastAsia="仿宋"/>
          <w:color w:val="FF0000"/>
        </w:rPr>
        <w:tab/>
      </w:r>
      <w:r>
        <w:rPr>
          <w:rFonts w:hint="eastAsia" w:ascii="仿宋" w:hAnsi="仿宋" w:eastAsia="仿宋"/>
          <w:color w:val="FF0000"/>
        </w:rPr>
        <w:t>以蓄能阶段作为评价要点时，蓄能装置蓄存的冷量不低于用于蓄冷的电驱动制冷机组在电价谷值时段全时满负荷运行所生产冷量的40%，得3分，80%得6分，且均被充分利用。</w:t>
      </w:r>
    </w:p>
    <w:p>
      <w:pPr>
        <w:pStyle w:val="87"/>
        <w:spacing w:line="360" w:lineRule="auto"/>
        <w:ind w:firstLine="0" w:firstLineChars="0"/>
        <w:outlineLvl w:val="9"/>
        <w:rPr>
          <w:rFonts w:ascii="仿宋" w:hAnsi="仿宋" w:eastAsia="仿宋"/>
          <w:color w:val="FF0000"/>
        </w:rPr>
      </w:pPr>
      <w:r>
        <w:rPr>
          <w:rFonts w:hint="eastAsia" w:ascii="仿宋" w:hAnsi="仿宋" w:eastAsia="仿宋"/>
          <w:color w:val="FF0000"/>
        </w:rPr>
        <w:t>本条的评价方法为：设计评价查阅相关设计文件、计算分析报告；运行评价查阅相关竣工图、主要产品型式检验报告、运行记录、计算分析报告，并现场核实。</w:t>
      </w:r>
    </w:p>
    <w:p>
      <w:pPr>
        <w:tabs>
          <w:tab w:val="left" w:pos="3560"/>
        </w:tabs>
        <w:spacing w:line="360" w:lineRule="auto"/>
        <w:jc w:val="left"/>
        <w:rPr>
          <w:color w:val="000000"/>
          <w:sz w:val="24"/>
        </w:rPr>
      </w:pPr>
    </w:p>
    <w:p>
      <w:pPr>
        <w:pStyle w:val="87"/>
        <w:spacing w:line="360" w:lineRule="auto"/>
        <w:ind w:firstLine="0" w:firstLineChars="0"/>
        <w:outlineLvl w:val="9"/>
        <w:rPr>
          <w:bCs/>
        </w:rPr>
      </w:pPr>
      <w:r>
        <w:rPr>
          <w:rFonts w:hint="eastAsia"/>
          <w:b/>
          <w:bCs/>
        </w:rPr>
        <w:t>7</w:t>
      </w:r>
      <w:r>
        <w:rPr>
          <w:b/>
          <w:bCs/>
        </w:rPr>
        <w:t>.2.1</w:t>
      </w:r>
      <w:r>
        <w:rPr>
          <w:rFonts w:hint="eastAsia"/>
          <w:b/>
          <w:bCs/>
        </w:rPr>
        <w:t>3</w:t>
      </w:r>
      <w:r>
        <w:rPr>
          <w:rFonts w:hAnsi="宋体"/>
          <w:bCs/>
        </w:rPr>
        <w:t>　根据当地气候和自然资源条件，合理利用可再生能源，评价总分值为</w:t>
      </w:r>
      <w:r>
        <w:rPr>
          <w:rFonts w:hint="eastAsia"/>
          <w:bCs/>
        </w:rPr>
        <w:t>8</w:t>
      </w:r>
      <w:r>
        <w:rPr>
          <w:rFonts w:hAnsi="宋体"/>
          <w:bCs/>
        </w:rPr>
        <w:t>分，并按</w:t>
      </w:r>
      <w:r>
        <w:rPr>
          <w:rFonts w:hint="eastAsia" w:hAnsi="宋体"/>
          <w:bCs/>
        </w:rPr>
        <w:t>表7.2.13的规则评分。</w:t>
      </w:r>
    </w:p>
    <w:p>
      <w:pPr>
        <w:tabs>
          <w:tab w:val="left" w:pos="3560"/>
        </w:tabs>
        <w:spacing w:line="360" w:lineRule="auto"/>
        <w:jc w:val="center"/>
        <w:rPr>
          <w:b/>
          <w:color w:val="000000"/>
        </w:rPr>
      </w:pPr>
      <w:r>
        <w:rPr>
          <w:rFonts w:hint="eastAsia"/>
          <w:b/>
          <w:color w:val="000000"/>
        </w:rPr>
        <w:t>表7.2.13 可再生能源利用评分规则</w:t>
      </w:r>
    </w:p>
    <w:tbl>
      <w:tblPr>
        <w:tblStyle w:val="38"/>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40"/>
        <w:gridCol w:w="2841"/>
        <w:gridCol w:w="28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81" w:type="dxa"/>
            <w:gridSpan w:val="2"/>
            <w:vAlign w:val="top"/>
          </w:tcPr>
          <w:p>
            <w:pPr>
              <w:tabs>
                <w:tab w:val="left" w:pos="3560"/>
              </w:tabs>
              <w:jc w:val="center"/>
              <w:rPr>
                <w:color w:val="000000"/>
              </w:rPr>
            </w:pPr>
            <w:r>
              <w:rPr>
                <w:rFonts w:hint="eastAsia"/>
                <w:color w:val="000000"/>
              </w:rPr>
              <w:t>可再生能源利用类型和指标</w:t>
            </w:r>
          </w:p>
        </w:tc>
        <w:tc>
          <w:tcPr>
            <w:tcW w:w="2841" w:type="dxa"/>
            <w:vAlign w:val="top"/>
          </w:tcPr>
          <w:p>
            <w:pPr>
              <w:tabs>
                <w:tab w:val="left" w:pos="3560"/>
              </w:tabs>
              <w:jc w:val="center"/>
              <w:rPr>
                <w:color w:val="000000"/>
              </w:rPr>
            </w:pPr>
            <w:r>
              <w:rPr>
                <w:rFonts w:hint="eastAsia"/>
                <w:color w:val="000000"/>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Merge w:val="restart"/>
            <w:vAlign w:val="center"/>
          </w:tcPr>
          <w:p>
            <w:pPr>
              <w:tabs>
                <w:tab w:val="left" w:pos="3560"/>
              </w:tabs>
              <w:jc w:val="center"/>
              <w:rPr>
                <w:color w:val="000000"/>
              </w:rPr>
            </w:pPr>
            <w:r>
              <w:rPr>
                <w:rFonts w:hint="eastAsia"/>
                <w:color w:val="000000"/>
              </w:rPr>
              <w:t>可再生能源提供的生活用热水比例</w:t>
            </w:r>
          </w:p>
        </w:tc>
        <w:tc>
          <w:tcPr>
            <w:tcW w:w="2841" w:type="dxa"/>
            <w:vAlign w:val="top"/>
          </w:tcPr>
          <w:p>
            <w:pPr>
              <w:tabs>
                <w:tab w:val="left" w:pos="3560"/>
              </w:tabs>
              <w:jc w:val="center"/>
              <w:rPr>
                <w:color w:val="000000"/>
              </w:rPr>
            </w:pPr>
            <w:r>
              <w:rPr>
                <w:rFonts w:hint="eastAsia"/>
                <w:color w:val="000000"/>
              </w:rPr>
              <w:t>10%≤＜20%</w:t>
            </w:r>
          </w:p>
        </w:tc>
        <w:tc>
          <w:tcPr>
            <w:tcW w:w="2841" w:type="dxa"/>
            <w:vAlign w:val="top"/>
          </w:tcPr>
          <w:p>
            <w:pPr>
              <w:tabs>
                <w:tab w:val="left" w:pos="3560"/>
              </w:tabs>
              <w:jc w:val="center"/>
              <w:rPr>
                <w:color w:val="000000"/>
              </w:rPr>
            </w:pPr>
            <w:r>
              <w:rPr>
                <w:rFonts w:hint="eastAsia"/>
                <w:color w:val="000000"/>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Merge w:val="continue"/>
            <w:vAlign w:val="center"/>
          </w:tcPr>
          <w:p>
            <w:pPr>
              <w:tabs>
                <w:tab w:val="left" w:pos="3560"/>
              </w:tabs>
              <w:jc w:val="center"/>
              <w:rPr>
                <w:color w:val="000000"/>
              </w:rPr>
            </w:pPr>
          </w:p>
        </w:tc>
        <w:tc>
          <w:tcPr>
            <w:tcW w:w="2841" w:type="dxa"/>
            <w:vAlign w:val="top"/>
          </w:tcPr>
          <w:p>
            <w:pPr>
              <w:tabs>
                <w:tab w:val="left" w:pos="3560"/>
              </w:tabs>
              <w:jc w:val="center"/>
              <w:rPr>
                <w:color w:val="000000"/>
              </w:rPr>
            </w:pPr>
            <w:bookmarkStart w:id="73" w:name="OLE_LINK12"/>
            <w:bookmarkStart w:id="74" w:name="OLE_LINK11"/>
            <w:r>
              <w:rPr>
                <w:rFonts w:hint="eastAsia"/>
                <w:color w:val="000000"/>
              </w:rPr>
              <w:t>20%≤＜40%</w:t>
            </w:r>
            <w:bookmarkEnd w:id="73"/>
            <w:bookmarkEnd w:id="74"/>
          </w:p>
        </w:tc>
        <w:tc>
          <w:tcPr>
            <w:tcW w:w="2841" w:type="dxa"/>
            <w:vAlign w:val="top"/>
          </w:tcPr>
          <w:p>
            <w:pPr>
              <w:tabs>
                <w:tab w:val="left" w:pos="3560"/>
              </w:tabs>
              <w:jc w:val="center"/>
              <w:rPr>
                <w:color w:val="000000"/>
              </w:rPr>
            </w:pPr>
            <w:r>
              <w:rPr>
                <w:rFonts w:hint="eastAsia"/>
                <w:color w:val="000000"/>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840" w:type="dxa"/>
            <w:vMerge w:val="continue"/>
            <w:vAlign w:val="center"/>
          </w:tcPr>
          <w:p>
            <w:pPr>
              <w:tabs>
                <w:tab w:val="left" w:pos="3560"/>
              </w:tabs>
              <w:jc w:val="center"/>
              <w:rPr>
                <w:color w:val="000000"/>
              </w:rPr>
            </w:pPr>
          </w:p>
        </w:tc>
        <w:tc>
          <w:tcPr>
            <w:tcW w:w="2841" w:type="dxa"/>
            <w:vAlign w:val="top"/>
          </w:tcPr>
          <w:p>
            <w:pPr>
              <w:tabs>
                <w:tab w:val="left" w:pos="3560"/>
              </w:tabs>
              <w:jc w:val="center"/>
              <w:rPr>
                <w:color w:val="000000"/>
              </w:rPr>
            </w:pPr>
            <w:r>
              <w:rPr>
                <w:rFonts w:hint="eastAsia"/>
                <w:color w:val="000000"/>
              </w:rPr>
              <w:t>40%≤＜60%</w:t>
            </w:r>
          </w:p>
        </w:tc>
        <w:tc>
          <w:tcPr>
            <w:tcW w:w="2841" w:type="dxa"/>
            <w:vAlign w:val="top"/>
          </w:tcPr>
          <w:p>
            <w:pPr>
              <w:tabs>
                <w:tab w:val="left" w:pos="3560"/>
              </w:tabs>
              <w:jc w:val="center"/>
              <w:rPr>
                <w:color w:val="000000"/>
              </w:rPr>
            </w:pPr>
            <w:r>
              <w:rPr>
                <w:rFonts w:hint="eastAsia"/>
                <w:color w:val="000000"/>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Merge w:val="continue"/>
            <w:vAlign w:val="center"/>
          </w:tcPr>
          <w:p>
            <w:pPr>
              <w:tabs>
                <w:tab w:val="left" w:pos="3560"/>
              </w:tabs>
              <w:jc w:val="center"/>
              <w:rPr>
                <w:color w:val="000000"/>
              </w:rPr>
            </w:pPr>
          </w:p>
        </w:tc>
        <w:tc>
          <w:tcPr>
            <w:tcW w:w="2841" w:type="dxa"/>
            <w:vAlign w:val="top"/>
          </w:tcPr>
          <w:p>
            <w:pPr>
              <w:tabs>
                <w:tab w:val="left" w:pos="3560"/>
              </w:tabs>
              <w:jc w:val="center"/>
              <w:rPr>
                <w:color w:val="000000"/>
              </w:rPr>
            </w:pPr>
            <w:r>
              <w:rPr>
                <w:rFonts w:hint="eastAsia"/>
                <w:color w:val="000000"/>
              </w:rPr>
              <w:t>≥60%</w:t>
            </w:r>
          </w:p>
        </w:tc>
        <w:tc>
          <w:tcPr>
            <w:tcW w:w="2841" w:type="dxa"/>
            <w:vAlign w:val="top"/>
          </w:tcPr>
          <w:p>
            <w:pPr>
              <w:tabs>
                <w:tab w:val="left" w:pos="3560"/>
              </w:tabs>
              <w:jc w:val="center"/>
              <w:rPr>
                <w:color w:val="000000"/>
              </w:rPr>
            </w:pPr>
            <w:r>
              <w:rPr>
                <w:rFonts w:hint="eastAsia"/>
                <w:color w:val="000000"/>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Merge w:val="restart"/>
            <w:vAlign w:val="center"/>
          </w:tcPr>
          <w:p>
            <w:pPr>
              <w:tabs>
                <w:tab w:val="left" w:pos="3560"/>
              </w:tabs>
              <w:jc w:val="center"/>
              <w:rPr>
                <w:color w:val="000000"/>
              </w:rPr>
            </w:pPr>
            <w:r>
              <w:rPr>
                <w:rFonts w:hint="eastAsia"/>
                <w:color w:val="000000"/>
              </w:rPr>
              <w:t>可再生能源提供的电量比例</w:t>
            </w:r>
          </w:p>
        </w:tc>
        <w:tc>
          <w:tcPr>
            <w:tcW w:w="2841" w:type="dxa"/>
            <w:vAlign w:val="top"/>
          </w:tcPr>
          <w:p>
            <w:pPr>
              <w:tabs>
                <w:tab w:val="left" w:pos="3560"/>
              </w:tabs>
              <w:jc w:val="center"/>
              <w:rPr>
                <w:color w:val="000000"/>
              </w:rPr>
            </w:pPr>
            <w:r>
              <w:rPr>
                <w:rFonts w:hint="eastAsia"/>
                <w:color w:val="000000"/>
              </w:rPr>
              <w:t>0.5%≤＜1.0%</w:t>
            </w:r>
          </w:p>
        </w:tc>
        <w:tc>
          <w:tcPr>
            <w:tcW w:w="2841" w:type="dxa"/>
            <w:vAlign w:val="top"/>
          </w:tcPr>
          <w:p>
            <w:pPr>
              <w:tabs>
                <w:tab w:val="left" w:pos="3560"/>
              </w:tabs>
              <w:jc w:val="center"/>
              <w:rPr>
                <w:color w:val="000000"/>
              </w:rPr>
            </w:pPr>
            <w:r>
              <w:rPr>
                <w:rFonts w:hint="eastAsia"/>
                <w:color w:val="000000"/>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Merge w:val="continue"/>
            <w:vAlign w:val="center"/>
          </w:tcPr>
          <w:p>
            <w:pPr>
              <w:tabs>
                <w:tab w:val="left" w:pos="3560"/>
              </w:tabs>
              <w:jc w:val="center"/>
              <w:rPr>
                <w:color w:val="000000"/>
              </w:rPr>
            </w:pPr>
          </w:p>
        </w:tc>
        <w:tc>
          <w:tcPr>
            <w:tcW w:w="2841" w:type="dxa"/>
            <w:vAlign w:val="top"/>
          </w:tcPr>
          <w:p>
            <w:pPr>
              <w:tabs>
                <w:tab w:val="left" w:pos="3560"/>
              </w:tabs>
              <w:jc w:val="center"/>
              <w:rPr>
                <w:color w:val="000000"/>
              </w:rPr>
            </w:pPr>
            <w:bookmarkStart w:id="75" w:name="OLE_LINK16"/>
            <w:bookmarkStart w:id="76" w:name="OLE_LINK15"/>
            <w:r>
              <w:rPr>
                <w:rFonts w:hint="eastAsia"/>
                <w:color w:val="000000"/>
              </w:rPr>
              <w:t>1.0%≤＜2.0%</w:t>
            </w:r>
            <w:bookmarkEnd w:id="75"/>
            <w:bookmarkEnd w:id="76"/>
          </w:p>
        </w:tc>
        <w:tc>
          <w:tcPr>
            <w:tcW w:w="2841" w:type="dxa"/>
            <w:vAlign w:val="top"/>
          </w:tcPr>
          <w:p>
            <w:pPr>
              <w:tabs>
                <w:tab w:val="left" w:pos="3560"/>
              </w:tabs>
              <w:jc w:val="center"/>
              <w:rPr>
                <w:color w:val="000000"/>
              </w:rPr>
            </w:pPr>
            <w:r>
              <w:rPr>
                <w:rFonts w:hint="eastAsia"/>
                <w:color w:val="000000"/>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840" w:type="dxa"/>
            <w:vMerge w:val="continue"/>
            <w:vAlign w:val="center"/>
          </w:tcPr>
          <w:p>
            <w:pPr>
              <w:tabs>
                <w:tab w:val="left" w:pos="3560"/>
              </w:tabs>
              <w:jc w:val="center"/>
              <w:rPr>
                <w:color w:val="000000"/>
              </w:rPr>
            </w:pPr>
          </w:p>
        </w:tc>
        <w:tc>
          <w:tcPr>
            <w:tcW w:w="2841" w:type="dxa"/>
            <w:vAlign w:val="top"/>
          </w:tcPr>
          <w:p>
            <w:pPr>
              <w:tabs>
                <w:tab w:val="left" w:pos="3560"/>
              </w:tabs>
              <w:jc w:val="center"/>
              <w:rPr>
                <w:color w:val="000000"/>
              </w:rPr>
            </w:pPr>
            <w:r>
              <w:rPr>
                <w:rFonts w:hint="eastAsia"/>
                <w:color w:val="000000"/>
              </w:rPr>
              <w:t>2.0%≤＜3.0%</w:t>
            </w:r>
          </w:p>
        </w:tc>
        <w:tc>
          <w:tcPr>
            <w:tcW w:w="2841" w:type="dxa"/>
            <w:vAlign w:val="top"/>
          </w:tcPr>
          <w:p>
            <w:pPr>
              <w:tabs>
                <w:tab w:val="left" w:pos="3560"/>
              </w:tabs>
              <w:jc w:val="center"/>
              <w:rPr>
                <w:color w:val="000000"/>
              </w:rPr>
            </w:pPr>
            <w:r>
              <w:rPr>
                <w:rFonts w:hint="eastAsia"/>
                <w:color w:val="000000"/>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Merge w:val="continue"/>
            <w:vAlign w:val="center"/>
          </w:tcPr>
          <w:p>
            <w:pPr>
              <w:tabs>
                <w:tab w:val="left" w:pos="3560"/>
              </w:tabs>
              <w:jc w:val="center"/>
              <w:rPr>
                <w:color w:val="000000"/>
              </w:rPr>
            </w:pPr>
          </w:p>
        </w:tc>
        <w:tc>
          <w:tcPr>
            <w:tcW w:w="2841" w:type="dxa"/>
            <w:vAlign w:val="top"/>
          </w:tcPr>
          <w:p>
            <w:pPr>
              <w:tabs>
                <w:tab w:val="left" w:pos="3560"/>
              </w:tabs>
              <w:jc w:val="center"/>
              <w:rPr>
                <w:color w:val="000000"/>
              </w:rPr>
            </w:pPr>
            <w:r>
              <w:rPr>
                <w:rFonts w:hint="eastAsia"/>
                <w:color w:val="000000"/>
              </w:rPr>
              <w:t>≥3.0%</w:t>
            </w:r>
          </w:p>
        </w:tc>
        <w:tc>
          <w:tcPr>
            <w:tcW w:w="2841" w:type="dxa"/>
            <w:vAlign w:val="top"/>
          </w:tcPr>
          <w:p>
            <w:pPr>
              <w:tabs>
                <w:tab w:val="left" w:pos="3560"/>
              </w:tabs>
              <w:jc w:val="center"/>
              <w:rPr>
                <w:color w:val="000000"/>
              </w:rPr>
            </w:pPr>
            <w:r>
              <w:rPr>
                <w:rFonts w:hint="eastAsia"/>
                <w:color w:val="000000"/>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Merge w:val="restart"/>
            <w:vAlign w:val="center"/>
          </w:tcPr>
          <w:p>
            <w:pPr>
              <w:tabs>
                <w:tab w:val="left" w:pos="3560"/>
              </w:tabs>
              <w:jc w:val="center"/>
              <w:rPr>
                <w:color w:val="000000"/>
              </w:rPr>
            </w:pPr>
            <w:r>
              <w:rPr>
                <w:rFonts w:hint="eastAsia"/>
                <w:color w:val="000000"/>
              </w:rPr>
              <w:t>可再生能源提供的空调用冷量和热量比例</w:t>
            </w:r>
          </w:p>
        </w:tc>
        <w:tc>
          <w:tcPr>
            <w:tcW w:w="2841" w:type="dxa"/>
            <w:vAlign w:val="top"/>
          </w:tcPr>
          <w:p>
            <w:pPr>
              <w:tabs>
                <w:tab w:val="left" w:pos="3560"/>
              </w:tabs>
              <w:jc w:val="center"/>
              <w:rPr>
                <w:color w:val="000000"/>
              </w:rPr>
            </w:pPr>
            <w:r>
              <w:rPr>
                <w:rFonts w:hint="eastAsia"/>
                <w:color w:val="000000"/>
              </w:rPr>
              <w:t>10%≤＜20%</w:t>
            </w:r>
          </w:p>
        </w:tc>
        <w:tc>
          <w:tcPr>
            <w:tcW w:w="2841" w:type="dxa"/>
            <w:vAlign w:val="top"/>
          </w:tcPr>
          <w:p>
            <w:pPr>
              <w:tabs>
                <w:tab w:val="left" w:pos="3560"/>
              </w:tabs>
              <w:jc w:val="center"/>
              <w:rPr>
                <w:color w:val="000000"/>
              </w:rPr>
            </w:pPr>
            <w:r>
              <w:rPr>
                <w:rFonts w:hint="eastAsia"/>
                <w:color w:val="000000"/>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Merge w:val="continue"/>
            <w:vAlign w:val="top"/>
          </w:tcPr>
          <w:p>
            <w:pPr>
              <w:tabs>
                <w:tab w:val="left" w:pos="3560"/>
              </w:tabs>
              <w:rPr>
                <w:color w:val="000000"/>
              </w:rPr>
            </w:pPr>
          </w:p>
        </w:tc>
        <w:tc>
          <w:tcPr>
            <w:tcW w:w="2841" w:type="dxa"/>
            <w:vAlign w:val="top"/>
          </w:tcPr>
          <w:p>
            <w:pPr>
              <w:tabs>
                <w:tab w:val="left" w:pos="3560"/>
              </w:tabs>
              <w:jc w:val="center"/>
              <w:rPr>
                <w:color w:val="000000"/>
              </w:rPr>
            </w:pPr>
            <w:bookmarkStart w:id="77" w:name="OLE_LINK24"/>
            <w:bookmarkStart w:id="78" w:name="OLE_LINK17"/>
            <w:r>
              <w:rPr>
                <w:rFonts w:hint="eastAsia"/>
                <w:color w:val="000000"/>
              </w:rPr>
              <w:t>20%≤＜30%</w:t>
            </w:r>
            <w:bookmarkEnd w:id="77"/>
            <w:bookmarkEnd w:id="78"/>
          </w:p>
        </w:tc>
        <w:tc>
          <w:tcPr>
            <w:tcW w:w="2841" w:type="dxa"/>
            <w:vAlign w:val="top"/>
          </w:tcPr>
          <w:p>
            <w:pPr>
              <w:tabs>
                <w:tab w:val="left" w:pos="3560"/>
              </w:tabs>
              <w:jc w:val="center"/>
              <w:rPr>
                <w:color w:val="000000"/>
              </w:rPr>
            </w:pPr>
            <w:r>
              <w:rPr>
                <w:rFonts w:hint="eastAsia"/>
                <w:color w:val="000000"/>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840" w:type="dxa"/>
            <w:vMerge w:val="continue"/>
            <w:vAlign w:val="top"/>
          </w:tcPr>
          <w:p>
            <w:pPr>
              <w:tabs>
                <w:tab w:val="left" w:pos="3560"/>
              </w:tabs>
              <w:rPr>
                <w:color w:val="000000"/>
              </w:rPr>
            </w:pPr>
          </w:p>
        </w:tc>
        <w:tc>
          <w:tcPr>
            <w:tcW w:w="2841" w:type="dxa"/>
            <w:vAlign w:val="top"/>
          </w:tcPr>
          <w:p>
            <w:pPr>
              <w:tabs>
                <w:tab w:val="left" w:pos="3560"/>
              </w:tabs>
              <w:jc w:val="center"/>
              <w:rPr>
                <w:color w:val="000000"/>
              </w:rPr>
            </w:pPr>
            <w:r>
              <w:rPr>
                <w:rFonts w:hint="eastAsia"/>
                <w:color w:val="000000"/>
              </w:rPr>
              <w:t>30%≤＜40%</w:t>
            </w:r>
          </w:p>
        </w:tc>
        <w:tc>
          <w:tcPr>
            <w:tcW w:w="2841" w:type="dxa"/>
            <w:vAlign w:val="top"/>
          </w:tcPr>
          <w:p>
            <w:pPr>
              <w:tabs>
                <w:tab w:val="left" w:pos="3560"/>
              </w:tabs>
              <w:jc w:val="center"/>
              <w:rPr>
                <w:color w:val="000000"/>
              </w:rPr>
            </w:pPr>
            <w:r>
              <w:rPr>
                <w:rFonts w:hint="eastAsia"/>
                <w:color w:val="000000"/>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Merge w:val="continue"/>
            <w:vAlign w:val="top"/>
          </w:tcPr>
          <w:p>
            <w:pPr>
              <w:tabs>
                <w:tab w:val="left" w:pos="3560"/>
              </w:tabs>
              <w:rPr>
                <w:color w:val="000000"/>
              </w:rPr>
            </w:pPr>
          </w:p>
        </w:tc>
        <w:tc>
          <w:tcPr>
            <w:tcW w:w="2841" w:type="dxa"/>
            <w:vAlign w:val="top"/>
          </w:tcPr>
          <w:p>
            <w:pPr>
              <w:tabs>
                <w:tab w:val="left" w:pos="3560"/>
              </w:tabs>
              <w:jc w:val="center"/>
              <w:rPr>
                <w:color w:val="000000"/>
              </w:rPr>
            </w:pPr>
            <w:r>
              <w:rPr>
                <w:rFonts w:hint="eastAsia"/>
                <w:color w:val="000000"/>
              </w:rPr>
              <w:t>≥40%</w:t>
            </w:r>
          </w:p>
        </w:tc>
        <w:tc>
          <w:tcPr>
            <w:tcW w:w="2841" w:type="dxa"/>
            <w:vAlign w:val="top"/>
          </w:tcPr>
          <w:p>
            <w:pPr>
              <w:tabs>
                <w:tab w:val="left" w:pos="3560"/>
              </w:tabs>
              <w:jc w:val="center"/>
              <w:rPr>
                <w:color w:val="000000"/>
              </w:rPr>
            </w:pPr>
            <w:r>
              <w:rPr>
                <w:rFonts w:hint="eastAsia"/>
                <w:color w:val="000000"/>
              </w:rPr>
              <w:t>8</w:t>
            </w:r>
          </w:p>
        </w:tc>
      </w:tr>
    </w:tbl>
    <w:p>
      <w:pPr>
        <w:pStyle w:val="87"/>
        <w:spacing w:line="360" w:lineRule="auto"/>
        <w:ind w:firstLine="0" w:firstLineChars="0"/>
        <w:outlineLvl w:val="9"/>
        <w:rPr>
          <w:rFonts w:ascii="仿宋" w:hAnsi="仿宋" w:eastAsia="仿宋"/>
          <w:color w:val="FF0000"/>
        </w:rPr>
      </w:pPr>
      <w:r>
        <w:rPr>
          <w:rFonts w:hint="eastAsia" w:ascii="仿宋" w:hAnsi="仿宋" w:eastAsia="仿宋"/>
          <w:color w:val="FF0000"/>
        </w:rPr>
        <w:t>【条文说明】该条文调整比较大，考虑到深圳土地资源比较稀缺，建筑以高层居多，太阳能利用方式主要以热和发电为主，可安装面积相对有限。降低可再生能源指标要求，调整总分，从10分调整为8分。本条适用于各类民用建筑的设计、运行评价。本条分别对由可再生能源提供的生活热水比例、空调用冷量和热量比例、电量比例进行分档评分。当建筑的可再生能源利用不止一种用途时，可各自评分并累计；当累计得分超过8分时，应取为</w:t>
      </w:r>
      <w:r>
        <w:rPr>
          <w:rFonts w:ascii="仿宋" w:hAnsi="仿宋" w:eastAsia="仿宋"/>
          <w:color w:val="FF0000"/>
        </w:rPr>
        <w:t xml:space="preserve"> </w:t>
      </w:r>
      <w:r>
        <w:rPr>
          <w:rFonts w:hint="eastAsia" w:ascii="仿宋" w:hAnsi="仿宋" w:eastAsia="仿宋"/>
          <w:color w:val="FF0000"/>
        </w:rPr>
        <w:t>8分。</w:t>
      </w:r>
    </w:p>
    <w:p>
      <w:pPr>
        <w:pStyle w:val="87"/>
        <w:spacing w:line="360" w:lineRule="auto"/>
        <w:ind w:firstLine="0" w:firstLineChars="0"/>
        <w:outlineLvl w:val="9"/>
        <w:rPr>
          <w:rFonts w:ascii="仿宋" w:hAnsi="仿宋" w:eastAsia="仿宋"/>
          <w:color w:val="FF0000"/>
        </w:rPr>
      </w:pPr>
      <w:r>
        <w:rPr>
          <w:rFonts w:hint="eastAsia" w:ascii="仿宋" w:hAnsi="仿宋" w:eastAsia="仿宋"/>
          <w:color w:val="FF0000"/>
        </w:rPr>
        <w:t>1、对于可再生能源提供的生活热水比例，住宅可仍沿用住户比例的判别方式（运行阶段应</w:t>
      </w:r>
      <w:r>
        <w:rPr>
          <w:rFonts w:ascii="仿宋" w:hAnsi="仿宋" w:eastAsia="仿宋"/>
          <w:color w:val="FF0000"/>
        </w:rPr>
        <w:t xml:space="preserve"> </w:t>
      </w:r>
      <w:r>
        <w:rPr>
          <w:rFonts w:hint="eastAsia" w:ascii="仿宋" w:hAnsi="仿宋" w:eastAsia="仿宋"/>
          <w:color w:val="FF0000"/>
        </w:rPr>
        <w:t>取实际入住户数），如采用太阳能热水器等提供生活热水的住户比例达到表7.2.13所要求的数值，即可得相应分（但仍需校核太阳能热水系统的供热水能力是否与相应住户数量相匹配，尤其是集中式系统和集中分散式系统。而对于公共建筑以及采用公共洗浴形式的居住建筑，则设计阶段应计算可再生能源对生活热水的设计小时供热量与生活热水的设计小时加热耗热量（参见国家标准《建筑给水排水设计规范》</w:t>
      </w:r>
      <w:r>
        <w:rPr>
          <w:rFonts w:ascii="仿宋" w:hAnsi="仿宋" w:eastAsia="仿宋"/>
          <w:color w:val="FF0000"/>
        </w:rPr>
        <w:t>GB5001</w:t>
      </w:r>
      <w:r>
        <w:rPr>
          <w:rFonts w:hint="eastAsia" w:ascii="仿宋" w:hAnsi="仿宋" w:eastAsia="仿宋"/>
          <w:color w:val="FF0000"/>
        </w:rPr>
        <w:t>5）的比例（其中己考虑贮水箱作用）</w:t>
      </w:r>
      <w:r>
        <w:rPr>
          <w:rFonts w:ascii="仿宋" w:hAnsi="仿宋" w:eastAsia="仿宋"/>
          <w:color w:val="FF0000"/>
        </w:rPr>
        <w:t>；</w:t>
      </w:r>
      <w:r>
        <w:rPr>
          <w:rFonts w:hint="eastAsia" w:ascii="仿宋" w:hAnsi="仿宋" w:eastAsia="仿宋"/>
          <w:color w:val="FF0000"/>
        </w:rPr>
        <w:t>运行阶段则应以全年为周期，计算可再生能源对于生活热水的加热量（不含辅助加热）与所消耗生活热水的总耗热量之比。特别地，对于存在稳定热水需求的居住建筑或公共建筑，若采用较高效的空气源热泵提供生活热水（热泵能效等级需要达到《热泵热水机（器）能效限定值及能效等级》</w:t>
      </w:r>
      <w:r>
        <w:rPr>
          <w:rFonts w:ascii="仿宋" w:hAnsi="仿宋" w:eastAsia="仿宋"/>
          <w:color w:val="FF0000"/>
        </w:rPr>
        <w:t>GB 29541-2013</w:t>
      </w:r>
      <w:r>
        <w:rPr>
          <w:rFonts w:hint="eastAsia" w:ascii="仿宋" w:hAnsi="仿宋" w:eastAsia="仿宋"/>
          <w:color w:val="FF0000"/>
        </w:rPr>
        <w:t>中的2级能效），也可在本条得分，具体评价同前；</w:t>
      </w:r>
    </w:p>
    <w:p>
      <w:pPr>
        <w:pStyle w:val="87"/>
        <w:spacing w:line="360" w:lineRule="auto"/>
        <w:ind w:firstLine="0" w:firstLineChars="0"/>
        <w:outlineLvl w:val="9"/>
        <w:rPr>
          <w:rFonts w:ascii="仿宋" w:hAnsi="仿宋" w:eastAsia="仿宋"/>
          <w:color w:val="FF0000"/>
        </w:rPr>
      </w:pPr>
      <w:r>
        <w:rPr>
          <w:rFonts w:hint="eastAsia" w:ascii="仿宋" w:hAnsi="仿宋" w:eastAsia="仿宋"/>
          <w:color w:val="FF0000"/>
        </w:rPr>
        <w:t>2、对于可再生能源提供的空调用冷／热量，设计阶段可计算设计工况下可再生能源供冷／热的冷热源机组（如地／水热源泵）的供冷／热量（即将机组输入功率考虑在内）与空调系统总的冷</w:t>
      </w:r>
      <w:r>
        <w:rPr>
          <w:rFonts w:ascii="仿宋" w:hAnsi="仿宋" w:eastAsia="仿宋"/>
          <w:color w:val="FF0000"/>
        </w:rPr>
        <w:t xml:space="preserve"> </w:t>
      </w:r>
      <w:r>
        <w:rPr>
          <w:rFonts w:hint="eastAsia" w:ascii="仿宋" w:hAnsi="仿宋" w:eastAsia="仿宋"/>
          <w:color w:val="FF0000"/>
        </w:rPr>
        <w:t>／热负荷（冬季供热且夏季供冷的，可简单取冷量和热量的算术和）；运行阶段，同样应以全年的冷／热</w:t>
      </w:r>
      <w:r>
        <w:rPr>
          <w:rFonts w:ascii="仿宋" w:hAnsi="仿宋" w:eastAsia="仿宋"/>
          <w:color w:val="FF0000"/>
        </w:rPr>
        <w:t xml:space="preserve"> </w:t>
      </w:r>
      <w:r>
        <w:rPr>
          <w:rFonts w:hint="eastAsia" w:ascii="仿宋" w:hAnsi="仿宋" w:eastAsia="仿宋"/>
          <w:color w:val="FF0000"/>
        </w:rPr>
        <w:t>量和来计算。对于配置了冷却塔、电加热等的复合式地源热泵空调系统，应以地埋管</w:t>
      </w:r>
      <w:r>
        <w:rPr>
          <w:rFonts w:ascii="仿宋" w:hAnsi="仿宋" w:eastAsia="仿宋"/>
          <w:color w:val="FF0000"/>
        </w:rPr>
        <w:t>、</w:t>
      </w:r>
      <w:r>
        <w:rPr>
          <w:rFonts w:hint="eastAsia" w:ascii="仿宋" w:hAnsi="仿宋" w:eastAsia="仿宋"/>
          <w:color w:val="FF0000"/>
        </w:rPr>
        <w:t>地下水等提供的冷</w:t>
      </w:r>
      <w:r>
        <w:rPr>
          <w:rFonts w:ascii="仿宋" w:hAnsi="仿宋" w:eastAsia="仿宋"/>
          <w:color w:val="FF0000"/>
        </w:rPr>
        <w:t xml:space="preserve"> </w:t>
      </w:r>
      <w:r>
        <w:rPr>
          <w:rFonts w:hint="eastAsia" w:ascii="仿宋" w:hAnsi="仿宋" w:eastAsia="仿宋"/>
          <w:color w:val="FF0000"/>
        </w:rPr>
        <w:t>／热量（不含辅助加热）乘以机组实际运行的性能系数来计算可再生能源提供的冷／热量；</w:t>
      </w:r>
    </w:p>
    <w:p>
      <w:pPr>
        <w:pStyle w:val="87"/>
        <w:spacing w:line="360" w:lineRule="auto"/>
        <w:ind w:firstLine="0" w:firstLineChars="0"/>
        <w:outlineLvl w:val="9"/>
        <w:rPr>
          <w:rFonts w:ascii="仿宋" w:hAnsi="仿宋" w:eastAsia="仿宋"/>
          <w:color w:val="FF0000"/>
        </w:rPr>
      </w:pPr>
      <w:r>
        <w:rPr>
          <w:rFonts w:hint="eastAsia" w:ascii="仿宋" w:hAnsi="仿宋" w:eastAsia="仿宋"/>
          <w:color w:val="FF0000"/>
        </w:rPr>
        <w:t>3、对于可再生能源提供的发电量，设计阶段可计算设计工况下可再生能源发电机组（如光伏板）的输出功率与供电系统设计负荷之比。运行阶段，同样应以全年的电量来计算。</w:t>
      </w:r>
    </w:p>
    <w:p>
      <w:pPr>
        <w:pStyle w:val="87"/>
        <w:spacing w:line="360" w:lineRule="auto"/>
        <w:ind w:firstLine="0" w:firstLineChars="0"/>
        <w:outlineLvl w:val="9"/>
        <w:rPr>
          <w:rFonts w:ascii="仿宋" w:hAnsi="仿宋" w:eastAsia="仿宋"/>
          <w:color w:val="FF0000"/>
        </w:rPr>
      </w:pPr>
      <w:r>
        <w:rPr>
          <w:rFonts w:hint="eastAsia" w:ascii="仿宋" w:hAnsi="仿宋" w:eastAsia="仿宋"/>
          <w:color w:val="FF0000"/>
        </w:rPr>
        <w:t>本条的评价方法为：设计评价查阅相关设计文件、计算分析报告；运行评价查阅相关竣工图、计算分析报告，并现场核实。</w:t>
      </w:r>
    </w:p>
    <w:p>
      <w:pPr>
        <w:tabs>
          <w:tab w:val="left" w:pos="3560"/>
        </w:tabs>
        <w:spacing w:line="360" w:lineRule="auto"/>
        <w:rPr>
          <w:color w:val="000000"/>
          <w:sz w:val="24"/>
        </w:rPr>
      </w:pPr>
    </w:p>
    <w:p>
      <w:pPr>
        <w:pStyle w:val="2"/>
        <w:spacing w:before="240" w:after="240" w:line="360" w:lineRule="auto"/>
        <w:jc w:val="center"/>
        <w:rPr>
          <w:rFonts w:eastAsia="黑体"/>
          <w:sz w:val="28"/>
          <w:szCs w:val="24"/>
        </w:rPr>
      </w:pPr>
      <w:r>
        <w:br w:type="page"/>
      </w:r>
      <w:bookmarkStart w:id="79" w:name="_Toc449111670"/>
      <w:r>
        <w:rPr>
          <w:rFonts w:eastAsia="黑体"/>
          <w:sz w:val="28"/>
          <w:szCs w:val="24"/>
        </w:rPr>
        <w:t xml:space="preserve">8 </w:t>
      </w:r>
      <w:r>
        <w:rPr>
          <w:rFonts w:hint="eastAsia" w:eastAsia="黑体"/>
          <w:sz w:val="28"/>
          <w:szCs w:val="24"/>
        </w:rPr>
        <w:t>节水与水资源利用</w:t>
      </w:r>
      <w:bookmarkEnd w:id="79"/>
    </w:p>
    <w:p>
      <w:pPr>
        <w:pStyle w:val="3"/>
        <w:numPr>
          <w:ilvl w:val="0"/>
          <w:numId w:val="0"/>
        </w:numPr>
        <w:spacing w:before="120" w:after="120" w:line="240" w:lineRule="auto"/>
        <w:ind w:left="482" w:hanging="481" w:hangingChars="200"/>
        <w:jc w:val="center"/>
        <w:rPr>
          <w:rFonts w:ascii="Times New Roman" w:hAnsi="Times New Roman"/>
        </w:rPr>
      </w:pPr>
      <w:bookmarkStart w:id="80" w:name="_Toc449111671"/>
      <w:r>
        <w:rPr>
          <w:rFonts w:ascii="Times New Roman" w:hAnsi="Times New Roman"/>
        </w:rPr>
        <w:t xml:space="preserve">8.1 </w:t>
      </w:r>
      <w:r>
        <w:rPr>
          <w:rFonts w:hint="eastAsia" w:ascii="Times New Roman" w:hAnsi="Times New Roman"/>
        </w:rPr>
        <w:t>控制项</w:t>
      </w:r>
      <w:bookmarkEnd w:id="80"/>
    </w:p>
    <w:p>
      <w:pPr>
        <w:pStyle w:val="87"/>
        <w:spacing w:line="360" w:lineRule="auto"/>
        <w:ind w:firstLine="0" w:firstLineChars="0"/>
        <w:outlineLvl w:val="9"/>
        <w:rPr>
          <w:rFonts w:hAnsi="宋体"/>
          <w:bCs/>
        </w:rPr>
      </w:pPr>
      <w:r>
        <w:rPr>
          <w:rFonts w:hint="eastAsia"/>
          <w:b/>
          <w:bCs/>
        </w:rPr>
        <w:t>8</w:t>
      </w:r>
      <w:r>
        <w:rPr>
          <w:b/>
          <w:bCs/>
        </w:rPr>
        <w:t>.1.1</w:t>
      </w:r>
      <w:r>
        <w:rPr>
          <w:rFonts w:hAnsi="宋体"/>
          <w:bCs/>
        </w:rPr>
        <w:t>　应制定水资源利用方案，统筹利用各种水资源。</w:t>
      </w:r>
    </w:p>
    <w:p>
      <w:pPr>
        <w:pStyle w:val="87"/>
        <w:spacing w:line="360" w:lineRule="auto"/>
        <w:ind w:firstLine="0" w:firstLineChars="0"/>
        <w:outlineLvl w:val="9"/>
        <w:rPr>
          <w:rFonts w:ascii="仿宋" w:hAnsi="仿宋" w:eastAsia="仿宋"/>
          <w:color w:val="FF0000"/>
        </w:rPr>
      </w:pPr>
      <w:r>
        <w:rPr>
          <w:rFonts w:hint="eastAsia" w:ascii="仿宋" w:hAnsi="仿宋" w:eastAsia="仿宋"/>
          <w:color w:val="FF0000"/>
        </w:rPr>
        <w:t>【条文说明】与国家标准一致。本条文适用于各类民用建筑的设计、运行评价。在进行绿色建筑设计前，应充分了解项目所在区域的市政给排水条件、水资源状况、气候特点等实际情况，通过全面的分析研究，制定水资源利用方案，提高水资源循环利用率，减少市政供水量和污水排放量。</w:t>
      </w:r>
    </w:p>
    <w:p>
      <w:pPr>
        <w:pStyle w:val="87"/>
        <w:spacing w:line="360" w:lineRule="auto"/>
        <w:ind w:firstLine="0" w:firstLineChars="0"/>
        <w:outlineLvl w:val="9"/>
        <w:rPr>
          <w:bCs/>
        </w:rPr>
      </w:pPr>
    </w:p>
    <w:p>
      <w:pPr>
        <w:pStyle w:val="87"/>
        <w:spacing w:line="360" w:lineRule="auto"/>
        <w:ind w:firstLine="0" w:firstLineChars="0"/>
        <w:outlineLvl w:val="9"/>
        <w:rPr>
          <w:bCs/>
        </w:rPr>
      </w:pPr>
      <w:r>
        <w:rPr>
          <w:rFonts w:hint="eastAsia"/>
          <w:b/>
          <w:bCs/>
        </w:rPr>
        <w:t>8</w:t>
      </w:r>
      <w:r>
        <w:rPr>
          <w:b/>
          <w:bCs/>
        </w:rPr>
        <w:t>.1.</w:t>
      </w:r>
      <w:r>
        <w:rPr>
          <w:rFonts w:hint="eastAsia"/>
          <w:b/>
          <w:bCs/>
        </w:rPr>
        <w:t>2</w:t>
      </w:r>
      <w:r>
        <w:rPr>
          <w:rFonts w:hAnsi="宋体"/>
          <w:bCs/>
        </w:rPr>
        <w:t>　</w:t>
      </w:r>
      <w:r>
        <w:rPr>
          <w:rFonts w:hint="eastAsia" w:hAnsi="宋体"/>
          <w:bCs/>
        </w:rPr>
        <w:t>合理采用节水器具、设备和系统，总节水率不低于10%</w:t>
      </w:r>
      <w:r>
        <w:rPr>
          <w:rFonts w:hAnsi="宋体"/>
          <w:bCs/>
        </w:rPr>
        <w:t>。</w:t>
      </w:r>
    </w:p>
    <w:p>
      <w:pPr>
        <w:pStyle w:val="87"/>
        <w:spacing w:line="360" w:lineRule="auto"/>
        <w:ind w:firstLine="0" w:firstLineChars="0"/>
        <w:outlineLvl w:val="9"/>
        <w:rPr>
          <w:rFonts w:ascii="仿宋" w:hAnsi="仿宋" w:eastAsia="仿宋"/>
          <w:color w:val="FF0000"/>
        </w:rPr>
      </w:pPr>
      <w:r>
        <w:rPr>
          <w:rFonts w:hint="eastAsia" w:ascii="仿宋" w:hAnsi="仿宋" w:eastAsia="仿宋"/>
          <w:color w:val="FF0000"/>
        </w:rPr>
        <w:t>【条文说明】：修改条文。本条文强调室内节水的总效果需要满足一定限值要求。室内节水的范围包括大便器、小便器、水嘴、淋浴器、家电设备（洗衣机、洗碗机）等，不包括空调冷却塔用水。2012年9月由国家质检总局、水利部和全国节水办联合发布的《关于加强节水产品质量提升与推广普及工作的指导意见》中更明确要“联合制定用水产品水效标识管理办法，推动建立用水产品水效标识管理制度”。因此，绿色建筑评价中的用水器具、设备和系统的用水基准值按相关标准的限定值，如《水嘴用水效率限定值及用水效率等级》GB25501-2010、《坐便器用水效率限定值及用水效率等级》GB25502-2010、《小便器用水效率限定值及用水效率等级》GB28377-2012、《淋浴器用水效率限定值及用水效率等级》GB28378-2012、《便器冲洗阀用水效率限定值及用水效率等级》GB28379-2012，《电动洗衣机能效水效限定值及等级》GB 12021.4-2013、《家用和类似用途电动洗碗机》QBT 1520-2013分别对洗衣机和洗碗机等用水效率和等级有明确规定。如需要计算出室内用水量，除了需要得到用水洁具和设备的水量参数外，还需要知道使用人数，可以参照LEED标准中的计算基准：人员采用全职和兼职计算得到全时相当人数，人数计算还需要考虑访客和临时人员；默认的男女比例为50%、50%；办公建筑的使用天数定为250天（扣除节假日和周末），学校建筑使用天数还要扣除寒假和暑假；使用频次根据建筑类别合理确定（如办公楼1天1次大便2次小便）。</w:t>
      </w:r>
    </w:p>
    <w:p>
      <w:pPr>
        <w:pStyle w:val="3"/>
        <w:numPr>
          <w:ilvl w:val="0"/>
          <w:numId w:val="0"/>
        </w:numPr>
        <w:spacing w:before="120" w:after="120" w:line="240" w:lineRule="auto"/>
        <w:ind w:left="482" w:hanging="481" w:hangingChars="200"/>
        <w:jc w:val="center"/>
        <w:rPr>
          <w:rFonts w:ascii="Times New Roman" w:hAnsi="Times New Roman"/>
        </w:rPr>
      </w:pPr>
      <w:bookmarkStart w:id="81" w:name="_Toc449111672"/>
      <w:r>
        <w:rPr>
          <w:rFonts w:ascii="Times New Roman" w:hAnsi="Times New Roman"/>
        </w:rPr>
        <w:t xml:space="preserve">8.2 </w:t>
      </w:r>
      <w:r>
        <w:rPr>
          <w:rFonts w:hint="eastAsia" w:ascii="Times New Roman" w:hAnsi="Times New Roman"/>
        </w:rPr>
        <w:t>评分项</w:t>
      </w:r>
      <w:bookmarkEnd w:id="81"/>
    </w:p>
    <w:p>
      <w:pPr>
        <w:pStyle w:val="87"/>
        <w:spacing w:line="360" w:lineRule="auto"/>
        <w:ind w:firstLine="0" w:firstLineChars="0"/>
        <w:jc w:val="center"/>
      </w:pPr>
      <w:bookmarkStart w:id="82" w:name="_Toc449111673"/>
      <w:r>
        <w:rPr>
          <w:rFonts w:ascii="宋体" w:hAnsi="宋体"/>
        </w:rPr>
        <w:t>Ⅰ</w:t>
      </w:r>
      <w:r>
        <w:rPr>
          <w:rFonts w:hint="eastAsia" w:ascii="宋体" w:hAnsi="宋体"/>
        </w:rPr>
        <w:t xml:space="preserve"> </w:t>
      </w:r>
      <w:r>
        <w:rPr>
          <w:rFonts w:hAnsi="宋体"/>
        </w:rPr>
        <w:t>建筑</w:t>
      </w:r>
      <w:r>
        <w:rPr>
          <w:rFonts w:hint="eastAsia" w:hAnsi="宋体"/>
        </w:rPr>
        <w:t>水耗指标（30）</w:t>
      </w:r>
      <w:bookmarkEnd w:id="82"/>
    </w:p>
    <w:p>
      <w:pPr>
        <w:spacing w:line="360" w:lineRule="auto"/>
      </w:pPr>
      <w:r>
        <w:rPr>
          <w:rFonts w:hint="eastAsia"/>
          <w:b/>
          <w:bCs/>
          <w:szCs w:val="21"/>
        </w:rPr>
        <w:t>8</w:t>
      </w:r>
      <w:r>
        <w:rPr>
          <w:b/>
          <w:bCs/>
          <w:szCs w:val="21"/>
        </w:rPr>
        <w:t>.</w:t>
      </w:r>
      <w:r>
        <w:rPr>
          <w:rFonts w:hint="eastAsia"/>
          <w:b/>
          <w:bCs/>
          <w:szCs w:val="21"/>
        </w:rPr>
        <w:t>2</w:t>
      </w:r>
      <w:r>
        <w:rPr>
          <w:b/>
          <w:bCs/>
          <w:szCs w:val="21"/>
        </w:rPr>
        <w:t>.</w:t>
      </w:r>
      <w:r>
        <w:rPr>
          <w:rFonts w:hint="eastAsia"/>
          <w:b/>
          <w:bCs/>
          <w:szCs w:val="21"/>
        </w:rPr>
        <w:t>1</w:t>
      </w:r>
      <w:r>
        <w:rPr>
          <w:rFonts w:hAnsi="宋体"/>
          <w:bCs/>
          <w:szCs w:val="21"/>
        </w:rPr>
        <w:t>　</w:t>
      </w:r>
      <w:r>
        <w:rPr>
          <w:rFonts w:hint="eastAsia" w:hAnsi="宋体"/>
          <w:bCs/>
          <w:sz w:val="24"/>
        </w:rPr>
        <w:t>建筑室内水耗指标比优于现行有关国家、广东省和深圳市用水限定值的要求，评价总分值为30分，</w:t>
      </w:r>
      <w:r>
        <w:rPr>
          <w:rFonts w:hAnsi="宋体"/>
          <w:bCs/>
          <w:sz w:val="24"/>
        </w:rPr>
        <w:t>并按下列规则评分。</w:t>
      </w:r>
    </w:p>
    <w:p>
      <w:pPr>
        <w:jc w:val="center"/>
      </w:pPr>
      <w:r>
        <w:rPr>
          <w:rFonts w:hint="eastAsia"/>
        </w:rPr>
        <w:t>表8.2.1 建筑水耗指标降低幅度评分规则</w:t>
      </w:r>
    </w:p>
    <w:tbl>
      <w:tblPr>
        <w:tblStyle w:val="38"/>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40"/>
        <w:gridCol w:w="2841"/>
        <w:gridCol w:w="28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81" w:type="dxa"/>
            <w:gridSpan w:val="2"/>
            <w:vAlign w:val="top"/>
          </w:tcPr>
          <w:p>
            <w:pPr>
              <w:jc w:val="center"/>
              <w:rPr>
                <w:color w:val="000000"/>
                <w:szCs w:val="21"/>
              </w:rPr>
            </w:pPr>
            <w:r>
              <w:rPr>
                <w:rFonts w:hint="eastAsia"/>
              </w:rPr>
              <w:t>建筑室内水耗指标降低幅度</w:t>
            </w:r>
          </w:p>
        </w:tc>
        <w:tc>
          <w:tcPr>
            <w:tcW w:w="2841" w:type="dxa"/>
            <w:vMerge w:val="restart"/>
            <w:vAlign w:val="center"/>
          </w:tcPr>
          <w:p>
            <w:pPr>
              <w:jc w:val="center"/>
              <w:rPr>
                <w:color w:val="000000"/>
                <w:szCs w:val="21"/>
              </w:rPr>
            </w:pPr>
            <w:r>
              <w:rPr>
                <w:rFonts w:hint="eastAsia"/>
                <w:color w:val="000000"/>
                <w:szCs w:val="21"/>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jc w:val="center"/>
              <w:rPr>
                <w:color w:val="000000"/>
                <w:szCs w:val="21"/>
              </w:rPr>
            </w:pPr>
            <w:r>
              <w:rPr>
                <w:rFonts w:hint="eastAsia"/>
                <w:color w:val="000000"/>
                <w:szCs w:val="21"/>
              </w:rPr>
              <w:t>居住建筑</w:t>
            </w:r>
          </w:p>
        </w:tc>
        <w:tc>
          <w:tcPr>
            <w:tcW w:w="2841" w:type="dxa"/>
            <w:vAlign w:val="top"/>
          </w:tcPr>
          <w:p>
            <w:pPr>
              <w:jc w:val="center"/>
              <w:rPr>
                <w:color w:val="000000"/>
                <w:szCs w:val="21"/>
              </w:rPr>
            </w:pPr>
            <w:r>
              <w:rPr>
                <w:rFonts w:hint="eastAsia"/>
                <w:color w:val="000000"/>
                <w:szCs w:val="21"/>
              </w:rPr>
              <w:t>公共建筑</w:t>
            </w:r>
          </w:p>
        </w:tc>
        <w:tc>
          <w:tcPr>
            <w:tcW w:w="2841" w:type="dxa"/>
            <w:vMerge w:val="continue"/>
            <w:vAlign w:val="top"/>
          </w:tcPr>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jc w:val="center"/>
              <w:rPr>
                <w:color w:val="000000"/>
                <w:szCs w:val="21"/>
              </w:rPr>
            </w:pPr>
            <w:r>
              <w:rPr>
                <w:rFonts w:hint="eastAsia"/>
                <w:color w:val="000000"/>
                <w:szCs w:val="21"/>
              </w:rPr>
              <w:t>15%</w:t>
            </w:r>
          </w:p>
        </w:tc>
        <w:tc>
          <w:tcPr>
            <w:tcW w:w="2841" w:type="dxa"/>
            <w:vAlign w:val="top"/>
          </w:tcPr>
          <w:p>
            <w:pPr>
              <w:jc w:val="center"/>
              <w:rPr>
                <w:color w:val="000000"/>
                <w:szCs w:val="21"/>
              </w:rPr>
            </w:pPr>
            <w:r>
              <w:rPr>
                <w:rFonts w:hint="eastAsia"/>
                <w:color w:val="000000"/>
                <w:szCs w:val="21"/>
              </w:rPr>
              <w:t>20%</w:t>
            </w:r>
          </w:p>
        </w:tc>
        <w:tc>
          <w:tcPr>
            <w:tcW w:w="2841" w:type="dxa"/>
            <w:vAlign w:val="top"/>
          </w:tcPr>
          <w:p>
            <w:pPr>
              <w:jc w:val="center"/>
              <w:rPr>
                <w:color w:val="000000"/>
                <w:szCs w:val="21"/>
              </w:rPr>
            </w:pPr>
            <w:r>
              <w:rPr>
                <w:rFonts w:hint="eastAsia"/>
                <w:color w:val="000000"/>
                <w:szCs w:val="21"/>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840" w:type="dxa"/>
            <w:vAlign w:val="top"/>
          </w:tcPr>
          <w:p>
            <w:pPr>
              <w:jc w:val="center"/>
              <w:rPr>
                <w:color w:val="000000"/>
                <w:szCs w:val="21"/>
              </w:rPr>
            </w:pPr>
            <w:r>
              <w:rPr>
                <w:rFonts w:hint="eastAsia"/>
                <w:color w:val="000000"/>
                <w:szCs w:val="21"/>
              </w:rPr>
              <w:t>20%</w:t>
            </w:r>
          </w:p>
        </w:tc>
        <w:tc>
          <w:tcPr>
            <w:tcW w:w="2841" w:type="dxa"/>
            <w:vAlign w:val="top"/>
          </w:tcPr>
          <w:p>
            <w:pPr>
              <w:jc w:val="center"/>
              <w:rPr>
                <w:color w:val="000000"/>
                <w:szCs w:val="21"/>
              </w:rPr>
            </w:pPr>
            <w:r>
              <w:rPr>
                <w:rFonts w:hint="eastAsia"/>
                <w:color w:val="000000"/>
                <w:szCs w:val="21"/>
              </w:rPr>
              <w:t>25%</w:t>
            </w:r>
          </w:p>
        </w:tc>
        <w:tc>
          <w:tcPr>
            <w:tcW w:w="2841" w:type="dxa"/>
            <w:vAlign w:val="top"/>
          </w:tcPr>
          <w:p>
            <w:pPr>
              <w:jc w:val="center"/>
              <w:rPr>
                <w:color w:val="000000"/>
                <w:szCs w:val="21"/>
              </w:rPr>
            </w:pPr>
            <w:r>
              <w:rPr>
                <w:rFonts w:hint="eastAsia"/>
                <w:color w:val="000000"/>
                <w:szCs w:val="21"/>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jc w:val="center"/>
              <w:rPr>
                <w:color w:val="000000"/>
                <w:szCs w:val="21"/>
              </w:rPr>
            </w:pPr>
            <w:r>
              <w:rPr>
                <w:rFonts w:hint="eastAsia"/>
                <w:color w:val="000000"/>
                <w:szCs w:val="21"/>
              </w:rPr>
              <w:t>25%</w:t>
            </w:r>
          </w:p>
        </w:tc>
        <w:tc>
          <w:tcPr>
            <w:tcW w:w="2841" w:type="dxa"/>
            <w:vAlign w:val="top"/>
          </w:tcPr>
          <w:p>
            <w:pPr>
              <w:jc w:val="center"/>
              <w:rPr>
                <w:color w:val="000000"/>
                <w:szCs w:val="21"/>
              </w:rPr>
            </w:pPr>
            <w:r>
              <w:rPr>
                <w:rFonts w:hint="eastAsia"/>
                <w:color w:val="000000"/>
                <w:szCs w:val="21"/>
              </w:rPr>
              <w:t>30%</w:t>
            </w:r>
          </w:p>
        </w:tc>
        <w:tc>
          <w:tcPr>
            <w:tcW w:w="2841" w:type="dxa"/>
            <w:vAlign w:val="top"/>
          </w:tcPr>
          <w:p>
            <w:pPr>
              <w:jc w:val="center"/>
              <w:rPr>
                <w:color w:val="000000"/>
                <w:szCs w:val="21"/>
              </w:rPr>
            </w:pPr>
            <w:r>
              <w:rPr>
                <w:rFonts w:hint="eastAsia"/>
                <w:color w:val="000000"/>
                <w:szCs w:val="21"/>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jc w:val="center"/>
              <w:rPr>
                <w:color w:val="000000"/>
                <w:szCs w:val="21"/>
              </w:rPr>
            </w:pPr>
            <w:r>
              <w:rPr>
                <w:rFonts w:hint="eastAsia"/>
                <w:color w:val="000000"/>
                <w:szCs w:val="21"/>
              </w:rPr>
              <w:t>30%</w:t>
            </w:r>
          </w:p>
        </w:tc>
        <w:tc>
          <w:tcPr>
            <w:tcW w:w="2841" w:type="dxa"/>
            <w:vAlign w:val="top"/>
          </w:tcPr>
          <w:p>
            <w:pPr>
              <w:jc w:val="center"/>
              <w:rPr>
                <w:color w:val="000000"/>
                <w:szCs w:val="21"/>
              </w:rPr>
            </w:pPr>
            <w:r>
              <w:rPr>
                <w:rFonts w:hint="eastAsia"/>
                <w:color w:val="000000"/>
                <w:szCs w:val="21"/>
              </w:rPr>
              <w:t>35%</w:t>
            </w:r>
          </w:p>
        </w:tc>
        <w:tc>
          <w:tcPr>
            <w:tcW w:w="2841" w:type="dxa"/>
            <w:vAlign w:val="top"/>
          </w:tcPr>
          <w:p>
            <w:pPr>
              <w:jc w:val="center"/>
              <w:rPr>
                <w:color w:val="000000"/>
                <w:szCs w:val="21"/>
              </w:rPr>
            </w:pPr>
            <w:r>
              <w:rPr>
                <w:rFonts w:hint="eastAsia"/>
                <w:color w:val="000000"/>
                <w:szCs w:val="21"/>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jc w:val="center"/>
              <w:rPr>
                <w:color w:val="000000"/>
                <w:szCs w:val="21"/>
              </w:rPr>
            </w:pPr>
            <w:r>
              <w:rPr>
                <w:rFonts w:hint="eastAsia"/>
                <w:color w:val="000000"/>
                <w:szCs w:val="21"/>
              </w:rPr>
              <w:t>35%</w:t>
            </w:r>
          </w:p>
        </w:tc>
        <w:tc>
          <w:tcPr>
            <w:tcW w:w="2841" w:type="dxa"/>
            <w:vAlign w:val="top"/>
          </w:tcPr>
          <w:p>
            <w:pPr>
              <w:jc w:val="center"/>
              <w:rPr>
                <w:szCs w:val="21"/>
              </w:rPr>
            </w:pPr>
            <w:r>
              <w:rPr>
                <w:rFonts w:hint="eastAsia"/>
                <w:szCs w:val="21"/>
              </w:rPr>
              <w:t>40%</w:t>
            </w:r>
          </w:p>
        </w:tc>
        <w:tc>
          <w:tcPr>
            <w:tcW w:w="2841" w:type="dxa"/>
            <w:vAlign w:val="top"/>
          </w:tcPr>
          <w:p>
            <w:pPr>
              <w:jc w:val="center"/>
              <w:rPr>
                <w:color w:val="000000"/>
                <w:szCs w:val="21"/>
              </w:rPr>
            </w:pPr>
            <w:r>
              <w:rPr>
                <w:rFonts w:hint="eastAsia"/>
                <w:color w:val="000000"/>
                <w:szCs w:val="21"/>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840" w:type="dxa"/>
            <w:vAlign w:val="top"/>
          </w:tcPr>
          <w:p>
            <w:pPr>
              <w:jc w:val="center"/>
              <w:rPr>
                <w:color w:val="000000"/>
                <w:szCs w:val="21"/>
              </w:rPr>
            </w:pPr>
            <w:r>
              <w:rPr>
                <w:rFonts w:hint="eastAsia"/>
                <w:color w:val="000000"/>
                <w:szCs w:val="21"/>
              </w:rPr>
              <w:t>40%</w:t>
            </w:r>
          </w:p>
        </w:tc>
        <w:tc>
          <w:tcPr>
            <w:tcW w:w="2841" w:type="dxa"/>
            <w:vAlign w:val="top"/>
          </w:tcPr>
          <w:p>
            <w:pPr>
              <w:jc w:val="center"/>
              <w:rPr>
                <w:szCs w:val="21"/>
              </w:rPr>
            </w:pPr>
            <w:r>
              <w:rPr>
                <w:rFonts w:hint="eastAsia"/>
                <w:szCs w:val="21"/>
              </w:rPr>
              <w:t>50%</w:t>
            </w:r>
          </w:p>
        </w:tc>
        <w:tc>
          <w:tcPr>
            <w:tcW w:w="2841" w:type="dxa"/>
            <w:vAlign w:val="top"/>
          </w:tcPr>
          <w:p>
            <w:pPr>
              <w:jc w:val="center"/>
              <w:rPr>
                <w:color w:val="000000"/>
                <w:szCs w:val="21"/>
              </w:rPr>
            </w:pPr>
            <w:r>
              <w:rPr>
                <w:rFonts w:hint="eastAsia"/>
                <w:color w:val="000000"/>
                <w:szCs w:val="21"/>
              </w:rPr>
              <w:t>30</w:t>
            </w:r>
          </w:p>
        </w:tc>
      </w:tr>
    </w:tbl>
    <w:p>
      <w:pPr>
        <w:pStyle w:val="87"/>
        <w:ind w:firstLine="0" w:firstLineChars="0"/>
        <w:outlineLvl w:val="9"/>
        <w:rPr>
          <w:bCs/>
          <w:sz w:val="21"/>
          <w:szCs w:val="21"/>
        </w:rPr>
      </w:pPr>
    </w:p>
    <w:p>
      <w:pPr>
        <w:pStyle w:val="87"/>
        <w:spacing w:line="360" w:lineRule="auto"/>
        <w:ind w:firstLine="0" w:firstLineChars="0"/>
        <w:outlineLvl w:val="9"/>
        <w:rPr>
          <w:rFonts w:ascii="仿宋" w:hAnsi="仿宋" w:eastAsia="仿宋"/>
          <w:color w:val="FF0000"/>
        </w:rPr>
      </w:pPr>
      <w:r>
        <w:rPr>
          <w:rFonts w:hint="eastAsia" w:ascii="仿宋" w:hAnsi="仿宋" w:eastAsia="仿宋"/>
          <w:color w:val="FF0000"/>
        </w:rPr>
        <w:t>【条文说明】将国家标准中的6.2.1,6.2.6， 6.2.10,6.2.11条文均合并成为室内水耗综合指标。计算方式按照8.1.2条文的要求进行。根据相关统计，建筑工业化可以降低79%的施工水耗，</w:t>
      </w:r>
      <w:bookmarkStart w:id="83" w:name="OLE_LINK30"/>
      <w:bookmarkStart w:id="84" w:name="OLE_LINK31"/>
      <w:r>
        <w:rPr>
          <w:rFonts w:hint="eastAsia" w:ascii="仿宋" w:hAnsi="仿宋" w:eastAsia="仿宋"/>
          <w:color w:val="FF0000"/>
        </w:rPr>
        <w:t>装配率不低于30%，附加3分；装配率不低于50%且预制率不低于15%，附加5分</w:t>
      </w:r>
      <w:bookmarkEnd w:id="83"/>
      <w:bookmarkEnd w:id="84"/>
      <w:r>
        <w:rPr>
          <w:rFonts w:hint="eastAsia" w:ascii="仿宋" w:hAnsi="仿宋" w:eastAsia="仿宋"/>
          <w:color w:val="FF0000"/>
        </w:rPr>
        <w:t>。对于钢结构建筑，装配率不低于30%，附加3分；装配率不低于50%，附加5分。具体计算参照8.1.2条文。</w:t>
      </w:r>
    </w:p>
    <w:p>
      <w:pPr>
        <w:pStyle w:val="87"/>
        <w:spacing w:line="360" w:lineRule="auto"/>
        <w:ind w:firstLine="0" w:firstLineChars="0"/>
        <w:outlineLvl w:val="9"/>
        <w:rPr>
          <w:rFonts w:ascii="仿宋" w:hAnsi="仿宋" w:eastAsia="仿宋"/>
          <w:color w:val="FF0000"/>
        </w:rPr>
      </w:pPr>
    </w:p>
    <w:p>
      <w:pPr>
        <w:pStyle w:val="87"/>
        <w:spacing w:line="360" w:lineRule="auto"/>
        <w:ind w:firstLine="0" w:firstLineChars="0"/>
        <w:outlineLvl w:val="9"/>
        <w:rPr>
          <w:rFonts w:ascii="仿宋" w:hAnsi="仿宋" w:eastAsia="仿宋"/>
          <w:color w:val="FF0000"/>
        </w:rPr>
      </w:pPr>
    </w:p>
    <w:p>
      <w:pPr>
        <w:spacing w:line="360" w:lineRule="auto"/>
        <w:rPr>
          <w:sz w:val="24"/>
        </w:rPr>
      </w:pPr>
    </w:p>
    <w:p>
      <w:pPr>
        <w:pStyle w:val="87"/>
        <w:ind w:firstLine="0" w:firstLineChars="0"/>
        <w:jc w:val="center"/>
      </w:pPr>
      <w:bookmarkStart w:id="85" w:name="_Toc449111674"/>
      <w:r>
        <w:rPr>
          <w:rFonts w:hint="eastAsia" w:ascii="宋体" w:hAnsi="宋体"/>
        </w:rPr>
        <w:t xml:space="preserve">Ⅱ </w:t>
      </w:r>
      <w:r>
        <w:rPr>
          <w:rFonts w:hint="eastAsia" w:hAnsi="宋体"/>
        </w:rPr>
        <w:t>节水系统（21）</w:t>
      </w:r>
      <w:bookmarkEnd w:id="85"/>
    </w:p>
    <w:p>
      <w:pPr>
        <w:pStyle w:val="87"/>
        <w:spacing w:line="360" w:lineRule="auto"/>
        <w:ind w:firstLine="0" w:firstLineChars="0"/>
        <w:outlineLvl w:val="9"/>
        <w:rPr>
          <w:bCs/>
        </w:rPr>
      </w:pPr>
      <w:r>
        <w:rPr>
          <w:rFonts w:hint="eastAsia"/>
          <w:b/>
          <w:bCs/>
        </w:rPr>
        <w:t>8</w:t>
      </w:r>
      <w:r>
        <w:rPr>
          <w:b/>
          <w:bCs/>
        </w:rPr>
        <w:t>.2.2</w:t>
      </w:r>
      <w:r>
        <w:rPr>
          <w:rFonts w:hAnsi="宋体"/>
          <w:bCs/>
        </w:rPr>
        <w:t>　采取有效措施避免管网漏损，评价总分值为</w:t>
      </w:r>
      <w:r>
        <w:rPr>
          <w:rFonts w:hint="eastAsia"/>
          <w:bCs/>
        </w:rPr>
        <w:t>4</w:t>
      </w:r>
      <w:r>
        <w:rPr>
          <w:rFonts w:hAnsi="宋体"/>
          <w:bCs/>
        </w:rPr>
        <w:t>分，并按下列规则分别评分并累计：</w:t>
      </w:r>
    </w:p>
    <w:p>
      <w:pPr>
        <w:pStyle w:val="87"/>
        <w:spacing w:line="360" w:lineRule="auto"/>
        <w:ind w:firstLine="482"/>
        <w:outlineLvl w:val="9"/>
        <w:rPr>
          <w:bCs/>
        </w:rPr>
      </w:pPr>
      <w:r>
        <w:rPr>
          <w:b/>
          <w:bCs/>
        </w:rPr>
        <w:t>1</w:t>
      </w:r>
      <w:r>
        <w:rPr>
          <w:rFonts w:hAnsi="宋体"/>
          <w:bCs/>
        </w:rPr>
        <w:t>　选用密闭性能好的阀门、设备，使用耐腐蚀、耐久性能好的管材、管件，得</w:t>
      </w:r>
      <w:r>
        <w:rPr>
          <w:rFonts w:hint="eastAsia"/>
          <w:bCs/>
        </w:rPr>
        <w:t>2</w:t>
      </w:r>
      <w:r>
        <w:rPr>
          <w:rFonts w:hAnsi="宋体"/>
          <w:bCs/>
        </w:rPr>
        <w:t>分；</w:t>
      </w:r>
    </w:p>
    <w:p>
      <w:pPr>
        <w:pStyle w:val="87"/>
        <w:spacing w:line="360" w:lineRule="auto"/>
        <w:ind w:firstLine="482"/>
        <w:outlineLvl w:val="9"/>
        <w:rPr>
          <w:bCs/>
        </w:rPr>
      </w:pPr>
      <w:r>
        <w:rPr>
          <w:b/>
          <w:bCs/>
        </w:rPr>
        <w:t>2</w:t>
      </w:r>
      <w:r>
        <w:rPr>
          <w:rFonts w:hAnsi="宋体"/>
          <w:bCs/>
        </w:rPr>
        <w:t>　室外埋地管道采取有效措施避免管网漏损，得</w:t>
      </w:r>
      <w:r>
        <w:rPr>
          <w:rFonts w:hint="eastAsia"/>
          <w:bCs/>
        </w:rPr>
        <w:t>2</w:t>
      </w:r>
      <w:r>
        <w:rPr>
          <w:rFonts w:hAnsi="宋体"/>
          <w:bCs/>
        </w:rPr>
        <w:t>分。</w:t>
      </w:r>
    </w:p>
    <w:p>
      <w:pPr>
        <w:pStyle w:val="87"/>
        <w:spacing w:line="360" w:lineRule="auto"/>
        <w:ind w:firstLine="0" w:firstLineChars="0"/>
        <w:outlineLvl w:val="9"/>
        <w:rPr>
          <w:rFonts w:ascii="仿宋" w:hAnsi="仿宋" w:eastAsia="仿宋"/>
          <w:color w:val="FF0000"/>
        </w:rPr>
      </w:pPr>
      <w:r>
        <w:rPr>
          <w:rFonts w:hint="eastAsia" w:ascii="仿宋" w:hAnsi="仿宋" w:eastAsia="仿宋"/>
          <w:color w:val="FF0000"/>
        </w:rPr>
        <w:t>【条文说明】：本条适用于各类民用建筑的设计运行评价。考虑到国家标准中条款3与用水计量装置重复，删去了条款3的要求。管网漏失水量包括：阀门故障漏水量，室内卫生器具漏水量，水池、水箱溢流漏水量，设备漏水量和管网漏水量。为避免漏损，可采取以下措施：</w:t>
      </w:r>
    </w:p>
    <w:p>
      <w:pPr>
        <w:pStyle w:val="87"/>
        <w:spacing w:line="360" w:lineRule="auto"/>
        <w:ind w:firstLine="0" w:firstLineChars="0"/>
        <w:outlineLvl w:val="9"/>
        <w:rPr>
          <w:rFonts w:ascii="仿宋" w:hAnsi="仿宋" w:eastAsia="仿宋"/>
          <w:color w:val="FF0000"/>
        </w:rPr>
      </w:pPr>
      <w:r>
        <w:rPr>
          <w:rFonts w:hint="eastAsia" w:ascii="仿宋" w:hAnsi="仿宋" w:eastAsia="仿宋"/>
          <w:color w:val="FF0000"/>
        </w:rPr>
        <w:tab/>
      </w:r>
      <w:r>
        <w:rPr>
          <w:rFonts w:hint="eastAsia" w:ascii="仿宋" w:hAnsi="仿宋" w:eastAsia="仿宋"/>
          <w:color w:val="FF0000"/>
        </w:rPr>
        <w:t>1 给水系统中使用的管材、管件，应符合现行产品标准的要求；</w:t>
      </w:r>
    </w:p>
    <w:p>
      <w:pPr>
        <w:pStyle w:val="87"/>
        <w:spacing w:line="360" w:lineRule="auto"/>
        <w:ind w:firstLine="0" w:firstLineChars="0"/>
        <w:outlineLvl w:val="9"/>
        <w:rPr>
          <w:rFonts w:ascii="仿宋" w:hAnsi="仿宋" w:eastAsia="仿宋"/>
          <w:color w:val="FF0000"/>
        </w:rPr>
      </w:pPr>
      <w:r>
        <w:rPr>
          <w:rFonts w:hint="eastAsia" w:ascii="仿宋" w:hAnsi="仿宋" w:eastAsia="仿宋"/>
          <w:color w:val="FF0000"/>
        </w:rPr>
        <w:tab/>
      </w:r>
      <w:r>
        <w:rPr>
          <w:rFonts w:hint="eastAsia" w:ascii="仿宋" w:hAnsi="仿宋" w:eastAsia="仿宋"/>
          <w:color w:val="FF0000"/>
        </w:rPr>
        <w:t>2 选用性能高的阀门、零泄漏阀门等；</w:t>
      </w:r>
    </w:p>
    <w:p>
      <w:pPr>
        <w:pStyle w:val="87"/>
        <w:spacing w:line="360" w:lineRule="auto"/>
        <w:ind w:firstLine="0" w:firstLineChars="0"/>
        <w:outlineLvl w:val="9"/>
        <w:rPr>
          <w:rFonts w:ascii="仿宋" w:hAnsi="仿宋" w:eastAsia="仿宋"/>
          <w:color w:val="FF0000"/>
        </w:rPr>
      </w:pPr>
      <w:r>
        <w:rPr>
          <w:rFonts w:hint="eastAsia" w:ascii="仿宋" w:hAnsi="仿宋" w:eastAsia="仿宋"/>
          <w:color w:val="FF0000"/>
        </w:rPr>
        <w:tab/>
      </w:r>
      <w:r>
        <w:rPr>
          <w:rFonts w:hint="eastAsia" w:ascii="仿宋" w:hAnsi="仿宋" w:eastAsia="仿宋"/>
          <w:color w:val="FF0000"/>
        </w:rPr>
        <w:t>3 合理设计供水压力，避免供水压力持续高压或压力骤变；</w:t>
      </w:r>
    </w:p>
    <w:p>
      <w:pPr>
        <w:pStyle w:val="87"/>
        <w:spacing w:line="360" w:lineRule="auto"/>
        <w:ind w:firstLine="0" w:firstLineChars="0"/>
        <w:outlineLvl w:val="9"/>
        <w:rPr>
          <w:rFonts w:ascii="仿宋" w:hAnsi="仿宋" w:eastAsia="仿宋"/>
          <w:color w:val="FF0000"/>
        </w:rPr>
      </w:pPr>
      <w:r>
        <w:rPr>
          <w:rFonts w:hint="eastAsia" w:ascii="仿宋" w:hAnsi="仿宋" w:eastAsia="仿宋"/>
          <w:color w:val="FF0000"/>
        </w:rPr>
        <w:tab/>
      </w:r>
      <w:r>
        <w:rPr>
          <w:rFonts w:hint="eastAsia" w:ascii="仿宋" w:hAnsi="仿宋" w:eastAsia="仿宋"/>
          <w:color w:val="FF0000"/>
        </w:rPr>
        <w:t>4 做好室外管道基础处理和覆土，控制管道埋深，加强管道工程施工监督，把好施工质量关；</w:t>
      </w:r>
    </w:p>
    <w:p>
      <w:pPr>
        <w:pStyle w:val="87"/>
        <w:spacing w:line="360" w:lineRule="auto"/>
        <w:ind w:firstLine="0" w:firstLineChars="0"/>
        <w:outlineLvl w:val="9"/>
        <w:rPr>
          <w:rFonts w:ascii="仿宋" w:hAnsi="仿宋" w:eastAsia="仿宋"/>
          <w:color w:val="FF0000"/>
        </w:rPr>
      </w:pPr>
      <w:r>
        <w:rPr>
          <w:rFonts w:hint="eastAsia" w:ascii="仿宋" w:hAnsi="仿宋" w:eastAsia="仿宋"/>
          <w:color w:val="FF0000"/>
        </w:rPr>
        <w:tab/>
      </w:r>
      <w:r>
        <w:rPr>
          <w:rFonts w:hint="eastAsia" w:ascii="仿宋" w:hAnsi="仿宋" w:eastAsia="仿宋"/>
          <w:color w:val="FF0000"/>
        </w:rPr>
        <w:t>5 水池、水箱溢流报警和进水阀门自动联动关闭。</w:t>
      </w:r>
    </w:p>
    <w:p>
      <w:pPr>
        <w:pStyle w:val="87"/>
        <w:spacing w:line="360" w:lineRule="auto"/>
        <w:ind w:firstLine="0" w:firstLineChars="0"/>
        <w:outlineLvl w:val="9"/>
        <w:rPr>
          <w:bCs/>
        </w:rPr>
      </w:pPr>
    </w:p>
    <w:p>
      <w:pPr>
        <w:pStyle w:val="87"/>
        <w:spacing w:line="360" w:lineRule="auto"/>
        <w:ind w:firstLine="0" w:firstLineChars="0"/>
        <w:outlineLvl w:val="9"/>
        <w:rPr>
          <w:rFonts w:hAnsi="宋体"/>
          <w:bCs/>
        </w:rPr>
      </w:pPr>
      <w:r>
        <w:rPr>
          <w:rFonts w:hint="eastAsia"/>
          <w:b/>
          <w:bCs/>
        </w:rPr>
        <w:t>8</w:t>
      </w:r>
      <w:r>
        <w:rPr>
          <w:b/>
          <w:bCs/>
        </w:rPr>
        <w:t>.2.3</w:t>
      </w:r>
      <w:r>
        <w:rPr>
          <w:rFonts w:hAnsi="宋体"/>
          <w:bCs/>
        </w:rPr>
        <w:t>　</w:t>
      </w:r>
      <w:r>
        <w:rPr>
          <w:rFonts w:hint="eastAsia" w:hAnsi="宋体"/>
          <w:bCs/>
        </w:rPr>
        <w:t>给水系统无超压出流现象，评价分值为5分。用水点供水压力不大于0.20MPa，得3分；不大于0.20MPa，且不小于用水器具要求的最低工作压力，得5分。</w:t>
      </w:r>
    </w:p>
    <w:p>
      <w:pPr>
        <w:pStyle w:val="87"/>
        <w:spacing w:line="360" w:lineRule="auto"/>
        <w:ind w:firstLine="0" w:firstLineChars="0"/>
        <w:outlineLvl w:val="9"/>
        <w:rPr>
          <w:rFonts w:ascii="仿宋" w:hAnsi="仿宋" w:eastAsia="仿宋"/>
          <w:color w:val="FF0000"/>
        </w:rPr>
      </w:pPr>
      <w:r>
        <w:rPr>
          <w:rFonts w:hint="eastAsia" w:ascii="仿宋" w:hAnsi="仿宋" w:eastAsia="仿宋"/>
          <w:color w:val="FF0000"/>
        </w:rPr>
        <w:t>【条文说明】与国家标准基本一致。用水器具给水额定流量是为满足使用要求，用水器具给水配件出口在单位时间内流出的规定出水量。流出水头是保证给水配件流出额定流量，在阀前所需水压。给水配件阀前压力大于流出水头，给水配件在单位时间内的出水量超过额定流量的现象，称超压出流现象，该流量与额定流量的差值，为超压出流量。给水配件超压出流，不但会破坏给水系统中水量的正常分配，对用水工况产生不良的影响，同时因超压出流量未产生使用效益，为无效用水量，即浪费的水量。因为它在使用过程中流失，不易被人们觉察和认识，属于“隐形”水量浪费，应引起足够的重视。给水系统设计时应采取措施控制超压出流现象，应合理进行压力分区，并适当地采取减压措施，避免造成浪费。</w:t>
      </w:r>
    </w:p>
    <w:p>
      <w:pPr>
        <w:pStyle w:val="87"/>
        <w:spacing w:line="360" w:lineRule="auto"/>
        <w:ind w:firstLine="0" w:firstLineChars="0"/>
        <w:outlineLvl w:val="9"/>
        <w:rPr>
          <w:rFonts w:hAnsi="宋体"/>
          <w:bCs/>
        </w:rPr>
      </w:pPr>
    </w:p>
    <w:p>
      <w:pPr>
        <w:pStyle w:val="87"/>
        <w:spacing w:line="360" w:lineRule="auto"/>
        <w:ind w:firstLine="0" w:firstLineChars="0"/>
        <w:outlineLvl w:val="9"/>
        <w:rPr>
          <w:bCs/>
        </w:rPr>
      </w:pPr>
      <w:r>
        <w:rPr>
          <w:rFonts w:hint="eastAsia"/>
          <w:b/>
          <w:bCs/>
        </w:rPr>
        <w:t>8</w:t>
      </w:r>
      <w:r>
        <w:rPr>
          <w:b/>
          <w:bCs/>
        </w:rPr>
        <w:t>.2.4</w:t>
      </w:r>
      <w:r>
        <w:rPr>
          <w:rFonts w:hAnsi="宋体"/>
          <w:bCs/>
        </w:rPr>
        <w:t>　设置用水计量装置。评价总分值为</w:t>
      </w:r>
      <w:r>
        <w:rPr>
          <w:bCs/>
        </w:rPr>
        <w:t>9</w:t>
      </w:r>
      <w:r>
        <w:rPr>
          <w:rFonts w:hAnsi="宋体"/>
          <w:bCs/>
        </w:rPr>
        <w:t>分，并按下列规则分别评分并累计：</w:t>
      </w:r>
    </w:p>
    <w:p>
      <w:pPr>
        <w:pStyle w:val="87"/>
        <w:spacing w:line="360" w:lineRule="auto"/>
        <w:ind w:firstLine="482"/>
        <w:outlineLvl w:val="9"/>
        <w:rPr>
          <w:bCs/>
        </w:rPr>
      </w:pPr>
      <w:r>
        <w:rPr>
          <w:b/>
          <w:bCs/>
        </w:rPr>
        <w:t>1</w:t>
      </w:r>
      <w:r>
        <w:rPr>
          <w:rFonts w:hAnsi="宋体"/>
          <w:bCs/>
        </w:rPr>
        <w:t>　按使用用途，对餐饮厨房、公共卫生间、绿化、空调系统、游泳池、景观等用水分别设置用水计量装置，统计用水量，得</w:t>
      </w:r>
      <w:r>
        <w:rPr>
          <w:rFonts w:hint="eastAsia"/>
          <w:bCs/>
        </w:rPr>
        <w:t>3</w:t>
      </w:r>
      <w:r>
        <w:rPr>
          <w:rFonts w:hAnsi="宋体"/>
          <w:bCs/>
        </w:rPr>
        <w:t>分；</w:t>
      </w:r>
    </w:p>
    <w:p>
      <w:pPr>
        <w:pStyle w:val="87"/>
        <w:spacing w:line="360" w:lineRule="auto"/>
        <w:ind w:firstLine="482"/>
        <w:outlineLvl w:val="9"/>
        <w:rPr>
          <w:rFonts w:hAnsi="宋体"/>
          <w:bCs/>
        </w:rPr>
      </w:pPr>
      <w:r>
        <w:rPr>
          <w:b/>
          <w:bCs/>
        </w:rPr>
        <w:t>2</w:t>
      </w:r>
      <w:r>
        <w:rPr>
          <w:rFonts w:hAnsi="宋体"/>
          <w:bCs/>
        </w:rPr>
        <w:t>　按付费或管理单元，分别设置用水计量装置，统计用水量，得</w:t>
      </w:r>
      <w:r>
        <w:rPr>
          <w:rFonts w:hint="eastAsia"/>
          <w:bCs/>
        </w:rPr>
        <w:t>3</w:t>
      </w:r>
      <w:r>
        <w:rPr>
          <w:rFonts w:hAnsi="宋体"/>
          <w:bCs/>
        </w:rPr>
        <w:t>分</w:t>
      </w:r>
      <w:r>
        <w:rPr>
          <w:rFonts w:hint="eastAsia" w:hAnsi="宋体"/>
          <w:bCs/>
        </w:rPr>
        <w:t>；</w:t>
      </w:r>
    </w:p>
    <w:p>
      <w:pPr>
        <w:pStyle w:val="87"/>
        <w:spacing w:line="360" w:lineRule="auto"/>
        <w:ind w:firstLine="482"/>
        <w:outlineLvl w:val="9"/>
        <w:rPr>
          <w:bCs/>
        </w:rPr>
      </w:pPr>
      <w:r>
        <w:rPr>
          <w:rFonts w:hint="eastAsia"/>
          <w:b/>
          <w:bCs/>
        </w:rPr>
        <w:t xml:space="preserve">3 </w:t>
      </w:r>
      <w:r>
        <w:rPr>
          <w:rFonts w:hint="eastAsia" w:hAnsi="宋体"/>
          <w:bCs/>
        </w:rPr>
        <w:t>用水总量计量装置具有远程功能，能够与城市能耗数据中心进行联网共享，得3分。</w:t>
      </w:r>
    </w:p>
    <w:p>
      <w:pPr>
        <w:pStyle w:val="87"/>
        <w:spacing w:line="360" w:lineRule="auto"/>
        <w:ind w:firstLine="0" w:firstLineChars="0"/>
        <w:outlineLvl w:val="9"/>
        <w:rPr>
          <w:rFonts w:ascii="仿宋" w:hAnsi="仿宋" w:eastAsia="仿宋"/>
          <w:color w:val="FF0000"/>
        </w:rPr>
      </w:pPr>
      <w:r>
        <w:rPr>
          <w:rFonts w:hint="eastAsia" w:ascii="仿宋" w:hAnsi="仿宋" w:eastAsia="仿宋"/>
          <w:color w:val="FF0000"/>
        </w:rPr>
        <w:t>【条文说明】该条文调整较大，首先增加分值从6分调整为9分，其次至少要求用水总表具有远程功能，并与城市能耗数据中心进行联网共享，积累用水基础数据。</w:t>
      </w:r>
    </w:p>
    <w:p>
      <w:pPr>
        <w:spacing w:line="360" w:lineRule="auto"/>
        <w:rPr>
          <w:sz w:val="24"/>
        </w:rPr>
      </w:pPr>
    </w:p>
    <w:p>
      <w:pPr>
        <w:spacing w:line="360" w:lineRule="auto"/>
        <w:rPr>
          <w:sz w:val="24"/>
        </w:rPr>
      </w:pPr>
      <w:r>
        <w:rPr>
          <w:b/>
          <w:bCs/>
          <w:sz w:val="24"/>
        </w:rPr>
        <w:t>8.2.5</w:t>
      </w:r>
      <w:r>
        <w:rPr>
          <w:rFonts w:hint="eastAsia"/>
          <w:sz w:val="24"/>
        </w:rPr>
        <w:t>　热水系统采取合理的节水及节能措施，评价总分值为3分。</w:t>
      </w:r>
    </w:p>
    <w:p>
      <w:pPr>
        <w:spacing w:line="360" w:lineRule="auto"/>
        <w:rPr>
          <w:sz w:val="24"/>
        </w:rPr>
      </w:pPr>
      <w:r>
        <w:rPr>
          <w:rFonts w:hint="eastAsia"/>
          <w:sz w:val="24"/>
        </w:rPr>
        <w:t>并按下列规则分别评分并累计：</w:t>
      </w:r>
    </w:p>
    <w:p>
      <w:pPr>
        <w:spacing w:line="360" w:lineRule="auto"/>
        <w:ind w:left="420" w:leftChars="200"/>
        <w:rPr>
          <w:sz w:val="24"/>
        </w:rPr>
      </w:pPr>
      <w:r>
        <w:rPr>
          <w:rFonts w:hint="eastAsia"/>
          <w:sz w:val="24"/>
        </w:rPr>
        <w:t>1　热水系统采取保证用水点处冷、热水供水压力平衡的措施，用水点处冷、热水供水压力差不应大于0.02MPa，得1分；</w:t>
      </w:r>
    </w:p>
    <w:p>
      <w:pPr>
        <w:spacing w:line="360" w:lineRule="auto"/>
        <w:ind w:left="420" w:leftChars="200"/>
        <w:rPr>
          <w:sz w:val="24"/>
        </w:rPr>
      </w:pPr>
      <w:r>
        <w:rPr>
          <w:rFonts w:hint="eastAsia"/>
          <w:sz w:val="24"/>
        </w:rPr>
        <w:t>2　热水系统配水点出水温度达到45℃的时间，住宅不大于15s，医院和旅馆等公共建筑不大于10s，得1分；</w:t>
      </w:r>
    </w:p>
    <w:p>
      <w:pPr>
        <w:spacing w:line="360" w:lineRule="auto"/>
        <w:ind w:left="420" w:leftChars="200"/>
        <w:rPr>
          <w:sz w:val="24"/>
        </w:rPr>
      </w:pPr>
      <w:r>
        <w:rPr>
          <w:rFonts w:hint="eastAsia"/>
          <w:sz w:val="24"/>
        </w:rPr>
        <w:t>3　公共浴室淋浴热水系统采用定量或定时等节水措施，得1分。</w:t>
      </w:r>
    </w:p>
    <w:p>
      <w:pPr>
        <w:pStyle w:val="87"/>
        <w:spacing w:line="360" w:lineRule="auto"/>
        <w:ind w:firstLine="0" w:firstLineChars="0"/>
        <w:outlineLvl w:val="9"/>
        <w:rPr>
          <w:rFonts w:ascii="仿宋" w:hAnsi="仿宋" w:eastAsia="仿宋"/>
          <w:color w:val="FF0000"/>
        </w:rPr>
      </w:pPr>
      <w:r>
        <w:rPr>
          <w:rFonts w:hint="eastAsia" w:ascii="仿宋" w:hAnsi="仿宋" w:eastAsia="仿宋"/>
          <w:color w:val="FF0000"/>
        </w:rPr>
        <w:t>【条文说明】：将国标中6.2.5条中对公共浴室的要求扩大到对热水系统的要求。无热水系统的建筑，本条直接得分。无公共浴室的项目第</w:t>
      </w:r>
      <w:r>
        <w:rPr>
          <w:rFonts w:ascii="仿宋" w:hAnsi="仿宋" w:eastAsia="仿宋"/>
          <w:color w:val="FF0000"/>
        </w:rPr>
        <w:t>3</w:t>
      </w:r>
      <w:r>
        <w:rPr>
          <w:rFonts w:hint="eastAsia" w:ascii="仿宋" w:hAnsi="仿宋" w:eastAsia="仿宋"/>
          <w:color w:val="FF0000"/>
        </w:rPr>
        <w:t>款直接得分。</w:t>
      </w:r>
    </w:p>
    <w:p>
      <w:pPr>
        <w:spacing w:line="360" w:lineRule="auto"/>
        <w:rPr>
          <w:sz w:val="24"/>
        </w:rPr>
      </w:pPr>
    </w:p>
    <w:p>
      <w:pPr>
        <w:pStyle w:val="87"/>
        <w:ind w:firstLine="0" w:firstLineChars="0"/>
        <w:jc w:val="center"/>
      </w:pPr>
      <w:bookmarkStart w:id="86" w:name="_Toc449111675"/>
      <w:r>
        <w:rPr>
          <w:rFonts w:hint="eastAsia" w:ascii="宋体" w:hAnsi="宋体"/>
        </w:rPr>
        <w:t xml:space="preserve">Ⅲ </w:t>
      </w:r>
      <w:r>
        <w:rPr>
          <w:rFonts w:hint="eastAsia" w:hAnsi="宋体"/>
        </w:rPr>
        <w:t>节水器具与设备（25）</w:t>
      </w:r>
      <w:bookmarkEnd w:id="86"/>
    </w:p>
    <w:p>
      <w:pPr>
        <w:pStyle w:val="87"/>
        <w:spacing w:line="360" w:lineRule="auto"/>
        <w:ind w:firstLine="0" w:firstLineChars="0"/>
        <w:outlineLvl w:val="9"/>
        <w:rPr>
          <w:bCs/>
        </w:rPr>
      </w:pPr>
      <w:r>
        <w:rPr>
          <w:rFonts w:hint="eastAsia"/>
          <w:b/>
          <w:bCs/>
        </w:rPr>
        <w:t>8</w:t>
      </w:r>
      <w:r>
        <w:rPr>
          <w:b/>
          <w:bCs/>
        </w:rPr>
        <w:t>.2.</w:t>
      </w:r>
      <w:r>
        <w:rPr>
          <w:rFonts w:hint="eastAsia"/>
          <w:b/>
          <w:bCs/>
        </w:rPr>
        <w:t>5</w:t>
      </w:r>
      <w:r>
        <w:rPr>
          <w:rFonts w:hAnsi="宋体"/>
          <w:bCs/>
        </w:rPr>
        <w:t>　绿化灌溉采用节水灌溉方式，评价总分值为</w:t>
      </w:r>
      <w:r>
        <w:rPr>
          <w:bCs/>
        </w:rPr>
        <w:t>10</w:t>
      </w:r>
      <w:r>
        <w:rPr>
          <w:rFonts w:hAnsi="宋体"/>
          <w:bCs/>
        </w:rPr>
        <w:t>分，并按下列规则评分：</w:t>
      </w:r>
    </w:p>
    <w:p>
      <w:pPr>
        <w:pStyle w:val="87"/>
        <w:spacing w:line="360" w:lineRule="auto"/>
        <w:ind w:firstLine="482"/>
        <w:outlineLvl w:val="9"/>
        <w:rPr>
          <w:bCs/>
        </w:rPr>
      </w:pPr>
      <w:r>
        <w:rPr>
          <w:b/>
          <w:bCs/>
        </w:rPr>
        <w:t>1</w:t>
      </w:r>
      <w:r>
        <w:rPr>
          <w:rFonts w:hAnsi="宋体"/>
          <w:bCs/>
        </w:rPr>
        <w:t>　采用节水灌溉末端装置，得</w:t>
      </w:r>
      <w:r>
        <w:rPr>
          <w:bCs/>
        </w:rPr>
        <w:t>7</w:t>
      </w:r>
      <w:r>
        <w:rPr>
          <w:rFonts w:hAnsi="宋体"/>
          <w:bCs/>
        </w:rPr>
        <w:t>分；在此基础上设置土壤湿度感应器、雨天关闭装置等节水控制措施，得</w:t>
      </w:r>
      <w:r>
        <w:rPr>
          <w:bCs/>
        </w:rPr>
        <w:t>3</w:t>
      </w:r>
      <w:r>
        <w:rPr>
          <w:rFonts w:hAnsi="宋体"/>
          <w:bCs/>
        </w:rPr>
        <w:t>分；</w:t>
      </w:r>
    </w:p>
    <w:p>
      <w:pPr>
        <w:pStyle w:val="87"/>
        <w:spacing w:line="360" w:lineRule="auto"/>
        <w:ind w:firstLine="482"/>
        <w:outlineLvl w:val="9"/>
        <w:rPr>
          <w:rFonts w:hAnsi="宋体"/>
          <w:bCs/>
        </w:rPr>
      </w:pPr>
      <w:r>
        <w:rPr>
          <w:b/>
          <w:bCs/>
        </w:rPr>
        <w:t>2</w:t>
      </w:r>
      <w:r>
        <w:rPr>
          <w:rFonts w:hAnsi="宋体"/>
          <w:bCs/>
        </w:rPr>
        <w:t>　种植无需永久灌溉植物，得</w:t>
      </w:r>
      <w:r>
        <w:rPr>
          <w:bCs/>
        </w:rPr>
        <w:t>10</w:t>
      </w:r>
      <w:r>
        <w:rPr>
          <w:rFonts w:hAnsi="宋体"/>
          <w:bCs/>
        </w:rPr>
        <w:t>分。</w:t>
      </w:r>
    </w:p>
    <w:p>
      <w:pPr>
        <w:pStyle w:val="87"/>
        <w:spacing w:line="360" w:lineRule="auto"/>
        <w:ind w:firstLine="0" w:firstLineChars="0"/>
        <w:outlineLvl w:val="9"/>
        <w:rPr>
          <w:rFonts w:ascii="仿宋" w:hAnsi="仿宋" w:eastAsia="仿宋"/>
          <w:color w:val="FF0000"/>
        </w:rPr>
      </w:pPr>
      <w:r>
        <w:rPr>
          <w:rFonts w:hint="eastAsia" w:ascii="仿宋" w:hAnsi="仿宋" w:eastAsia="仿宋"/>
          <w:color w:val="FF0000"/>
        </w:rPr>
        <w:t>【条文说明】与国家标准一致。绿化灌溉应采用喷灌、微灌、渗灌、低压管灌等节水灌溉方式，同时还可采用湿度传感器或根据气候变化的调节控制器。可参照《园林绿地灌溉工程技术规程》CECS243中相关条款进行设计施工。</w:t>
      </w:r>
    </w:p>
    <w:p>
      <w:pPr>
        <w:pStyle w:val="87"/>
        <w:spacing w:line="360" w:lineRule="auto"/>
        <w:ind w:firstLine="0" w:firstLineChars="0"/>
        <w:outlineLvl w:val="9"/>
        <w:rPr>
          <w:bCs/>
        </w:rPr>
      </w:pPr>
    </w:p>
    <w:p>
      <w:pPr>
        <w:pStyle w:val="87"/>
        <w:spacing w:line="360" w:lineRule="auto"/>
        <w:ind w:firstLine="0" w:firstLineChars="0"/>
        <w:outlineLvl w:val="9"/>
        <w:rPr>
          <w:bCs/>
        </w:rPr>
      </w:pPr>
      <w:r>
        <w:rPr>
          <w:rFonts w:hint="eastAsia"/>
          <w:b/>
          <w:bCs/>
        </w:rPr>
        <w:t>8</w:t>
      </w:r>
      <w:r>
        <w:rPr>
          <w:b/>
          <w:bCs/>
        </w:rPr>
        <w:t>.2.</w:t>
      </w:r>
      <w:r>
        <w:rPr>
          <w:rFonts w:hint="eastAsia"/>
          <w:b/>
          <w:bCs/>
        </w:rPr>
        <w:t>6</w:t>
      </w:r>
      <w:r>
        <w:rPr>
          <w:rFonts w:hAnsi="宋体"/>
          <w:bCs/>
        </w:rPr>
        <w:t>　空调设备或系统采用节水冷却技术，评价总分值为</w:t>
      </w:r>
      <w:r>
        <w:rPr>
          <w:bCs/>
        </w:rPr>
        <w:t>10</w:t>
      </w:r>
      <w:r>
        <w:rPr>
          <w:rFonts w:hAnsi="宋体"/>
          <w:bCs/>
        </w:rPr>
        <w:t>分，并按下列规则评分：</w:t>
      </w:r>
    </w:p>
    <w:p>
      <w:pPr>
        <w:pStyle w:val="87"/>
        <w:spacing w:line="360" w:lineRule="auto"/>
        <w:ind w:firstLine="482"/>
        <w:outlineLvl w:val="9"/>
        <w:rPr>
          <w:bCs/>
        </w:rPr>
      </w:pPr>
      <w:r>
        <w:rPr>
          <w:b/>
          <w:bCs/>
        </w:rPr>
        <w:t>1</w:t>
      </w:r>
      <w:r>
        <w:rPr>
          <w:rFonts w:hAnsi="宋体"/>
          <w:bCs/>
        </w:rPr>
        <w:t>　</w:t>
      </w:r>
      <w:r>
        <w:rPr>
          <w:rFonts w:hint="eastAsia" w:hAnsi="宋体"/>
          <w:bCs/>
        </w:rPr>
        <w:t>循环冷却水系统设置水处理措施；采取加大集水盘、设置平衡管或平衡水箱的方式，避免冷却水泵停泵时冷却水溢出</w:t>
      </w:r>
      <w:r>
        <w:rPr>
          <w:rFonts w:hAnsi="宋体"/>
          <w:bCs/>
        </w:rPr>
        <w:t>，得</w:t>
      </w:r>
      <w:r>
        <w:rPr>
          <w:bCs/>
        </w:rPr>
        <w:t>6</w:t>
      </w:r>
      <w:r>
        <w:rPr>
          <w:rFonts w:hAnsi="宋体"/>
          <w:bCs/>
        </w:rPr>
        <w:t>分；</w:t>
      </w:r>
    </w:p>
    <w:p>
      <w:pPr>
        <w:pStyle w:val="87"/>
        <w:spacing w:line="360" w:lineRule="auto"/>
        <w:ind w:firstLine="482"/>
        <w:outlineLvl w:val="9"/>
        <w:rPr>
          <w:bCs/>
        </w:rPr>
      </w:pPr>
      <w:r>
        <w:rPr>
          <w:b/>
          <w:bCs/>
        </w:rPr>
        <w:t>2</w:t>
      </w:r>
      <w:r>
        <w:rPr>
          <w:rFonts w:hAnsi="宋体"/>
          <w:bCs/>
        </w:rPr>
        <w:t>　运行时，冷却塔的蒸发耗水量占冷却水补水量的比例不低于</w:t>
      </w:r>
      <w:r>
        <w:rPr>
          <w:bCs/>
        </w:rPr>
        <w:t>80%</w:t>
      </w:r>
      <w:r>
        <w:rPr>
          <w:rFonts w:hAnsi="宋体"/>
          <w:bCs/>
        </w:rPr>
        <w:t>，得</w:t>
      </w:r>
      <w:r>
        <w:rPr>
          <w:bCs/>
        </w:rPr>
        <w:t>10</w:t>
      </w:r>
      <w:r>
        <w:rPr>
          <w:rFonts w:hAnsi="宋体"/>
          <w:bCs/>
        </w:rPr>
        <w:t>分；</w:t>
      </w:r>
    </w:p>
    <w:p>
      <w:pPr>
        <w:pStyle w:val="87"/>
        <w:spacing w:line="360" w:lineRule="auto"/>
        <w:ind w:firstLine="482"/>
        <w:outlineLvl w:val="9"/>
        <w:rPr>
          <w:rFonts w:hAnsi="宋体"/>
          <w:bCs/>
        </w:rPr>
      </w:pPr>
      <w:r>
        <w:rPr>
          <w:b/>
          <w:bCs/>
        </w:rPr>
        <w:t>3</w:t>
      </w:r>
      <w:r>
        <w:rPr>
          <w:rFonts w:hAnsi="宋体"/>
          <w:bCs/>
        </w:rPr>
        <w:t>　采用无蒸发耗水量的冷却技术，得</w:t>
      </w:r>
      <w:r>
        <w:rPr>
          <w:bCs/>
        </w:rPr>
        <w:t>10</w:t>
      </w:r>
      <w:r>
        <w:rPr>
          <w:rFonts w:hAnsi="宋体"/>
          <w:bCs/>
        </w:rPr>
        <w:t>分。</w:t>
      </w:r>
    </w:p>
    <w:p>
      <w:pPr>
        <w:pStyle w:val="87"/>
        <w:spacing w:line="360" w:lineRule="auto"/>
        <w:ind w:firstLine="0" w:firstLineChars="0"/>
        <w:outlineLvl w:val="9"/>
        <w:rPr>
          <w:rFonts w:ascii="仿宋" w:hAnsi="仿宋" w:eastAsia="仿宋"/>
          <w:color w:val="FF0000"/>
        </w:rPr>
      </w:pPr>
      <w:r>
        <w:rPr>
          <w:rFonts w:hint="eastAsia" w:ascii="仿宋" w:hAnsi="仿宋" w:eastAsia="仿宋"/>
          <w:color w:val="FF0000"/>
        </w:rPr>
        <w:t>【条文说明】与国家标准一致。公共建筑集中空调系统的冷却水补水量很大，甚至可能占据建筑物用水量的30%~50%，减少冷却水系统不必要的耗水对整个建筑物的节水意义重大。</w:t>
      </w:r>
    </w:p>
    <w:p>
      <w:pPr>
        <w:pStyle w:val="87"/>
        <w:spacing w:line="360" w:lineRule="auto"/>
        <w:ind w:firstLine="0" w:firstLineChars="0"/>
        <w:outlineLvl w:val="9"/>
        <w:rPr>
          <w:rFonts w:ascii="仿宋" w:hAnsi="仿宋" w:eastAsia="仿宋"/>
          <w:color w:val="FF0000"/>
        </w:rPr>
      </w:pPr>
      <w:r>
        <w:rPr>
          <w:rFonts w:hint="eastAsia" w:ascii="仿宋" w:hAnsi="仿宋" w:eastAsia="仿宋"/>
          <w:color w:val="FF0000"/>
        </w:rPr>
        <w:tab/>
      </w:r>
      <w:r>
        <w:rPr>
          <w:rFonts w:hint="eastAsia" w:ascii="仿宋" w:hAnsi="仿宋" w:eastAsia="仿宋"/>
          <w:color w:val="FF0000"/>
        </w:rPr>
        <w:t>本条中所指的“无蒸发耗水量的冷却技术”包括采用分体空调、风冷式冷水机组、风冷式多联机组、地源热泵、干式运行的闭式冷却塔等。</w:t>
      </w:r>
    </w:p>
    <w:p>
      <w:pPr>
        <w:pStyle w:val="87"/>
        <w:spacing w:line="360" w:lineRule="auto"/>
        <w:ind w:firstLine="0" w:firstLineChars="0"/>
        <w:outlineLvl w:val="9"/>
        <w:rPr>
          <w:bCs/>
        </w:rPr>
      </w:pPr>
    </w:p>
    <w:p>
      <w:pPr>
        <w:pStyle w:val="87"/>
        <w:spacing w:line="360" w:lineRule="auto"/>
        <w:ind w:firstLine="0" w:firstLineChars="0"/>
        <w:outlineLvl w:val="9"/>
        <w:rPr>
          <w:bCs/>
        </w:rPr>
      </w:pPr>
      <w:r>
        <w:rPr>
          <w:rFonts w:hint="eastAsia"/>
          <w:b/>
          <w:bCs/>
        </w:rPr>
        <w:t>8</w:t>
      </w:r>
      <w:r>
        <w:rPr>
          <w:b/>
          <w:bCs/>
        </w:rPr>
        <w:t>.2.</w:t>
      </w:r>
      <w:r>
        <w:rPr>
          <w:rFonts w:hint="eastAsia"/>
          <w:b/>
          <w:bCs/>
        </w:rPr>
        <w:t>7</w:t>
      </w:r>
      <w:r>
        <w:rPr>
          <w:rFonts w:hAnsi="宋体"/>
          <w:bCs/>
        </w:rPr>
        <w:t>　除卫生器具、绿化灌溉和冷却塔外的其他用水采用了节水技术或措施，评价总分值为</w:t>
      </w:r>
      <w:r>
        <w:rPr>
          <w:bCs/>
        </w:rPr>
        <w:t>5</w:t>
      </w:r>
      <w:r>
        <w:rPr>
          <w:rFonts w:hAnsi="宋体"/>
          <w:bCs/>
        </w:rPr>
        <w:t>分，并按下列规则评分：</w:t>
      </w:r>
    </w:p>
    <w:p>
      <w:pPr>
        <w:pStyle w:val="87"/>
        <w:spacing w:line="360" w:lineRule="auto"/>
        <w:ind w:firstLine="482"/>
        <w:outlineLvl w:val="9"/>
        <w:rPr>
          <w:bCs/>
        </w:rPr>
      </w:pPr>
      <w:r>
        <w:rPr>
          <w:b/>
          <w:bCs/>
        </w:rPr>
        <w:t>1</w:t>
      </w:r>
      <w:r>
        <w:rPr>
          <w:bCs/>
        </w:rPr>
        <w:tab/>
      </w:r>
      <w:r>
        <w:rPr>
          <w:rFonts w:hAnsi="宋体"/>
          <w:bCs/>
        </w:rPr>
        <w:t>用水量的比例大于等于</w:t>
      </w:r>
      <w:r>
        <w:rPr>
          <w:bCs/>
        </w:rPr>
        <w:t>50%</w:t>
      </w:r>
      <w:r>
        <w:rPr>
          <w:rFonts w:hAnsi="宋体"/>
          <w:bCs/>
        </w:rPr>
        <w:t>、小于</w:t>
      </w:r>
      <w:r>
        <w:rPr>
          <w:bCs/>
        </w:rPr>
        <w:t>80%</w:t>
      </w:r>
      <w:r>
        <w:rPr>
          <w:rFonts w:hAnsi="宋体"/>
          <w:bCs/>
        </w:rPr>
        <w:t>，得</w:t>
      </w:r>
      <w:r>
        <w:rPr>
          <w:bCs/>
        </w:rPr>
        <w:t>3</w:t>
      </w:r>
      <w:r>
        <w:rPr>
          <w:rFonts w:hAnsi="宋体"/>
          <w:bCs/>
        </w:rPr>
        <w:t>分；</w:t>
      </w:r>
    </w:p>
    <w:p>
      <w:pPr>
        <w:pStyle w:val="87"/>
        <w:spacing w:line="360" w:lineRule="auto"/>
        <w:ind w:firstLine="482"/>
        <w:outlineLvl w:val="9"/>
        <w:rPr>
          <w:bCs/>
        </w:rPr>
      </w:pPr>
      <w:r>
        <w:rPr>
          <w:b/>
          <w:bCs/>
        </w:rPr>
        <w:t>2</w:t>
      </w:r>
      <w:r>
        <w:rPr>
          <w:bCs/>
        </w:rPr>
        <w:tab/>
      </w:r>
      <w:r>
        <w:rPr>
          <w:rFonts w:hAnsi="宋体"/>
          <w:bCs/>
        </w:rPr>
        <w:t>用水量的比例大于等于</w:t>
      </w:r>
      <w:r>
        <w:rPr>
          <w:bCs/>
        </w:rPr>
        <w:t>80%</w:t>
      </w:r>
      <w:r>
        <w:rPr>
          <w:rFonts w:hAnsi="宋体"/>
          <w:bCs/>
        </w:rPr>
        <w:t>，得</w:t>
      </w:r>
      <w:r>
        <w:rPr>
          <w:bCs/>
        </w:rPr>
        <w:t>5</w:t>
      </w:r>
      <w:r>
        <w:rPr>
          <w:rFonts w:hAnsi="宋体"/>
          <w:bCs/>
        </w:rPr>
        <w:t>分。</w:t>
      </w:r>
    </w:p>
    <w:p>
      <w:pPr>
        <w:pStyle w:val="87"/>
        <w:spacing w:line="360" w:lineRule="auto"/>
        <w:ind w:firstLine="0" w:firstLineChars="0"/>
        <w:outlineLvl w:val="9"/>
        <w:rPr>
          <w:rFonts w:ascii="仿宋" w:hAnsi="仿宋" w:eastAsia="仿宋"/>
          <w:color w:val="FF0000"/>
        </w:rPr>
      </w:pPr>
      <w:r>
        <w:rPr>
          <w:rFonts w:hint="eastAsia" w:ascii="仿宋" w:hAnsi="仿宋" w:eastAsia="仿宋"/>
          <w:color w:val="FF0000"/>
        </w:rPr>
        <w:t>【条文说明】与国家标准一致。除卫生器具、绿化灌溉和冷却塔以外的其他用水也应采用节水技术和措施，如车库和道路冲洗用的节水高压水枪、节水型专业洗衣机、循环用水洗车台，给水深度处理采用自用水量较少的设备和措施，集中空调加湿系统采用用水效率高的设备和措施。按采用了节水技术和措施的用水量占其他用水总用水量的比例进行评分。</w:t>
      </w:r>
    </w:p>
    <w:p>
      <w:pPr>
        <w:spacing w:line="360" w:lineRule="auto"/>
        <w:rPr>
          <w:sz w:val="24"/>
        </w:rPr>
      </w:pPr>
    </w:p>
    <w:p>
      <w:pPr>
        <w:pStyle w:val="87"/>
        <w:ind w:firstLine="0" w:firstLineChars="0"/>
        <w:jc w:val="center"/>
      </w:pPr>
      <w:bookmarkStart w:id="87" w:name="_Toc347125952"/>
      <w:bookmarkStart w:id="88" w:name="_Toc349912336"/>
      <w:bookmarkStart w:id="89" w:name="_Toc449111676"/>
      <w:r>
        <w:rPr>
          <w:rFonts w:hint="eastAsia" w:ascii="宋体" w:hAnsi="宋体"/>
        </w:rPr>
        <w:t xml:space="preserve">Ⅳ </w:t>
      </w:r>
      <w:r>
        <w:rPr>
          <w:rFonts w:hAnsi="宋体"/>
        </w:rPr>
        <w:t>非传统水源利用</w:t>
      </w:r>
      <w:bookmarkEnd w:id="87"/>
      <w:bookmarkEnd w:id="88"/>
      <w:r>
        <w:rPr>
          <w:rFonts w:hint="eastAsia" w:hAnsi="宋体"/>
        </w:rPr>
        <w:t>（24）</w:t>
      </w:r>
      <w:bookmarkEnd w:id="89"/>
    </w:p>
    <w:p>
      <w:pPr>
        <w:pStyle w:val="87"/>
        <w:spacing w:line="360" w:lineRule="auto"/>
        <w:ind w:firstLine="0" w:firstLineChars="0"/>
        <w:outlineLvl w:val="9"/>
        <w:rPr>
          <w:bCs/>
        </w:rPr>
      </w:pPr>
      <w:r>
        <w:rPr>
          <w:rFonts w:hint="eastAsia"/>
          <w:b/>
          <w:bCs/>
        </w:rPr>
        <w:t>8</w:t>
      </w:r>
      <w:r>
        <w:rPr>
          <w:b/>
          <w:bCs/>
        </w:rPr>
        <w:t>.2.</w:t>
      </w:r>
      <w:r>
        <w:rPr>
          <w:rFonts w:hint="eastAsia"/>
          <w:b/>
          <w:bCs/>
        </w:rPr>
        <w:t>9</w:t>
      </w:r>
      <w:r>
        <w:rPr>
          <w:rFonts w:hAnsi="宋体"/>
          <w:b/>
          <w:bCs/>
        </w:rPr>
        <w:t>　</w:t>
      </w:r>
      <w:r>
        <w:rPr>
          <w:rFonts w:hAnsi="宋体"/>
          <w:bCs/>
        </w:rPr>
        <w:t>合理使用非传统水源，评价总分值为</w:t>
      </w:r>
      <w:r>
        <w:rPr>
          <w:bCs/>
        </w:rPr>
        <w:t>15</w:t>
      </w:r>
      <w:r>
        <w:rPr>
          <w:rFonts w:hAnsi="宋体"/>
          <w:bCs/>
        </w:rPr>
        <w:t>分，并按下列规则评分：</w:t>
      </w:r>
    </w:p>
    <w:p>
      <w:pPr>
        <w:pStyle w:val="87"/>
        <w:spacing w:line="360" w:lineRule="auto"/>
        <w:ind w:firstLine="482"/>
        <w:outlineLvl w:val="9"/>
        <w:rPr>
          <w:bCs/>
        </w:rPr>
      </w:pPr>
      <w:r>
        <w:rPr>
          <w:b/>
          <w:bCs/>
        </w:rPr>
        <w:t>1</w:t>
      </w:r>
      <w:r>
        <w:rPr>
          <w:rFonts w:hAnsi="宋体"/>
          <w:bCs/>
        </w:rPr>
        <w:t>　住宅、办公、商场、旅馆类建筑：根据其按下列公式计算的非传统水源利用率，或者其非传统水源利用措施，按表</w:t>
      </w:r>
      <w:r>
        <w:rPr>
          <w:rFonts w:hint="eastAsia"/>
          <w:bCs/>
        </w:rPr>
        <w:t>8.2.9</w:t>
      </w:r>
      <w:r>
        <w:rPr>
          <w:rFonts w:hAnsi="宋体"/>
          <w:bCs/>
        </w:rPr>
        <w:t>的规则评分。</w:t>
      </w:r>
    </w:p>
    <w:p>
      <w:pPr>
        <w:tabs>
          <w:tab w:val="center" w:pos="4111"/>
          <w:tab w:val="right" w:pos="8222"/>
        </w:tabs>
        <w:spacing w:line="360" w:lineRule="auto"/>
        <w:textAlignment w:val="center"/>
        <w:rPr>
          <w:sz w:val="24"/>
        </w:rPr>
      </w:pPr>
      <w:r>
        <w:rPr>
          <w:sz w:val="24"/>
        </w:rPr>
        <w:tab/>
      </w:r>
      <w:r>
        <w:rPr>
          <w:rFonts w:ascii="Times New Roman" w:hAnsi="Times New Roman" w:eastAsia="宋体" w:cs="Times New Roman"/>
          <w:kern w:val="2"/>
          <w:sz w:val="24"/>
          <w:szCs w:val="24"/>
          <w:lang w:val="en-US" w:eastAsia="zh-CN" w:bidi="ar-SA"/>
        </w:rPr>
        <w:pict>
          <v:shape id="_x0000_i1026" o:spt="75" type="#_x0000_t75" style="height:16.7pt;width:15pt;" fillcolor="#FFFFFF" filled="f" o:preferrelative="t" stroked="f" coordsize="21600,21600">
            <v:path/>
            <v:fill on="f" color2="#FFFFFF" focussize="0,0"/>
            <v:stroke on="f"/>
            <v:imagedata r:id="rId8" gain="65536f" blacklevel="0f" gamma="0" o:title=""/>
            <o:lock v:ext="edit" position="f" selection="f" grouping="f" rotation="f" cropping="f" text="f" aspectratio="t"/>
            <w10:wrap type="none"/>
            <w10:anchorlock/>
          </v:shape>
        </w:pict>
      </w:r>
      <w:r>
        <w:rPr>
          <w:rFonts w:ascii="Times New Roman" w:hAnsi="Times New Roman" w:eastAsia="宋体" w:cs="Times New Roman"/>
          <w:kern w:val="2"/>
          <w:sz w:val="24"/>
          <w:szCs w:val="24"/>
          <w:lang w:val="en-US" w:eastAsia="zh-CN" w:bidi="ar-SA"/>
        </w:rPr>
        <w:object>
          <v:shape id="_x0000_i1027" o:spt="75" type="#_x0000_t75" style="height:8.05pt;width:13.8pt;" o:ole="t" fillcolor="#FFFFFF" filled="f" o:preferrelative="t" stroked="f" coordsize="21600,21600">
            <v:path/>
            <v:fill on="f" color2="#FFFFFF" focussize="0,0"/>
            <v:stroke on="f"/>
            <v:imagedata r:id="rId10" gain="65536f" blacklevel="0f" gamma="0" o:title=""/>
            <o:lock v:ext="edit" position="f" selection="f" grouping="f" rotation="f" cropping="f" text="f" aspectratio="t"/>
            <w10:wrap type="none"/>
            <w10:anchorlock/>
          </v:shape>
          <o:OLEObject Type="Embed" ProgID="" ShapeID="_x0000_i1027" DrawAspect="Content" ObjectID="_1468075725" r:id="rId9">
            <o:LockedField>false</o:LockedField>
          </o:OLEObject>
        </w:object>
      </w:r>
      <w:r>
        <w:rPr>
          <w:rFonts w:ascii="Times New Roman" w:hAnsi="Times New Roman" w:eastAsia="宋体" w:cs="Times New Roman"/>
          <w:kern w:val="2"/>
          <w:sz w:val="24"/>
          <w:szCs w:val="24"/>
          <w:lang w:val="en-US" w:eastAsia="zh-CN" w:bidi="ar-SA"/>
        </w:rPr>
        <w:object>
          <v:shape id="_x0000_i1028" o:spt="75" type="#_x0000_t75" style="height:32.85pt;width:55.3pt;" o:ole="t" fillcolor="#FFFFFF" filled="f" o:preferrelative="t" stroked="f" coordsize="21600,21600">
            <v:path/>
            <v:fill on="f" color2="#FFFFFF" focussize="0,0"/>
            <v:stroke on="f"/>
            <v:imagedata r:id="rId12" gain="65536f" blacklevel="0f" gamma="0" o:title=""/>
            <o:lock v:ext="edit" position="f" selection="f" grouping="f" rotation="f" cropping="f" text="f" aspectratio="t"/>
            <w10:wrap type="none"/>
            <w10:anchorlock/>
          </v:shape>
          <o:OLEObject Type="Embed" ProgID="" ShapeID="_x0000_i1028" DrawAspect="Content" ObjectID="_1468075726" r:id="rId11">
            <o:LockedField>false</o:LockedField>
          </o:OLEObject>
        </w:object>
      </w:r>
      <w:r>
        <w:rPr>
          <w:sz w:val="24"/>
        </w:rPr>
        <w:tab/>
      </w:r>
      <w:r>
        <w:rPr>
          <w:sz w:val="24"/>
        </w:rPr>
        <w:t xml:space="preserve"> (</w:t>
      </w:r>
      <w:r>
        <w:rPr>
          <w:rFonts w:hint="eastAsia"/>
          <w:sz w:val="24"/>
        </w:rPr>
        <w:t>8.2.9</w:t>
      </w:r>
      <w:r>
        <w:rPr>
          <w:sz w:val="24"/>
        </w:rPr>
        <w:t>-1)</w:t>
      </w:r>
    </w:p>
    <w:p>
      <w:pPr>
        <w:tabs>
          <w:tab w:val="center" w:pos="4111"/>
          <w:tab w:val="right" w:pos="8222"/>
        </w:tabs>
        <w:spacing w:line="360" w:lineRule="auto"/>
        <w:rPr>
          <w:sz w:val="24"/>
        </w:rPr>
      </w:pPr>
      <w:r>
        <w:rPr>
          <w:sz w:val="24"/>
        </w:rPr>
        <w:tab/>
      </w:r>
      <w:r>
        <w:rPr>
          <w:sz w:val="24"/>
        </w:rPr>
        <w:t>Wu</w:t>
      </w:r>
      <w:r>
        <w:rPr>
          <w:rFonts w:hAnsi="宋体"/>
          <w:sz w:val="24"/>
        </w:rPr>
        <w:t>＝</w:t>
      </w:r>
      <w:r>
        <w:rPr>
          <w:sz w:val="24"/>
        </w:rPr>
        <w:t>W</w:t>
      </w:r>
      <w:r>
        <w:rPr>
          <w:sz w:val="24"/>
          <w:vertAlign w:val="subscript"/>
        </w:rPr>
        <w:t>R</w:t>
      </w:r>
      <w:r>
        <w:rPr>
          <w:rFonts w:hAnsi="宋体"/>
          <w:sz w:val="24"/>
        </w:rPr>
        <w:t>＋</w:t>
      </w:r>
      <w:r>
        <w:rPr>
          <w:sz w:val="24"/>
        </w:rPr>
        <w:t>Wr</w:t>
      </w:r>
      <w:r>
        <w:rPr>
          <w:rFonts w:hAnsi="宋体"/>
          <w:sz w:val="24"/>
        </w:rPr>
        <w:t>＋</w:t>
      </w:r>
      <w:r>
        <w:rPr>
          <w:sz w:val="24"/>
        </w:rPr>
        <w:t>Wo</w:t>
      </w:r>
      <w:r>
        <w:rPr>
          <w:sz w:val="24"/>
        </w:rPr>
        <w:tab/>
      </w:r>
      <w:r>
        <w:rPr>
          <w:sz w:val="24"/>
        </w:rPr>
        <w:t>(</w:t>
      </w:r>
      <w:r>
        <w:rPr>
          <w:rFonts w:hint="eastAsia"/>
          <w:sz w:val="24"/>
        </w:rPr>
        <w:t>8.2.9</w:t>
      </w:r>
      <w:r>
        <w:rPr>
          <w:sz w:val="24"/>
        </w:rPr>
        <w:t>-2)</w:t>
      </w:r>
    </w:p>
    <w:p>
      <w:pPr>
        <w:spacing w:line="360" w:lineRule="auto"/>
        <w:ind w:firstLine="480" w:firstLineChars="200"/>
        <w:rPr>
          <w:sz w:val="24"/>
        </w:rPr>
      </w:pPr>
      <w:r>
        <w:rPr>
          <w:rFonts w:hAnsi="宋体"/>
          <w:sz w:val="24"/>
        </w:rPr>
        <w:t>式中：</w:t>
      </w:r>
      <w:r>
        <w:rPr>
          <w:sz w:val="24"/>
        </w:rPr>
        <w:t>Ru――</w:t>
      </w:r>
      <w:r>
        <w:rPr>
          <w:rFonts w:hAnsi="宋体"/>
          <w:sz w:val="24"/>
        </w:rPr>
        <w:t>非传统水源利用率，％；</w:t>
      </w:r>
    </w:p>
    <w:p>
      <w:pPr>
        <w:spacing w:line="360" w:lineRule="auto"/>
        <w:ind w:firstLine="480" w:firstLineChars="200"/>
        <w:rPr>
          <w:sz w:val="24"/>
        </w:rPr>
      </w:pPr>
      <w:r>
        <w:rPr>
          <w:sz w:val="24"/>
        </w:rPr>
        <w:t>Wu――</w:t>
      </w:r>
      <w:r>
        <w:rPr>
          <w:rFonts w:hAnsi="宋体"/>
          <w:sz w:val="24"/>
        </w:rPr>
        <w:t>非传统水源设计使用量（设计阶段）或实际使用量（运行阶段），</w:t>
      </w:r>
      <w:r>
        <w:rPr>
          <w:sz w:val="24"/>
        </w:rPr>
        <w:t>m</w:t>
      </w:r>
      <w:r>
        <w:rPr>
          <w:sz w:val="24"/>
          <w:vertAlign w:val="superscript"/>
        </w:rPr>
        <w:t>3</w:t>
      </w:r>
      <w:r>
        <w:rPr>
          <w:sz w:val="24"/>
        </w:rPr>
        <w:t>/a</w:t>
      </w:r>
      <w:r>
        <w:rPr>
          <w:rFonts w:hAnsi="宋体"/>
          <w:sz w:val="24"/>
        </w:rPr>
        <w:t>；</w:t>
      </w:r>
    </w:p>
    <w:p>
      <w:pPr>
        <w:spacing w:line="360" w:lineRule="auto"/>
        <w:ind w:firstLine="480" w:firstLineChars="200"/>
        <w:rPr>
          <w:sz w:val="24"/>
        </w:rPr>
      </w:pPr>
      <w:r>
        <w:rPr>
          <w:sz w:val="24"/>
        </w:rPr>
        <w:t>W</w:t>
      </w:r>
      <w:r>
        <w:rPr>
          <w:sz w:val="24"/>
          <w:vertAlign w:val="subscript"/>
        </w:rPr>
        <w:t>R</w:t>
      </w:r>
      <w:r>
        <w:rPr>
          <w:sz w:val="24"/>
        </w:rPr>
        <w:t>――</w:t>
      </w:r>
      <w:r>
        <w:rPr>
          <w:rFonts w:hAnsi="宋体"/>
          <w:sz w:val="24"/>
        </w:rPr>
        <w:t>再生水设计利用量（设计阶段）或实际利用量（运行阶段），</w:t>
      </w:r>
      <w:r>
        <w:rPr>
          <w:sz w:val="24"/>
        </w:rPr>
        <w:t>m</w:t>
      </w:r>
      <w:r>
        <w:rPr>
          <w:sz w:val="24"/>
          <w:vertAlign w:val="superscript"/>
        </w:rPr>
        <w:t>3</w:t>
      </w:r>
      <w:r>
        <w:rPr>
          <w:sz w:val="24"/>
        </w:rPr>
        <w:t>/a</w:t>
      </w:r>
      <w:r>
        <w:rPr>
          <w:rFonts w:hAnsi="宋体"/>
          <w:sz w:val="24"/>
        </w:rPr>
        <w:t>；</w:t>
      </w:r>
    </w:p>
    <w:p>
      <w:pPr>
        <w:spacing w:line="360" w:lineRule="auto"/>
        <w:ind w:firstLine="480" w:firstLineChars="200"/>
        <w:rPr>
          <w:sz w:val="24"/>
        </w:rPr>
      </w:pPr>
      <w:r>
        <w:rPr>
          <w:sz w:val="24"/>
        </w:rPr>
        <w:t>Wr――</w:t>
      </w:r>
      <w:r>
        <w:rPr>
          <w:rFonts w:hAnsi="宋体"/>
          <w:sz w:val="24"/>
        </w:rPr>
        <w:t>雨水设计利用量（设计阶段）或实际利用量（运行阶段），</w:t>
      </w:r>
      <w:r>
        <w:rPr>
          <w:sz w:val="24"/>
        </w:rPr>
        <w:t>m</w:t>
      </w:r>
      <w:r>
        <w:rPr>
          <w:sz w:val="24"/>
          <w:vertAlign w:val="superscript"/>
        </w:rPr>
        <w:t>3</w:t>
      </w:r>
      <w:r>
        <w:rPr>
          <w:sz w:val="24"/>
        </w:rPr>
        <w:t>/a</w:t>
      </w:r>
      <w:r>
        <w:rPr>
          <w:rFonts w:hAnsi="宋体"/>
          <w:sz w:val="24"/>
        </w:rPr>
        <w:t>；</w:t>
      </w:r>
    </w:p>
    <w:p>
      <w:pPr>
        <w:spacing w:line="360" w:lineRule="auto"/>
        <w:ind w:firstLine="480" w:firstLineChars="200"/>
        <w:rPr>
          <w:sz w:val="24"/>
        </w:rPr>
      </w:pPr>
      <w:r>
        <w:rPr>
          <w:sz w:val="24"/>
        </w:rPr>
        <w:t>Wo――</w:t>
      </w:r>
      <w:r>
        <w:rPr>
          <w:rFonts w:hAnsi="宋体"/>
          <w:sz w:val="24"/>
        </w:rPr>
        <w:t>其他非传统水源利用量（设计阶段）或实际利用量（运行阶段），</w:t>
      </w:r>
      <w:r>
        <w:rPr>
          <w:sz w:val="24"/>
        </w:rPr>
        <w:t>m</w:t>
      </w:r>
      <w:r>
        <w:rPr>
          <w:sz w:val="24"/>
          <w:vertAlign w:val="superscript"/>
        </w:rPr>
        <w:t>3</w:t>
      </w:r>
      <w:r>
        <w:rPr>
          <w:sz w:val="24"/>
        </w:rPr>
        <w:t>/a</w:t>
      </w:r>
    </w:p>
    <w:p>
      <w:pPr>
        <w:spacing w:line="360" w:lineRule="auto"/>
        <w:ind w:firstLine="480" w:firstLineChars="200"/>
        <w:rPr>
          <w:sz w:val="24"/>
        </w:rPr>
      </w:pPr>
      <w:r>
        <w:rPr>
          <w:sz w:val="24"/>
        </w:rPr>
        <w:t>Wt――</w:t>
      </w:r>
      <w:r>
        <w:rPr>
          <w:rFonts w:hAnsi="宋体"/>
          <w:sz w:val="24"/>
        </w:rPr>
        <w:t>设计用水总量（设计阶段）或实际用水总量（运行阶段），</w:t>
      </w:r>
      <w:r>
        <w:rPr>
          <w:sz w:val="24"/>
        </w:rPr>
        <w:t>m</w:t>
      </w:r>
      <w:r>
        <w:rPr>
          <w:sz w:val="24"/>
          <w:vertAlign w:val="superscript"/>
        </w:rPr>
        <w:t>3</w:t>
      </w:r>
      <w:r>
        <w:rPr>
          <w:sz w:val="24"/>
        </w:rPr>
        <w:t>/a</w:t>
      </w:r>
      <w:r>
        <w:rPr>
          <w:rFonts w:hAnsi="宋体"/>
          <w:sz w:val="24"/>
        </w:rPr>
        <w:t>。</w:t>
      </w:r>
    </w:p>
    <w:p>
      <w:pPr>
        <w:spacing w:line="360" w:lineRule="auto"/>
        <w:ind w:firstLine="480" w:firstLineChars="200"/>
        <w:rPr>
          <w:sz w:val="24"/>
        </w:rPr>
      </w:pPr>
      <w:r>
        <w:rPr>
          <w:rFonts w:hAnsi="宋体"/>
          <w:sz w:val="24"/>
        </w:rPr>
        <w:t>注：式中设计使用量为年用水量，由平均日用水量和用水时间计算得出。实际使用量应通过统计全年水表计量的情况计算得出。式中用水量计算不包含冷却水补水量和室外景观水体补水量。</w:t>
      </w:r>
    </w:p>
    <w:p>
      <w:pPr>
        <w:spacing w:line="360" w:lineRule="auto"/>
        <w:jc w:val="center"/>
        <w:rPr>
          <w:b/>
          <w:bCs/>
        </w:rPr>
      </w:pPr>
      <w:r>
        <w:rPr>
          <w:rFonts w:hAnsi="宋体"/>
          <w:b/>
          <w:bCs/>
        </w:rPr>
        <w:t>表</w:t>
      </w:r>
      <w:r>
        <w:rPr>
          <w:rFonts w:hint="eastAsia"/>
          <w:b/>
          <w:bCs/>
        </w:rPr>
        <w:t>8.2.9</w:t>
      </w:r>
      <w:r>
        <w:rPr>
          <w:b/>
          <w:bCs/>
        </w:rPr>
        <w:t xml:space="preserve">  </w:t>
      </w:r>
      <w:r>
        <w:rPr>
          <w:rFonts w:hAnsi="宋体"/>
          <w:b/>
          <w:bCs/>
        </w:rPr>
        <w:t>非传统水源利用率评分规则</w:t>
      </w:r>
    </w:p>
    <w:tbl>
      <w:tblPr>
        <w:tblStyle w:val="37"/>
        <w:tblW w:w="80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6"/>
        <w:gridCol w:w="1056"/>
        <w:gridCol w:w="1056"/>
        <w:gridCol w:w="1056"/>
        <w:gridCol w:w="1476"/>
        <w:gridCol w:w="1056"/>
        <w:gridCol w:w="1056"/>
        <w:gridCol w:w="6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636" w:type="dxa"/>
            <w:vMerge w:val="restart"/>
            <w:vAlign w:val="center"/>
          </w:tcPr>
          <w:p>
            <w:pPr>
              <w:jc w:val="center"/>
              <w:rPr>
                <w:szCs w:val="21"/>
              </w:rPr>
            </w:pPr>
            <w:r>
              <w:rPr>
                <w:rFonts w:hAnsi="宋体"/>
                <w:szCs w:val="21"/>
              </w:rPr>
              <w:t>建筑</w:t>
            </w:r>
          </w:p>
          <w:p>
            <w:pPr>
              <w:jc w:val="center"/>
              <w:rPr>
                <w:szCs w:val="21"/>
              </w:rPr>
            </w:pPr>
            <w:r>
              <w:rPr>
                <w:rFonts w:hAnsi="宋体"/>
                <w:szCs w:val="21"/>
              </w:rPr>
              <w:t>类型</w:t>
            </w:r>
          </w:p>
        </w:tc>
        <w:tc>
          <w:tcPr>
            <w:tcW w:w="2112" w:type="dxa"/>
            <w:gridSpan w:val="2"/>
            <w:vAlign w:val="center"/>
          </w:tcPr>
          <w:p>
            <w:pPr>
              <w:jc w:val="center"/>
              <w:rPr>
                <w:szCs w:val="21"/>
              </w:rPr>
            </w:pPr>
            <w:r>
              <w:rPr>
                <w:rFonts w:hAnsi="宋体"/>
                <w:szCs w:val="21"/>
              </w:rPr>
              <w:t>非传统水源利用率</w:t>
            </w:r>
          </w:p>
        </w:tc>
        <w:tc>
          <w:tcPr>
            <w:tcW w:w="4644" w:type="dxa"/>
            <w:gridSpan w:val="4"/>
            <w:vAlign w:val="center"/>
          </w:tcPr>
          <w:p>
            <w:pPr>
              <w:jc w:val="center"/>
              <w:rPr>
                <w:szCs w:val="21"/>
              </w:rPr>
            </w:pPr>
            <w:r>
              <w:rPr>
                <w:rFonts w:hAnsi="宋体"/>
                <w:szCs w:val="21"/>
              </w:rPr>
              <w:t>非传统水源利用措施</w:t>
            </w:r>
          </w:p>
        </w:tc>
        <w:tc>
          <w:tcPr>
            <w:tcW w:w="689" w:type="dxa"/>
            <w:vMerge w:val="restart"/>
            <w:vAlign w:val="center"/>
          </w:tcPr>
          <w:p>
            <w:pPr>
              <w:jc w:val="center"/>
              <w:rPr>
                <w:szCs w:val="21"/>
              </w:rPr>
            </w:pPr>
            <w:r>
              <w:rPr>
                <w:rFonts w:hAnsi="宋体"/>
                <w:szCs w:val="21"/>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636" w:type="dxa"/>
            <w:vMerge w:val="continue"/>
            <w:vAlign w:val="center"/>
          </w:tcPr>
          <w:p>
            <w:pPr>
              <w:jc w:val="center"/>
              <w:rPr>
                <w:szCs w:val="21"/>
              </w:rPr>
            </w:pPr>
          </w:p>
        </w:tc>
        <w:tc>
          <w:tcPr>
            <w:tcW w:w="1056" w:type="dxa"/>
            <w:vAlign w:val="center"/>
          </w:tcPr>
          <w:p>
            <w:pPr>
              <w:jc w:val="center"/>
              <w:rPr>
                <w:szCs w:val="21"/>
              </w:rPr>
            </w:pPr>
            <w:r>
              <w:rPr>
                <w:rFonts w:hAnsi="宋体"/>
                <w:szCs w:val="21"/>
              </w:rPr>
              <w:t>有市政再</w:t>
            </w:r>
            <w:r>
              <w:rPr>
                <w:szCs w:val="21"/>
              </w:rPr>
              <w:br w:type="textWrapping"/>
            </w:r>
            <w:r>
              <w:rPr>
                <w:rFonts w:hAnsi="宋体"/>
                <w:szCs w:val="21"/>
              </w:rPr>
              <w:t>生水供应</w:t>
            </w:r>
          </w:p>
        </w:tc>
        <w:tc>
          <w:tcPr>
            <w:tcW w:w="1056" w:type="dxa"/>
            <w:vAlign w:val="center"/>
          </w:tcPr>
          <w:p>
            <w:pPr>
              <w:jc w:val="center"/>
              <w:rPr>
                <w:szCs w:val="21"/>
              </w:rPr>
            </w:pPr>
            <w:r>
              <w:rPr>
                <w:rFonts w:hAnsi="宋体"/>
                <w:szCs w:val="21"/>
              </w:rPr>
              <w:t>无市政再</w:t>
            </w:r>
            <w:r>
              <w:rPr>
                <w:szCs w:val="21"/>
              </w:rPr>
              <w:br w:type="textWrapping"/>
            </w:r>
            <w:r>
              <w:rPr>
                <w:rFonts w:hAnsi="宋体"/>
                <w:szCs w:val="21"/>
              </w:rPr>
              <w:t>生水供应</w:t>
            </w:r>
          </w:p>
        </w:tc>
        <w:tc>
          <w:tcPr>
            <w:tcW w:w="1056" w:type="dxa"/>
            <w:vAlign w:val="center"/>
          </w:tcPr>
          <w:p>
            <w:pPr>
              <w:jc w:val="center"/>
              <w:rPr>
                <w:szCs w:val="21"/>
              </w:rPr>
            </w:pPr>
            <w:r>
              <w:rPr>
                <w:rFonts w:hAnsi="宋体"/>
                <w:szCs w:val="21"/>
              </w:rPr>
              <w:t>室内冲厕</w:t>
            </w:r>
          </w:p>
        </w:tc>
        <w:tc>
          <w:tcPr>
            <w:tcW w:w="1476" w:type="dxa"/>
            <w:vAlign w:val="center"/>
          </w:tcPr>
          <w:p>
            <w:pPr>
              <w:jc w:val="center"/>
              <w:rPr>
                <w:szCs w:val="21"/>
              </w:rPr>
            </w:pPr>
            <w:r>
              <w:rPr>
                <w:rFonts w:hAnsi="宋体"/>
                <w:szCs w:val="21"/>
              </w:rPr>
              <w:t>室外绿化灌溉</w:t>
            </w:r>
          </w:p>
        </w:tc>
        <w:tc>
          <w:tcPr>
            <w:tcW w:w="1056" w:type="dxa"/>
            <w:vAlign w:val="center"/>
          </w:tcPr>
          <w:p>
            <w:pPr>
              <w:jc w:val="center"/>
              <w:rPr>
                <w:szCs w:val="21"/>
              </w:rPr>
            </w:pPr>
            <w:r>
              <w:rPr>
                <w:rFonts w:hAnsi="宋体"/>
                <w:szCs w:val="21"/>
              </w:rPr>
              <w:t>道路浇洒</w:t>
            </w:r>
          </w:p>
        </w:tc>
        <w:tc>
          <w:tcPr>
            <w:tcW w:w="1056" w:type="dxa"/>
            <w:vAlign w:val="center"/>
          </w:tcPr>
          <w:p>
            <w:pPr>
              <w:jc w:val="center"/>
              <w:rPr>
                <w:szCs w:val="21"/>
              </w:rPr>
            </w:pPr>
            <w:r>
              <w:rPr>
                <w:rFonts w:hAnsi="宋体"/>
                <w:szCs w:val="21"/>
              </w:rPr>
              <w:t>洗车用水</w:t>
            </w:r>
          </w:p>
        </w:tc>
        <w:tc>
          <w:tcPr>
            <w:tcW w:w="689" w:type="dxa"/>
            <w:vMerge w:val="continue"/>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6" w:type="dxa"/>
            <w:vMerge w:val="restart"/>
            <w:vAlign w:val="center"/>
          </w:tcPr>
          <w:p>
            <w:pPr>
              <w:jc w:val="center"/>
              <w:rPr>
                <w:szCs w:val="21"/>
              </w:rPr>
            </w:pPr>
            <w:r>
              <w:rPr>
                <w:rFonts w:hAnsi="宋体"/>
                <w:szCs w:val="21"/>
              </w:rPr>
              <w:t>住宅</w:t>
            </w:r>
          </w:p>
        </w:tc>
        <w:tc>
          <w:tcPr>
            <w:tcW w:w="1056" w:type="dxa"/>
            <w:vAlign w:val="center"/>
          </w:tcPr>
          <w:p>
            <w:pPr>
              <w:jc w:val="center"/>
              <w:rPr>
                <w:szCs w:val="21"/>
              </w:rPr>
            </w:pPr>
            <w:r>
              <w:rPr>
                <w:szCs w:val="21"/>
              </w:rPr>
              <w:t>8.0%</w:t>
            </w:r>
          </w:p>
        </w:tc>
        <w:tc>
          <w:tcPr>
            <w:tcW w:w="1056" w:type="dxa"/>
            <w:vAlign w:val="center"/>
          </w:tcPr>
          <w:p>
            <w:pPr>
              <w:jc w:val="center"/>
              <w:rPr>
                <w:szCs w:val="21"/>
              </w:rPr>
            </w:pPr>
            <w:r>
              <w:rPr>
                <w:szCs w:val="21"/>
              </w:rPr>
              <w:t>4.0%</w:t>
            </w:r>
          </w:p>
        </w:tc>
        <w:tc>
          <w:tcPr>
            <w:tcW w:w="1056" w:type="dxa"/>
            <w:vAlign w:val="center"/>
          </w:tcPr>
          <w:p>
            <w:pPr>
              <w:jc w:val="center"/>
              <w:rPr>
                <w:szCs w:val="21"/>
              </w:rPr>
            </w:pPr>
            <w:r>
              <w:rPr>
                <w:szCs w:val="21"/>
              </w:rPr>
              <w:t>——</w:t>
            </w:r>
          </w:p>
        </w:tc>
        <w:tc>
          <w:tcPr>
            <w:tcW w:w="1476" w:type="dxa"/>
            <w:vAlign w:val="center"/>
          </w:tcPr>
          <w:p>
            <w:pPr>
              <w:jc w:val="center"/>
              <w:rPr>
                <w:szCs w:val="21"/>
              </w:rPr>
            </w:pPr>
            <w:r>
              <w:rPr>
                <w:szCs w:val="21"/>
              </w:rPr>
              <w:t>●○</w:t>
            </w:r>
          </w:p>
        </w:tc>
        <w:tc>
          <w:tcPr>
            <w:tcW w:w="1056" w:type="dxa"/>
            <w:vAlign w:val="center"/>
          </w:tcPr>
          <w:p>
            <w:pPr>
              <w:jc w:val="center"/>
              <w:rPr>
                <w:szCs w:val="21"/>
              </w:rPr>
            </w:pPr>
            <w:r>
              <w:rPr>
                <w:szCs w:val="21"/>
              </w:rPr>
              <w:t>●</w:t>
            </w:r>
          </w:p>
        </w:tc>
        <w:tc>
          <w:tcPr>
            <w:tcW w:w="1056" w:type="dxa"/>
            <w:vAlign w:val="center"/>
          </w:tcPr>
          <w:p>
            <w:pPr>
              <w:jc w:val="center"/>
              <w:rPr>
                <w:szCs w:val="21"/>
              </w:rPr>
            </w:pPr>
            <w:r>
              <w:rPr>
                <w:szCs w:val="21"/>
              </w:rPr>
              <w:t>●</w:t>
            </w:r>
          </w:p>
        </w:tc>
        <w:tc>
          <w:tcPr>
            <w:tcW w:w="689" w:type="dxa"/>
            <w:vAlign w:val="center"/>
          </w:tcPr>
          <w:p>
            <w:pPr>
              <w:jc w:val="center"/>
              <w:rPr>
                <w:szCs w:val="21"/>
              </w:rPr>
            </w:pPr>
            <w:r>
              <w:rPr>
                <w:szCs w:val="21"/>
              </w:rPr>
              <w:t>5</w:t>
            </w:r>
            <w:r>
              <w:rPr>
                <w:rFonts w:hAnsi="宋体"/>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36" w:type="dxa"/>
            <w:vMerge w:val="continue"/>
            <w:vAlign w:val="center"/>
          </w:tcPr>
          <w:p>
            <w:pPr>
              <w:jc w:val="center"/>
              <w:rPr>
                <w:szCs w:val="21"/>
              </w:rPr>
            </w:pPr>
          </w:p>
        </w:tc>
        <w:tc>
          <w:tcPr>
            <w:tcW w:w="1056" w:type="dxa"/>
            <w:vAlign w:val="center"/>
          </w:tcPr>
          <w:p>
            <w:pPr>
              <w:jc w:val="center"/>
              <w:rPr>
                <w:szCs w:val="21"/>
              </w:rPr>
            </w:pPr>
            <w:r>
              <w:rPr>
                <w:szCs w:val="21"/>
              </w:rPr>
              <w:t>——</w:t>
            </w:r>
          </w:p>
        </w:tc>
        <w:tc>
          <w:tcPr>
            <w:tcW w:w="1056" w:type="dxa"/>
            <w:vAlign w:val="center"/>
          </w:tcPr>
          <w:p>
            <w:pPr>
              <w:jc w:val="center"/>
              <w:rPr>
                <w:szCs w:val="21"/>
              </w:rPr>
            </w:pPr>
            <w:r>
              <w:rPr>
                <w:szCs w:val="21"/>
              </w:rPr>
              <w:t>8.0%</w:t>
            </w:r>
          </w:p>
        </w:tc>
        <w:tc>
          <w:tcPr>
            <w:tcW w:w="1056" w:type="dxa"/>
            <w:vAlign w:val="center"/>
          </w:tcPr>
          <w:p>
            <w:pPr>
              <w:jc w:val="center"/>
              <w:rPr>
                <w:szCs w:val="21"/>
              </w:rPr>
            </w:pPr>
            <w:r>
              <w:rPr>
                <w:szCs w:val="21"/>
              </w:rPr>
              <w:t>——</w:t>
            </w:r>
          </w:p>
        </w:tc>
        <w:tc>
          <w:tcPr>
            <w:tcW w:w="1476" w:type="dxa"/>
            <w:vAlign w:val="center"/>
          </w:tcPr>
          <w:p>
            <w:pPr>
              <w:jc w:val="center"/>
              <w:rPr>
                <w:szCs w:val="21"/>
              </w:rPr>
            </w:pPr>
            <w:r>
              <w:rPr>
                <w:szCs w:val="21"/>
              </w:rPr>
              <w:t>○</w:t>
            </w:r>
          </w:p>
        </w:tc>
        <w:tc>
          <w:tcPr>
            <w:tcW w:w="1056" w:type="dxa"/>
            <w:vAlign w:val="center"/>
          </w:tcPr>
          <w:p>
            <w:pPr>
              <w:jc w:val="center"/>
              <w:rPr>
                <w:szCs w:val="21"/>
              </w:rPr>
            </w:pPr>
            <w:r>
              <w:rPr>
                <w:szCs w:val="21"/>
              </w:rPr>
              <w:t>○</w:t>
            </w:r>
          </w:p>
        </w:tc>
        <w:tc>
          <w:tcPr>
            <w:tcW w:w="1056" w:type="dxa"/>
            <w:vAlign w:val="center"/>
          </w:tcPr>
          <w:p>
            <w:pPr>
              <w:jc w:val="center"/>
              <w:rPr>
                <w:szCs w:val="21"/>
              </w:rPr>
            </w:pPr>
            <w:r>
              <w:rPr>
                <w:szCs w:val="21"/>
              </w:rPr>
              <w:t>○</w:t>
            </w:r>
          </w:p>
        </w:tc>
        <w:tc>
          <w:tcPr>
            <w:tcW w:w="689" w:type="dxa"/>
            <w:vAlign w:val="center"/>
          </w:tcPr>
          <w:p>
            <w:pPr>
              <w:jc w:val="center"/>
              <w:rPr>
                <w:szCs w:val="21"/>
              </w:rPr>
            </w:pPr>
            <w:r>
              <w:rPr>
                <w:szCs w:val="21"/>
              </w:rPr>
              <w:t>7</w:t>
            </w:r>
            <w:r>
              <w:rPr>
                <w:rFonts w:hAnsi="宋体"/>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6" w:type="dxa"/>
            <w:vMerge w:val="continue"/>
            <w:vAlign w:val="center"/>
          </w:tcPr>
          <w:p>
            <w:pPr>
              <w:jc w:val="center"/>
              <w:rPr>
                <w:szCs w:val="21"/>
              </w:rPr>
            </w:pPr>
          </w:p>
        </w:tc>
        <w:tc>
          <w:tcPr>
            <w:tcW w:w="1056" w:type="dxa"/>
            <w:vAlign w:val="center"/>
          </w:tcPr>
          <w:p>
            <w:pPr>
              <w:jc w:val="center"/>
              <w:rPr>
                <w:szCs w:val="21"/>
              </w:rPr>
            </w:pPr>
            <w:r>
              <w:rPr>
                <w:szCs w:val="21"/>
              </w:rPr>
              <w:t>——</w:t>
            </w:r>
          </w:p>
        </w:tc>
        <w:tc>
          <w:tcPr>
            <w:tcW w:w="1056" w:type="dxa"/>
            <w:vAlign w:val="center"/>
          </w:tcPr>
          <w:p>
            <w:pPr>
              <w:jc w:val="center"/>
              <w:rPr>
                <w:szCs w:val="21"/>
              </w:rPr>
            </w:pPr>
            <w:r>
              <w:rPr>
                <w:szCs w:val="21"/>
              </w:rPr>
              <w:t>10.0%</w:t>
            </w:r>
          </w:p>
        </w:tc>
        <w:tc>
          <w:tcPr>
            <w:tcW w:w="1056" w:type="dxa"/>
            <w:vAlign w:val="center"/>
          </w:tcPr>
          <w:p>
            <w:pPr>
              <w:jc w:val="center"/>
              <w:rPr>
                <w:szCs w:val="21"/>
              </w:rPr>
            </w:pPr>
            <w:r>
              <w:rPr>
                <w:szCs w:val="21"/>
              </w:rPr>
              <w:t>○</w:t>
            </w:r>
          </w:p>
        </w:tc>
        <w:tc>
          <w:tcPr>
            <w:tcW w:w="1476" w:type="dxa"/>
            <w:vAlign w:val="center"/>
          </w:tcPr>
          <w:p>
            <w:pPr>
              <w:jc w:val="center"/>
              <w:rPr>
                <w:szCs w:val="21"/>
              </w:rPr>
            </w:pPr>
            <w:r>
              <w:rPr>
                <w:szCs w:val="21"/>
              </w:rPr>
              <w:t>——</w:t>
            </w:r>
          </w:p>
        </w:tc>
        <w:tc>
          <w:tcPr>
            <w:tcW w:w="1056" w:type="dxa"/>
            <w:vAlign w:val="center"/>
          </w:tcPr>
          <w:p>
            <w:pPr>
              <w:jc w:val="center"/>
              <w:rPr>
                <w:szCs w:val="21"/>
              </w:rPr>
            </w:pPr>
            <w:r>
              <w:rPr>
                <w:szCs w:val="21"/>
              </w:rPr>
              <w:t>——</w:t>
            </w:r>
          </w:p>
        </w:tc>
        <w:tc>
          <w:tcPr>
            <w:tcW w:w="1056" w:type="dxa"/>
            <w:vAlign w:val="center"/>
          </w:tcPr>
          <w:p>
            <w:pPr>
              <w:jc w:val="center"/>
              <w:rPr>
                <w:szCs w:val="21"/>
              </w:rPr>
            </w:pPr>
            <w:r>
              <w:rPr>
                <w:szCs w:val="21"/>
              </w:rPr>
              <w:t>——</w:t>
            </w:r>
          </w:p>
        </w:tc>
        <w:tc>
          <w:tcPr>
            <w:tcW w:w="689" w:type="dxa"/>
            <w:vAlign w:val="center"/>
          </w:tcPr>
          <w:p>
            <w:pPr>
              <w:jc w:val="center"/>
              <w:rPr>
                <w:szCs w:val="21"/>
              </w:rPr>
            </w:pPr>
            <w:r>
              <w:rPr>
                <w:szCs w:val="21"/>
              </w:rPr>
              <w:t>10</w:t>
            </w:r>
            <w:r>
              <w:rPr>
                <w:rFonts w:hAnsi="宋体"/>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6" w:type="dxa"/>
            <w:vMerge w:val="continue"/>
            <w:vAlign w:val="center"/>
          </w:tcPr>
          <w:p>
            <w:pPr>
              <w:jc w:val="center"/>
              <w:rPr>
                <w:szCs w:val="21"/>
              </w:rPr>
            </w:pPr>
          </w:p>
        </w:tc>
        <w:tc>
          <w:tcPr>
            <w:tcW w:w="1056" w:type="dxa"/>
            <w:vAlign w:val="center"/>
          </w:tcPr>
          <w:p>
            <w:pPr>
              <w:jc w:val="center"/>
              <w:rPr>
                <w:szCs w:val="21"/>
              </w:rPr>
            </w:pPr>
            <w:r>
              <w:rPr>
                <w:szCs w:val="21"/>
              </w:rPr>
              <w:t>30.0%</w:t>
            </w:r>
          </w:p>
        </w:tc>
        <w:tc>
          <w:tcPr>
            <w:tcW w:w="1056" w:type="dxa"/>
            <w:vAlign w:val="center"/>
          </w:tcPr>
          <w:p>
            <w:pPr>
              <w:jc w:val="center"/>
              <w:rPr>
                <w:szCs w:val="21"/>
              </w:rPr>
            </w:pPr>
            <w:r>
              <w:rPr>
                <w:szCs w:val="21"/>
              </w:rPr>
              <w:t>30.0%</w:t>
            </w:r>
          </w:p>
        </w:tc>
        <w:tc>
          <w:tcPr>
            <w:tcW w:w="1056" w:type="dxa"/>
            <w:vAlign w:val="center"/>
          </w:tcPr>
          <w:p>
            <w:pPr>
              <w:jc w:val="center"/>
              <w:rPr>
                <w:szCs w:val="21"/>
              </w:rPr>
            </w:pPr>
            <w:r>
              <w:rPr>
                <w:szCs w:val="21"/>
              </w:rPr>
              <w:t>●○</w:t>
            </w:r>
          </w:p>
        </w:tc>
        <w:tc>
          <w:tcPr>
            <w:tcW w:w="1476" w:type="dxa"/>
            <w:vAlign w:val="center"/>
          </w:tcPr>
          <w:p>
            <w:pPr>
              <w:jc w:val="center"/>
              <w:rPr>
                <w:szCs w:val="21"/>
              </w:rPr>
            </w:pPr>
            <w:r>
              <w:rPr>
                <w:szCs w:val="21"/>
              </w:rPr>
              <w:t>●○</w:t>
            </w:r>
          </w:p>
        </w:tc>
        <w:tc>
          <w:tcPr>
            <w:tcW w:w="1056" w:type="dxa"/>
            <w:vAlign w:val="center"/>
          </w:tcPr>
          <w:p>
            <w:pPr>
              <w:jc w:val="center"/>
              <w:rPr>
                <w:szCs w:val="21"/>
              </w:rPr>
            </w:pPr>
            <w:r>
              <w:rPr>
                <w:szCs w:val="21"/>
              </w:rPr>
              <w:t>●○</w:t>
            </w:r>
          </w:p>
        </w:tc>
        <w:tc>
          <w:tcPr>
            <w:tcW w:w="1056" w:type="dxa"/>
            <w:vAlign w:val="center"/>
          </w:tcPr>
          <w:p>
            <w:pPr>
              <w:jc w:val="center"/>
              <w:rPr>
                <w:szCs w:val="21"/>
              </w:rPr>
            </w:pPr>
            <w:r>
              <w:rPr>
                <w:szCs w:val="21"/>
              </w:rPr>
              <w:t>●○</w:t>
            </w:r>
          </w:p>
        </w:tc>
        <w:tc>
          <w:tcPr>
            <w:tcW w:w="689" w:type="dxa"/>
            <w:vAlign w:val="center"/>
          </w:tcPr>
          <w:p>
            <w:pPr>
              <w:jc w:val="center"/>
              <w:rPr>
                <w:szCs w:val="21"/>
              </w:rPr>
            </w:pPr>
            <w:r>
              <w:rPr>
                <w:szCs w:val="21"/>
              </w:rPr>
              <w:t>15</w:t>
            </w:r>
            <w:r>
              <w:rPr>
                <w:rFonts w:hAnsi="宋体"/>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6" w:type="dxa"/>
            <w:vMerge w:val="restart"/>
            <w:vAlign w:val="center"/>
          </w:tcPr>
          <w:p>
            <w:pPr>
              <w:jc w:val="center"/>
              <w:rPr>
                <w:szCs w:val="21"/>
              </w:rPr>
            </w:pPr>
            <w:r>
              <w:rPr>
                <w:rFonts w:hAnsi="宋体"/>
                <w:szCs w:val="21"/>
              </w:rPr>
              <w:t>办公</w:t>
            </w:r>
          </w:p>
        </w:tc>
        <w:tc>
          <w:tcPr>
            <w:tcW w:w="1056" w:type="dxa"/>
            <w:vAlign w:val="center"/>
          </w:tcPr>
          <w:p>
            <w:pPr>
              <w:jc w:val="center"/>
              <w:rPr>
                <w:szCs w:val="21"/>
              </w:rPr>
            </w:pPr>
            <w:r>
              <w:rPr>
                <w:szCs w:val="21"/>
              </w:rPr>
              <w:t>10.0%</w:t>
            </w:r>
          </w:p>
        </w:tc>
        <w:tc>
          <w:tcPr>
            <w:tcW w:w="1056" w:type="dxa"/>
            <w:vAlign w:val="center"/>
          </w:tcPr>
          <w:p>
            <w:pPr>
              <w:jc w:val="center"/>
              <w:rPr>
                <w:szCs w:val="21"/>
              </w:rPr>
            </w:pPr>
            <w:r>
              <w:rPr>
                <w:szCs w:val="21"/>
              </w:rPr>
              <w:t>——</w:t>
            </w:r>
          </w:p>
        </w:tc>
        <w:tc>
          <w:tcPr>
            <w:tcW w:w="1056" w:type="dxa"/>
            <w:vAlign w:val="center"/>
          </w:tcPr>
          <w:p>
            <w:pPr>
              <w:jc w:val="center"/>
              <w:rPr>
                <w:szCs w:val="21"/>
              </w:rPr>
            </w:pPr>
            <w:r>
              <w:rPr>
                <w:szCs w:val="21"/>
              </w:rPr>
              <w:t>——</w:t>
            </w:r>
          </w:p>
        </w:tc>
        <w:tc>
          <w:tcPr>
            <w:tcW w:w="1476" w:type="dxa"/>
            <w:vAlign w:val="center"/>
          </w:tcPr>
          <w:p>
            <w:pPr>
              <w:jc w:val="center"/>
              <w:rPr>
                <w:szCs w:val="21"/>
              </w:rPr>
            </w:pPr>
            <w:r>
              <w:rPr>
                <w:szCs w:val="21"/>
              </w:rPr>
              <w:t>●</w:t>
            </w:r>
          </w:p>
        </w:tc>
        <w:tc>
          <w:tcPr>
            <w:tcW w:w="1056" w:type="dxa"/>
            <w:vAlign w:val="center"/>
          </w:tcPr>
          <w:p>
            <w:pPr>
              <w:jc w:val="center"/>
              <w:rPr>
                <w:szCs w:val="21"/>
              </w:rPr>
            </w:pPr>
            <w:r>
              <w:rPr>
                <w:szCs w:val="21"/>
              </w:rPr>
              <w:t>●</w:t>
            </w:r>
          </w:p>
        </w:tc>
        <w:tc>
          <w:tcPr>
            <w:tcW w:w="1056" w:type="dxa"/>
            <w:vAlign w:val="center"/>
          </w:tcPr>
          <w:p>
            <w:pPr>
              <w:jc w:val="center"/>
              <w:rPr>
                <w:szCs w:val="21"/>
              </w:rPr>
            </w:pPr>
            <w:r>
              <w:rPr>
                <w:szCs w:val="21"/>
              </w:rPr>
              <w:t>●</w:t>
            </w:r>
          </w:p>
        </w:tc>
        <w:tc>
          <w:tcPr>
            <w:tcW w:w="689" w:type="dxa"/>
            <w:vAlign w:val="center"/>
          </w:tcPr>
          <w:p>
            <w:pPr>
              <w:jc w:val="center"/>
              <w:rPr>
                <w:szCs w:val="21"/>
              </w:rPr>
            </w:pPr>
            <w:r>
              <w:rPr>
                <w:szCs w:val="21"/>
              </w:rPr>
              <w:t>5</w:t>
            </w:r>
            <w:r>
              <w:rPr>
                <w:rFonts w:hAnsi="宋体"/>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36" w:type="dxa"/>
            <w:vMerge w:val="continue"/>
            <w:vAlign w:val="center"/>
          </w:tcPr>
          <w:p>
            <w:pPr>
              <w:jc w:val="center"/>
              <w:rPr>
                <w:szCs w:val="21"/>
              </w:rPr>
            </w:pPr>
          </w:p>
        </w:tc>
        <w:tc>
          <w:tcPr>
            <w:tcW w:w="1056" w:type="dxa"/>
            <w:vAlign w:val="center"/>
          </w:tcPr>
          <w:p>
            <w:pPr>
              <w:jc w:val="center"/>
              <w:rPr>
                <w:szCs w:val="21"/>
              </w:rPr>
            </w:pPr>
            <w:r>
              <w:rPr>
                <w:szCs w:val="21"/>
              </w:rPr>
              <w:t>——</w:t>
            </w:r>
          </w:p>
        </w:tc>
        <w:tc>
          <w:tcPr>
            <w:tcW w:w="1056" w:type="dxa"/>
            <w:vAlign w:val="center"/>
          </w:tcPr>
          <w:p>
            <w:pPr>
              <w:jc w:val="center"/>
              <w:rPr>
                <w:szCs w:val="21"/>
              </w:rPr>
            </w:pPr>
            <w:r>
              <w:rPr>
                <w:szCs w:val="21"/>
              </w:rPr>
              <w:t>8.0%</w:t>
            </w:r>
          </w:p>
        </w:tc>
        <w:tc>
          <w:tcPr>
            <w:tcW w:w="1056" w:type="dxa"/>
            <w:vAlign w:val="center"/>
          </w:tcPr>
          <w:p>
            <w:pPr>
              <w:jc w:val="center"/>
              <w:rPr>
                <w:szCs w:val="21"/>
              </w:rPr>
            </w:pPr>
            <w:r>
              <w:rPr>
                <w:szCs w:val="21"/>
              </w:rPr>
              <w:t>——</w:t>
            </w:r>
          </w:p>
        </w:tc>
        <w:tc>
          <w:tcPr>
            <w:tcW w:w="1476" w:type="dxa"/>
            <w:vAlign w:val="center"/>
          </w:tcPr>
          <w:p>
            <w:pPr>
              <w:jc w:val="center"/>
              <w:rPr>
                <w:szCs w:val="21"/>
              </w:rPr>
            </w:pPr>
            <w:r>
              <w:rPr>
                <w:szCs w:val="21"/>
              </w:rPr>
              <w:t>○</w:t>
            </w:r>
          </w:p>
        </w:tc>
        <w:tc>
          <w:tcPr>
            <w:tcW w:w="1056" w:type="dxa"/>
            <w:vAlign w:val="center"/>
          </w:tcPr>
          <w:p>
            <w:pPr>
              <w:jc w:val="center"/>
              <w:rPr>
                <w:szCs w:val="21"/>
              </w:rPr>
            </w:pPr>
            <w:r>
              <w:rPr>
                <w:szCs w:val="21"/>
              </w:rPr>
              <w:t>——</w:t>
            </w:r>
          </w:p>
        </w:tc>
        <w:tc>
          <w:tcPr>
            <w:tcW w:w="1056" w:type="dxa"/>
            <w:vAlign w:val="center"/>
          </w:tcPr>
          <w:p>
            <w:pPr>
              <w:jc w:val="center"/>
              <w:rPr>
                <w:szCs w:val="21"/>
              </w:rPr>
            </w:pPr>
            <w:r>
              <w:rPr>
                <w:szCs w:val="21"/>
              </w:rPr>
              <w:t>——</w:t>
            </w:r>
          </w:p>
        </w:tc>
        <w:tc>
          <w:tcPr>
            <w:tcW w:w="689" w:type="dxa"/>
            <w:vAlign w:val="center"/>
          </w:tcPr>
          <w:p>
            <w:pPr>
              <w:jc w:val="center"/>
              <w:rPr>
                <w:szCs w:val="21"/>
              </w:rPr>
            </w:pPr>
            <w:r>
              <w:rPr>
                <w:szCs w:val="21"/>
              </w:rPr>
              <w:t>10</w:t>
            </w:r>
            <w:r>
              <w:rPr>
                <w:rFonts w:hAnsi="宋体"/>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6" w:type="dxa"/>
            <w:vMerge w:val="continue"/>
            <w:vAlign w:val="center"/>
          </w:tcPr>
          <w:p>
            <w:pPr>
              <w:jc w:val="center"/>
              <w:rPr>
                <w:szCs w:val="21"/>
              </w:rPr>
            </w:pPr>
          </w:p>
        </w:tc>
        <w:tc>
          <w:tcPr>
            <w:tcW w:w="1056" w:type="dxa"/>
            <w:vAlign w:val="center"/>
          </w:tcPr>
          <w:p>
            <w:pPr>
              <w:jc w:val="center"/>
              <w:rPr>
                <w:szCs w:val="21"/>
              </w:rPr>
            </w:pPr>
            <w:r>
              <w:rPr>
                <w:szCs w:val="21"/>
              </w:rPr>
              <w:t>50.0%</w:t>
            </w:r>
          </w:p>
        </w:tc>
        <w:tc>
          <w:tcPr>
            <w:tcW w:w="1056" w:type="dxa"/>
            <w:vAlign w:val="center"/>
          </w:tcPr>
          <w:p>
            <w:pPr>
              <w:jc w:val="center"/>
              <w:rPr>
                <w:szCs w:val="21"/>
              </w:rPr>
            </w:pPr>
            <w:r>
              <w:rPr>
                <w:szCs w:val="21"/>
              </w:rPr>
              <w:t>10.0%</w:t>
            </w:r>
          </w:p>
        </w:tc>
        <w:tc>
          <w:tcPr>
            <w:tcW w:w="1056" w:type="dxa"/>
            <w:vAlign w:val="center"/>
          </w:tcPr>
          <w:p>
            <w:pPr>
              <w:jc w:val="center"/>
              <w:rPr>
                <w:szCs w:val="21"/>
              </w:rPr>
            </w:pPr>
            <w:r>
              <w:rPr>
                <w:szCs w:val="21"/>
              </w:rPr>
              <w:t>●</w:t>
            </w:r>
          </w:p>
        </w:tc>
        <w:tc>
          <w:tcPr>
            <w:tcW w:w="1476" w:type="dxa"/>
            <w:vAlign w:val="center"/>
          </w:tcPr>
          <w:p>
            <w:pPr>
              <w:jc w:val="center"/>
              <w:rPr>
                <w:szCs w:val="21"/>
              </w:rPr>
            </w:pPr>
            <w:r>
              <w:rPr>
                <w:szCs w:val="21"/>
              </w:rPr>
              <w:t>●○</w:t>
            </w:r>
          </w:p>
        </w:tc>
        <w:tc>
          <w:tcPr>
            <w:tcW w:w="1056" w:type="dxa"/>
            <w:vAlign w:val="center"/>
          </w:tcPr>
          <w:p>
            <w:pPr>
              <w:jc w:val="center"/>
              <w:rPr>
                <w:szCs w:val="21"/>
              </w:rPr>
            </w:pPr>
            <w:r>
              <w:rPr>
                <w:szCs w:val="21"/>
              </w:rPr>
              <w:t>●○</w:t>
            </w:r>
          </w:p>
        </w:tc>
        <w:tc>
          <w:tcPr>
            <w:tcW w:w="1056" w:type="dxa"/>
            <w:vAlign w:val="center"/>
          </w:tcPr>
          <w:p>
            <w:pPr>
              <w:jc w:val="center"/>
              <w:rPr>
                <w:szCs w:val="21"/>
              </w:rPr>
            </w:pPr>
            <w:r>
              <w:rPr>
                <w:szCs w:val="21"/>
              </w:rPr>
              <w:t>●○</w:t>
            </w:r>
          </w:p>
        </w:tc>
        <w:tc>
          <w:tcPr>
            <w:tcW w:w="689" w:type="dxa"/>
            <w:vAlign w:val="center"/>
          </w:tcPr>
          <w:p>
            <w:pPr>
              <w:jc w:val="center"/>
              <w:rPr>
                <w:szCs w:val="21"/>
              </w:rPr>
            </w:pPr>
            <w:r>
              <w:rPr>
                <w:szCs w:val="21"/>
              </w:rPr>
              <w:t>15</w:t>
            </w:r>
            <w:r>
              <w:rPr>
                <w:rFonts w:hAnsi="宋体"/>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6" w:type="dxa"/>
            <w:vMerge w:val="restart"/>
            <w:vAlign w:val="center"/>
          </w:tcPr>
          <w:p>
            <w:pPr>
              <w:jc w:val="center"/>
              <w:rPr>
                <w:szCs w:val="21"/>
              </w:rPr>
            </w:pPr>
            <w:r>
              <w:rPr>
                <w:rFonts w:hAnsi="宋体"/>
                <w:szCs w:val="21"/>
              </w:rPr>
              <w:t>商场</w:t>
            </w:r>
          </w:p>
        </w:tc>
        <w:tc>
          <w:tcPr>
            <w:tcW w:w="1056" w:type="dxa"/>
            <w:vAlign w:val="center"/>
          </w:tcPr>
          <w:p>
            <w:pPr>
              <w:jc w:val="center"/>
              <w:rPr>
                <w:szCs w:val="21"/>
              </w:rPr>
            </w:pPr>
            <w:r>
              <w:rPr>
                <w:szCs w:val="21"/>
              </w:rPr>
              <w:t>3.0%</w:t>
            </w:r>
          </w:p>
        </w:tc>
        <w:tc>
          <w:tcPr>
            <w:tcW w:w="1056" w:type="dxa"/>
            <w:vAlign w:val="center"/>
          </w:tcPr>
          <w:p>
            <w:pPr>
              <w:jc w:val="center"/>
              <w:rPr>
                <w:szCs w:val="21"/>
              </w:rPr>
            </w:pPr>
            <w:r>
              <w:rPr>
                <w:szCs w:val="21"/>
              </w:rPr>
              <w:t>——</w:t>
            </w:r>
          </w:p>
        </w:tc>
        <w:tc>
          <w:tcPr>
            <w:tcW w:w="1056" w:type="dxa"/>
            <w:vAlign w:val="center"/>
          </w:tcPr>
          <w:p>
            <w:pPr>
              <w:jc w:val="center"/>
              <w:rPr>
                <w:szCs w:val="21"/>
              </w:rPr>
            </w:pPr>
            <w:r>
              <w:rPr>
                <w:szCs w:val="21"/>
              </w:rPr>
              <w:t>——</w:t>
            </w:r>
          </w:p>
        </w:tc>
        <w:tc>
          <w:tcPr>
            <w:tcW w:w="1476" w:type="dxa"/>
            <w:vAlign w:val="center"/>
          </w:tcPr>
          <w:p>
            <w:pPr>
              <w:jc w:val="center"/>
              <w:rPr>
                <w:szCs w:val="21"/>
              </w:rPr>
            </w:pPr>
            <w:r>
              <w:rPr>
                <w:szCs w:val="21"/>
              </w:rPr>
              <w:t>●</w:t>
            </w:r>
          </w:p>
        </w:tc>
        <w:tc>
          <w:tcPr>
            <w:tcW w:w="1056" w:type="dxa"/>
            <w:vAlign w:val="center"/>
          </w:tcPr>
          <w:p>
            <w:pPr>
              <w:jc w:val="center"/>
              <w:rPr>
                <w:szCs w:val="21"/>
              </w:rPr>
            </w:pPr>
            <w:r>
              <w:rPr>
                <w:szCs w:val="21"/>
              </w:rPr>
              <w:t>●</w:t>
            </w:r>
          </w:p>
        </w:tc>
        <w:tc>
          <w:tcPr>
            <w:tcW w:w="1056" w:type="dxa"/>
            <w:vAlign w:val="center"/>
          </w:tcPr>
          <w:p>
            <w:pPr>
              <w:jc w:val="center"/>
              <w:rPr>
                <w:szCs w:val="21"/>
              </w:rPr>
            </w:pPr>
            <w:r>
              <w:rPr>
                <w:szCs w:val="21"/>
              </w:rPr>
              <w:t>●</w:t>
            </w:r>
          </w:p>
        </w:tc>
        <w:tc>
          <w:tcPr>
            <w:tcW w:w="689" w:type="dxa"/>
            <w:vAlign w:val="center"/>
          </w:tcPr>
          <w:p>
            <w:pPr>
              <w:jc w:val="center"/>
              <w:rPr>
                <w:szCs w:val="21"/>
              </w:rPr>
            </w:pPr>
            <w:r>
              <w:rPr>
                <w:szCs w:val="21"/>
              </w:rPr>
              <w:t>2</w:t>
            </w:r>
            <w:r>
              <w:rPr>
                <w:rFonts w:hAnsi="宋体"/>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6" w:type="dxa"/>
            <w:vMerge w:val="continue"/>
            <w:vAlign w:val="center"/>
          </w:tcPr>
          <w:p>
            <w:pPr>
              <w:jc w:val="center"/>
              <w:rPr>
                <w:szCs w:val="21"/>
              </w:rPr>
            </w:pPr>
          </w:p>
        </w:tc>
        <w:tc>
          <w:tcPr>
            <w:tcW w:w="1056" w:type="dxa"/>
            <w:vAlign w:val="center"/>
          </w:tcPr>
          <w:p>
            <w:pPr>
              <w:jc w:val="center"/>
              <w:rPr>
                <w:szCs w:val="21"/>
              </w:rPr>
            </w:pPr>
            <w:r>
              <w:rPr>
                <w:szCs w:val="21"/>
              </w:rPr>
              <w:t>——</w:t>
            </w:r>
          </w:p>
        </w:tc>
        <w:tc>
          <w:tcPr>
            <w:tcW w:w="1056" w:type="dxa"/>
            <w:vAlign w:val="center"/>
          </w:tcPr>
          <w:p>
            <w:pPr>
              <w:jc w:val="center"/>
              <w:rPr>
                <w:szCs w:val="21"/>
              </w:rPr>
            </w:pPr>
            <w:r>
              <w:rPr>
                <w:szCs w:val="21"/>
              </w:rPr>
              <w:t>2.5%</w:t>
            </w:r>
          </w:p>
        </w:tc>
        <w:tc>
          <w:tcPr>
            <w:tcW w:w="1056" w:type="dxa"/>
            <w:vAlign w:val="center"/>
          </w:tcPr>
          <w:p>
            <w:pPr>
              <w:jc w:val="center"/>
              <w:rPr>
                <w:szCs w:val="21"/>
              </w:rPr>
            </w:pPr>
            <w:r>
              <w:rPr>
                <w:szCs w:val="21"/>
              </w:rPr>
              <w:t>——</w:t>
            </w:r>
          </w:p>
        </w:tc>
        <w:tc>
          <w:tcPr>
            <w:tcW w:w="1476" w:type="dxa"/>
            <w:vAlign w:val="center"/>
          </w:tcPr>
          <w:p>
            <w:pPr>
              <w:jc w:val="center"/>
              <w:rPr>
                <w:szCs w:val="21"/>
              </w:rPr>
            </w:pPr>
            <w:r>
              <w:rPr>
                <w:szCs w:val="21"/>
              </w:rPr>
              <w:t>○</w:t>
            </w:r>
          </w:p>
        </w:tc>
        <w:tc>
          <w:tcPr>
            <w:tcW w:w="1056" w:type="dxa"/>
            <w:vAlign w:val="center"/>
          </w:tcPr>
          <w:p>
            <w:pPr>
              <w:jc w:val="center"/>
              <w:rPr>
                <w:szCs w:val="21"/>
              </w:rPr>
            </w:pPr>
            <w:r>
              <w:rPr>
                <w:szCs w:val="21"/>
              </w:rPr>
              <w:t>——</w:t>
            </w:r>
          </w:p>
        </w:tc>
        <w:tc>
          <w:tcPr>
            <w:tcW w:w="1056" w:type="dxa"/>
            <w:vAlign w:val="center"/>
          </w:tcPr>
          <w:p>
            <w:pPr>
              <w:jc w:val="center"/>
              <w:rPr>
                <w:szCs w:val="21"/>
              </w:rPr>
            </w:pPr>
            <w:r>
              <w:rPr>
                <w:szCs w:val="21"/>
              </w:rPr>
              <w:t>——</w:t>
            </w:r>
          </w:p>
        </w:tc>
        <w:tc>
          <w:tcPr>
            <w:tcW w:w="689" w:type="dxa"/>
            <w:vAlign w:val="center"/>
          </w:tcPr>
          <w:p>
            <w:pPr>
              <w:jc w:val="center"/>
              <w:rPr>
                <w:szCs w:val="21"/>
              </w:rPr>
            </w:pPr>
            <w:r>
              <w:rPr>
                <w:szCs w:val="21"/>
              </w:rPr>
              <w:t>10</w:t>
            </w:r>
            <w:r>
              <w:rPr>
                <w:rFonts w:hAnsi="宋体"/>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36" w:type="dxa"/>
            <w:vMerge w:val="continue"/>
            <w:vAlign w:val="center"/>
          </w:tcPr>
          <w:p>
            <w:pPr>
              <w:jc w:val="center"/>
              <w:rPr>
                <w:szCs w:val="21"/>
              </w:rPr>
            </w:pPr>
          </w:p>
        </w:tc>
        <w:tc>
          <w:tcPr>
            <w:tcW w:w="1056" w:type="dxa"/>
            <w:vAlign w:val="center"/>
          </w:tcPr>
          <w:p>
            <w:pPr>
              <w:jc w:val="center"/>
              <w:rPr>
                <w:szCs w:val="21"/>
              </w:rPr>
            </w:pPr>
            <w:r>
              <w:rPr>
                <w:szCs w:val="21"/>
              </w:rPr>
              <w:t>50.0%</w:t>
            </w:r>
          </w:p>
        </w:tc>
        <w:tc>
          <w:tcPr>
            <w:tcW w:w="1056" w:type="dxa"/>
            <w:vAlign w:val="center"/>
          </w:tcPr>
          <w:p>
            <w:pPr>
              <w:jc w:val="center"/>
              <w:rPr>
                <w:szCs w:val="21"/>
              </w:rPr>
            </w:pPr>
            <w:r>
              <w:rPr>
                <w:szCs w:val="21"/>
              </w:rPr>
              <w:t>3.0%</w:t>
            </w:r>
          </w:p>
        </w:tc>
        <w:tc>
          <w:tcPr>
            <w:tcW w:w="1056" w:type="dxa"/>
            <w:vAlign w:val="center"/>
          </w:tcPr>
          <w:p>
            <w:pPr>
              <w:jc w:val="center"/>
              <w:rPr>
                <w:szCs w:val="21"/>
              </w:rPr>
            </w:pPr>
            <w:r>
              <w:rPr>
                <w:szCs w:val="21"/>
              </w:rPr>
              <w:t>●</w:t>
            </w:r>
          </w:p>
        </w:tc>
        <w:tc>
          <w:tcPr>
            <w:tcW w:w="1476" w:type="dxa"/>
            <w:vAlign w:val="center"/>
          </w:tcPr>
          <w:p>
            <w:pPr>
              <w:jc w:val="center"/>
              <w:rPr>
                <w:szCs w:val="21"/>
              </w:rPr>
            </w:pPr>
            <w:r>
              <w:rPr>
                <w:szCs w:val="21"/>
              </w:rPr>
              <w:t>●○</w:t>
            </w:r>
          </w:p>
        </w:tc>
        <w:tc>
          <w:tcPr>
            <w:tcW w:w="1056" w:type="dxa"/>
            <w:vAlign w:val="center"/>
          </w:tcPr>
          <w:p>
            <w:pPr>
              <w:jc w:val="center"/>
              <w:rPr>
                <w:szCs w:val="21"/>
              </w:rPr>
            </w:pPr>
            <w:r>
              <w:rPr>
                <w:szCs w:val="21"/>
              </w:rPr>
              <w:t>●○</w:t>
            </w:r>
          </w:p>
        </w:tc>
        <w:tc>
          <w:tcPr>
            <w:tcW w:w="1056" w:type="dxa"/>
            <w:vAlign w:val="center"/>
          </w:tcPr>
          <w:p>
            <w:pPr>
              <w:jc w:val="center"/>
              <w:rPr>
                <w:szCs w:val="21"/>
              </w:rPr>
            </w:pPr>
            <w:r>
              <w:rPr>
                <w:szCs w:val="21"/>
              </w:rPr>
              <w:t>●○</w:t>
            </w:r>
          </w:p>
        </w:tc>
        <w:tc>
          <w:tcPr>
            <w:tcW w:w="689" w:type="dxa"/>
            <w:vAlign w:val="center"/>
          </w:tcPr>
          <w:p>
            <w:pPr>
              <w:jc w:val="center"/>
              <w:rPr>
                <w:szCs w:val="21"/>
              </w:rPr>
            </w:pPr>
            <w:r>
              <w:rPr>
                <w:szCs w:val="21"/>
              </w:rPr>
              <w:t>15</w:t>
            </w:r>
            <w:r>
              <w:rPr>
                <w:rFonts w:hAnsi="宋体"/>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6" w:type="dxa"/>
            <w:vMerge w:val="restart"/>
            <w:vAlign w:val="center"/>
          </w:tcPr>
          <w:p>
            <w:pPr>
              <w:jc w:val="center"/>
              <w:rPr>
                <w:szCs w:val="21"/>
              </w:rPr>
            </w:pPr>
            <w:r>
              <w:rPr>
                <w:rFonts w:hAnsi="宋体"/>
                <w:szCs w:val="21"/>
              </w:rPr>
              <w:t>旅馆</w:t>
            </w:r>
          </w:p>
        </w:tc>
        <w:tc>
          <w:tcPr>
            <w:tcW w:w="1056" w:type="dxa"/>
            <w:vAlign w:val="center"/>
          </w:tcPr>
          <w:p>
            <w:pPr>
              <w:jc w:val="center"/>
              <w:rPr>
                <w:szCs w:val="21"/>
              </w:rPr>
            </w:pPr>
            <w:r>
              <w:rPr>
                <w:szCs w:val="21"/>
              </w:rPr>
              <w:t>2.0%</w:t>
            </w:r>
          </w:p>
        </w:tc>
        <w:tc>
          <w:tcPr>
            <w:tcW w:w="1056" w:type="dxa"/>
            <w:vAlign w:val="center"/>
          </w:tcPr>
          <w:p>
            <w:pPr>
              <w:jc w:val="center"/>
              <w:rPr>
                <w:szCs w:val="21"/>
              </w:rPr>
            </w:pPr>
            <w:r>
              <w:rPr>
                <w:szCs w:val="21"/>
              </w:rPr>
              <w:t>——</w:t>
            </w:r>
          </w:p>
        </w:tc>
        <w:tc>
          <w:tcPr>
            <w:tcW w:w="1056" w:type="dxa"/>
            <w:vAlign w:val="center"/>
          </w:tcPr>
          <w:p>
            <w:pPr>
              <w:jc w:val="center"/>
              <w:rPr>
                <w:szCs w:val="21"/>
              </w:rPr>
            </w:pPr>
            <w:r>
              <w:rPr>
                <w:szCs w:val="21"/>
              </w:rPr>
              <w:t>——</w:t>
            </w:r>
          </w:p>
        </w:tc>
        <w:tc>
          <w:tcPr>
            <w:tcW w:w="1476" w:type="dxa"/>
            <w:vAlign w:val="center"/>
          </w:tcPr>
          <w:p>
            <w:pPr>
              <w:jc w:val="center"/>
              <w:rPr>
                <w:szCs w:val="21"/>
              </w:rPr>
            </w:pPr>
            <w:r>
              <w:rPr>
                <w:szCs w:val="21"/>
              </w:rPr>
              <w:t>●</w:t>
            </w:r>
          </w:p>
        </w:tc>
        <w:tc>
          <w:tcPr>
            <w:tcW w:w="1056" w:type="dxa"/>
            <w:vAlign w:val="center"/>
          </w:tcPr>
          <w:p>
            <w:pPr>
              <w:jc w:val="center"/>
              <w:rPr>
                <w:szCs w:val="21"/>
              </w:rPr>
            </w:pPr>
            <w:r>
              <w:rPr>
                <w:szCs w:val="21"/>
              </w:rPr>
              <w:t>●</w:t>
            </w:r>
          </w:p>
        </w:tc>
        <w:tc>
          <w:tcPr>
            <w:tcW w:w="1056" w:type="dxa"/>
            <w:vAlign w:val="center"/>
          </w:tcPr>
          <w:p>
            <w:pPr>
              <w:jc w:val="center"/>
              <w:rPr>
                <w:szCs w:val="21"/>
              </w:rPr>
            </w:pPr>
            <w:r>
              <w:rPr>
                <w:szCs w:val="21"/>
              </w:rPr>
              <w:t>●</w:t>
            </w:r>
          </w:p>
        </w:tc>
        <w:tc>
          <w:tcPr>
            <w:tcW w:w="689" w:type="dxa"/>
            <w:vAlign w:val="center"/>
          </w:tcPr>
          <w:p>
            <w:pPr>
              <w:jc w:val="center"/>
              <w:rPr>
                <w:szCs w:val="21"/>
              </w:rPr>
            </w:pPr>
            <w:r>
              <w:rPr>
                <w:szCs w:val="21"/>
              </w:rPr>
              <w:t>2</w:t>
            </w:r>
            <w:r>
              <w:rPr>
                <w:rFonts w:hAnsi="宋体"/>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6" w:type="dxa"/>
            <w:vMerge w:val="continue"/>
            <w:vAlign w:val="center"/>
          </w:tcPr>
          <w:p>
            <w:pPr>
              <w:jc w:val="center"/>
              <w:rPr>
                <w:szCs w:val="21"/>
              </w:rPr>
            </w:pPr>
          </w:p>
        </w:tc>
        <w:tc>
          <w:tcPr>
            <w:tcW w:w="1056" w:type="dxa"/>
            <w:vAlign w:val="center"/>
          </w:tcPr>
          <w:p>
            <w:pPr>
              <w:jc w:val="center"/>
              <w:rPr>
                <w:szCs w:val="21"/>
              </w:rPr>
            </w:pPr>
            <w:r>
              <w:rPr>
                <w:szCs w:val="21"/>
              </w:rPr>
              <w:t>——</w:t>
            </w:r>
          </w:p>
        </w:tc>
        <w:tc>
          <w:tcPr>
            <w:tcW w:w="1056" w:type="dxa"/>
            <w:vAlign w:val="center"/>
          </w:tcPr>
          <w:p>
            <w:pPr>
              <w:jc w:val="center"/>
              <w:rPr>
                <w:szCs w:val="21"/>
              </w:rPr>
            </w:pPr>
            <w:r>
              <w:rPr>
                <w:szCs w:val="21"/>
              </w:rPr>
              <w:t>1.0%</w:t>
            </w:r>
          </w:p>
        </w:tc>
        <w:tc>
          <w:tcPr>
            <w:tcW w:w="1056" w:type="dxa"/>
            <w:vAlign w:val="center"/>
          </w:tcPr>
          <w:p>
            <w:pPr>
              <w:jc w:val="center"/>
              <w:rPr>
                <w:szCs w:val="21"/>
              </w:rPr>
            </w:pPr>
            <w:r>
              <w:rPr>
                <w:szCs w:val="21"/>
              </w:rPr>
              <w:t>——</w:t>
            </w:r>
          </w:p>
        </w:tc>
        <w:tc>
          <w:tcPr>
            <w:tcW w:w="1476" w:type="dxa"/>
            <w:vAlign w:val="center"/>
          </w:tcPr>
          <w:p>
            <w:pPr>
              <w:jc w:val="center"/>
              <w:rPr>
                <w:szCs w:val="21"/>
              </w:rPr>
            </w:pPr>
            <w:r>
              <w:rPr>
                <w:szCs w:val="21"/>
              </w:rPr>
              <w:t>○</w:t>
            </w:r>
          </w:p>
        </w:tc>
        <w:tc>
          <w:tcPr>
            <w:tcW w:w="1056" w:type="dxa"/>
            <w:vAlign w:val="center"/>
          </w:tcPr>
          <w:p>
            <w:pPr>
              <w:jc w:val="center"/>
              <w:rPr>
                <w:szCs w:val="21"/>
              </w:rPr>
            </w:pPr>
            <w:r>
              <w:rPr>
                <w:szCs w:val="21"/>
              </w:rPr>
              <w:t>——</w:t>
            </w:r>
          </w:p>
        </w:tc>
        <w:tc>
          <w:tcPr>
            <w:tcW w:w="1056" w:type="dxa"/>
            <w:vAlign w:val="center"/>
          </w:tcPr>
          <w:p>
            <w:pPr>
              <w:jc w:val="center"/>
              <w:rPr>
                <w:szCs w:val="21"/>
              </w:rPr>
            </w:pPr>
            <w:r>
              <w:rPr>
                <w:szCs w:val="21"/>
              </w:rPr>
              <w:t>——</w:t>
            </w:r>
          </w:p>
        </w:tc>
        <w:tc>
          <w:tcPr>
            <w:tcW w:w="689" w:type="dxa"/>
            <w:vAlign w:val="center"/>
          </w:tcPr>
          <w:p>
            <w:pPr>
              <w:jc w:val="center"/>
              <w:rPr>
                <w:szCs w:val="21"/>
              </w:rPr>
            </w:pPr>
            <w:r>
              <w:rPr>
                <w:szCs w:val="21"/>
              </w:rPr>
              <w:t>10</w:t>
            </w:r>
            <w:r>
              <w:rPr>
                <w:rFonts w:hAnsi="宋体"/>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6" w:type="dxa"/>
            <w:vMerge w:val="continue"/>
            <w:vAlign w:val="center"/>
          </w:tcPr>
          <w:p>
            <w:pPr>
              <w:jc w:val="center"/>
              <w:rPr>
                <w:szCs w:val="21"/>
              </w:rPr>
            </w:pPr>
          </w:p>
        </w:tc>
        <w:tc>
          <w:tcPr>
            <w:tcW w:w="1056" w:type="dxa"/>
            <w:vAlign w:val="center"/>
          </w:tcPr>
          <w:p>
            <w:pPr>
              <w:jc w:val="center"/>
              <w:rPr>
                <w:szCs w:val="21"/>
              </w:rPr>
            </w:pPr>
            <w:r>
              <w:rPr>
                <w:szCs w:val="21"/>
              </w:rPr>
              <w:t>12.0%</w:t>
            </w:r>
          </w:p>
        </w:tc>
        <w:tc>
          <w:tcPr>
            <w:tcW w:w="1056" w:type="dxa"/>
            <w:vAlign w:val="center"/>
          </w:tcPr>
          <w:p>
            <w:pPr>
              <w:jc w:val="center"/>
              <w:rPr>
                <w:szCs w:val="21"/>
              </w:rPr>
            </w:pPr>
            <w:r>
              <w:rPr>
                <w:szCs w:val="21"/>
              </w:rPr>
              <w:t>2.0%</w:t>
            </w:r>
          </w:p>
        </w:tc>
        <w:tc>
          <w:tcPr>
            <w:tcW w:w="1056" w:type="dxa"/>
            <w:vAlign w:val="center"/>
          </w:tcPr>
          <w:p>
            <w:pPr>
              <w:jc w:val="center"/>
              <w:rPr>
                <w:szCs w:val="21"/>
              </w:rPr>
            </w:pPr>
            <w:r>
              <w:rPr>
                <w:szCs w:val="21"/>
              </w:rPr>
              <w:t>●</w:t>
            </w:r>
          </w:p>
        </w:tc>
        <w:tc>
          <w:tcPr>
            <w:tcW w:w="1476" w:type="dxa"/>
            <w:vAlign w:val="center"/>
          </w:tcPr>
          <w:p>
            <w:pPr>
              <w:jc w:val="center"/>
              <w:rPr>
                <w:szCs w:val="21"/>
              </w:rPr>
            </w:pPr>
            <w:r>
              <w:rPr>
                <w:szCs w:val="21"/>
              </w:rPr>
              <w:t>●○</w:t>
            </w:r>
          </w:p>
        </w:tc>
        <w:tc>
          <w:tcPr>
            <w:tcW w:w="1056" w:type="dxa"/>
            <w:vAlign w:val="center"/>
          </w:tcPr>
          <w:p>
            <w:pPr>
              <w:jc w:val="center"/>
              <w:rPr>
                <w:szCs w:val="21"/>
              </w:rPr>
            </w:pPr>
            <w:r>
              <w:rPr>
                <w:szCs w:val="21"/>
              </w:rPr>
              <w:t>●○</w:t>
            </w:r>
          </w:p>
        </w:tc>
        <w:tc>
          <w:tcPr>
            <w:tcW w:w="1056" w:type="dxa"/>
            <w:vAlign w:val="center"/>
          </w:tcPr>
          <w:p>
            <w:pPr>
              <w:jc w:val="center"/>
              <w:rPr>
                <w:szCs w:val="21"/>
              </w:rPr>
            </w:pPr>
            <w:r>
              <w:rPr>
                <w:szCs w:val="21"/>
              </w:rPr>
              <w:t>●○</w:t>
            </w:r>
          </w:p>
        </w:tc>
        <w:tc>
          <w:tcPr>
            <w:tcW w:w="689" w:type="dxa"/>
            <w:vAlign w:val="center"/>
          </w:tcPr>
          <w:p>
            <w:pPr>
              <w:jc w:val="center"/>
              <w:rPr>
                <w:szCs w:val="21"/>
              </w:rPr>
            </w:pPr>
            <w:r>
              <w:rPr>
                <w:szCs w:val="21"/>
              </w:rPr>
              <w:t>15</w:t>
            </w:r>
            <w:r>
              <w:rPr>
                <w:rFonts w:hAnsi="宋体"/>
                <w:szCs w:val="21"/>
              </w:rPr>
              <w:t>分</w:t>
            </w:r>
          </w:p>
        </w:tc>
      </w:tr>
    </w:tbl>
    <w:p>
      <w:pPr>
        <w:spacing w:line="360" w:lineRule="auto"/>
        <w:ind w:firstLine="480" w:firstLineChars="200"/>
        <w:rPr>
          <w:sz w:val="24"/>
        </w:rPr>
      </w:pPr>
      <w:r>
        <w:rPr>
          <w:rFonts w:hAnsi="宋体"/>
          <w:sz w:val="24"/>
        </w:rPr>
        <w:t>注：</w:t>
      </w:r>
      <w:r>
        <w:rPr>
          <w:rFonts w:ascii="宋体" w:hAnsi="宋体"/>
          <w:sz w:val="24"/>
        </w:rPr>
        <w:t>“</w:t>
      </w:r>
      <w:r>
        <w:rPr>
          <w:sz w:val="24"/>
        </w:rPr>
        <w:t>●</w:t>
      </w:r>
      <w:r>
        <w:rPr>
          <w:rFonts w:ascii="宋体" w:hAnsi="宋体"/>
          <w:sz w:val="24"/>
        </w:rPr>
        <w:t>”</w:t>
      </w:r>
      <w:r>
        <w:rPr>
          <w:rFonts w:hAnsi="宋体"/>
          <w:sz w:val="24"/>
        </w:rPr>
        <w:t>为有市政再生水供应时的要求；</w:t>
      </w:r>
      <w:r>
        <w:rPr>
          <w:rFonts w:ascii="宋体" w:hAnsi="宋体"/>
          <w:sz w:val="24"/>
        </w:rPr>
        <w:t>“</w:t>
      </w:r>
      <w:r>
        <w:rPr>
          <w:sz w:val="24"/>
        </w:rPr>
        <w:t>○</w:t>
      </w:r>
      <w:r>
        <w:rPr>
          <w:rFonts w:ascii="宋体" w:hAnsi="宋体"/>
          <w:sz w:val="24"/>
        </w:rPr>
        <w:t>”</w:t>
      </w:r>
      <w:r>
        <w:rPr>
          <w:rFonts w:hAnsi="宋体"/>
          <w:sz w:val="24"/>
        </w:rPr>
        <w:t>为无市政再生水供应时的要求。</w:t>
      </w:r>
    </w:p>
    <w:p>
      <w:pPr>
        <w:pStyle w:val="87"/>
        <w:spacing w:line="360" w:lineRule="auto"/>
        <w:ind w:firstLine="482"/>
        <w:outlineLvl w:val="9"/>
        <w:rPr>
          <w:rFonts w:hAnsi="宋体"/>
          <w:bCs/>
        </w:rPr>
      </w:pPr>
      <w:r>
        <w:rPr>
          <w:b/>
          <w:bCs/>
        </w:rPr>
        <w:t>2</w:t>
      </w:r>
      <w:r>
        <w:rPr>
          <w:rFonts w:hAnsi="宋体"/>
          <w:bCs/>
        </w:rPr>
        <w:t>　其他类型建筑：按下列规则分别评分并累计：</w:t>
      </w:r>
      <w:r>
        <w:rPr>
          <w:bCs/>
        </w:rPr>
        <w:br w:type="textWrapping"/>
      </w:r>
      <w:r>
        <w:rPr>
          <w:rFonts w:hAnsi="宋体"/>
          <w:bCs/>
        </w:rPr>
        <w:t>　　</w:t>
      </w:r>
      <w:r>
        <w:rPr>
          <w:b/>
          <w:bCs/>
        </w:rPr>
        <w:t>1</w:t>
      </w:r>
      <w:r>
        <w:rPr>
          <w:rFonts w:hAnsi="宋体"/>
          <w:b/>
          <w:bCs/>
        </w:rPr>
        <w:t>）</w:t>
      </w:r>
      <w:r>
        <w:rPr>
          <w:rFonts w:hAnsi="宋体"/>
          <w:bCs/>
        </w:rPr>
        <w:t>绿化灌溉、道路冲洗、洗车用水采用非传统水源的用水量占其总用水量的比例不低于</w:t>
      </w:r>
      <w:r>
        <w:rPr>
          <w:bCs/>
        </w:rPr>
        <w:t>80%</w:t>
      </w:r>
      <w:r>
        <w:rPr>
          <w:rFonts w:hAnsi="宋体"/>
          <w:bCs/>
        </w:rPr>
        <w:t>，得</w:t>
      </w:r>
      <w:r>
        <w:rPr>
          <w:bCs/>
        </w:rPr>
        <w:t>7</w:t>
      </w:r>
      <w:r>
        <w:rPr>
          <w:rFonts w:hAnsi="宋体"/>
          <w:bCs/>
        </w:rPr>
        <w:t>分；</w:t>
      </w:r>
      <w:r>
        <w:rPr>
          <w:bCs/>
        </w:rPr>
        <w:br w:type="textWrapping"/>
      </w:r>
      <w:r>
        <w:rPr>
          <w:rFonts w:hAnsi="宋体"/>
          <w:bCs/>
        </w:rPr>
        <w:t>　　</w:t>
      </w:r>
      <w:r>
        <w:rPr>
          <w:b/>
          <w:bCs/>
        </w:rPr>
        <w:t>2</w:t>
      </w:r>
      <w:r>
        <w:rPr>
          <w:rFonts w:hAnsi="宋体"/>
          <w:b/>
          <w:bCs/>
        </w:rPr>
        <w:t>）</w:t>
      </w:r>
      <w:r>
        <w:rPr>
          <w:rFonts w:hAnsi="宋体"/>
          <w:bCs/>
        </w:rPr>
        <w:t>冲厕采用非传统水源的用水量占其用水量的比例不低于</w:t>
      </w:r>
      <w:r>
        <w:rPr>
          <w:bCs/>
        </w:rPr>
        <w:t>50%</w:t>
      </w:r>
      <w:r>
        <w:rPr>
          <w:rFonts w:hAnsi="宋体"/>
          <w:bCs/>
        </w:rPr>
        <w:t>，得</w:t>
      </w:r>
      <w:r>
        <w:rPr>
          <w:bCs/>
        </w:rPr>
        <w:t>8</w:t>
      </w:r>
      <w:r>
        <w:rPr>
          <w:rFonts w:hAnsi="宋体"/>
          <w:bCs/>
        </w:rPr>
        <w:t>分。</w:t>
      </w:r>
    </w:p>
    <w:p>
      <w:pPr>
        <w:pStyle w:val="87"/>
        <w:spacing w:line="360" w:lineRule="auto"/>
        <w:ind w:firstLine="0" w:firstLineChars="0"/>
        <w:outlineLvl w:val="9"/>
        <w:rPr>
          <w:rFonts w:ascii="仿宋" w:hAnsi="仿宋" w:eastAsia="仿宋"/>
          <w:color w:val="FF0000"/>
        </w:rPr>
      </w:pPr>
      <w:r>
        <w:rPr>
          <w:rFonts w:hint="eastAsia" w:ascii="仿宋" w:hAnsi="仿宋" w:eastAsia="仿宋"/>
          <w:color w:val="FF0000"/>
        </w:rPr>
        <w:t>【条文说明】与国家标准一致。本条适用于各类民用建筑的设计、运行评价。住宅、办公、商店和旅馆类建筑参评第1款，除养老院、幼儿园、医院之外的其他建筑参评第2款。养老院、幼儿园、医院类建筑本条不参评。项目周边无市政再生水利用条件，且建筑可回用水量小于100m³/d时，本条不参评。</w:t>
      </w:r>
    </w:p>
    <w:p>
      <w:pPr>
        <w:pStyle w:val="87"/>
        <w:spacing w:line="360" w:lineRule="auto"/>
        <w:ind w:firstLine="0" w:firstLineChars="0"/>
        <w:outlineLvl w:val="9"/>
        <w:rPr>
          <w:rFonts w:ascii="仿宋" w:hAnsi="仿宋" w:eastAsia="仿宋"/>
          <w:color w:val="FF0000"/>
        </w:rPr>
      </w:pPr>
      <w:r>
        <w:rPr>
          <w:rFonts w:hint="eastAsia" w:ascii="仿宋" w:hAnsi="仿宋" w:eastAsia="仿宋"/>
          <w:color w:val="FF0000"/>
        </w:rPr>
        <w:t>评分时，既可根据表中的非传统水源利用率来评分，也可根据表中的非传统水源利用措施来评分，非传统水源利用应具有较好的经济效益和生态效益。</w:t>
      </w:r>
    </w:p>
    <w:p>
      <w:pPr>
        <w:pStyle w:val="87"/>
        <w:spacing w:line="360" w:lineRule="auto"/>
        <w:ind w:firstLine="0" w:firstLineChars="0"/>
        <w:outlineLvl w:val="9"/>
        <w:rPr>
          <w:bCs/>
        </w:rPr>
      </w:pPr>
    </w:p>
    <w:p>
      <w:pPr>
        <w:pStyle w:val="87"/>
        <w:spacing w:line="360" w:lineRule="auto"/>
        <w:ind w:firstLine="0" w:firstLineChars="0"/>
        <w:outlineLvl w:val="9"/>
        <w:rPr>
          <w:rFonts w:hAnsi="宋体"/>
          <w:bCs/>
        </w:rPr>
      </w:pPr>
      <w:r>
        <w:rPr>
          <w:rFonts w:hint="eastAsia"/>
          <w:b/>
          <w:bCs/>
        </w:rPr>
        <w:t>8</w:t>
      </w:r>
      <w:r>
        <w:rPr>
          <w:b/>
          <w:bCs/>
        </w:rPr>
        <w:t>.2.1</w:t>
      </w:r>
      <w:r>
        <w:rPr>
          <w:rFonts w:hint="eastAsia"/>
          <w:b/>
          <w:bCs/>
        </w:rPr>
        <w:t>0</w:t>
      </w:r>
      <w:r>
        <w:rPr>
          <w:rFonts w:hAnsi="宋体"/>
          <w:bCs/>
        </w:rPr>
        <w:t>　冷却水补水使用非传统水源，评价总分值为</w:t>
      </w:r>
      <w:r>
        <w:rPr>
          <w:rFonts w:hint="eastAsia"/>
          <w:bCs/>
        </w:rPr>
        <w:t>5</w:t>
      </w:r>
      <w:r>
        <w:rPr>
          <w:rFonts w:hAnsi="宋体"/>
          <w:bCs/>
        </w:rPr>
        <w:t>分</w:t>
      </w:r>
      <w:r>
        <w:rPr>
          <w:rFonts w:hint="eastAsia" w:hAnsi="宋体"/>
          <w:bCs/>
        </w:rPr>
        <w:t>，根据冷却水补水使用非传统水源的量占总用水量的比例按表8.2.10的规则评分。</w:t>
      </w:r>
    </w:p>
    <w:p>
      <w:pPr>
        <w:pStyle w:val="87"/>
        <w:spacing w:line="360" w:lineRule="auto"/>
        <w:ind w:firstLine="0" w:firstLineChars="0"/>
        <w:jc w:val="center"/>
        <w:outlineLvl w:val="9"/>
        <w:rPr>
          <w:rFonts w:hAnsi="宋体"/>
          <w:b/>
          <w:bCs/>
          <w:sz w:val="21"/>
        </w:rPr>
      </w:pPr>
      <w:r>
        <w:rPr>
          <w:rFonts w:hint="eastAsia" w:hAnsi="宋体"/>
          <w:b/>
          <w:bCs/>
          <w:sz w:val="21"/>
        </w:rPr>
        <w:t>表6.2.11 冷却水补水使用非传统水源的评分规则</w:t>
      </w:r>
    </w:p>
    <w:tbl>
      <w:tblPr>
        <w:tblStyle w:val="38"/>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70"/>
        <w:gridCol w:w="34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70" w:type="dxa"/>
            <w:vAlign w:val="top"/>
          </w:tcPr>
          <w:p>
            <w:pPr>
              <w:pStyle w:val="87"/>
              <w:spacing w:line="240" w:lineRule="auto"/>
              <w:ind w:firstLine="0" w:firstLineChars="0"/>
              <w:jc w:val="center"/>
              <w:outlineLvl w:val="9"/>
              <w:rPr>
                <w:rFonts w:hAnsi="宋体"/>
                <w:bCs/>
                <w:sz w:val="21"/>
              </w:rPr>
            </w:pPr>
            <w:r>
              <w:rPr>
                <w:rFonts w:hint="eastAsia" w:hAnsi="宋体"/>
                <w:bCs/>
                <w:sz w:val="21"/>
              </w:rPr>
              <w:t>冷却水补水使用非传统水源的量占总用水量比例</w:t>
            </w:r>
          </w:p>
        </w:tc>
        <w:tc>
          <w:tcPr>
            <w:tcW w:w="3452" w:type="dxa"/>
            <w:vAlign w:val="top"/>
          </w:tcPr>
          <w:p>
            <w:pPr>
              <w:pStyle w:val="87"/>
              <w:spacing w:line="240" w:lineRule="auto"/>
              <w:ind w:firstLine="0" w:firstLineChars="0"/>
              <w:jc w:val="center"/>
              <w:outlineLvl w:val="9"/>
              <w:rPr>
                <w:rFonts w:hAnsi="宋体"/>
                <w:bCs/>
                <w:sz w:val="21"/>
              </w:rPr>
            </w:pPr>
            <w:r>
              <w:rPr>
                <w:rFonts w:hint="eastAsia" w:hAnsi="宋体"/>
                <w:bCs/>
                <w:sz w:val="21"/>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70" w:type="dxa"/>
            <w:vAlign w:val="top"/>
          </w:tcPr>
          <w:p>
            <w:pPr>
              <w:pStyle w:val="87"/>
              <w:spacing w:line="240" w:lineRule="auto"/>
              <w:ind w:firstLine="0" w:firstLineChars="0"/>
              <w:jc w:val="center"/>
              <w:outlineLvl w:val="9"/>
              <w:rPr>
                <w:rFonts w:hAnsi="宋体"/>
                <w:bCs/>
                <w:sz w:val="21"/>
              </w:rPr>
            </w:pPr>
            <w:r>
              <w:rPr>
                <w:rFonts w:hint="eastAsia" w:hAnsi="宋体"/>
                <w:bCs/>
                <w:sz w:val="21"/>
              </w:rPr>
              <w:t>10%≤＜30%</w:t>
            </w:r>
          </w:p>
        </w:tc>
        <w:tc>
          <w:tcPr>
            <w:tcW w:w="3452" w:type="dxa"/>
            <w:vAlign w:val="top"/>
          </w:tcPr>
          <w:p>
            <w:pPr>
              <w:pStyle w:val="87"/>
              <w:spacing w:line="240" w:lineRule="auto"/>
              <w:ind w:firstLine="0" w:firstLineChars="0"/>
              <w:jc w:val="center"/>
              <w:outlineLvl w:val="9"/>
              <w:rPr>
                <w:rFonts w:hAnsi="宋体"/>
                <w:bCs/>
                <w:sz w:val="21"/>
              </w:rPr>
            </w:pPr>
            <w:r>
              <w:rPr>
                <w:rFonts w:hint="eastAsia" w:hAnsi="宋体"/>
                <w:bCs/>
                <w:sz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70" w:type="dxa"/>
            <w:vAlign w:val="top"/>
          </w:tcPr>
          <w:p>
            <w:pPr>
              <w:pStyle w:val="87"/>
              <w:spacing w:line="240" w:lineRule="auto"/>
              <w:ind w:firstLine="0" w:firstLineChars="0"/>
              <w:jc w:val="center"/>
              <w:outlineLvl w:val="9"/>
              <w:rPr>
                <w:rFonts w:hAnsi="宋体"/>
                <w:bCs/>
                <w:sz w:val="21"/>
              </w:rPr>
            </w:pPr>
            <w:r>
              <w:rPr>
                <w:rFonts w:hint="eastAsia" w:hAnsi="宋体"/>
                <w:bCs/>
                <w:sz w:val="21"/>
              </w:rPr>
              <w:t>30%≤＜50%</w:t>
            </w:r>
          </w:p>
        </w:tc>
        <w:tc>
          <w:tcPr>
            <w:tcW w:w="3452" w:type="dxa"/>
            <w:vAlign w:val="top"/>
          </w:tcPr>
          <w:p>
            <w:pPr>
              <w:pStyle w:val="87"/>
              <w:spacing w:line="240" w:lineRule="auto"/>
              <w:ind w:firstLine="0" w:firstLineChars="0"/>
              <w:jc w:val="center"/>
              <w:outlineLvl w:val="9"/>
              <w:rPr>
                <w:rFonts w:hAnsi="宋体"/>
                <w:bCs/>
                <w:sz w:val="21"/>
              </w:rPr>
            </w:pPr>
            <w:r>
              <w:rPr>
                <w:rFonts w:hint="eastAsia" w:hAnsi="宋体"/>
                <w:bCs/>
                <w:sz w:val="21"/>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070" w:type="dxa"/>
            <w:vAlign w:val="top"/>
          </w:tcPr>
          <w:p>
            <w:pPr>
              <w:pStyle w:val="87"/>
              <w:spacing w:line="240" w:lineRule="auto"/>
              <w:ind w:firstLine="0" w:firstLineChars="0"/>
              <w:jc w:val="center"/>
              <w:outlineLvl w:val="9"/>
              <w:rPr>
                <w:rFonts w:hAnsi="宋体"/>
                <w:bCs/>
                <w:sz w:val="21"/>
              </w:rPr>
            </w:pPr>
            <w:r>
              <w:rPr>
                <w:rFonts w:hint="eastAsia" w:hAnsi="宋体"/>
                <w:bCs/>
                <w:sz w:val="21"/>
              </w:rPr>
              <w:t>≥50%</w:t>
            </w:r>
          </w:p>
        </w:tc>
        <w:tc>
          <w:tcPr>
            <w:tcW w:w="3452" w:type="dxa"/>
            <w:vAlign w:val="top"/>
          </w:tcPr>
          <w:p>
            <w:pPr>
              <w:pStyle w:val="87"/>
              <w:spacing w:line="240" w:lineRule="auto"/>
              <w:ind w:firstLine="0" w:firstLineChars="0"/>
              <w:jc w:val="center"/>
              <w:outlineLvl w:val="9"/>
              <w:rPr>
                <w:rFonts w:hAnsi="宋体"/>
                <w:bCs/>
                <w:sz w:val="21"/>
              </w:rPr>
            </w:pPr>
            <w:r>
              <w:rPr>
                <w:rFonts w:hint="eastAsia" w:hAnsi="宋体"/>
                <w:bCs/>
                <w:sz w:val="21"/>
              </w:rPr>
              <w:t>5</w:t>
            </w:r>
          </w:p>
        </w:tc>
      </w:tr>
    </w:tbl>
    <w:p>
      <w:pPr>
        <w:pStyle w:val="87"/>
        <w:spacing w:line="360" w:lineRule="auto"/>
        <w:ind w:firstLine="0" w:firstLineChars="0"/>
        <w:outlineLvl w:val="9"/>
        <w:rPr>
          <w:rFonts w:ascii="仿宋" w:hAnsi="仿宋" w:eastAsia="仿宋"/>
          <w:color w:val="FF0000"/>
        </w:rPr>
      </w:pPr>
      <w:r>
        <w:rPr>
          <w:rFonts w:hint="eastAsia" w:ascii="仿宋" w:hAnsi="仿宋" w:eastAsia="仿宋"/>
          <w:color w:val="FF0000"/>
        </w:rPr>
        <w:t>【条文说明】与国家标准一致。考虑到实际上冷却塔用水采用非传统水源实施难度大，美国LEED标准是按照冷却水循环次数进行得分，后续是否可以考虑。将总分数从8分调整为5分。使用非传统水源替代自来水作为冷却水补水水源时，其水质指标应满足《采暖空调系统水质》GB/T29044中规定的空调冷却水的水质要求。</w:t>
      </w:r>
    </w:p>
    <w:p>
      <w:pPr>
        <w:pStyle w:val="87"/>
        <w:spacing w:line="360" w:lineRule="auto"/>
        <w:ind w:firstLine="0" w:firstLineChars="0"/>
        <w:outlineLvl w:val="9"/>
        <w:rPr>
          <w:rFonts w:ascii="仿宋" w:hAnsi="仿宋" w:eastAsia="仿宋"/>
          <w:color w:val="FF0000"/>
        </w:rPr>
      </w:pPr>
      <w:r>
        <w:rPr>
          <w:rFonts w:hint="eastAsia" w:ascii="仿宋" w:hAnsi="仿宋" w:eastAsia="仿宋"/>
          <w:color w:val="FF0000"/>
        </w:rPr>
        <w:t>全年来看，冷却水用水时段与我国大多数地区的降雨高峰时段基本一致，因此收集雨水处理后用于冷却水补水，从水量平衡上容易达到吻合。雨水的水质要优于生活污废水，处理成本较低、管理相对简单，具有较好的成本收益，值得推广。</w:t>
      </w:r>
    </w:p>
    <w:p>
      <w:pPr>
        <w:pStyle w:val="87"/>
        <w:spacing w:line="360" w:lineRule="auto"/>
        <w:ind w:firstLine="0" w:firstLineChars="0"/>
        <w:outlineLvl w:val="9"/>
        <w:rPr>
          <w:bCs/>
        </w:rPr>
      </w:pPr>
    </w:p>
    <w:p>
      <w:pPr>
        <w:pStyle w:val="87"/>
        <w:spacing w:line="360" w:lineRule="auto"/>
        <w:ind w:firstLine="0" w:firstLineChars="0"/>
        <w:outlineLvl w:val="9"/>
        <w:rPr>
          <w:bCs/>
        </w:rPr>
      </w:pPr>
      <w:r>
        <w:rPr>
          <w:rFonts w:hint="eastAsia"/>
          <w:b/>
          <w:bCs/>
        </w:rPr>
        <w:t>8</w:t>
      </w:r>
      <w:r>
        <w:rPr>
          <w:b/>
          <w:bCs/>
        </w:rPr>
        <w:t>.2.</w:t>
      </w:r>
      <w:r>
        <w:rPr>
          <w:rFonts w:hint="eastAsia"/>
          <w:b/>
          <w:bCs/>
        </w:rPr>
        <w:t>11</w:t>
      </w:r>
      <w:r>
        <w:rPr>
          <w:rFonts w:hAnsi="宋体"/>
          <w:bCs/>
        </w:rPr>
        <w:t>　结合雨水利用设施进行景观水体设计，景观水体利用雨水的补水量大于其水体蒸发量的</w:t>
      </w:r>
      <w:r>
        <w:rPr>
          <w:bCs/>
        </w:rPr>
        <w:t>60%</w:t>
      </w:r>
      <w:r>
        <w:rPr>
          <w:rFonts w:hAnsi="宋体"/>
          <w:bCs/>
        </w:rPr>
        <w:t>，且采用生态水处理技术保障水体水质，评价总分值为</w:t>
      </w:r>
      <w:r>
        <w:rPr>
          <w:rFonts w:hint="eastAsia"/>
          <w:bCs/>
        </w:rPr>
        <w:t>4</w:t>
      </w:r>
      <w:r>
        <w:rPr>
          <w:rFonts w:hAnsi="宋体"/>
          <w:bCs/>
        </w:rPr>
        <w:t>分，并按下列规则分别评分并累计：</w:t>
      </w:r>
    </w:p>
    <w:p>
      <w:pPr>
        <w:pStyle w:val="87"/>
        <w:spacing w:line="360" w:lineRule="auto"/>
        <w:ind w:firstLine="482"/>
        <w:outlineLvl w:val="9"/>
        <w:rPr>
          <w:bCs/>
        </w:rPr>
      </w:pPr>
      <w:r>
        <w:rPr>
          <w:b/>
          <w:bCs/>
        </w:rPr>
        <w:t>1</w:t>
      </w:r>
      <w:r>
        <w:rPr>
          <w:rFonts w:hAnsi="宋体"/>
          <w:bCs/>
        </w:rPr>
        <w:t>　对进入景观水体的雨水采取控制面源污染的措施，得</w:t>
      </w:r>
      <w:r>
        <w:rPr>
          <w:rFonts w:hint="eastAsia"/>
          <w:bCs/>
        </w:rPr>
        <w:t>2</w:t>
      </w:r>
      <w:r>
        <w:rPr>
          <w:rFonts w:hAnsi="宋体"/>
          <w:bCs/>
        </w:rPr>
        <w:t>分；</w:t>
      </w:r>
    </w:p>
    <w:p>
      <w:pPr>
        <w:pStyle w:val="87"/>
        <w:spacing w:line="360" w:lineRule="auto"/>
        <w:ind w:firstLine="482"/>
        <w:outlineLvl w:val="9"/>
        <w:rPr>
          <w:bCs/>
        </w:rPr>
      </w:pPr>
      <w:r>
        <w:rPr>
          <w:b/>
          <w:bCs/>
        </w:rPr>
        <w:t>2</w:t>
      </w:r>
      <w:r>
        <w:rPr>
          <w:rFonts w:hAnsi="宋体"/>
          <w:bCs/>
        </w:rPr>
        <w:t>　利用水生动、植物进行水体净化，得</w:t>
      </w:r>
      <w:r>
        <w:rPr>
          <w:rFonts w:hint="eastAsia"/>
          <w:bCs/>
        </w:rPr>
        <w:t>2</w:t>
      </w:r>
      <w:r>
        <w:rPr>
          <w:rFonts w:hAnsi="宋体"/>
          <w:bCs/>
        </w:rPr>
        <w:t>分。</w:t>
      </w:r>
    </w:p>
    <w:p>
      <w:pPr>
        <w:pStyle w:val="87"/>
        <w:spacing w:line="360" w:lineRule="auto"/>
        <w:ind w:firstLine="0" w:firstLineChars="0"/>
        <w:outlineLvl w:val="9"/>
        <w:rPr>
          <w:rFonts w:ascii="仿宋" w:hAnsi="仿宋" w:eastAsia="仿宋"/>
          <w:color w:val="FF0000"/>
        </w:rPr>
      </w:pPr>
      <w:r>
        <w:rPr>
          <w:rFonts w:hint="eastAsia" w:ascii="仿宋" w:hAnsi="仿宋" w:eastAsia="仿宋"/>
          <w:color w:val="FF0000"/>
        </w:rPr>
        <w:t>【条文说明】与国家标准基本一致。不设景观水体的项目，本条直接得满分。景观水体的补水没有利用雨水或雨水利用量不满足要求时，本条不得分。</w:t>
      </w:r>
    </w:p>
    <w:p>
      <w:pPr>
        <w:pStyle w:val="87"/>
        <w:spacing w:line="360" w:lineRule="auto"/>
        <w:ind w:firstLine="0" w:firstLineChars="0"/>
        <w:outlineLvl w:val="9"/>
        <w:rPr>
          <w:rFonts w:ascii="仿宋" w:hAnsi="仿宋" w:eastAsia="仿宋"/>
          <w:color w:val="FF0000"/>
        </w:rPr>
      </w:pPr>
      <w:r>
        <w:rPr>
          <w:rFonts w:hint="eastAsia" w:ascii="仿宋" w:hAnsi="仿宋" w:eastAsia="仿宋"/>
          <w:color w:val="FF0000"/>
        </w:rPr>
        <w:t>自然界的水体（河、湖、塘等）大都是由雨水汇集而成，结合场地的地形地貌汇集雨水，用于景观水体补水，是节水和保护、修复水生态环境的最佳选择，因此设置本条的目的是鼓励将雨水控制利用和景观水体设计有机地结合起来。景观水体的补水应充分利用场地的雨水资源，不足时再考虑其他非传统水源的使用。</w:t>
      </w:r>
    </w:p>
    <w:p>
      <w:pPr>
        <w:pStyle w:val="87"/>
        <w:spacing w:line="360" w:lineRule="auto"/>
        <w:ind w:firstLine="0" w:firstLineChars="0"/>
        <w:outlineLvl w:val="9"/>
        <w:rPr>
          <w:rFonts w:ascii="仿宋" w:hAnsi="仿宋" w:eastAsia="仿宋"/>
          <w:color w:val="FF0000"/>
        </w:rPr>
      </w:pPr>
      <w:r>
        <w:rPr>
          <w:rFonts w:hint="eastAsia" w:ascii="仿宋" w:hAnsi="仿宋" w:eastAsia="仿宋"/>
          <w:color w:val="FF0000"/>
        </w:rPr>
        <w:t>缺水地区和降雨量少的地区应谨慎考虑设置景观水体，景观水体的设计应通过技术经济可行性论证确定规模和具体形式。设计阶段应做好景观水体补水量和水体蒸发量逐月的水量平衡，确保满足要求。</w:t>
      </w:r>
    </w:p>
    <w:p>
      <w:pPr>
        <w:pStyle w:val="87"/>
        <w:spacing w:line="360" w:lineRule="auto"/>
        <w:ind w:firstLine="0" w:firstLineChars="0"/>
        <w:outlineLvl w:val="9"/>
        <w:rPr>
          <w:rFonts w:ascii="仿宋" w:hAnsi="仿宋" w:eastAsia="仿宋"/>
          <w:color w:val="FF0000"/>
        </w:rPr>
      </w:pPr>
      <w:r>
        <w:rPr>
          <w:rFonts w:hint="eastAsia" w:ascii="仿宋" w:hAnsi="仿宋" w:eastAsia="仿宋"/>
          <w:color w:val="FF0000"/>
        </w:rPr>
        <w:t>景观水体的水质应符合国家标准《城市污水再生利用 景观环境用水水质》GB/T18291-2002的要求。景观水体的水质保障应采用生态水处理技术，合理控制雨水面源污染，确保水质安全。</w:t>
      </w:r>
    </w:p>
    <w:p>
      <w:pPr>
        <w:spacing w:line="360" w:lineRule="auto"/>
        <w:jc w:val="left"/>
        <w:rPr>
          <w:sz w:val="24"/>
        </w:rPr>
      </w:pPr>
    </w:p>
    <w:p>
      <w:pPr>
        <w:pStyle w:val="2"/>
        <w:spacing w:before="240" w:after="240" w:line="360" w:lineRule="auto"/>
        <w:jc w:val="center"/>
        <w:rPr>
          <w:rFonts w:eastAsia="黑体"/>
          <w:sz w:val="28"/>
          <w:szCs w:val="24"/>
        </w:rPr>
      </w:pPr>
      <w:r>
        <w:br w:type="page"/>
      </w:r>
      <w:bookmarkStart w:id="90" w:name="_Toc449111677"/>
      <w:r>
        <w:rPr>
          <w:rFonts w:eastAsia="黑体"/>
          <w:sz w:val="28"/>
          <w:szCs w:val="24"/>
        </w:rPr>
        <w:t xml:space="preserve">9 </w:t>
      </w:r>
      <w:r>
        <w:rPr>
          <w:rFonts w:hint="eastAsia" w:eastAsia="黑体"/>
          <w:sz w:val="28"/>
          <w:szCs w:val="24"/>
        </w:rPr>
        <w:t>节材与材料资源利用</w:t>
      </w:r>
      <w:bookmarkEnd w:id="90"/>
    </w:p>
    <w:p>
      <w:pPr>
        <w:pStyle w:val="3"/>
        <w:numPr>
          <w:ilvl w:val="0"/>
          <w:numId w:val="0"/>
        </w:numPr>
        <w:spacing w:before="120" w:after="120" w:line="240" w:lineRule="auto"/>
        <w:ind w:left="482" w:hanging="481" w:hangingChars="200"/>
        <w:jc w:val="center"/>
        <w:rPr>
          <w:rFonts w:ascii="Times New Roman" w:hAnsi="Times New Roman"/>
        </w:rPr>
      </w:pPr>
      <w:bookmarkStart w:id="91" w:name="_Toc449111678"/>
      <w:r>
        <w:rPr>
          <w:rFonts w:ascii="Times New Roman" w:hAnsi="Times New Roman"/>
        </w:rPr>
        <w:t xml:space="preserve">9.1 </w:t>
      </w:r>
      <w:r>
        <w:rPr>
          <w:rFonts w:hint="eastAsia" w:ascii="Times New Roman" w:hAnsi="Times New Roman"/>
        </w:rPr>
        <w:t>控制项</w:t>
      </w:r>
      <w:bookmarkEnd w:id="91"/>
    </w:p>
    <w:p>
      <w:pPr>
        <w:autoSpaceDE w:val="0"/>
        <w:autoSpaceDN w:val="0"/>
        <w:adjustRightInd w:val="0"/>
        <w:spacing w:line="360" w:lineRule="auto"/>
        <w:jc w:val="left"/>
        <w:rPr>
          <w:rFonts w:hAnsi="宋体"/>
          <w:kern w:val="0"/>
          <w:sz w:val="24"/>
        </w:rPr>
      </w:pPr>
      <w:r>
        <w:rPr>
          <w:rFonts w:hint="eastAsia"/>
          <w:b/>
          <w:bCs/>
          <w:kern w:val="0"/>
          <w:sz w:val="24"/>
        </w:rPr>
        <w:t>9</w:t>
      </w:r>
      <w:r>
        <w:rPr>
          <w:b/>
          <w:bCs/>
          <w:kern w:val="0"/>
          <w:sz w:val="24"/>
        </w:rPr>
        <w:t>.1.</w:t>
      </w:r>
      <w:r>
        <w:rPr>
          <w:rFonts w:hint="eastAsia"/>
          <w:b/>
          <w:bCs/>
          <w:kern w:val="0"/>
          <w:sz w:val="24"/>
        </w:rPr>
        <w:t>1</w:t>
      </w:r>
      <w:r>
        <w:rPr>
          <w:rFonts w:hAnsi="宋体"/>
          <w:bCs/>
          <w:kern w:val="0"/>
          <w:sz w:val="24"/>
        </w:rPr>
        <w:t>　</w:t>
      </w:r>
      <w:r>
        <w:rPr>
          <w:rFonts w:hAnsi="宋体"/>
          <w:kern w:val="0"/>
          <w:sz w:val="24"/>
        </w:rPr>
        <w:t>建筑造型要素应简约，且无大量装饰性构件。</w:t>
      </w:r>
    </w:p>
    <w:p>
      <w:pPr>
        <w:pStyle w:val="87"/>
        <w:spacing w:line="360" w:lineRule="auto"/>
        <w:ind w:firstLine="0" w:firstLineChars="0"/>
        <w:outlineLvl w:val="9"/>
        <w:rPr>
          <w:rFonts w:ascii="仿宋" w:hAnsi="仿宋" w:eastAsia="仿宋"/>
          <w:color w:val="FF0000"/>
        </w:rPr>
      </w:pPr>
      <w:r>
        <w:rPr>
          <w:rFonts w:hint="eastAsia" w:ascii="仿宋" w:hAnsi="仿宋" w:eastAsia="仿宋"/>
          <w:color w:val="FF0000"/>
        </w:rPr>
        <w:t>【条文说明】与国家标准一致。设置大量的没有功能的纯装饰性构件，不符合绿色建筑节约资源的要求。而通过使用装饰和功能一体化构件，利用功能构件作为建筑造型的语言，可以在满足建筑功能的前提下表达美学效果，并节约资源。对于不具备遮阳、导光、导风、载物、辅助绿化等作用的飘板、格栅、构架和塔、球、曲面等装饰性构件，应对其造价进行控制，居住建筑：纯装饰性构件造价部高于所在单栋建筑总造价的2%；公共建筑：纯装饰性构件造价不高于所在单栋建筑总造价的0.5%。单栋建筑总造价系指该建筑的土建、安装工程总造价，不包括征地等其他费用。</w:t>
      </w:r>
    </w:p>
    <w:p>
      <w:pPr>
        <w:pStyle w:val="87"/>
        <w:spacing w:line="360" w:lineRule="auto"/>
        <w:ind w:left="210" w:leftChars="100" w:firstLine="0" w:firstLineChars="0"/>
        <w:outlineLvl w:val="9"/>
        <w:rPr>
          <w:rFonts w:ascii="仿宋" w:hAnsi="仿宋" w:eastAsia="仿宋"/>
          <w:color w:val="FF0000"/>
        </w:rPr>
      </w:pPr>
      <w:r>
        <w:rPr>
          <w:rFonts w:hint="eastAsia" w:ascii="仿宋" w:hAnsi="仿宋" w:eastAsia="仿宋"/>
          <w:color w:val="FF0000"/>
        </w:rPr>
        <w:t>没有功能作用的纯装饰性构件应用，归纳为如下几种常见情况：</w:t>
      </w:r>
      <w:r>
        <w:rPr>
          <w:rFonts w:ascii="仿宋" w:hAnsi="仿宋" w:eastAsia="仿宋"/>
          <w:color w:val="FF0000"/>
        </w:rPr>
        <w:br w:type="textWrapping"/>
      </w:r>
      <w:r>
        <w:rPr>
          <w:rFonts w:hint="eastAsia" w:ascii="仿宋" w:hAnsi="仿宋" w:eastAsia="仿宋"/>
          <w:color w:val="FF0000"/>
        </w:rPr>
        <w:t>1、不具备遮阳、导光、导风、载物、辅助绿化等作用的飘板、格栅和构架等作为构成要素在建筑中的大量应用；</w:t>
      </w:r>
    </w:p>
    <w:p>
      <w:pPr>
        <w:pStyle w:val="87"/>
        <w:spacing w:line="360" w:lineRule="auto"/>
        <w:ind w:left="210" w:leftChars="100" w:firstLine="0" w:firstLineChars="0"/>
        <w:outlineLvl w:val="9"/>
        <w:rPr>
          <w:rFonts w:ascii="仿宋" w:hAnsi="仿宋" w:eastAsia="仿宋"/>
          <w:color w:val="FF0000"/>
        </w:rPr>
      </w:pPr>
      <w:r>
        <w:rPr>
          <w:rFonts w:hint="eastAsia" w:ascii="仿宋" w:hAnsi="仿宋" w:eastAsia="仿宋"/>
          <w:color w:val="FF0000"/>
        </w:rPr>
        <w:t>2、单纯为追求标志性效果在屋顶等处设立塔、球、曲面等异性构件；</w:t>
      </w:r>
    </w:p>
    <w:p>
      <w:pPr>
        <w:pStyle w:val="87"/>
        <w:spacing w:line="360" w:lineRule="auto"/>
        <w:ind w:left="210" w:leftChars="100" w:firstLine="0" w:firstLineChars="0"/>
        <w:outlineLvl w:val="9"/>
        <w:rPr>
          <w:rFonts w:ascii="仿宋" w:hAnsi="仿宋" w:eastAsia="仿宋"/>
          <w:color w:val="FF0000"/>
        </w:rPr>
      </w:pPr>
      <w:r>
        <w:rPr>
          <w:rFonts w:hint="eastAsia" w:ascii="仿宋" w:hAnsi="仿宋" w:eastAsia="仿宋"/>
          <w:color w:val="FF0000"/>
        </w:rPr>
        <w:t>3、女儿墙高度超过标准要求2倍以上。</w:t>
      </w:r>
    </w:p>
    <w:p>
      <w:pPr>
        <w:autoSpaceDE w:val="0"/>
        <w:autoSpaceDN w:val="0"/>
        <w:adjustRightInd w:val="0"/>
        <w:spacing w:line="360" w:lineRule="auto"/>
        <w:jc w:val="left"/>
        <w:rPr>
          <w:kern w:val="0"/>
          <w:sz w:val="24"/>
        </w:rPr>
      </w:pPr>
    </w:p>
    <w:p>
      <w:pPr>
        <w:spacing w:line="360" w:lineRule="auto"/>
        <w:jc w:val="left"/>
        <w:rPr>
          <w:sz w:val="24"/>
        </w:rPr>
      </w:pPr>
    </w:p>
    <w:p>
      <w:pPr>
        <w:pStyle w:val="3"/>
        <w:numPr>
          <w:ilvl w:val="0"/>
          <w:numId w:val="0"/>
        </w:numPr>
        <w:spacing w:before="120" w:after="120" w:line="240" w:lineRule="auto"/>
        <w:ind w:left="482" w:hanging="481" w:hangingChars="200"/>
        <w:jc w:val="center"/>
        <w:rPr>
          <w:rFonts w:ascii="Times New Roman" w:hAnsi="Times New Roman"/>
        </w:rPr>
      </w:pPr>
      <w:bookmarkStart w:id="92" w:name="_Toc449111679"/>
      <w:r>
        <w:rPr>
          <w:rFonts w:ascii="Times New Roman" w:hAnsi="Times New Roman"/>
        </w:rPr>
        <w:t xml:space="preserve">9.2 </w:t>
      </w:r>
      <w:r>
        <w:rPr>
          <w:rFonts w:hint="eastAsia" w:ascii="Times New Roman" w:hAnsi="Times New Roman"/>
        </w:rPr>
        <w:t>评分项</w:t>
      </w:r>
      <w:bookmarkEnd w:id="92"/>
    </w:p>
    <w:p>
      <w:pPr>
        <w:pStyle w:val="87"/>
        <w:ind w:firstLine="0" w:firstLineChars="0"/>
        <w:jc w:val="center"/>
        <w:rPr>
          <w:b/>
          <w:bCs/>
        </w:rPr>
      </w:pPr>
      <w:bookmarkStart w:id="93" w:name="_Toc449111680"/>
      <w:r>
        <w:rPr>
          <w:rFonts w:ascii="宋体" w:hAnsi="宋体"/>
        </w:rPr>
        <w:t>Ⅰ</w:t>
      </w:r>
      <w:r>
        <w:rPr>
          <w:rFonts w:hint="eastAsia" w:ascii="宋体" w:hAnsi="宋体"/>
        </w:rPr>
        <w:t xml:space="preserve"> </w:t>
      </w:r>
      <w:r>
        <w:rPr>
          <w:rFonts w:hAnsi="宋体"/>
        </w:rPr>
        <w:t>节材设计</w:t>
      </w:r>
      <w:r>
        <w:rPr>
          <w:rFonts w:hint="eastAsia" w:hAnsi="宋体"/>
        </w:rPr>
        <w:t>（40）</w:t>
      </w:r>
      <w:bookmarkEnd w:id="93"/>
    </w:p>
    <w:p>
      <w:pPr>
        <w:autoSpaceDE w:val="0"/>
        <w:autoSpaceDN w:val="0"/>
        <w:adjustRightInd w:val="0"/>
        <w:spacing w:line="360" w:lineRule="auto"/>
        <w:jc w:val="left"/>
        <w:rPr>
          <w:kern w:val="0"/>
          <w:sz w:val="24"/>
        </w:rPr>
      </w:pPr>
      <w:r>
        <w:rPr>
          <w:b/>
          <w:bCs/>
          <w:kern w:val="0"/>
          <w:sz w:val="24"/>
        </w:rPr>
        <w:t>9.2.1</w:t>
      </w:r>
      <w:r>
        <w:rPr>
          <w:bCs/>
          <w:kern w:val="0"/>
          <w:sz w:val="24"/>
        </w:rPr>
        <w:t>　</w:t>
      </w:r>
      <w:r>
        <w:rPr>
          <w:kern w:val="0"/>
          <w:sz w:val="24"/>
        </w:rPr>
        <w:t>择优选用建筑形体，</w:t>
      </w:r>
      <w:r>
        <w:rPr>
          <w:bCs/>
          <w:sz w:val="24"/>
        </w:rPr>
        <w:t>评价总分值为</w:t>
      </w:r>
      <w:r>
        <w:rPr>
          <w:rFonts w:hint="eastAsia"/>
          <w:bCs/>
          <w:sz w:val="24"/>
        </w:rPr>
        <w:t>5</w:t>
      </w:r>
      <w:r>
        <w:rPr>
          <w:bCs/>
          <w:sz w:val="24"/>
        </w:rPr>
        <w:t>分，根据国家标准</w:t>
      </w:r>
      <w:r>
        <w:rPr>
          <w:kern w:val="0"/>
          <w:sz w:val="24"/>
        </w:rPr>
        <w:t>《建筑抗震设计规范》GB 50011-2010规定的建筑形体规则性评分，建筑形体不规则，得</w:t>
      </w:r>
      <w:r>
        <w:rPr>
          <w:rFonts w:hint="eastAsia"/>
          <w:kern w:val="0"/>
          <w:sz w:val="24"/>
        </w:rPr>
        <w:t>2</w:t>
      </w:r>
      <w:r>
        <w:rPr>
          <w:kern w:val="0"/>
          <w:sz w:val="24"/>
        </w:rPr>
        <w:t>分；建筑形体规则，得</w:t>
      </w:r>
      <w:r>
        <w:rPr>
          <w:rFonts w:hint="eastAsia"/>
          <w:kern w:val="0"/>
          <w:sz w:val="24"/>
        </w:rPr>
        <w:t>5</w:t>
      </w:r>
      <w:r>
        <w:rPr>
          <w:kern w:val="0"/>
          <w:sz w:val="24"/>
        </w:rPr>
        <w:t>分。</w:t>
      </w:r>
    </w:p>
    <w:p>
      <w:pPr>
        <w:pStyle w:val="87"/>
        <w:spacing w:line="360" w:lineRule="auto"/>
        <w:ind w:firstLine="0" w:firstLineChars="0"/>
        <w:outlineLvl w:val="9"/>
        <w:rPr>
          <w:rFonts w:ascii="仿宋" w:hAnsi="仿宋" w:eastAsia="仿宋"/>
          <w:color w:val="FF0000"/>
        </w:rPr>
      </w:pPr>
      <w:r>
        <w:rPr>
          <w:rFonts w:ascii="仿宋" w:hAnsi="仿宋" w:eastAsia="仿宋"/>
          <w:color w:val="FF0000"/>
        </w:rPr>
        <w:t>【条文说明】</w:t>
      </w:r>
      <w:r>
        <w:rPr>
          <w:rFonts w:hint="eastAsia" w:ascii="仿宋" w:hAnsi="仿宋" w:eastAsia="仿宋"/>
          <w:color w:val="FF0000"/>
        </w:rPr>
        <w:t>此条文运行评价不再评价，与设计评价结论一致。</w:t>
      </w:r>
      <w:r>
        <w:rPr>
          <w:rFonts w:ascii="仿宋" w:hAnsi="仿宋" w:eastAsia="仿宋"/>
          <w:color w:val="FF0000"/>
        </w:rPr>
        <w:t>与国家标准一致，主要调整了总分，从9分调整了</w:t>
      </w:r>
      <w:r>
        <w:rPr>
          <w:rFonts w:hint="eastAsia" w:ascii="仿宋" w:hAnsi="仿宋" w:eastAsia="仿宋"/>
          <w:color w:val="FF0000"/>
        </w:rPr>
        <w:t>5</w:t>
      </w:r>
      <w:r>
        <w:rPr>
          <w:rFonts w:ascii="仿宋" w:hAnsi="仿宋" w:eastAsia="仿宋"/>
          <w:color w:val="FF0000"/>
        </w:rPr>
        <w:t>分，以便各层次得分基本一致。</w:t>
      </w:r>
      <w:r>
        <w:rPr>
          <w:rFonts w:hint="eastAsia" w:ascii="仿宋" w:hAnsi="仿宋" w:eastAsia="仿宋"/>
          <w:color w:val="FF0000"/>
        </w:rPr>
        <w:t>形体指建筑平面形状和立面、竖向剖面的变化。绿色建筑设计应重视其平面、立面和竖向剖面的规则性对抗震性能及经济合理性的影响，优先选用规则的形体。</w:t>
      </w:r>
    </w:p>
    <w:p>
      <w:pPr>
        <w:pStyle w:val="87"/>
        <w:spacing w:line="360" w:lineRule="auto"/>
        <w:ind w:firstLine="0" w:firstLineChars="0"/>
        <w:outlineLvl w:val="9"/>
        <w:rPr>
          <w:rFonts w:ascii="仿宋" w:hAnsi="仿宋" w:eastAsia="仿宋"/>
          <w:color w:val="FF0000"/>
        </w:rPr>
      </w:pPr>
      <w:r>
        <w:rPr>
          <w:rFonts w:hint="eastAsia" w:ascii="仿宋" w:hAnsi="仿宋" w:eastAsia="仿宋"/>
          <w:color w:val="FF0000"/>
        </w:rPr>
        <w:t>建筑设计应根据抗震概念设计的要求明确建筑形体规则性，抗震概念设计将建筑形体规则性分为：规则、不规则、特别不规则、严重不规则。建筑形体的规则性应根据现象国家标准《建筑抗震设计规范》GB50011-2010的有关规定进行划分。为实现相同的抗震设防目标，形体不规则的建筑，要比形体规则的建筑耗费更多的结构材料。不规则程度越高，对结构材料的消耗量越多，性能要求越高，不利于节材。本条评分的两个档次分别对应抗震概念设计中建筑形体规则性分级的“规则”和“不规则”；对形体“特别不规则”的建筑和“严重不规则”的建筑，本条不得分。</w:t>
      </w:r>
    </w:p>
    <w:p>
      <w:pPr>
        <w:autoSpaceDE w:val="0"/>
        <w:autoSpaceDN w:val="0"/>
        <w:adjustRightInd w:val="0"/>
        <w:spacing w:line="360" w:lineRule="auto"/>
        <w:jc w:val="left"/>
        <w:rPr>
          <w:kern w:val="0"/>
          <w:sz w:val="24"/>
        </w:rPr>
      </w:pPr>
    </w:p>
    <w:p>
      <w:pPr>
        <w:autoSpaceDE w:val="0"/>
        <w:autoSpaceDN w:val="0"/>
        <w:adjustRightInd w:val="0"/>
        <w:spacing w:line="360" w:lineRule="auto"/>
        <w:jc w:val="left"/>
        <w:rPr>
          <w:kern w:val="0"/>
          <w:sz w:val="24"/>
        </w:rPr>
      </w:pPr>
      <w:r>
        <w:rPr>
          <w:b/>
          <w:bCs/>
          <w:kern w:val="0"/>
          <w:sz w:val="24"/>
        </w:rPr>
        <w:t>9.2.2</w:t>
      </w:r>
      <w:r>
        <w:rPr>
          <w:bCs/>
          <w:kern w:val="0"/>
          <w:sz w:val="24"/>
        </w:rPr>
        <w:t>　</w:t>
      </w:r>
      <w:r>
        <w:rPr>
          <w:kern w:val="0"/>
          <w:sz w:val="24"/>
        </w:rPr>
        <w:t>对地基基础、结构体系、结构构件进行优化设计，达到节材效果，</w:t>
      </w:r>
      <w:r>
        <w:rPr>
          <w:bCs/>
          <w:sz w:val="24"/>
        </w:rPr>
        <w:t>评价总分值为5分，并按下列规则分别评分并累计</w:t>
      </w:r>
      <w:r>
        <w:rPr>
          <w:kern w:val="0"/>
          <w:sz w:val="24"/>
        </w:rPr>
        <w:t>：</w:t>
      </w:r>
    </w:p>
    <w:p>
      <w:pPr>
        <w:autoSpaceDE w:val="0"/>
        <w:autoSpaceDN w:val="0"/>
        <w:adjustRightInd w:val="0"/>
        <w:spacing w:line="360" w:lineRule="auto"/>
        <w:ind w:firstLine="481" w:firstLineChars="200"/>
        <w:jc w:val="left"/>
        <w:rPr>
          <w:kern w:val="0"/>
          <w:sz w:val="24"/>
        </w:rPr>
      </w:pPr>
      <w:r>
        <w:rPr>
          <w:b/>
          <w:kern w:val="0"/>
          <w:sz w:val="24"/>
        </w:rPr>
        <w:t>1</w:t>
      </w:r>
      <w:r>
        <w:rPr>
          <w:kern w:val="0"/>
          <w:sz w:val="24"/>
        </w:rPr>
        <w:t>　地基基础</w:t>
      </w:r>
      <w:r>
        <w:rPr>
          <w:rFonts w:hint="eastAsia"/>
          <w:kern w:val="0"/>
          <w:sz w:val="24"/>
        </w:rPr>
        <w:t>优化，得</w:t>
      </w:r>
      <w:r>
        <w:rPr>
          <w:kern w:val="0"/>
          <w:sz w:val="24"/>
        </w:rPr>
        <w:t>2分；</w:t>
      </w:r>
    </w:p>
    <w:p>
      <w:pPr>
        <w:autoSpaceDE w:val="0"/>
        <w:autoSpaceDN w:val="0"/>
        <w:adjustRightInd w:val="0"/>
        <w:spacing w:line="360" w:lineRule="auto"/>
        <w:ind w:firstLine="481" w:firstLineChars="200"/>
        <w:jc w:val="left"/>
        <w:rPr>
          <w:kern w:val="0"/>
          <w:sz w:val="24"/>
        </w:rPr>
      </w:pPr>
      <w:r>
        <w:rPr>
          <w:b/>
          <w:kern w:val="0"/>
          <w:sz w:val="24"/>
        </w:rPr>
        <w:t>2</w:t>
      </w:r>
      <w:r>
        <w:rPr>
          <w:kern w:val="0"/>
          <w:sz w:val="24"/>
        </w:rPr>
        <w:t>　结构体系</w:t>
      </w:r>
      <w:r>
        <w:rPr>
          <w:rFonts w:hint="eastAsia"/>
          <w:kern w:val="0"/>
          <w:sz w:val="24"/>
        </w:rPr>
        <w:t>优化，得</w:t>
      </w:r>
      <w:r>
        <w:rPr>
          <w:kern w:val="0"/>
          <w:sz w:val="24"/>
        </w:rPr>
        <w:t>2分；</w:t>
      </w:r>
    </w:p>
    <w:p>
      <w:pPr>
        <w:autoSpaceDE w:val="0"/>
        <w:autoSpaceDN w:val="0"/>
        <w:adjustRightInd w:val="0"/>
        <w:spacing w:line="360" w:lineRule="auto"/>
        <w:ind w:firstLine="481" w:firstLineChars="200"/>
        <w:jc w:val="left"/>
        <w:rPr>
          <w:kern w:val="0"/>
          <w:sz w:val="24"/>
        </w:rPr>
      </w:pPr>
      <w:r>
        <w:rPr>
          <w:b/>
          <w:kern w:val="0"/>
          <w:sz w:val="24"/>
        </w:rPr>
        <w:t>3</w:t>
      </w:r>
      <w:r>
        <w:rPr>
          <w:kern w:val="0"/>
          <w:sz w:val="24"/>
        </w:rPr>
        <w:t>　结构构件</w:t>
      </w:r>
      <w:r>
        <w:rPr>
          <w:rFonts w:hint="eastAsia"/>
          <w:kern w:val="0"/>
          <w:sz w:val="24"/>
        </w:rPr>
        <w:t>优化，得</w:t>
      </w:r>
      <w:r>
        <w:rPr>
          <w:kern w:val="0"/>
          <w:sz w:val="24"/>
        </w:rPr>
        <w:t>1分。</w:t>
      </w:r>
    </w:p>
    <w:p>
      <w:pPr>
        <w:pStyle w:val="87"/>
        <w:spacing w:line="360" w:lineRule="auto"/>
        <w:ind w:firstLine="0" w:firstLineChars="0"/>
        <w:outlineLvl w:val="9"/>
        <w:rPr>
          <w:rFonts w:ascii="仿宋" w:hAnsi="仿宋" w:eastAsia="仿宋"/>
          <w:color w:val="FF0000"/>
        </w:rPr>
      </w:pPr>
      <w:r>
        <w:rPr>
          <w:rFonts w:ascii="仿宋" w:hAnsi="仿宋" w:eastAsia="仿宋"/>
          <w:color w:val="FF0000"/>
        </w:rPr>
        <w:t>【条文说明】</w:t>
      </w:r>
      <w:r>
        <w:rPr>
          <w:rFonts w:hint="eastAsia" w:ascii="仿宋" w:hAnsi="仿宋" w:eastAsia="仿宋"/>
          <w:color w:val="FF0000"/>
        </w:rPr>
        <w:t>此条文运行评价不再评价，与设计评价结论一致。</w:t>
      </w:r>
      <w:r>
        <w:rPr>
          <w:rFonts w:ascii="仿宋" w:hAnsi="仿宋" w:eastAsia="仿宋"/>
          <w:color w:val="FF0000"/>
        </w:rPr>
        <w:t>与国家标准一致，主要根据技术细则进行细化。</w:t>
      </w:r>
      <w:r>
        <w:rPr>
          <w:rFonts w:hint="eastAsia" w:ascii="仿宋" w:hAnsi="仿宋" w:eastAsia="仿宋"/>
          <w:color w:val="FF0000"/>
        </w:rPr>
        <w:t>在设计过程中对地基基础、结构体系、结构构件进行优化，能够有效地节约材料用量。结构体系指结构中所有承重构件及其共同工作的方式。结构布置及构件截面设计不同，建筑的材料用量也会有较大的差异。</w:t>
      </w:r>
    </w:p>
    <w:p>
      <w:pPr>
        <w:autoSpaceDE w:val="0"/>
        <w:autoSpaceDN w:val="0"/>
        <w:adjustRightInd w:val="0"/>
        <w:spacing w:line="360" w:lineRule="auto"/>
        <w:jc w:val="left"/>
        <w:rPr>
          <w:kern w:val="0"/>
          <w:sz w:val="24"/>
        </w:rPr>
      </w:pPr>
    </w:p>
    <w:p>
      <w:pPr>
        <w:autoSpaceDE w:val="0"/>
        <w:autoSpaceDN w:val="0"/>
        <w:adjustRightInd w:val="0"/>
        <w:spacing w:line="360" w:lineRule="auto"/>
        <w:jc w:val="left"/>
        <w:rPr>
          <w:bCs/>
          <w:sz w:val="24"/>
        </w:rPr>
      </w:pPr>
      <w:r>
        <w:rPr>
          <w:b/>
          <w:bCs/>
          <w:kern w:val="0"/>
          <w:sz w:val="24"/>
        </w:rPr>
        <w:t>9.2.3</w:t>
      </w:r>
      <w:r>
        <w:rPr>
          <w:bCs/>
          <w:kern w:val="0"/>
          <w:sz w:val="24"/>
        </w:rPr>
        <w:t>　</w:t>
      </w:r>
      <w:bookmarkStart w:id="94" w:name="OLE_LINK52"/>
      <w:bookmarkStart w:id="95" w:name="OLE_LINK53"/>
      <w:r>
        <w:rPr>
          <w:kern w:val="0"/>
          <w:sz w:val="24"/>
        </w:rPr>
        <w:t>采用模数</w:t>
      </w:r>
      <w:r>
        <w:rPr>
          <w:rFonts w:hint="eastAsia"/>
          <w:kern w:val="0"/>
          <w:sz w:val="24"/>
        </w:rPr>
        <w:t>化</w:t>
      </w:r>
      <w:r>
        <w:rPr>
          <w:kern w:val="0"/>
          <w:sz w:val="24"/>
        </w:rPr>
        <w:t>和标准</w:t>
      </w:r>
      <w:r>
        <w:rPr>
          <w:rFonts w:hint="eastAsia"/>
          <w:kern w:val="0"/>
          <w:sz w:val="24"/>
        </w:rPr>
        <w:t>化</w:t>
      </w:r>
      <w:r>
        <w:rPr>
          <w:kern w:val="0"/>
          <w:sz w:val="24"/>
        </w:rPr>
        <w:t>设计</w:t>
      </w:r>
      <w:bookmarkEnd w:id="94"/>
      <w:bookmarkEnd w:id="95"/>
      <w:r>
        <w:rPr>
          <w:kern w:val="0"/>
          <w:sz w:val="24"/>
        </w:rPr>
        <w:t>，</w:t>
      </w:r>
      <w:r>
        <w:rPr>
          <w:bCs/>
          <w:sz w:val="24"/>
        </w:rPr>
        <w:t>评价总分值为</w:t>
      </w:r>
      <w:r>
        <w:rPr>
          <w:rFonts w:hint="eastAsia"/>
          <w:bCs/>
          <w:sz w:val="24"/>
        </w:rPr>
        <w:t>5</w:t>
      </w:r>
      <w:r>
        <w:rPr>
          <w:bCs/>
          <w:sz w:val="24"/>
        </w:rPr>
        <w:t>分，按表</w:t>
      </w:r>
      <w:r>
        <w:rPr>
          <w:rFonts w:hint="eastAsia"/>
          <w:bCs/>
          <w:sz w:val="24"/>
        </w:rPr>
        <w:t>9</w:t>
      </w:r>
      <w:r>
        <w:rPr>
          <w:bCs/>
          <w:sz w:val="24"/>
        </w:rPr>
        <w:t>.2.</w:t>
      </w:r>
      <w:r>
        <w:rPr>
          <w:rFonts w:hint="eastAsia"/>
          <w:bCs/>
          <w:sz w:val="24"/>
        </w:rPr>
        <w:t>3</w:t>
      </w:r>
      <w:r>
        <w:rPr>
          <w:bCs/>
          <w:sz w:val="24"/>
        </w:rPr>
        <w:t>的规则评分。</w:t>
      </w:r>
    </w:p>
    <w:p>
      <w:pPr>
        <w:spacing w:line="360" w:lineRule="auto"/>
        <w:jc w:val="center"/>
        <w:rPr>
          <w:b/>
        </w:rPr>
      </w:pPr>
      <w:r>
        <w:rPr>
          <w:b/>
        </w:rPr>
        <w:t>表9.2.</w:t>
      </w:r>
      <w:r>
        <w:rPr>
          <w:rFonts w:hint="eastAsia"/>
          <w:b/>
        </w:rPr>
        <w:t>3</w:t>
      </w:r>
      <w:r>
        <w:rPr>
          <w:b/>
        </w:rPr>
        <w:t xml:space="preserve"> </w:t>
      </w:r>
      <w:r>
        <w:rPr>
          <w:rFonts w:hint="eastAsia"/>
          <w:b/>
        </w:rPr>
        <w:t>模数化和标准化设计</w:t>
      </w:r>
      <w:r>
        <w:rPr>
          <w:b/>
        </w:rPr>
        <w:t>评分规则</w:t>
      </w:r>
    </w:p>
    <w:tbl>
      <w:tblPr>
        <w:tblStyle w:val="38"/>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2"/>
        <w:gridCol w:w="823"/>
        <w:gridCol w:w="4847"/>
        <w:gridCol w:w="16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Align w:val="top"/>
          </w:tcPr>
          <w:p>
            <w:pPr>
              <w:jc w:val="center"/>
            </w:pPr>
            <w:r>
              <w:rPr>
                <w:rFonts w:hint="eastAsia"/>
              </w:rPr>
              <w:t>评价项目</w:t>
            </w:r>
          </w:p>
        </w:tc>
        <w:tc>
          <w:tcPr>
            <w:tcW w:w="5670" w:type="dxa"/>
            <w:gridSpan w:val="2"/>
            <w:vAlign w:val="top"/>
          </w:tcPr>
          <w:p>
            <w:pPr>
              <w:jc w:val="center"/>
            </w:pPr>
            <w:r>
              <w:rPr>
                <w:rFonts w:hint="eastAsia"/>
              </w:rPr>
              <w:t>评价指标及要求</w:t>
            </w:r>
          </w:p>
        </w:tc>
        <w:tc>
          <w:tcPr>
            <w:tcW w:w="1610" w:type="dxa"/>
            <w:vAlign w:val="top"/>
          </w:tcPr>
          <w:p>
            <w:pPr>
              <w:jc w:val="center"/>
            </w:pPr>
            <w: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Align w:val="top"/>
          </w:tcPr>
          <w:p>
            <w:pPr>
              <w:jc w:val="center"/>
            </w:pPr>
            <w:r>
              <w:rPr>
                <w:rFonts w:hint="eastAsia"/>
                <w:bCs/>
              </w:rPr>
              <w:t>模数协调</w:t>
            </w:r>
          </w:p>
        </w:tc>
        <w:tc>
          <w:tcPr>
            <w:tcW w:w="5670" w:type="dxa"/>
            <w:gridSpan w:val="2"/>
            <w:vAlign w:val="top"/>
          </w:tcPr>
          <w:p>
            <w:pPr>
              <w:jc w:val="center"/>
            </w:pPr>
            <w:r>
              <w:rPr>
                <w:rFonts w:hint="eastAsia"/>
              </w:rPr>
              <w:t>建筑设计采用统一的模数协调尺寸，并符合现行国家标准《建筑模数协调标准》GB/T50002的有关规定。</w:t>
            </w:r>
          </w:p>
        </w:tc>
        <w:tc>
          <w:tcPr>
            <w:tcW w:w="1610" w:type="dxa"/>
            <w:vAlign w:val="top"/>
          </w:tcPr>
          <w:p>
            <w:pPr>
              <w:jc w:val="center"/>
            </w:pPr>
            <w:r>
              <w:rPr>
                <w:rFonts w:hint="eastAsia"/>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Merge w:val="restart"/>
            <w:vAlign w:val="top"/>
          </w:tcPr>
          <w:p>
            <w:pPr>
              <w:jc w:val="center"/>
            </w:pPr>
            <w:r>
              <w:rPr>
                <w:rFonts w:hint="eastAsia"/>
                <w:bCs/>
              </w:rPr>
              <w:t>建筑单元</w:t>
            </w:r>
          </w:p>
        </w:tc>
        <w:tc>
          <w:tcPr>
            <w:tcW w:w="823" w:type="dxa"/>
            <w:vAlign w:val="top"/>
          </w:tcPr>
          <w:p>
            <w:pPr>
              <w:jc w:val="center"/>
            </w:pPr>
            <w:r>
              <w:rPr>
                <w:rFonts w:hint="eastAsia"/>
              </w:rPr>
              <w:t>居住建筑</w:t>
            </w:r>
          </w:p>
        </w:tc>
        <w:tc>
          <w:tcPr>
            <w:tcW w:w="4847" w:type="dxa"/>
            <w:vAlign w:val="top"/>
          </w:tcPr>
          <w:p>
            <w:pPr>
              <w:jc w:val="center"/>
            </w:pPr>
            <w:r>
              <w:rPr>
                <w:rFonts w:hint="eastAsia"/>
              </w:rPr>
              <w:t>在单体住宅建筑重复使用量最多的三个基本户型的面积之和占总建筑面积的比例不低于70%。</w:t>
            </w:r>
          </w:p>
        </w:tc>
        <w:tc>
          <w:tcPr>
            <w:tcW w:w="1610" w:type="dxa"/>
            <w:vMerge w:val="restart"/>
            <w:vAlign w:val="center"/>
          </w:tcPr>
          <w:p>
            <w:pPr>
              <w:jc w:val="center"/>
            </w:pPr>
            <w:r>
              <w:rPr>
                <w:rFonts w:hint="eastAsia"/>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42" w:type="dxa"/>
            <w:vMerge w:val="continue"/>
            <w:vAlign w:val="top"/>
          </w:tcPr>
          <w:p>
            <w:pPr>
              <w:jc w:val="center"/>
              <w:rPr>
                <w:bCs/>
              </w:rPr>
            </w:pPr>
          </w:p>
        </w:tc>
        <w:tc>
          <w:tcPr>
            <w:tcW w:w="823" w:type="dxa"/>
            <w:vAlign w:val="top"/>
          </w:tcPr>
          <w:p>
            <w:pPr>
              <w:jc w:val="center"/>
            </w:pPr>
            <w:r>
              <w:rPr>
                <w:rFonts w:hint="eastAsia"/>
              </w:rPr>
              <w:t>公共建筑</w:t>
            </w:r>
          </w:p>
        </w:tc>
        <w:tc>
          <w:tcPr>
            <w:tcW w:w="4847" w:type="dxa"/>
            <w:vAlign w:val="top"/>
          </w:tcPr>
          <w:p>
            <w:pPr>
              <w:jc w:val="center"/>
            </w:pPr>
            <w:r>
              <w:rPr>
                <w:rFonts w:hint="eastAsia"/>
              </w:rPr>
              <w:t>在单体公共建筑中重复使用量最多的三个基本单元的面积之和占总建筑面积的比例不低于60%。</w:t>
            </w:r>
          </w:p>
        </w:tc>
        <w:tc>
          <w:tcPr>
            <w:tcW w:w="1610" w:type="dxa"/>
            <w:vMerge w:val="continue"/>
            <w:vAlign w:val="top"/>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Align w:val="top"/>
          </w:tcPr>
          <w:p>
            <w:pPr>
              <w:jc w:val="center"/>
            </w:pPr>
            <w:r>
              <w:rPr>
                <w:rFonts w:hint="eastAsia"/>
              </w:rPr>
              <w:t>平面布局</w:t>
            </w:r>
          </w:p>
        </w:tc>
        <w:tc>
          <w:tcPr>
            <w:tcW w:w="5670" w:type="dxa"/>
            <w:gridSpan w:val="2"/>
            <w:vAlign w:val="top"/>
          </w:tcPr>
          <w:p>
            <w:pPr>
              <w:jc w:val="center"/>
            </w:pPr>
            <w:r>
              <w:rPr>
                <w:rFonts w:hint="eastAsia"/>
              </w:rPr>
              <w:t>各功能房间布局合理、规则有序，符合建筑功能和结构抗震安全要求。</w:t>
            </w:r>
          </w:p>
        </w:tc>
        <w:tc>
          <w:tcPr>
            <w:tcW w:w="1610" w:type="dxa"/>
            <w:vAlign w:val="top"/>
          </w:tcPr>
          <w:p>
            <w:pPr>
              <w:jc w:val="center"/>
            </w:pPr>
            <w:r>
              <w:rPr>
                <w:rFonts w:hint="eastAsia"/>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Align w:val="top"/>
          </w:tcPr>
          <w:p>
            <w:pPr>
              <w:jc w:val="center"/>
            </w:pPr>
            <w:r>
              <w:rPr>
                <w:rFonts w:hint="eastAsia"/>
              </w:rPr>
              <w:t>连接节点</w:t>
            </w:r>
          </w:p>
        </w:tc>
        <w:tc>
          <w:tcPr>
            <w:tcW w:w="5670" w:type="dxa"/>
            <w:gridSpan w:val="2"/>
            <w:vAlign w:val="top"/>
          </w:tcPr>
          <w:p>
            <w:pPr>
              <w:jc w:val="center"/>
            </w:pPr>
            <w:r>
              <w:rPr>
                <w:rFonts w:hint="eastAsia"/>
              </w:rPr>
              <w:t>连接节点具备标准化设计，符合安全、经济、方便施工等要求。</w:t>
            </w:r>
          </w:p>
        </w:tc>
        <w:tc>
          <w:tcPr>
            <w:tcW w:w="1610" w:type="dxa"/>
            <w:vAlign w:val="top"/>
          </w:tcPr>
          <w:p>
            <w:pPr>
              <w:jc w:val="center"/>
            </w:pPr>
            <w:r>
              <w:rPr>
                <w:rFonts w:hint="eastAsia"/>
              </w:rPr>
              <w:t>1</w:t>
            </w:r>
          </w:p>
        </w:tc>
      </w:tr>
    </w:tbl>
    <w:p>
      <w:pPr>
        <w:pStyle w:val="87"/>
        <w:spacing w:line="360" w:lineRule="auto"/>
        <w:ind w:firstLine="0" w:firstLineChars="0"/>
        <w:outlineLvl w:val="9"/>
        <w:rPr>
          <w:rFonts w:ascii="仿宋" w:hAnsi="仿宋" w:eastAsia="仿宋"/>
          <w:color w:val="FF0000"/>
        </w:rPr>
      </w:pPr>
      <w:r>
        <w:rPr>
          <w:rFonts w:ascii="仿宋" w:hAnsi="仿宋" w:eastAsia="仿宋"/>
          <w:color w:val="FF0000"/>
        </w:rPr>
        <w:t>【条文说明】新增条文</w:t>
      </w:r>
      <w:r>
        <w:rPr>
          <w:rFonts w:hint="eastAsia" w:ascii="仿宋" w:hAnsi="仿宋" w:eastAsia="仿宋"/>
          <w:color w:val="FF0000"/>
        </w:rPr>
        <w:t>。此条文运行评价不再评价，与设计评价结论一致。引自《工业化建筑评价标准》GB/T51129-2015，房屋的建筑、结构、设备等设计宜遵循模数设计原则，并协调部件及各功能部位与主体间的空间位置关系。强化建筑模数协调的推广应用将有利于推动建筑工业化的快速发展。模数协调是标准化的基础，建筑的标准化应该满足社会化生产的要求，不同设计单位、生产厂家、建设单位应能在统一平台上共同完成建筑的工业化建造，不依照模数设计，尺度种类过多，就难以进行工业化的生产。</w:t>
      </w:r>
    </w:p>
    <w:p>
      <w:pPr>
        <w:autoSpaceDE w:val="0"/>
        <w:autoSpaceDN w:val="0"/>
        <w:adjustRightInd w:val="0"/>
        <w:spacing w:line="360" w:lineRule="auto"/>
        <w:jc w:val="left"/>
        <w:rPr>
          <w:kern w:val="0"/>
          <w:sz w:val="24"/>
        </w:rPr>
      </w:pPr>
    </w:p>
    <w:p>
      <w:pPr>
        <w:autoSpaceDE w:val="0"/>
        <w:autoSpaceDN w:val="0"/>
        <w:adjustRightInd w:val="0"/>
        <w:spacing w:line="360" w:lineRule="auto"/>
        <w:jc w:val="left"/>
        <w:rPr>
          <w:kern w:val="0"/>
          <w:sz w:val="24"/>
        </w:rPr>
      </w:pPr>
      <w:r>
        <w:rPr>
          <w:b/>
          <w:bCs/>
          <w:kern w:val="0"/>
          <w:sz w:val="24"/>
        </w:rPr>
        <w:t>9.2.4</w:t>
      </w:r>
      <w:r>
        <w:rPr>
          <w:bCs/>
          <w:kern w:val="0"/>
          <w:sz w:val="24"/>
        </w:rPr>
        <w:t>　</w:t>
      </w:r>
      <w:r>
        <w:rPr>
          <w:kern w:val="0"/>
          <w:sz w:val="24"/>
        </w:rPr>
        <w:t>土建工程与装修工程一体化设计、施工，</w:t>
      </w:r>
      <w:r>
        <w:rPr>
          <w:bCs/>
          <w:sz w:val="24"/>
        </w:rPr>
        <w:t>评价总分值为8分，并按下列规则分别评分并累计</w:t>
      </w:r>
      <w:r>
        <w:rPr>
          <w:kern w:val="0"/>
          <w:sz w:val="24"/>
        </w:rPr>
        <w:t>：</w:t>
      </w:r>
    </w:p>
    <w:p>
      <w:pPr>
        <w:autoSpaceDE w:val="0"/>
        <w:autoSpaceDN w:val="0"/>
        <w:adjustRightInd w:val="0"/>
        <w:spacing w:line="360" w:lineRule="auto"/>
        <w:ind w:firstLine="481" w:firstLineChars="200"/>
        <w:jc w:val="left"/>
        <w:rPr>
          <w:kern w:val="0"/>
          <w:sz w:val="24"/>
        </w:rPr>
      </w:pPr>
      <w:r>
        <w:rPr>
          <w:b/>
          <w:kern w:val="0"/>
          <w:sz w:val="24"/>
        </w:rPr>
        <w:t>1</w:t>
      </w:r>
      <w:r>
        <w:rPr>
          <w:kern w:val="0"/>
          <w:sz w:val="24"/>
        </w:rPr>
        <w:t>　住宅建筑：</w:t>
      </w:r>
    </w:p>
    <w:p>
      <w:pPr>
        <w:autoSpaceDE w:val="0"/>
        <w:autoSpaceDN w:val="0"/>
        <w:adjustRightInd w:val="0"/>
        <w:spacing w:line="360" w:lineRule="auto"/>
        <w:ind w:firstLine="602" w:firstLineChars="250"/>
        <w:jc w:val="left"/>
        <w:rPr>
          <w:bCs/>
          <w:sz w:val="24"/>
        </w:rPr>
      </w:pPr>
      <w:r>
        <w:rPr>
          <w:b/>
          <w:bCs/>
          <w:sz w:val="24"/>
        </w:rPr>
        <w:t>1）</w:t>
      </w:r>
      <w:r>
        <w:rPr>
          <w:kern w:val="0"/>
          <w:sz w:val="24"/>
        </w:rPr>
        <w:t>30%以上户数土建与装修一体化设计、施工，得3分；</w:t>
      </w:r>
    </w:p>
    <w:p>
      <w:pPr>
        <w:autoSpaceDE w:val="0"/>
        <w:autoSpaceDN w:val="0"/>
        <w:adjustRightInd w:val="0"/>
        <w:spacing w:line="360" w:lineRule="auto"/>
        <w:ind w:firstLine="602" w:firstLineChars="250"/>
        <w:jc w:val="left"/>
        <w:rPr>
          <w:kern w:val="0"/>
          <w:sz w:val="24"/>
        </w:rPr>
      </w:pPr>
      <w:r>
        <w:rPr>
          <w:b/>
          <w:bCs/>
          <w:sz w:val="24"/>
        </w:rPr>
        <w:t>2）</w:t>
      </w:r>
      <w:r>
        <w:rPr>
          <w:kern w:val="0"/>
          <w:sz w:val="24"/>
        </w:rPr>
        <w:t>60%以上户数土建与装修一体化设计、施工，得5分；</w:t>
      </w:r>
    </w:p>
    <w:p>
      <w:pPr>
        <w:autoSpaceDE w:val="0"/>
        <w:autoSpaceDN w:val="0"/>
        <w:adjustRightInd w:val="0"/>
        <w:spacing w:line="360" w:lineRule="auto"/>
        <w:ind w:firstLine="602" w:firstLineChars="250"/>
        <w:jc w:val="left"/>
        <w:rPr>
          <w:kern w:val="0"/>
          <w:sz w:val="24"/>
        </w:rPr>
      </w:pPr>
      <w:r>
        <w:rPr>
          <w:b/>
          <w:bCs/>
          <w:sz w:val="24"/>
        </w:rPr>
        <w:t>3）</w:t>
      </w:r>
      <w:r>
        <w:rPr>
          <w:kern w:val="0"/>
          <w:sz w:val="24"/>
        </w:rPr>
        <w:t>全部户数土建与装修一体化设计、施工，得8分。</w:t>
      </w:r>
    </w:p>
    <w:p>
      <w:pPr>
        <w:autoSpaceDE w:val="0"/>
        <w:autoSpaceDN w:val="0"/>
        <w:adjustRightInd w:val="0"/>
        <w:spacing w:line="360" w:lineRule="auto"/>
        <w:ind w:firstLine="481" w:firstLineChars="200"/>
        <w:jc w:val="left"/>
        <w:rPr>
          <w:kern w:val="0"/>
          <w:sz w:val="24"/>
        </w:rPr>
      </w:pPr>
      <w:r>
        <w:rPr>
          <w:b/>
          <w:kern w:val="0"/>
          <w:sz w:val="24"/>
        </w:rPr>
        <w:t>2</w:t>
      </w:r>
      <w:r>
        <w:rPr>
          <w:kern w:val="0"/>
          <w:sz w:val="24"/>
        </w:rPr>
        <w:t>　公共建筑：</w:t>
      </w:r>
    </w:p>
    <w:p>
      <w:pPr>
        <w:autoSpaceDE w:val="0"/>
        <w:autoSpaceDN w:val="0"/>
        <w:adjustRightInd w:val="0"/>
        <w:spacing w:line="360" w:lineRule="auto"/>
        <w:ind w:firstLine="602" w:firstLineChars="250"/>
        <w:jc w:val="left"/>
        <w:rPr>
          <w:kern w:val="0"/>
          <w:sz w:val="24"/>
        </w:rPr>
      </w:pPr>
      <w:r>
        <w:rPr>
          <w:b/>
          <w:bCs/>
          <w:sz w:val="24"/>
        </w:rPr>
        <w:t>1）</w:t>
      </w:r>
      <w:r>
        <w:rPr>
          <w:kern w:val="0"/>
          <w:sz w:val="24"/>
        </w:rPr>
        <w:t>公共部位土建与装修一体化设计、施工，得5分；</w:t>
      </w:r>
    </w:p>
    <w:p>
      <w:pPr>
        <w:autoSpaceDE w:val="0"/>
        <w:autoSpaceDN w:val="0"/>
        <w:adjustRightInd w:val="0"/>
        <w:spacing w:line="360" w:lineRule="auto"/>
        <w:ind w:firstLine="602" w:firstLineChars="250"/>
        <w:jc w:val="left"/>
        <w:rPr>
          <w:kern w:val="0"/>
          <w:sz w:val="24"/>
        </w:rPr>
      </w:pPr>
      <w:r>
        <w:rPr>
          <w:b/>
          <w:bCs/>
          <w:sz w:val="24"/>
        </w:rPr>
        <w:t>2）</w:t>
      </w:r>
      <w:r>
        <w:rPr>
          <w:kern w:val="0"/>
          <w:sz w:val="24"/>
        </w:rPr>
        <w:t>所有部位土建与装修一体化设计、施工，得8分。</w:t>
      </w:r>
    </w:p>
    <w:p>
      <w:pPr>
        <w:pStyle w:val="87"/>
        <w:spacing w:line="360" w:lineRule="auto"/>
        <w:ind w:firstLine="0" w:firstLineChars="0"/>
        <w:outlineLvl w:val="9"/>
        <w:rPr>
          <w:rFonts w:ascii="仿宋" w:hAnsi="仿宋" w:eastAsia="仿宋"/>
          <w:color w:val="FF0000"/>
        </w:rPr>
      </w:pPr>
      <w:r>
        <w:rPr>
          <w:rFonts w:ascii="仿宋" w:hAnsi="仿宋" w:eastAsia="仿宋"/>
          <w:color w:val="FF0000"/>
        </w:rPr>
        <w:t>【条文说明】与国标基本一致，细化了得分要求，将总分从10分调整为8分。</w:t>
      </w:r>
      <w:r>
        <w:rPr>
          <w:rFonts w:hint="eastAsia" w:ascii="仿宋" w:hAnsi="仿宋" w:eastAsia="仿宋"/>
          <w:color w:val="FF0000"/>
        </w:rPr>
        <w:t>土建和装修一体化设计，要求对土建设计和装修设计统一协调，在土建设计时考虑装修设计需求，事先进行孔洞预留和装修面层固定件的预埋，避免在装修时对已有建筑构件打凿、穿孔。这样既可减少设计的反复，又可保证结构的安全，减少材料的消耗，并降低装修成本。</w:t>
      </w:r>
    </w:p>
    <w:p>
      <w:pPr>
        <w:spacing w:line="360" w:lineRule="auto"/>
        <w:rPr>
          <w:sz w:val="24"/>
        </w:rPr>
      </w:pPr>
    </w:p>
    <w:p>
      <w:pPr>
        <w:autoSpaceDE w:val="0"/>
        <w:autoSpaceDN w:val="0"/>
        <w:adjustRightInd w:val="0"/>
        <w:spacing w:line="360" w:lineRule="auto"/>
        <w:jc w:val="left"/>
        <w:rPr>
          <w:bCs/>
          <w:sz w:val="24"/>
        </w:rPr>
      </w:pPr>
      <w:r>
        <w:rPr>
          <w:b/>
          <w:bCs/>
          <w:kern w:val="0"/>
          <w:sz w:val="24"/>
        </w:rPr>
        <w:t>9.2.5</w:t>
      </w:r>
      <w:r>
        <w:rPr>
          <w:bCs/>
          <w:kern w:val="0"/>
          <w:sz w:val="24"/>
        </w:rPr>
        <w:t>　</w:t>
      </w:r>
      <w:r>
        <w:rPr>
          <w:kern w:val="0"/>
          <w:sz w:val="24"/>
        </w:rPr>
        <w:t>公共建筑中可变换功能的室内空间采用可重复使用的隔断（墙），</w:t>
      </w:r>
      <w:r>
        <w:rPr>
          <w:bCs/>
          <w:sz w:val="24"/>
        </w:rPr>
        <w:t>评价总分值为5分，根据可重复使用隔断（墙）比例按表9.2.5的规则评分。</w:t>
      </w:r>
    </w:p>
    <w:p>
      <w:pPr>
        <w:spacing w:line="360" w:lineRule="auto"/>
        <w:jc w:val="center"/>
        <w:rPr>
          <w:b/>
        </w:rPr>
      </w:pPr>
      <w:r>
        <w:rPr>
          <w:b/>
        </w:rPr>
        <w:t>表9.2.5 可重复使用隔断（墙）比例评分规则</w:t>
      </w:r>
    </w:p>
    <w:tbl>
      <w:tblPr>
        <w:tblStyle w:val="38"/>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1"/>
        <w:gridCol w:w="42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vAlign w:val="top"/>
          </w:tcPr>
          <w:p>
            <w:pPr>
              <w:jc w:val="center"/>
            </w:pPr>
            <w:r>
              <w:t>可重复使用隔断（墙）比例</w:t>
            </w:r>
          </w:p>
        </w:tc>
        <w:tc>
          <w:tcPr>
            <w:tcW w:w="4261" w:type="dxa"/>
            <w:vAlign w:val="top"/>
          </w:tcPr>
          <w:p>
            <w:pPr>
              <w:jc w:val="center"/>
            </w:pPr>
            <w: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vAlign w:val="top"/>
          </w:tcPr>
          <w:p>
            <w:pPr>
              <w:jc w:val="center"/>
            </w:pPr>
            <w:r>
              <w:rPr>
                <w:bCs/>
              </w:rPr>
              <w:t>30%≤＜50%</w:t>
            </w:r>
          </w:p>
        </w:tc>
        <w:tc>
          <w:tcPr>
            <w:tcW w:w="4261" w:type="dxa"/>
            <w:vAlign w:val="top"/>
          </w:tcPr>
          <w:p>
            <w:pPr>
              <w:jc w:val="center"/>
            </w:pPr>
            <w: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vAlign w:val="top"/>
          </w:tcPr>
          <w:p>
            <w:pPr>
              <w:jc w:val="center"/>
            </w:pPr>
            <w:r>
              <w:rPr>
                <w:bCs/>
              </w:rPr>
              <w:t>50%≤＜80%</w:t>
            </w:r>
          </w:p>
        </w:tc>
        <w:tc>
          <w:tcPr>
            <w:tcW w:w="4261" w:type="dxa"/>
            <w:vAlign w:val="top"/>
          </w:tcPr>
          <w:p>
            <w:pPr>
              <w:jc w:val="center"/>
            </w:pPr>
            <w: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261" w:type="dxa"/>
            <w:vAlign w:val="top"/>
          </w:tcPr>
          <w:p>
            <w:pPr>
              <w:jc w:val="center"/>
            </w:pPr>
            <w:r>
              <w:rPr>
                <w:bCs/>
              </w:rPr>
              <w:t>≥80%</w:t>
            </w:r>
          </w:p>
        </w:tc>
        <w:tc>
          <w:tcPr>
            <w:tcW w:w="4261" w:type="dxa"/>
            <w:vAlign w:val="top"/>
          </w:tcPr>
          <w:p>
            <w:pPr>
              <w:jc w:val="center"/>
            </w:pPr>
            <w:r>
              <w:t>5</w:t>
            </w:r>
          </w:p>
        </w:tc>
      </w:tr>
    </w:tbl>
    <w:p>
      <w:pPr>
        <w:pStyle w:val="87"/>
        <w:spacing w:line="360" w:lineRule="auto"/>
        <w:ind w:firstLine="0" w:firstLineChars="0"/>
        <w:outlineLvl w:val="9"/>
        <w:rPr>
          <w:rFonts w:ascii="仿宋" w:hAnsi="仿宋" w:eastAsia="仿宋"/>
          <w:color w:val="FF0000"/>
        </w:rPr>
      </w:pPr>
      <w:r>
        <w:rPr>
          <w:rFonts w:ascii="仿宋" w:hAnsi="仿宋" w:eastAsia="仿宋"/>
          <w:color w:val="FF0000"/>
        </w:rPr>
        <w:t>【条文说明】与国</w:t>
      </w:r>
      <w:r>
        <w:rPr>
          <w:rFonts w:hint="eastAsia" w:ascii="仿宋" w:hAnsi="仿宋" w:eastAsia="仿宋"/>
          <w:color w:val="FF0000"/>
        </w:rPr>
        <w:t>家</w:t>
      </w:r>
      <w:r>
        <w:rPr>
          <w:rFonts w:ascii="仿宋" w:hAnsi="仿宋" w:eastAsia="仿宋"/>
          <w:color w:val="FF0000"/>
        </w:rPr>
        <w:t>标</w:t>
      </w:r>
      <w:r>
        <w:rPr>
          <w:rFonts w:hint="eastAsia" w:ascii="仿宋" w:hAnsi="仿宋" w:eastAsia="仿宋"/>
          <w:color w:val="FF0000"/>
        </w:rPr>
        <w:t>准</w:t>
      </w:r>
      <w:r>
        <w:rPr>
          <w:rFonts w:ascii="仿宋" w:hAnsi="仿宋" w:eastAsia="仿宋"/>
          <w:color w:val="FF0000"/>
        </w:rPr>
        <w:t>一致</w:t>
      </w:r>
      <w:r>
        <w:rPr>
          <w:rFonts w:hint="eastAsia" w:ascii="仿宋" w:hAnsi="仿宋" w:eastAsia="仿宋"/>
          <w:color w:val="FF0000"/>
        </w:rPr>
        <w:t>。在保证室内工作环境不受影响的前提下，在办公、商店等公共建筑室内空间尽量多地采用可重复使用的灵活隔断，或采用无隔墙只有矮隔断的大空间敞开式空间，可减少室内空间重新布置时对建筑构件的破坏，节约材料，同时为使用期间构配件的替换和将来建筑拆除后构配件的再利用创造条件。</w:t>
      </w:r>
    </w:p>
    <w:p>
      <w:pPr>
        <w:pStyle w:val="87"/>
        <w:spacing w:line="360" w:lineRule="auto"/>
        <w:ind w:firstLine="0" w:firstLineChars="0"/>
        <w:outlineLvl w:val="9"/>
        <w:rPr>
          <w:rFonts w:ascii="仿宋" w:hAnsi="仿宋" w:eastAsia="仿宋"/>
          <w:color w:val="FF0000"/>
        </w:rPr>
      </w:pPr>
      <w:r>
        <w:rPr>
          <w:rFonts w:hint="eastAsia" w:ascii="仿宋" w:hAnsi="仿宋" w:eastAsia="仿宋"/>
          <w:color w:val="FF0000"/>
        </w:rPr>
        <w:t>除走廊、楼梯、电梯井、卫生间、设备机房、公共管井以外的地上室内空间均应视为“可变化功能的室内空间”，有特殊隔声、防护及特殊工艺需求的空间不计入。此外，作为商业、办公用途的地下空间也应视为“可变换功能的室内空间”，其他用途的地下空间可不计入。</w:t>
      </w:r>
    </w:p>
    <w:p>
      <w:pPr>
        <w:pStyle w:val="87"/>
        <w:spacing w:line="360" w:lineRule="auto"/>
        <w:ind w:firstLine="0" w:firstLineChars="0"/>
        <w:outlineLvl w:val="9"/>
        <w:rPr>
          <w:rFonts w:ascii="仿宋" w:hAnsi="仿宋" w:eastAsia="仿宋"/>
          <w:color w:val="FF0000"/>
        </w:rPr>
      </w:pPr>
      <w:r>
        <w:rPr>
          <w:rFonts w:hint="eastAsia" w:ascii="仿宋" w:hAnsi="仿宋" w:eastAsia="仿宋"/>
          <w:color w:val="FF0000"/>
        </w:rPr>
        <w:t>本条中“可重复使用隔断（墙）比例”为：实际采用的可重复使用隔断（墙）围合的建筑面积与建筑中可变换功能的室内空间面积的比值。</w:t>
      </w:r>
    </w:p>
    <w:p>
      <w:pPr>
        <w:spacing w:line="360" w:lineRule="auto"/>
        <w:rPr>
          <w:sz w:val="24"/>
        </w:rPr>
      </w:pPr>
    </w:p>
    <w:p>
      <w:pPr>
        <w:autoSpaceDE w:val="0"/>
        <w:autoSpaceDN w:val="0"/>
        <w:adjustRightInd w:val="0"/>
        <w:spacing w:line="360" w:lineRule="auto"/>
        <w:jc w:val="left"/>
        <w:rPr>
          <w:bCs/>
          <w:sz w:val="24"/>
        </w:rPr>
      </w:pPr>
      <w:r>
        <w:rPr>
          <w:b/>
          <w:bCs/>
          <w:kern w:val="0"/>
          <w:sz w:val="24"/>
        </w:rPr>
        <w:t>9.2.6</w:t>
      </w:r>
      <w:r>
        <w:rPr>
          <w:bCs/>
          <w:kern w:val="0"/>
          <w:sz w:val="24"/>
        </w:rPr>
        <w:t>　</w:t>
      </w:r>
      <w:bookmarkStart w:id="96" w:name="OLE_LINK33"/>
      <w:bookmarkStart w:id="97" w:name="OLE_LINK32"/>
      <w:r>
        <w:rPr>
          <w:rFonts w:hint="eastAsia"/>
          <w:kern w:val="0"/>
          <w:sz w:val="24"/>
        </w:rPr>
        <w:t>场地、出入口和主要道路采用可重复利用的硬地化措施</w:t>
      </w:r>
      <w:bookmarkEnd w:id="96"/>
      <w:bookmarkEnd w:id="97"/>
      <w:r>
        <w:rPr>
          <w:kern w:val="0"/>
          <w:sz w:val="24"/>
        </w:rPr>
        <w:t>，</w:t>
      </w:r>
      <w:r>
        <w:rPr>
          <w:bCs/>
          <w:sz w:val="24"/>
        </w:rPr>
        <w:t>评价总分值为</w:t>
      </w:r>
      <w:r>
        <w:rPr>
          <w:rFonts w:hint="eastAsia"/>
          <w:bCs/>
          <w:sz w:val="24"/>
        </w:rPr>
        <w:t>6</w:t>
      </w:r>
      <w:r>
        <w:rPr>
          <w:bCs/>
          <w:sz w:val="24"/>
        </w:rPr>
        <w:t>分，根据</w:t>
      </w:r>
      <w:r>
        <w:rPr>
          <w:rFonts w:hint="eastAsia"/>
          <w:bCs/>
          <w:sz w:val="24"/>
        </w:rPr>
        <w:t>可重复利用的硬地化措施应用</w:t>
      </w:r>
      <w:r>
        <w:rPr>
          <w:bCs/>
          <w:sz w:val="24"/>
        </w:rPr>
        <w:t>比例按表</w:t>
      </w:r>
      <w:r>
        <w:rPr>
          <w:rFonts w:hint="eastAsia"/>
          <w:bCs/>
          <w:sz w:val="24"/>
        </w:rPr>
        <w:t>9</w:t>
      </w:r>
      <w:r>
        <w:rPr>
          <w:bCs/>
          <w:sz w:val="24"/>
        </w:rPr>
        <w:t>.2.</w:t>
      </w:r>
      <w:r>
        <w:rPr>
          <w:rFonts w:hint="eastAsia"/>
          <w:bCs/>
          <w:sz w:val="24"/>
        </w:rPr>
        <w:t>6</w:t>
      </w:r>
      <w:r>
        <w:rPr>
          <w:bCs/>
          <w:sz w:val="24"/>
        </w:rPr>
        <w:t>的规则评分。</w:t>
      </w:r>
    </w:p>
    <w:p>
      <w:pPr>
        <w:spacing w:line="360" w:lineRule="auto"/>
        <w:jc w:val="center"/>
        <w:rPr>
          <w:b/>
        </w:rPr>
      </w:pPr>
      <w:r>
        <w:rPr>
          <w:b/>
        </w:rPr>
        <w:t>表</w:t>
      </w:r>
      <w:r>
        <w:rPr>
          <w:rFonts w:hint="eastAsia"/>
          <w:b/>
        </w:rPr>
        <w:t>9</w:t>
      </w:r>
      <w:r>
        <w:rPr>
          <w:b/>
        </w:rPr>
        <w:t>.2.</w:t>
      </w:r>
      <w:r>
        <w:rPr>
          <w:rFonts w:hint="eastAsia"/>
          <w:b/>
        </w:rPr>
        <w:t>6</w:t>
      </w:r>
      <w:r>
        <w:rPr>
          <w:b/>
        </w:rPr>
        <w:t xml:space="preserve"> </w:t>
      </w:r>
      <w:r>
        <w:rPr>
          <w:rFonts w:hint="eastAsia"/>
          <w:b/>
        </w:rPr>
        <w:t>可重复利用的硬地化措施应用</w:t>
      </w:r>
      <w:r>
        <w:rPr>
          <w:b/>
        </w:rPr>
        <w:t>比例评分规则</w:t>
      </w:r>
    </w:p>
    <w:tbl>
      <w:tblPr>
        <w:tblStyle w:val="38"/>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1"/>
        <w:gridCol w:w="42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vAlign w:val="top"/>
          </w:tcPr>
          <w:p>
            <w:pPr>
              <w:jc w:val="center"/>
            </w:pPr>
            <w:bookmarkStart w:id="98" w:name="OLE_LINK37"/>
            <w:bookmarkStart w:id="99" w:name="OLE_LINK36"/>
            <w:r>
              <w:rPr>
                <w:rFonts w:hint="eastAsia"/>
              </w:rPr>
              <w:t>可重复利用的硬地化措施应用</w:t>
            </w:r>
            <w:r>
              <w:t>比例</w:t>
            </w:r>
            <w:bookmarkEnd w:id="98"/>
            <w:bookmarkEnd w:id="99"/>
          </w:p>
        </w:tc>
        <w:tc>
          <w:tcPr>
            <w:tcW w:w="4261" w:type="dxa"/>
            <w:vAlign w:val="top"/>
          </w:tcPr>
          <w:p>
            <w:pPr>
              <w:jc w:val="center"/>
            </w:pPr>
            <w: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vAlign w:val="top"/>
          </w:tcPr>
          <w:p>
            <w:pPr>
              <w:jc w:val="center"/>
            </w:pPr>
            <w:r>
              <w:rPr>
                <w:rFonts w:hint="eastAsia"/>
                <w:bCs/>
              </w:rPr>
              <w:t>30</w:t>
            </w:r>
            <w:r>
              <w:rPr>
                <w:bCs/>
              </w:rPr>
              <w:t>%≤＜</w:t>
            </w:r>
            <w:r>
              <w:rPr>
                <w:rFonts w:hint="eastAsia"/>
                <w:bCs/>
              </w:rPr>
              <w:t>50</w:t>
            </w:r>
            <w:r>
              <w:rPr>
                <w:bCs/>
              </w:rPr>
              <w:t>%</w:t>
            </w:r>
          </w:p>
        </w:tc>
        <w:tc>
          <w:tcPr>
            <w:tcW w:w="4261" w:type="dxa"/>
            <w:vAlign w:val="top"/>
          </w:tcPr>
          <w:p>
            <w:pPr>
              <w:jc w:val="center"/>
            </w:pPr>
            <w:r>
              <w:rPr>
                <w:rFonts w:hint="eastAsia"/>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vAlign w:val="top"/>
          </w:tcPr>
          <w:p>
            <w:pPr>
              <w:jc w:val="center"/>
            </w:pPr>
            <w:r>
              <w:rPr>
                <w:rFonts w:hint="eastAsia"/>
                <w:bCs/>
              </w:rPr>
              <w:t>5</w:t>
            </w:r>
            <w:r>
              <w:rPr>
                <w:bCs/>
              </w:rPr>
              <w:t>0%≤＜</w:t>
            </w:r>
            <w:r>
              <w:rPr>
                <w:rFonts w:hint="eastAsia"/>
                <w:bCs/>
              </w:rPr>
              <w:t>8</w:t>
            </w:r>
            <w:r>
              <w:rPr>
                <w:bCs/>
              </w:rPr>
              <w:t>0%</w:t>
            </w:r>
          </w:p>
        </w:tc>
        <w:tc>
          <w:tcPr>
            <w:tcW w:w="4261" w:type="dxa"/>
            <w:vAlign w:val="top"/>
          </w:tcPr>
          <w:p>
            <w:pPr>
              <w:jc w:val="center"/>
            </w:pPr>
            <w:r>
              <w:rPr>
                <w:rFonts w:hint="eastAsia"/>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261" w:type="dxa"/>
            <w:vAlign w:val="top"/>
          </w:tcPr>
          <w:p>
            <w:pPr>
              <w:jc w:val="center"/>
            </w:pPr>
            <w:r>
              <w:rPr>
                <w:bCs/>
              </w:rPr>
              <w:t>≥</w:t>
            </w:r>
            <w:r>
              <w:rPr>
                <w:rFonts w:hint="eastAsia"/>
                <w:bCs/>
              </w:rPr>
              <w:t>8</w:t>
            </w:r>
            <w:r>
              <w:rPr>
                <w:bCs/>
              </w:rPr>
              <w:t>0%</w:t>
            </w:r>
          </w:p>
        </w:tc>
        <w:tc>
          <w:tcPr>
            <w:tcW w:w="4261" w:type="dxa"/>
            <w:vAlign w:val="top"/>
          </w:tcPr>
          <w:p>
            <w:pPr>
              <w:jc w:val="center"/>
            </w:pPr>
            <w:r>
              <w:rPr>
                <w:rFonts w:hint="eastAsia"/>
              </w:rPr>
              <w:t>6</w:t>
            </w:r>
          </w:p>
        </w:tc>
      </w:tr>
    </w:tbl>
    <w:p>
      <w:pPr>
        <w:pStyle w:val="87"/>
        <w:spacing w:line="360" w:lineRule="auto"/>
        <w:ind w:firstLine="0" w:firstLineChars="0"/>
        <w:outlineLvl w:val="9"/>
        <w:rPr>
          <w:rFonts w:ascii="仿宋" w:hAnsi="仿宋" w:eastAsia="仿宋"/>
          <w:color w:val="FF0000"/>
        </w:rPr>
      </w:pPr>
      <w:r>
        <w:rPr>
          <w:rFonts w:ascii="仿宋" w:hAnsi="仿宋" w:eastAsia="仿宋"/>
          <w:color w:val="FF0000"/>
        </w:rPr>
        <w:t>【条文说明】</w:t>
      </w:r>
      <w:r>
        <w:rPr>
          <w:rFonts w:hint="eastAsia" w:ascii="仿宋" w:hAnsi="仿宋" w:eastAsia="仿宋"/>
          <w:color w:val="FF0000"/>
        </w:rPr>
        <w:t>新增条文</w:t>
      </w:r>
      <w:r>
        <w:rPr>
          <w:rFonts w:ascii="仿宋" w:hAnsi="仿宋" w:eastAsia="仿宋"/>
          <w:color w:val="FF0000"/>
        </w:rPr>
        <w:t>。</w:t>
      </w:r>
      <w:r>
        <w:rPr>
          <w:rFonts w:hint="eastAsia" w:ascii="仿宋" w:hAnsi="仿宋" w:eastAsia="仿宋"/>
          <w:color w:val="FF0000"/>
        </w:rPr>
        <w:t>本条旨在鼓励采用可重复利用的硬地化措施（定型钢板、预制构件等）减少混凝土使用量。在施工总平面设计和布置中，对于场地、出入口和主要道路采用可重复利用的硬地化措施（定型钢板、预制构件等）进行硬地化，可以节省场地硬化的混凝土使用量，定型钢板可循环使用，在国外如日本建筑工业化应用比较广泛的均大量采用可重复利用的硬地化措施（定型钢板、预制构件等）进行场地硬化。可重复利用的硬地化措施（定型钢板、预制构件等）比例按照应用面积进行计算。</w:t>
      </w:r>
    </w:p>
    <w:p>
      <w:pPr>
        <w:pStyle w:val="87"/>
        <w:spacing w:line="360" w:lineRule="auto"/>
        <w:ind w:firstLine="0" w:firstLineChars="0"/>
        <w:outlineLvl w:val="9"/>
        <w:rPr>
          <w:rFonts w:ascii="仿宋" w:hAnsi="仿宋" w:eastAsia="仿宋"/>
          <w:color w:val="FF0000"/>
        </w:rPr>
      </w:pPr>
    </w:p>
    <w:p>
      <w:pPr>
        <w:autoSpaceDE w:val="0"/>
        <w:autoSpaceDN w:val="0"/>
        <w:adjustRightInd w:val="0"/>
        <w:spacing w:line="360" w:lineRule="auto"/>
        <w:ind w:left="210" w:leftChars="100"/>
        <w:jc w:val="left"/>
        <w:rPr>
          <w:kern w:val="0"/>
          <w:sz w:val="24"/>
        </w:rPr>
      </w:pPr>
      <w:r>
        <w:rPr>
          <w:rFonts w:hint="eastAsia"/>
          <w:b/>
          <w:bCs/>
          <w:kern w:val="0"/>
          <w:sz w:val="24"/>
        </w:rPr>
        <w:t>9.2.7　</w:t>
      </w:r>
      <w:r>
        <w:rPr>
          <w:rFonts w:hint="eastAsia"/>
          <w:kern w:val="0"/>
          <w:sz w:val="24"/>
        </w:rPr>
        <w:t>采用装配式部品部件，评价总分值为6分，并按下列规则分别评分并累计：</w:t>
      </w:r>
    </w:p>
    <w:p>
      <w:pPr>
        <w:autoSpaceDE w:val="0"/>
        <w:autoSpaceDN w:val="0"/>
        <w:adjustRightInd w:val="0"/>
        <w:spacing w:line="360" w:lineRule="auto"/>
        <w:ind w:left="420" w:leftChars="200"/>
        <w:jc w:val="left"/>
        <w:rPr>
          <w:kern w:val="0"/>
          <w:sz w:val="24"/>
        </w:rPr>
      </w:pPr>
      <w:r>
        <w:rPr>
          <w:rFonts w:hint="eastAsia"/>
          <w:kern w:val="0"/>
          <w:sz w:val="24"/>
        </w:rPr>
        <w:t>1 采用整体化定型设计的厨房，得2分；</w:t>
      </w:r>
    </w:p>
    <w:p>
      <w:pPr>
        <w:autoSpaceDE w:val="0"/>
        <w:autoSpaceDN w:val="0"/>
        <w:adjustRightInd w:val="0"/>
        <w:spacing w:line="360" w:lineRule="auto"/>
        <w:ind w:left="420" w:leftChars="200"/>
        <w:jc w:val="left"/>
        <w:rPr>
          <w:kern w:val="0"/>
          <w:sz w:val="24"/>
        </w:rPr>
      </w:pPr>
      <w:r>
        <w:rPr>
          <w:rFonts w:hint="eastAsia"/>
          <w:kern w:val="0"/>
          <w:sz w:val="24"/>
        </w:rPr>
        <w:t>2 采用整体化定型设计的卫浴间，得2分；</w:t>
      </w:r>
    </w:p>
    <w:p>
      <w:pPr>
        <w:autoSpaceDE w:val="0"/>
        <w:autoSpaceDN w:val="0"/>
        <w:adjustRightInd w:val="0"/>
        <w:spacing w:line="360" w:lineRule="auto"/>
        <w:ind w:left="420" w:leftChars="200"/>
        <w:jc w:val="left"/>
        <w:rPr>
          <w:kern w:val="0"/>
          <w:sz w:val="24"/>
        </w:rPr>
      </w:pPr>
      <w:r>
        <w:rPr>
          <w:rFonts w:hint="eastAsia"/>
          <w:kern w:val="0"/>
          <w:sz w:val="24"/>
        </w:rPr>
        <w:t>3 采用装配整体式非承重内隔墙，得2分。</w:t>
      </w:r>
    </w:p>
    <w:p>
      <w:pPr>
        <w:pStyle w:val="87"/>
        <w:spacing w:line="360" w:lineRule="auto"/>
        <w:ind w:firstLine="0" w:firstLineChars="0"/>
        <w:outlineLvl w:val="9"/>
        <w:rPr>
          <w:rFonts w:ascii="仿宋" w:hAnsi="仿宋" w:eastAsia="仿宋"/>
          <w:color w:val="FF0000"/>
        </w:rPr>
      </w:pPr>
      <w:r>
        <w:rPr>
          <w:rFonts w:ascii="仿宋" w:hAnsi="仿宋" w:eastAsia="仿宋"/>
          <w:color w:val="FF0000"/>
        </w:rPr>
        <w:t>【条文说明】</w:t>
      </w:r>
      <w:r>
        <w:rPr>
          <w:rFonts w:hint="eastAsia" w:ascii="仿宋" w:hAnsi="仿宋" w:eastAsia="仿宋"/>
          <w:color w:val="FF0000"/>
        </w:rPr>
        <w:t>该条文变化较大，参照《工业化建筑评价标准》GB/T51129-2015增加了装配整体式非承重内隔墙的得分条款。本条鼓励采用系列化、多层次的整体化定型设计的厨房、卫浴间，以及局部装配式部件，其中：整体化定型设计的厨房，是指按人体工程学、炊事操作工序、模数协调及管线组合原则，采用整体设计方法而建成的标准化厨房；整体定型设计的卫浴间是指在有限的空间内实现洗面、沐浴、如厕等多种功能的独立卫生单元；局部装配整体式部件是指部分装配式部件，如整体橱柜、整体吊顶、预制管道井、预制排烟道等。装配整体式非承重内隔墙主要包括预制轻质混凝土墙板、预制混凝土空心条板、加气混凝土条板、轻质材料隔墙板、轻钢龙骨内隔墙等采用装配化施工工艺的内隔墙体系，要求装配率要大于30%。</w:t>
      </w:r>
    </w:p>
    <w:p/>
    <w:p/>
    <w:p>
      <w:pPr>
        <w:pStyle w:val="87"/>
        <w:ind w:firstLine="0" w:firstLineChars="0"/>
        <w:jc w:val="center"/>
        <w:rPr>
          <w:b/>
          <w:bCs/>
        </w:rPr>
      </w:pPr>
      <w:bookmarkStart w:id="100" w:name="_Toc449111681"/>
      <w:r>
        <w:rPr>
          <w:rFonts w:hint="eastAsia" w:ascii="宋体" w:hAnsi="宋体"/>
        </w:rPr>
        <w:t xml:space="preserve">Ⅱ </w:t>
      </w:r>
      <w:r>
        <w:rPr>
          <w:rFonts w:hint="eastAsia" w:hAnsi="宋体"/>
        </w:rPr>
        <w:t>材料选用（60）</w:t>
      </w:r>
      <w:bookmarkEnd w:id="100"/>
    </w:p>
    <w:p>
      <w:pPr>
        <w:autoSpaceDE w:val="0"/>
        <w:autoSpaceDN w:val="0"/>
        <w:adjustRightInd w:val="0"/>
        <w:spacing w:line="360" w:lineRule="auto"/>
        <w:jc w:val="left"/>
        <w:rPr>
          <w:kern w:val="0"/>
          <w:sz w:val="24"/>
        </w:rPr>
      </w:pPr>
      <w:r>
        <w:rPr>
          <w:rFonts w:hint="eastAsia"/>
          <w:b/>
          <w:bCs/>
          <w:kern w:val="0"/>
          <w:sz w:val="24"/>
        </w:rPr>
        <w:t>9</w:t>
      </w:r>
      <w:r>
        <w:rPr>
          <w:b/>
          <w:bCs/>
          <w:kern w:val="0"/>
          <w:sz w:val="24"/>
        </w:rPr>
        <w:t>.2.</w:t>
      </w:r>
      <w:r>
        <w:rPr>
          <w:rFonts w:hint="eastAsia"/>
          <w:b/>
          <w:bCs/>
          <w:kern w:val="0"/>
          <w:sz w:val="24"/>
        </w:rPr>
        <w:t>8</w:t>
      </w:r>
      <w:r>
        <w:rPr>
          <w:rFonts w:hAnsi="宋体"/>
          <w:bCs/>
          <w:kern w:val="0"/>
          <w:sz w:val="24"/>
        </w:rPr>
        <w:t>　</w:t>
      </w:r>
      <w:r>
        <w:rPr>
          <w:rFonts w:hAnsi="宋体"/>
          <w:kern w:val="0"/>
          <w:sz w:val="24"/>
        </w:rPr>
        <w:t>选用本地生产的建筑材料，评价总分值为</w:t>
      </w:r>
      <w:r>
        <w:rPr>
          <w:rFonts w:hint="eastAsia"/>
          <w:kern w:val="0"/>
          <w:sz w:val="24"/>
        </w:rPr>
        <w:t>5</w:t>
      </w:r>
      <w:r>
        <w:rPr>
          <w:rFonts w:hAnsi="宋体"/>
          <w:kern w:val="0"/>
          <w:sz w:val="24"/>
        </w:rPr>
        <w:t>分</w:t>
      </w:r>
      <w:r>
        <w:rPr>
          <w:rFonts w:hint="eastAsia" w:hAnsi="宋体"/>
          <w:kern w:val="0"/>
          <w:sz w:val="24"/>
        </w:rPr>
        <w:t>，根据</w:t>
      </w:r>
      <w:r>
        <w:rPr>
          <w:rFonts w:hAnsi="宋体"/>
          <w:kern w:val="0"/>
          <w:sz w:val="24"/>
        </w:rPr>
        <w:t>施工现场</w:t>
      </w:r>
      <w:r>
        <w:rPr>
          <w:kern w:val="0"/>
          <w:sz w:val="24"/>
        </w:rPr>
        <w:t>500km</w:t>
      </w:r>
      <w:r>
        <w:rPr>
          <w:rFonts w:hAnsi="宋体"/>
          <w:kern w:val="0"/>
          <w:sz w:val="24"/>
        </w:rPr>
        <w:t>以内生产的建筑材料重量占建筑材料总重量的比例</w:t>
      </w:r>
      <w:r>
        <w:rPr>
          <w:rFonts w:hint="eastAsia" w:hAnsi="宋体"/>
          <w:kern w:val="0"/>
          <w:sz w:val="24"/>
        </w:rPr>
        <w:t>按表9.2.8的规则评分</w:t>
      </w:r>
      <w:r>
        <w:rPr>
          <w:rFonts w:hAnsi="宋体"/>
          <w:kern w:val="0"/>
          <w:sz w:val="24"/>
        </w:rPr>
        <w:t>。</w:t>
      </w:r>
    </w:p>
    <w:p>
      <w:pPr>
        <w:jc w:val="center"/>
        <w:rPr>
          <w:b/>
        </w:rPr>
      </w:pPr>
      <w:r>
        <w:rPr>
          <w:rFonts w:hint="eastAsia"/>
          <w:b/>
        </w:rPr>
        <w:t>表9.2.8 本地生产的建筑材料评分规则</w:t>
      </w:r>
    </w:p>
    <w:tbl>
      <w:tblPr>
        <w:tblStyle w:val="38"/>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12"/>
        <w:gridCol w:w="16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12" w:type="dxa"/>
            <w:vAlign w:val="top"/>
          </w:tcPr>
          <w:p>
            <w:r>
              <w:rPr>
                <w:rFonts w:hAnsi="宋体"/>
                <w:kern w:val="0"/>
              </w:rPr>
              <w:t>施工现场</w:t>
            </w:r>
            <w:r>
              <w:rPr>
                <w:kern w:val="0"/>
              </w:rPr>
              <w:t>500km</w:t>
            </w:r>
            <w:r>
              <w:rPr>
                <w:rFonts w:hAnsi="宋体"/>
                <w:kern w:val="0"/>
              </w:rPr>
              <w:t>以内生产的建筑材料重量占建筑材料总重量的比例</w:t>
            </w:r>
          </w:p>
        </w:tc>
        <w:tc>
          <w:tcPr>
            <w:tcW w:w="1610" w:type="dxa"/>
            <w:vAlign w:val="top"/>
          </w:tcPr>
          <w:p>
            <w:pPr>
              <w:jc w:val="center"/>
            </w:pPr>
            <w:r>
              <w:rPr>
                <w:rFonts w:hint="eastAsia"/>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12" w:type="dxa"/>
            <w:vAlign w:val="top"/>
          </w:tcPr>
          <w:p>
            <w:pPr>
              <w:jc w:val="center"/>
            </w:pPr>
            <w:r>
              <w:rPr>
                <w:rFonts w:hint="eastAsia"/>
                <w:bCs/>
              </w:rPr>
              <w:t>60</w:t>
            </w:r>
            <w:r>
              <w:rPr>
                <w:bCs/>
              </w:rPr>
              <w:t>%≤＜</w:t>
            </w:r>
            <w:r>
              <w:rPr>
                <w:rFonts w:hint="eastAsia"/>
                <w:bCs/>
              </w:rPr>
              <w:t>70</w:t>
            </w:r>
            <w:r>
              <w:rPr>
                <w:bCs/>
              </w:rPr>
              <w:t>%</w:t>
            </w:r>
          </w:p>
        </w:tc>
        <w:tc>
          <w:tcPr>
            <w:tcW w:w="1610" w:type="dxa"/>
            <w:vAlign w:val="top"/>
          </w:tcPr>
          <w:p>
            <w:pPr>
              <w:jc w:val="center"/>
            </w:pPr>
            <w:r>
              <w:rPr>
                <w:rFonts w:hint="eastAsia"/>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12" w:type="dxa"/>
            <w:vAlign w:val="top"/>
          </w:tcPr>
          <w:p>
            <w:pPr>
              <w:jc w:val="center"/>
            </w:pPr>
            <w:r>
              <w:rPr>
                <w:rFonts w:hint="eastAsia"/>
                <w:bCs/>
              </w:rPr>
              <w:t>7</w:t>
            </w:r>
            <w:r>
              <w:rPr>
                <w:bCs/>
              </w:rPr>
              <w:t>0%≤＜</w:t>
            </w:r>
            <w:r>
              <w:rPr>
                <w:rFonts w:hint="eastAsia"/>
                <w:bCs/>
              </w:rPr>
              <w:t>9</w:t>
            </w:r>
            <w:r>
              <w:rPr>
                <w:bCs/>
              </w:rPr>
              <w:t>0%</w:t>
            </w:r>
          </w:p>
        </w:tc>
        <w:tc>
          <w:tcPr>
            <w:tcW w:w="1610" w:type="dxa"/>
            <w:vAlign w:val="top"/>
          </w:tcPr>
          <w:p>
            <w:pPr>
              <w:jc w:val="center"/>
            </w:pPr>
            <w:r>
              <w:rPr>
                <w:rFonts w:hint="eastAsia"/>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912" w:type="dxa"/>
            <w:vAlign w:val="top"/>
          </w:tcPr>
          <w:p>
            <w:pPr>
              <w:jc w:val="center"/>
            </w:pPr>
            <w:r>
              <w:rPr>
                <w:bCs/>
              </w:rPr>
              <w:t>≥</w:t>
            </w:r>
            <w:r>
              <w:rPr>
                <w:rFonts w:hint="eastAsia"/>
                <w:bCs/>
              </w:rPr>
              <w:t>9</w:t>
            </w:r>
            <w:r>
              <w:rPr>
                <w:bCs/>
              </w:rPr>
              <w:t>0%</w:t>
            </w:r>
          </w:p>
        </w:tc>
        <w:tc>
          <w:tcPr>
            <w:tcW w:w="1610" w:type="dxa"/>
            <w:vAlign w:val="top"/>
          </w:tcPr>
          <w:p>
            <w:pPr>
              <w:jc w:val="center"/>
            </w:pPr>
            <w:r>
              <w:rPr>
                <w:rFonts w:hint="eastAsia"/>
              </w:rPr>
              <w:t>5</w:t>
            </w:r>
          </w:p>
        </w:tc>
      </w:tr>
    </w:tbl>
    <w:p>
      <w:pPr>
        <w:pStyle w:val="87"/>
        <w:spacing w:line="360" w:lineRule="auto"/>
        <w:ind w:firstLine="0" w:firstLineChars="0"/>
        <w:outlineLvl w:val="9"/>
        <w:rPr>
          <w:rFonts w:ascii="仿宋" w:hAnsi="仿宋" w:eastAsia="仿宋"/>
          <w:color w:val="FF0000"/>
        </w:rPr>
      </w:pPr>
      <w:r>
        <w:rPr>
          <w:rFonts w:ascii="仿宋" w:hAnsi="仿宋" w:eastAsia="仿宋"/>
          <w:color w:val="FF0000"/>
        </w:rPr>
        <w:t>【条文说明】与国标</w:t>
      </w:r>
      <w:r>
        <w:rPr>
          <w:rFonts w:hint="eastAsia" w:ascii="仿宋" w:hAnsi="仿宋" w:eastAsia="仿宋"/>
          <w:color w:val="FF0000"/>
        </w:rPr>
        <w:t>基本</w:t>
      </w:r>
      <w:r>
        <w:rPr>
          <w:rFonts w:ascii="仿宋" w:hAnsi="仿宋" w:eastAsia="仿宋"/>
          <w:color w:val="FF0000"/>
        </w:rPr>
        <w:t>一致</w:t>
      </w:r>
      <w:r>
        <w:rPr>
          <w:rFonts w:hint="eastAsia" w:ascii="仿宋" w:hAnsi="仿宋" w:eastAsia="仿宋"/>
          <w:color w:val="FF0000"/>
        </w:rPr>
        <w:t>，将总分从10分调整为5分，因为深圳基本上不生产钢筋、砌块等重量多的建筑材料</w:t>
      </w:r>
      <w:r>
        <w:rPr>
          <w:rFonts w:ascii="仿宋" w:hAnsi="仿宋" w:eastAsia="仿宋"/>
          <w:color w:val="FF0000"/>
        </w:rPr>
        <w:t>。</w:t>
      </w:r>
      <w:r>
        <w:rPr>
          <w:rFonts w:hint="eastAsia" w:ascii="仿宋" w:hAnsi="仿宋" w:eastAsia="仿宋"/>
          <w:color w:val="FF0000"/>
        </w:rPr>
        <w:t>建材本地化是减少运输过程资源和能源消耗、降低环境污染的重要手段之一。本条鼓励使用本地生产的建筑材料，提高就地取材制成的建筑产品所占的比例。运输距离指建筑材料的最后一个生产工序或场地到施工现场的距离。</w:t>
      </w:r>
    </w:p>
    <w:p/>
    <w:p>
      <w:pPr>
        <w:autoSpaceDE w:val="0"/>
        <w:autoSpaceDN w:val="0"/>
        <w:adjustRightInd w:val="0"/>
        <w:spacing w:line="360" w:lineRule="auto"/>
        <w:jc w:val="left"/>
        <w:rPr>
          <w:kern w:val="0"/>
          <w:sz w:val="24"/>
        </w:rPr>
      </w:pPr>
      <w:bookmarkStart w:id="101" w:name="OLE_LINK39"/>
      <w:bookmarkStart w:id="102" w:name="OLE_LINK38"/>
      <w:r>
        <w:rPr>
          <w:rFonts w:hint="eastAsia"/>
          <w:b/>
          <w:bCs/>
          <w:kern w:val="0"/>
          <w:sz w:val="24"/>
        </w:rPr>
        <w:t>9</w:t>
      </w:r>
      <w:r>
        <w:rPr>
          <w:b/>
          <w:bCs/>
          <w:kern w:val="0"/>
          <w:sz w:val="24"/>
        </w:rPr>
        <w:t>.2.</w:t>
      </w:r>
      <w:r>
        <w:rPr>
          <w:rFonts w:hint="eastAsia"/>
          <w:b/>
          <w:bCs/>
          <w:kern w:val="0"/>
          <w:sz w:val="24"/>
        </w:rPr>
        <w:t>9</w:t>
      </w:r>
      <w:r>
        <w:rPr>
          <w:rFonts w:hAnsi="宋体"/>
          <w:bCs/>
          <w:kern w:val="0"/>
          <w:sz w:val="24"/>
        </w:rPr>
        <w:t>　</w:t>
      </w:r>
      <w:r>
        <w:rPr>
          <w:rFonts w:hint="eastAsia" w:hAnsi="宋体"/>
          <w:kern w:val="0"/>
          <w:sz w:val="24"/>
        </w:rPr>
        <w:t>采用免抹灰内外墙材料或提高内外墙施工精度取消抹</w:t>
      </w:r>
      <w:bookmarkStart w:id="103" w:name="OLE_LINK29"/>
      <w:bookmarkStart w:id="104" w:name="OLE_LINK28"/>
      <w:r>
        <w:rPr>
          <w:rFonts w:hint="eastAsia" w:hAnsi="宋体"/>
          <w:kern w:val="0"/>
          <w:sz w:val="24"/>
        </w:rPr>
        <w:t>灰</w:t>
      </w:r>
      <w:bookmarkEnd w:id="103"/>
      <w:bookmarkEnd w:id="104"/>
      <w:r>
        <w:rPr>
          <w:rFonts w:hint="eastAsia" w:hAnsi="宋体"/>
          <w:kern w:val="0"/>
          <w:sz w:val="24"/>
        </w:rPr>
        <w:t>层</w:t>
      </w:r>
      <w:bookmarkEnd w:id="101"/>
      <w:bookmarkEnd w:id="102"/>
      <w:r>
        <w:rPr>
          <w:rFonts w:hint="eastAsia" w:hAnsi="宋体"/>
          <w:kern w:val="0"/>
          <w:sz w:val="24"/>
        </w:rPr>
        <w:t>。评价分值为5分。</w:t>
      </w:r>
    </w:p>
    <w:p>
      <w:pPr>
        <w:pStyle w:val="87"/>
        <w:spacing w:line="360" w:lineRule="auto"/>
        <w:ind w:firstLine="0" w:firstLineChars="0"/>
        <w:outlineLvl w:val="9"/>
        <w:rPr>
          <w:rFonts w:ascii="仿宋" w:hAnsi="仿宋" w:eastAsia="仿宋"/>
          <w:color w:val="FF0000"/>
        </w:rPr>
      </w:pPr>
      <w:r>
        <w:rPr>
          <w:rFonts w:ascii="仿宋" w:hAnsi="仿宋" w:eastAsia="仿宋"/>
          <w:color w:val="FF0000"/>
        </w:rPr>
        <w:t>【条文说明】</w:t>
      </w:r>
      <w:r>
        <w:rPr>
          <w:rFonts w:hint="eastAsia" w:ascii="仿宋" w:hAnsi="仿宋" w:eastAsia="仿宋"/>
          <w:color w:val="FF0000"/>
        </w:rPr>
        <w:t>新增条文。此条鼓励采用免抹灰墙体材料，如使用内外墙板。鼓励提高内外墙施工精度取消抹灰层，如装配式铝模板施工工艺提高了内外墙施工精度，能取消抹灰工层，节约了材料。</w:t>
      </w:r>
    </w:p>
    <w:p>
      <w:pPr>
        <w:pStyle w:val="87"/>
        <w:spacing w:line="360" w:lineRule="auto"/>
        <w:ind w:firstLine="0" w:firstLineChars="0"/>
        <w:outlineLvl w:val="9"/>
        <w:rPr>
          <w:color w:val="FF0000"/>
          <w:sz w:val="22"/>
          <w:szCs w:val="21"/>
        </w:rPr>
      </w:pPr>
    </w:p>
    <w:p>
      <w:pPr>
        <w:autoSpaceDE w:val="0"/>
        <w:autoSpaceDN w:val="0"/>
        <w:adjustRightInd w:val="0"/>
        <w:spacing w:line="360" w:lineRule="auto"/>
        <w:jc w:val="left"/>
        <w:rPr>
          <w:kern w:val="0"/>
          <w:sz w:val="24"/>
        </w:rPr>
      </w:pPr>
      <w:r>
        <w:rPr>
          <w:rFonts w:hint="eastAsia"/>
          <w:b/>
          <w:bCs/>
          <w:kern w:val="0"/>
          <w:sz w:val="24"/>
        </w:rPr>
        <w:t>9</w:t>
      </w:r>
      <w:r>
        <w:rPr>
          <w:b/>
          <w:bCs/>
          <w:kern w:val="0"/>
          <w:sz w:val="24"/>
        </w:rPr>
        <w:t>.2.</w:t>
      </w:r>
      <w:r>
        <w:rPr>
          <w:rFonts w:hint="eastAsia"/>
          <w:b/>
          <w:bCs/>
          <w:kern w:val="0"/>
          <w:sz w:val="24"/>
        </w:rPr>
        <w:t>10</w:t>
      </w:r>
      <w:r>
        <w:rPr>
          <w:rFonts w:hAnsi="宋体"/>
          <w:bCs/>
          <w:kern w:val="0"/>
          <w:sz w:val="24"/>
        </w:rPr>
        <w:t>　</w:t>
      </w:r>
      <w:bookmarkStart w:id="105" w:name="OLE_LINK41"/>
      <w:bookmarkStart w:id="106" w:name="OLE_LINK40"/>
      <w:r>
        <w:rPr>
          <w:rFonts w:hint="eastAsia" w:hAnsi="宋体"/>
          <w:kern w:val="0"/>
          <w:sz w:val="24"/>
        </w:rPr>
        <w:t>建筑钢筋采用商品钢筋加工配送</w:t>
      </w:r>
      <w:bookmarkEnd w:id="105"/>
      <w:bookmarkEnd w:id="106"/>
      <w:r>
        <w:rPr>
          <w:rFonts w:hint="eastAsia" w:hAnsi="宋体"/>
          <w:kern w:val="0"/>
          <w:sz w:val="24"/>
        </w:rPr>
        <w:t>，评价分值为5分</w:t>
      </w:r>
      <w:r>
        <w:rPr>
          <w:rFonts w:hAnsi="宋体"/>
          <w:kern w:val="0"/>
          <w:sz w:val="24"/>
        </w:rPr>
        <w:t>。</w:t>
      </w:r>
    </w:p>
    <w:p>
      <w:pPr>
        <w:pStyle w:val="87"/>
        <w:spacing w:line="360" w:lineRule="auto"/>
        <w:ind w:firstLine="0" w:firstLineChars="0"/>
        <w:outlineLvl w:val="9"/>
        <w:rPr>
          <w:rFonts w:ascii="仿宋" w:hAnsi="仿宋" w:eastAsia="仿宋"/>
          <w:color w:val="FF0000"/>
        </w:rPr>
      </w:pPr>
      <w:r>
        <w:rPr>
          <w:rFonts w:ascii="仿宋" w:hAnsi="仿宋" w:eastAsia="仿宋"/>
          <w:color w:val="FF0000"/>
        </w:rPr>
        <w:t>【条文说明】</w:t>
      </w:r>
      <w:r>
        <w:rPr>
          <w:rFonts w:hint="eastAsia" w:ascii="仿宋" w:hAnsi="仿宋" w:eastAsia="仿宋"/>
          <w:color w:val="FF0000"/>
        </w:rPr>
        <w:t>新增条文。钢筋的商品化配送是指在专业的加工厂，将盘条或直条螺纹钢筋经过一定的加工工艺过程，根据工程图纸要求由专业成套机械设备加工成钢筋成品供应给工程现场进行安装。这种钢筋加工方式可以代替传统的使用人工和半机械设备在工地现场加工的方式，具有降低加工成本、提高生产效率、提高质量、加快施工进度、减少钢筋浪费、降低能耗、降低劳动强度等特点。</w:t>
      </w:r>
    </w:p>
    <w:p>
      <w:pPr>
        <w:pStyle w:val="87"/>
        <w:spacing w:line="360" w:lineRule="auto"/>
        <w:ind w:firstLine="0" w:firstLineChars="0"/>
        <w:outlineLvl w:val="9"/>
        <w:rPr>
          <w:rFonts w:ascii="仿宋" w:hAnsi="仿宋" w:eastAsia="仿宋"/>
          <w:color w:val="FF0000"/>
        </w:rPr>
      </w:pPr>
    </w:p>
    <w:p>
      <w:pPr>
        <w:autoSpaceDE w:val="0"/>
        <w:autoSpaceDN w:val="0"/>
        <w:adjustRightInd w:val="0"/>
        <w:spacing w:line="360" w:lineRule="auto"/>
        <w:jc w:val="left"/>
        <w:rPr>
          <w:kern w:val="0"/>
          <w:sz w:val="24"/>
        </w:rPr>
      </w:pPr>
      <w:r>
        <w:rPr>
          <w:rFonts w:hint="eastAsia"/>
          <w:b/>
          <w:bCs/>
          <w:kern w:val="0"/>
          <w:sz w:val="24"/>
        </w:rPr>
        <w:t>9</w:t>
      </w:r>
      <w:r>
        <w:rPr>
          <w:b/>
          <w:bCs/>
          <w:kern w:val="0"/>
          <w:sz w:val="24"/>
        </w:rPr>
        <w:t>.2.</w:t>
      </w:r>
      <w:r>
        <w:rPr>
          <w:rFonts w:hint="eastAsia"/>
          <w:b/>
          <w:bCs/>
          <w:kern w:val="0"/>
          <w:sz w:val="24"/>
        </w:rPr>
        <w:t>11</w:t>
      </w:r>
      <w:r>
        <w:rPr>
          <w:rFonts w:hAnsi="宋体"/>
          <w:bCs/>
          <w:kern w:val="0"/>
          <w:sz w:val="24"/>
        </w:rPr>
        <w:t>　</w:t>
      </w:r>
      <w:r>
        <w:rPr>
          <w:rFonts w:hAnsi="宋体"/>
          <w:kern w:val="0"/>
          <w:sz w:val="24"/>
        </w:rPr>
        <w:t>合理采用高强建筑结构材料</w:t>
      </w:r>
      <w:r>
        <w:rPr>
          <w:rFonts w:hint="eastAsia" w:hAnsi="宋体"/>
          <w:kern w:val="0"/>
          <w:sz w:val="24"/>
        </w:rPr>
        <w:t>，</w:t>
      </w:r>
      <w:r>
        <w:rPr>
          <w:rFonts w:hAnsi="宋体"/>
          <w:bCs/>
          <w:sz w:val="24"/>
        </w:rPr>
        <w:t>评价总分值为</w:t>
      </w:r>
      <w:r>
        <w:rPr>
          <w:bCs/>
          <w:sz w:val="24"/>
        </w:rPr>
        <w:t>1</w:t>
      </w:r>
      <w:r>
        <w:rPr>
          <w:rFonts w:hint="eastAsia"/>
          <w:bCs/>
          <w:sz w:val="24"/>
        </w:rPr>
        <w:t>0</w:t>
      </w:r>
      <w:r>
        <w:rPr>
          <w:rFonts w:hAnsi="宋体"/>
          <w:bCs/>
          <w:sz w:val="24"/>
        </w:rPr>
        <w:t>分，并按下列规则评分</w:t>
      </w:r>
      <w:r>
        <w:rPr>
          <w:rFonts w:hAnsi="宋体"/>
          <w:kern w:val="0"/>
          <w:sz w:val="24"/>
        </w:rPr>
        <w:t>：</w:t>
      </w:r>
    </w:p>
    <w:p>
      <w:pPr>
        <w:autoSpaceDE w:val="0"/>
        <w:autoSpaceDN w:val="0"/>
        <w:adjustRightInd w:val="0"/>
        <w:spacing w:line="360" w:lineRule="auto"/>
        <w:ind w:firstLine="481" w:firstLineChars="200"/>
        <w:jc w:val="left"/>
        <w:rPr>
          <w:kern w:val="0"/>
          <w:sz w:val="24"/>
        </w:rPr>
      </w:pPr>
      <w:r>
        <w:rPr>
          <w:b/>
          <w:kern w:val="0"/>
          <w:sz w:val="24"/>
        </w:rPr>
        <w:t>1</w:t>
      </w:r>
      <w:r>
        <w:rPr>
          <w:rFonts w:hAnsi="宋体"/>
          <w:kern w:val="0"/>
          <w:sz w:val="24"/>
        </w:rPr>
        <w:t>　混凝土结构：</w:t>
      </w:r>
    </w:p>
    <w:p>
      <w:pPr>
        <w:pStyle w:val="78"/>
        <w:numPr>
          <w:ilvl w:val="0"/>
          <w:numId w:val="4"/>
        </w:numPr>
        <w:autoSpaceDE w:val="0"/>
        <w:autoSpaceDN w:val="0"/>
        <w:adjustRightInd w:val="0"/>
        <w:spacing w:line="360" w:lineRule="auto"/>
        <w:ind w:firstLineChars="0"/>
        <w:jc w:val="left"/>
        <w:rPr>
          <w:rFonts w:hAnsi="宋体"/>
          <w:kern w:val="0"/>
          <w:sz w:val="24"/>
        </w:rPr>
      </w:pPr>
      <w:r>
        <w:rPr>
          <w:rFonts w:hint="eastAsia" w:hAnsi="宋体"/>
          <w:kern w:val="0"/>
          <w:sz w:val="24"/>
        </w:rPr>
        <w:t>根据</w:t>
      </w:r>
      <w:r>
        <w:rPr>
          <w:kern w:val="0"/>
          <w:sz w:val="24"/>
        </w:rPr>
        <w:t>400MPa</w:t>
      </w:r>
      <w:r>
        <w:rPr>
          <w:rFonts w:hAnsi="宋体"/>
          <w:kern w:val="0"/>
          <w:sz w:val="24"/>
        </w:rPr>
        <w:t>级及以上受力钢筋的使用比例</w:t>
      </w:r>
      <w:r>
        <w:rPr>
          <w:rFonts w:hint="eastAsia" w:hAnsi="宋体"/>
          <w:kern w:val="0"/>
          <w:sz w:val="24"/>
        </w:rPr>
        <w:t>，按表9.2.11的规则评分，最高得10分。</w:t>
      </w:r>
    </w:p>
    <w:p>
      <w:pPr>
        <w:autoSpaceDE w:val="0"/>
        <w:autoSpaceDN w:val="0"/>
        <w:adjustRightInd w:val="0"/>
        <w:spacing w:line="300" w:lineRule="auto"/>
        <w:jc w:val="center"/>
        <w:rPr>
          <w:rFonts w:hAnsi="宋体"/>
          <w:b/>
          <w:kern w:val="0"/>
        </w:rPr>
      </w:pPr>
      <w:r>
        <w:rPr>
          <w:rFonts w:hint="eastAsia" w:hAnsi="宋体"/>
          <w:b/>
          <w:kern w:val="0"/>
        </w:rPr>
        <w:t>表9.2.11 400MPa级及以上受力普通钢筋评分规则</w:t>
      </w:r>
    </w:p>
    <w:tbl>
      <w:tblPr>
        <w:tblStyle w:val="38"/>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1"/>
        <w:gridCol w:w="42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vAlign w:val="top"/>
          </w:tcPr>
          <w:p>
            <w:pPr>
              <w:autoSpaceDE w:val="0"/>
              <w:autoSpaceDN w:val="0"/>
              <w:adjustRightInd w:val="0"/>
              <w:jc w:val="center"/>
              <w:rPr>
                <w:rFonts w:hAnsi="宋体"/>
                <w:kern w:val="0"/>
              </w:rPr>
            </w:pPr>
            <w:r>
              <w:rPr>
                <w:kern w:val="0"/>
              </w:rPr>
              <w:t>400MPa</w:t>
            </w:r>
            <w:r>
              <w:rPr>
                <w:rFonts w:hAnsi="宋体"/>
                <w:kern w:val="0"/>
              </w:rPr>
              <w:t>级及以上受力</w:t>
            </w:r>
            <w:r>
              <w:rPr>
                <w:rFonts w:hint="eastAsia" w:hAnsi="宋体"/>
                <w:kern w:val="0"/>
              </w:rPr>
              <w:t>普通</w:t>
            </w:r>
            <w:r>
              <w:rPr>
                <w:rFonts w:hAnsi="宋体"/>
                <w:kern w:val="0"/>
              </w:rPr>
              <w:t>钢筋比例</w:t>
            </w:r>
          </w:p>
        </w:tc>
        <w:tc>
          <w:tcPr>
            <w:tcW w:w="4261" w:type="dxa"/>
            <w:vAlign w:val="top"/>
          </w:tcPr>
          <w:p>
            <w:pPr>
              <w:autoSpaceDE w:val="0"/>
              <w:autoSpaceDN w:val="0"/>
              <w:adjustRightInd w:val="0"/>
              <w:jc w:val="center"/>
              <w:rPr>
                <w:rFonts w:hAnsi="宋体"/>
                <w:kern w:val="0"/>
              </w:rPr>
            </w:pPr>
            <w:r>
              <w:rPr>
                <w:rFonts w:hint="eastAsia" w:hAnsi="宋体"/>
                <w:kern w:val="0"/>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vAlign w:val="top"/>
          </w:tcPr>
          <w:p>
            <w:pPr>
              <w:jc w:val="center"/>
            </w:pPr>
            <w:r>
              <w:rPr>
                <w:rFonts w:hint="eastAsia"/>
                <w:bCs/>
              </w:rPr>
              <w:t>30</w:t>
            </w:r>
            <w:r>
              <w:rPr>
                <w:bCs/>
              </w:rPr>
              <w:t>%≤＜</w:t>
            </w:r>
            <w:r>
              <w:rPr>
                <w:rFonts w:hint="eastAsia"/>
                <w:bCs/>
              </w:rPr>
              <w:t>50</w:t>
            </w:r>
            <w:r>
              <w:rPr>
                <w:bCs/>
              </w:rPr>
              <w:t>%</w:t>
            </w:r>
          </w:p>
        </w:tc>
        <w:tc>
          <w:tcPr>
            <w:tcW w:w="4261" w:type="dxa"/>
            <w:vAlign w:val="top"/>
          </w:tcPr>
          <w:p>
            <w:pPr>
              <w:autoSpaceDE w:val="0"/>
              <w:autoSpaceDN w:val="0"/>
              <w:adjustRightInd w:val="0"/>
              <w:jc w:val="center"/>
              <w:rPr>
                <w:rFonts w:hAnsi="宋体"/>
                <w:kern w:val="0"/>
              </w:rPr>
            </w:pPr>
            <w:r>
              <w:rPr>
                <w:rFonts w:hint="eastAsia" w:hAnsi="宋体"/>
                <w:kern w:val="0"/>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vAlign w:val="top"/>
          </w:tcPr>
          <w:p>
            <w:pPr>
              <w:jc w:val="center"/>
            </w:pPr>
            <w:r>
              <w:rPr>
                <w:rFonts w:hint="eastAsia"/>
                <w:bCs/>
              </w:rPr>
              <w:t>5</w:t>
            </w:r>
            <w:r>
              <w:rPr>
                <w:bCs/>
              </w:rPr>
              <w:t>0%≤＜</w:t>
            </w:r>
            <w:r>
              <w:rPr>
                <w:rFonts w:hint="eastAsia"/>
                <w:bCs/>
              </w:rPr>
              <w:t>7</w:t>
            </w:r>
            <w:r>
              <w:rPr>
                <w:bCs/>
              </w:rPr>
              <w:t>0%</w:t>
            </w:r>
          </w:p>
        </w:tc>
        <w:tc>
          <w:tcPr>
            <w:tcW w:w="4261" w:type="dxa"/>
            <w:vAlign w:val="top"/>
          </w:tcPr>
          <w:p>
            <w:pPr>
              <w:autoSpaceDE w:val="0"/>
              <w:autoSpaceDN w:val="0"/>
              <w:adjustRightInd w:val="0"/>
              <w:jc w:val="center"/>
              <w:rPr>
                <w:rFonts w:hAnsi="宋体"/>
                <w:kern w:val="0"/>
              </w:rPr>
            </w:pPr>
            <w:r>
              <w:rPr>
                <w:rFonts w:hint="eastAsia" w:hAnsi="宋体"/>
                <w:kern w:val="0"/>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261" w:type="dxa"/>
            <w:vAlign w:val="top"/>
          </w:tcPr>
          <w:p>
            <w:pPr>
              <w:jc w:val="center"/>
              <w:rPr>
                <w:bCs/>
              </w:rPr>
            </w:pPr>
            <w:r>
              <w:rPr>
                <w:rFonts w:hint="eastAsia"/>
                <w:bCs/>
              </w:rPr>
              <w:t>7</w:t>
            </w:r>
            <w:r>
              <w:rPr>
                <w:bCs/>
              </w:rPr>
              <w:t>0%≤＜</w:t>
            </w:r>
            <w:r>
              <w:rPr>
                <w:rFonts w:hint="eastAsia"/>
                <w:bCs/>
              </w:rPr>
              <w:t>85</w:t>
            </w:r>
            <w:r>
              <w:rPr>
                <w:bCs/>
              </w:rPr>
              <w:t>%</w:t>
            </w:r>
          </w:p>
        </w:tc>
        <w:tc>
          <w:tcPr>
            <w:tcW w:w="4261" w:type="dxa"/>
            <w:vAlign w:val="top"/>
          </w:tcPr>
          <w:p>
            <w:pPr>
              <w:autoSpaceDE w:val="0"/>
              <w:autoSpaceDN w:val="0"/>
              <w:adjustRightInd w:val="0"/>
              <w:jc w:val="center"/>
              <w:rPr>
                <w:rFonts w:hAnsi="宋体"/>
                <w:kern w:val="0"/>
              </w:rPr>
            </w:pPr>
            <w:r>
              <w:rPr>
                <w:rFonts w:hint="eastAsia" w:hAnsi="宋体"/>
                <w:kern w:val="0"/>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vAlign w:val="top"/>
          </w:tcPr>
          <w:p>
            <w:pPr>
              <w:jc w:val="center"/>
            </w:pPr>
            <w:r>
              <w:rPr>
                <w:bCs/>
              </w:rPr>
              <w:t>≥</w:t>
            </w:r>
            <w:r>
              <w:rPr>
                <w:rFonts w:hint="eastAsia"/>
                <w:bCs/>
              </w:rPr>
              <w:t>85</w:t>
            </w:r>
            <w:r>
              <w:rPr>
                <w:bCs/>
              </w:rPr>
              <w:t>%</w:t>
            </w:r>
          </w:p>
        </w:tc>
        <w:tc>
          <w:tcPr>
            <w:tcW w:w="4261" w:type="dxa"/>
            <w:vAlign w:val="top"/>
          </w:tcPr>
          <w:p>
            <w:pPr>
              <w:autoSpaceDE w:val="0"/>
              <w:autoSpaceDN w:val="0"/>
              <w:adjustRightInd w:val="0"/>
              <w:jc w:val="center"/>
              <w:rPr>
                <w:rFonts w:hAnsi="宋体"/>
                <w:kern w:val="0"/>
              </w:rPr>
            </w:pPr>
            <w:r>
              <w:rPr>
                <w:rFonts w:hint="eastAsia" w:hAnsi="宋体"/>
                <w:kern w:val="0"/>
              </w:rPr>
              <w:t>10</w:t>
            </w:r>
          </w:p>
        </w:tc>
      </w:tr>
    </w:tbl>
    <w:p>
      <w:pPr>
        <w:autoSpaceDE w:val="0"/>
        <w:autoSpaceDN w:val="0"/>
        <w:adjustRightInd w:val="0"/>
        <w:spacing w:line="360" w:lineRule="auto"/>
        <w:ind w:firstLine="602" w:firstLineChars="250"/>
        <w:jc w:val="left"/>
        <w:rPr>
          <w:kern w:val="0"/>
          <w:sz w:val="24"/>
        </w:rPr>
      </w:pPr>
      <w:r>
        <w:rPr>
          <w:b/>
          <w:kern w:val="0"/>
          <w:sz w:val="24"/>
        </w:rPr>
        <w:t>2</w:t>
      </w:r>
      <w:r>
        <w:rPr>
          <w:rFonts w:hAnsi="宋体"/>
          <w:b/>
          <w:kern w:val="0"/>
          <w:sz w:val="24"/>
        </w:rPr>
        <w:t>）</w:t>
      </w:r>
      <w:r>
        <w:rPr>
          <w:rFonts w:hAnsi="宋体"/>
          <w:kern w:val="0"/>
          <w:sz w:val="24"/>
        </w:rPr>
        <w:t>混凝土竖向承重结构采用强度等级不小于</w:t>
      </w:r>
      <w:r>
        <w:rPr>
          <w:kern w:val="0"/>
          <w:sz w:val="24"/>
        </w:rPr>
        <w:t>C50</w:t>
      </w:r>
      <w:r>
        <w:rPr>
          <w:rFonts w:hAnsi="宋体"/>
          <w:kern w:val="0"/>
          <w:sz w:val="24"/>
        </w:rPr>
        <w:t>混凝土用量占竖向承重结构中混凝土总量的比例达到</w:t>
      </w:r>
      <w:r>
        <w:rPr>
          <w:kern w:val="0"/>
          <w:sz w:val="24"/>
        </w:rPr>
        <w:t>50%</w:t>
      </w:r>
      <w:r>
        <w:rPr>
          <w:rFonts w:hAnsi="宋体"/>
          <w:kern w:val="0"/>
          <w:sz w:val="24"/>
        </w:rPr>
        <w:t>，得</w:t>
      </w:r>
      <w:r>
        <w:rPr>
          <w:kern w:val="0"/>
          <w:sz w:val="24"/>
        </w:rPr>
        <w:t>1</w:t>
      </w:r>
      <w:r>
        <w:rPr>
          <w:rFonts w:hint="eastAsia"/>
          <w:kern w:val="0"/>
          <w:sz w:val="24"/>
        </w:rPr>
        <w:t>0</w:t>
      </w:r>
      <w:r>
        <w:rPr>
          <w:rFonts w:hAnsi="宋体"/>
          <w:kern w:val="0"/>
          <w:sz w:val="24"/>
        </w:rPr>
        <w:t>分。</w:t>
      </w:r>
    </w:p>
    <w:p>
      <w:pPr>
        <w:autoSpaceDE w:val="0"/>
        <w:autoSpaceDN w:val="0"/>
        <w:adjustRightInd w:val="0"/>
        <w:spacing w:line="360" w:lineRule="auto"/>
        <w:ind w:firstLine="481" w:firstLineChars="200"/>
        <w:jc w:val="left"/>
        <w:rPr>
          <w:kern w:val="0"/>
          <w:sz w:val="24"/>
        </w:rPr>
      </w:pPr>
      <w:r>
        <w:rPr>
          <w:b/>
          <w:kern w:val="0"/>
          <w:sz w:val="24"/>
        </w:rPr>
        <w:t>2</w:t>
      </w:r>
      <w:r>
        <w:rPr>
          <w:rFonts w:hAnsi="宋体"/>
          <w:kern w:val="0"/>
          <w:sz w:val="24"/>
        </w:rPr>
        <w:t>　钢结构：</w:t>
      </w:r>
      <w:r>
        <w:rPr>
          <w:kern w:val="0"/>
          <w:sz w:val="24"/>
        </w:rPr>
        <w:t>Q345</w:t>
      </w:r>
      <w:r>
        <w:rPr>
          <w:rFonts w:hAnsi="宋体"/>
          <w:kern w:val="0"/>
          <w:sz w:val="24"/>
        </w:rPr>
        <w:t>及以上高强钢材用量占钢材总量的比例达到</w:t>
      </w:r>
      <w:r>
        <w:rPr>
          <w:kern w:val="0"/>
          <w:sz w:val="24"/>
        </w:rPr>
        <w:t>50%</w:t>
      </w:r>
      <w:r>
        <w:rPr>
          <w:rFonts w:hAnsi="宋体"/>
          <w:kern w:val="0"/>
          <w:sz w:val="24"/>
        </w:rPr>
        <w:t>，得</w:t>
      </w:r>
      <w:r>
        <w:rPr>
          <w:rFonts w:hint="eastAsia"/>
          <w:kern w:val="0"/>
          <w:sz w:val="24"/>
        </w:rPr>
        <w:t>8</w:t>
      </w:r>
      <w:r>
        <w:rPr>
          <w:rFonts w:hAnsi="宋体"/>
          <w:kern w:val="0"/>
          <w:sz w:val="24"/>
        </w:rPr>
        <w:t>分；达到</w:t>
      </w:r>
      <w:r>
        <w:rPr>
          <w:kern w:val="0"/>
          <w:sz w:val="24"/>
        </w:rPr>
        <w:t>70</w:t>
      </w:r>
      <w:r>
        <w:rPr>
          <w:rFonts w:hAnsi="宋体"/>
          <w:kern w:val="0"/>
          <w:sz w:val="24"/>
        </w:rPr>
        <w:t>％，得</w:t>
      </w:r>
      <w:r>
        <w:rPr>
          <w:kern w:val="0"/>
          <w:sz w:val="24"/>
        </w:rPr>
        <w:t>1</w:t>
      </w:r>
      <w:r>
        <w:rPr>
          <w:rFonts w:hint="eastAsia"/>
          <w:kern w:val="0"/>
          <w:sz w:val="24"/>
        </w:rPr>
        <w:t>0</w:t>
      </w:r>
      <w:r>
        <w:rPr>
          <w:rFonts w:hAnsi="宋体"/>
          <w:kern w:val="0"/>
          <w:sz w:val="24"/>
        </w:rPr>
        <w:t>分；</w:t>
      </w:r>
    </w:p>
    <w:p>
      <w:pPr>
        <w:pStyle w:val="87"/>
        <w:spacing w:line="360" w:lineRule="auto"/>
        <w:ind w:firstLine="482"/>
        <w:outlineLvl w:val="9"/>
        <w:rPr>
          <w:bCs/>
          <w:szCs w:val="21"/>
        </w:rPr>
      </w:pPr>
      <w:r>
        <w:rPr>
          <w:b/>
          <w:bCs/>
          <w:szCs w:val="21"/>
        </w:rPr>
        <w:t>3</w:t>
      </w:r>
      <w:r>
        <w:rPr>
          <w:rFonts w:hAnsi="宋体"/>
          <w:bCs/>
          <w:szCs w:val="21"/>
        </w:rPr>
        <w:t>　混合结构：</w:t>
      </w:r>
      <w:r>
        <w:rPr>
          <w:rFonts w:hint="eastAsia" w:hAnsi="宋体"/>
          <w:bCs/>
          <w:szCs w:val="21"/>
        </w:rPr>
        <w:t>对其混凝土结构部分和钢结构部分，分别按本条第1款和第2款进行评价，得分取两项得分的平均值。</w:t>
      </w:r>
    </w:p>
    <w:p>
      <w:pPr>
        <w:pStyle w:val="87"/>
        <w:spacing w:line="360" w:lineRule="auto"/>
        <w:ind w:firstLine="0" w:firstLineChars="0"/>
        <w:outlineLvl w:val="9"/>
        <w:rPr>
          <w:rFonts w:ascii="仿宋" w:hAnsi="仿宋" w:eastAsia="仿宋"/>
          <w:color w:val="FF0000"/>
        </w:rPr>
      </w:pPr>
      <w:r>
        <w:rPr>
          <w:rFonts w:ascii="仿宋" w:hAnsi="仿宋" w:eastAsia="仿宋"/>
          <w:color w:val="FF0000"/>
        </w:rPr>
        <w:t>【条文说明】与国</w:t>
      </w:r>
      <w:r>
        <w:rPr>
          <w:rFonts w:hint="eastAsia" w:ascii="仿宋" w:hAnsi="仿宋" w:eastAsia="仿宋"/>
          <w:color w:val="FF0000"/>
        </w:rPr>
        <w:t>家</w:t>
      </w:r>
      <w:r>
        <w:rPr>
          <w:rFonts w:ascii="仿宋" w:hAnsi="仿宋" w:eastAsia="仿宋"/>
          <w:color w:val="FF0000"/>
        </w:rPr>
        <w:t>标</w:t>
      </w:r>
      <w:r>
        <w:rPr>
          <w:rFonts w:hint="eastAsia" w:ascii="仿宋" w:hAnsi="仿宋" w:eastAsia="仿宋"/>
          <w:color w:val="FF0000"/>
        </w:rPr>
        <w:t>准</w:t>
      </w:r>
      <w:r>
        <w:rPr>
          <w:rFonts w:ascii="仿宋" w:hAnsi="仿宋" w:eastAsia="仿宋"/>
          <w:color w:val="FF0000"/>
        </w:rPr>
        <w:t>一致。</w:t>
      </w:r>
      <w:r>
        <w:rPr>
          <w:rFonts w:hint="eastAsia" w:ascii="仿宋" w:hAnsi="仿宋" w:eastAsia="仿宋"/>
          <w:color w:val="FF0000"/>
        </w:rPr>
        <w:t>合理采用高强度结构材料，可减少构件的截面尺寸及材料用量，同时也减轻结构自重，减少地震作用及地基基础的材料消耗。混凝土结构中的受力普通钢筋，包括梁、柱、墙、板、基础等构件中的纵向受力筋及箍筋。</w:t>
      </w:r>
    </w:p>
    <w:p>
      <w:pPr>
        <w:pStyle w:val="87"/>
        <w:spacing w:line="360" w:lineRule="auto"/>
        <w:ind w:firstLine="0" w:firstLineChars="0"/>
        <w:outlineLvl w:val="9"/>
        <w:rPr>
          <w:rFonts w:ascii="仿宋" w:hAnsi="仿宋" w:eastAsia="仿宋"/>
          <w:color w:val="FF0000"/>
        </w:rPr>
      </w:pPr>
      <w:r>
        <w:rPr>
          <w:rFonts w:hint="eastAsia" w:ascii="仿宋" w:hAnsi="仿宋" w:eastAsia="仿宋"/>
          <w:color w:val="FF0000"/>
        </w:rPr>
        <w:t>本条所涉及的高强结构材料主要包括高强钢筋、高强混凝土、高强钢材等。400MPa级及以上钢筋包括HRB400、HRB500、HRBF400、HRBF500等钢筋。本条中的混合结构体系系指钢框架或型钢（钢管）混凝土框架与钢筋混凝土筒体所组成的共同承受竖向和水平作用的高层建筑结构。</w:t>
      </w:r>
    </w:p>
    <w:p/>
    <w:p>
      <w:pPr>
        <w:autoSpaceDE w:val="0"/>
        <w:autoSpaceDN w:val="0"/>
        <w:adjustRightInd w:val="0"/>
        <w:spacing w:line="360" w:lineRule="auto"/>
        <w:jc w:val="left"/>
        <w:rPr>
          <w:kern w:val="0"/>
          <w:sz w:val="24"/>
        </w:rPr>
      </w:pPr>
      <w:r>
        <w:rPr>
          <w:rFonts w:hint="eastAsia"/>
          <w:b/>
          <w:bCs/>
          <w:kern w:val="0"/>
          <w:sz w:val="24"/>
        </w:rPr>
        <w:t>9</w:t>
      </w:r>
      <w:r>
        <w:rPr>
          <w:b/>
          <w:bCs/>
          <w:kern w:val="0"/>
          <w:sz w:val="24"/>
        </w:rPr>
        <w:t>.2.</w:t>
      </w:r>
      <w:r>
        <w:rPr>
          <w:rFonts w:hint="eastAsia"/>
          <w:b/>
          <w:bCs/>
          <w:kern w:val="0"/>
          <w:sz w:val="24"/>
        </w:rPr>
        <w:t>12</w:t>
      </w:r>
      <w:r>
        <w:rPr>
          <w:rFonts w:hAnsi="宋体"/>
          <w:bCs/>
          <w:kern w:val="0"/>
          <w:sz w:val="24"/>
        </w:rPr>
        <w:t>　</w:t>
      </w:r>
      <w:r>
        <w:rPr>
          <w:rFonts w:hint="eastAsia" w:hAnsi="宋体"/>
          <w:kern w:val="0"/>
          <w:sz w:val="24"/>
        </w:rPr>
        <w:t>合理采用高耐久性建筑结构材料，评价分值为5分。对于混凝土结构，其中高耐久性混凝土用量占混凝土总量的比例达到50%；对于钢结构，采用耐候结构钢或耐候型防腐涂料。</w:t>
      </w:r>
    </w:p>
    <w:p>
      <w:pPr>
        <w:pStyle w:val="87"/>
        <w:spacing w:line="360" w:lineRule="auto"/>
        <w:ind w:firstLine="0" w:firstLineChars="0"/>
        <w:outlineLvl w:val="9"/>
        <w:rPr>
          <w:rFonts w:ascii="仿宋" w:hAnsi="仿宋" w:eastAsia="仿宋"/>
          <w:color w:val="FF0000"/>
        </w:rPr>
      </w:pPr>
      <w:r>
        <w:rPr>
          <w:rFonts w:ascii="仿宋" w:hAnsi="仿宋" w:eastAsia="仿宋"/>
          <w:color w:val="FF0000"/>
        </w:rPr>
        <w:t>【条文说明】与国</w:t>
      </w:r>
      <w:r>
        <w:rPr>
          <w:rFonts w:hint="eastAsia" w:ascii="仿宋" w:hAnsi="仿宋" w:eastAsia="仿宋"/>
          <w:color w:val="FF0000"/>
        </w:rPr>
        <w:t>家</w:t>
      </w:r>
      <w:r>
        <w:rPr>
          <w:rFonts w:ascii="仿宋" w:hAnsi="仿宋" w:eastAsia="仿宋"/>
          <w:color w:val="FF0000"/>
        </w:rPr>
        <w:t>标</w:t>
      </w:r>
      <w:r>
        <w:rPr>
          <w:rFonts w:hint="eastAsia" w:ascii="仿宋" w:hAnsi="仿宋" w:eastAsia="仿宋"/>
          <w:color w:val="FF0000"/>
        </w:rPr>
        <w:t>准</w:t>
      </w:r>
      <w:r>
        <w:rPr>
          <w:rFonts w:ascii="仿宋" w:hAnsi="仿宋" w:eastAsia="仿宋"/>
          <w:color w:val="FF0000"/>
        </w:rPr>
        <w:t>一致。</w:t>
      </w:r>
    </w:p>
    <w:p/>
    <w:p>
      <w:pPr>
        <w:autoSpaceDE w:val="0"/>
        <w:autoSpaceDN w:val="0"/>
        <w:adjustRightInd w:val="0"/>
        <w:spacing w:line="360" w:lineRule="auto"/>
        <w:jc w:val="left"/>
        <w:rPr>
          <w:rFonts w:hAnsi="宋体"/>
          <w:kern w:val="0"/>
          <w:sz w:val="24"/>
        </w:rPr>
      </w:pPr>
      <w:r>
        <w:rPr>
          <w:rFonts w:hint="eastAsia"/>
          <w:b/>
          <w:bCs/>
          <w:kern w:val="0"/>
          <w:sz w:val="24"/>
        </w:rPr>
        <w:t>9</w:t>
      </w:r>
      <w:r>
        <w:rPr>
          <w:b/>
          <w:bCs/>
          <w:kern w:val="0"/>
          <w:sz w:val="24"/>
        </w:rPr>
        <w:t>.2.</w:t>
      </w:r>
      <w:r>
        <w:rPr>
          <w:rFonts w:hint="eastAsia"/>
          <w:b/>
          <w:bCs/>
          <w:kern w:val="0"/>
          <w:sz w:val="24"/>
        </w:rPr>
        <w:t>13</w:t>
      </w:r>
      <w:r>
        <w:rPr>
          <w:rFonts w:hAnsi="宋体"/>
          <w:bCs/>
          <w:kern w:val="0"/>
          <w:sz w:val="24"/>
        </w:rPr>
        <w:t>　</w:t>
      </w:r>
      <w:r>
        <w:rPr>
          <w:rFonts w:hint="eastAsia" w:hAnsi="宋体"/>
          <w:kern w:val="0"/>
          <w:sz w:val="24"/>
        </w:rPr>
        <w:t>采用可再利用材料或可再循环材料，评价总分值为10分，并按下列规则评分：</w:t>
      </w:r>
    </w:p>
    <w:p>
      <w:pPr>
        <w:autoSpaceDE w:val="0"/>
        <w:autoSpaceDN w:val="0"/>
        <w:adjustRightInd w:val="0"/>
        <w:spacing w:line="360" w:lineRule="auto"/>
        <w:ind w:left="210" w:leftChars="100"/>
        <w:jc w:val="left"/>
        <w:rPr>
          <w:kern w:val="0"/>
          <w:sz w:val="24"/>
        </w:rPr>
      </w:pPr>
      <w:r>
        <w:rPr>
          <w:b/>
          <w:kern w:val="0"/>
          <w:sz w:val="24"/>
        </w:rPr>
        <w:t>1</w:t>
      </w:r>
      <w:r>
        <w:rPr>
          <w:rFonts w:hAnsi="宋体"/>
          <w:kern w:val="0"/>
          <w:sz w:val="24"/>
        </w:rPr>
        <w:t>　住宅建筑中的</w:t>
      </w:r>
      <w:r>
        <w:rPr>
          <w:rFonts w:hint="eastAsia" w:hAnsi="宋体"/>
          <w:kern w:val="0"/>
          <w:sz w:val="24"/>
        </w:rPr>
        <w:t>可再利用材料和</w:t>
      </w:r>
      <w:r>
        <w:rPr>
          <w:rFonts w:hAnsi="宋体"/>
          <w:kern w:val="0"/>
          <w:sz w:val="24"/>
        </w:rPr>
        <w:t>可再循环材料用量比例达到</w:t>
      </w:r>
      <w:r>
        <w:rPr>
          <w:rFonts w:hint="eastAsia"/>
          <w:kern w:val="0"/>
          <w:sz w:val="24"/>
        </w:rPr>
        <w:t>4</w:t>
      </w:r>
      <w:r>
        <w:rPr>
          <w:kern w:val="0"/>
          <w:sz w:val="24"/>
        </w:rPr>
        <w:t>%</w:t>
      </w:r>
      <w:r>
        <w:rPr>
          <w:rFonts w:hAnsi="宋体"/>
          <w:kern w:val="0"/>
          <w:sz w:val="24"/>
        </w:rPr>
        <w:t>，得</w:t>
      </w:r>
      <w:r>
        <w:rPr>
          <w:rFonts w:hint="eastAsia"/>
          <w:kern w:val="0"/>
          <w:sz w:val="24"/>
        </w:rPr>
        <w:t>4</w:t>
      </w:r>
      <w:r>
        <w:rPr>
          <w:rFonts w:hAnsi="宋体"/>
          <w:kern w:val="0"/>
          <w:sz w:val="24"/>
        </w:rPr>
        <w:t>分；</w:t>
      </w:r>
      <w:r>
        <w:rPr>
          <w:rFonts w:hint="eastAsia" w:hAnsi="宋体"/>
          <w:kern w:val="0"/>
          <w:sz w:val="24"/>
        </w:rPr>
        <w:t>达到6%，得6分；达到8%，得8分；</w:t>
      </w:r>
      <w:r>
        <w:rPr>
          <w:rFonts w:hAnsi="宋体"/>
          <w:kern w:val="0"/>
          <w:sz w:val="24"/>
        </w:rPr>
        <w:t>达到</w:t>
      </w:r>
      <w:r>
        <w:rPr>
          <w:kern w:val="0"/>
          <w:sz w:val="24"/>
        </w:rPr>
        <w:t>10%</w:t>
      </w:r>
      <w:r>
        <w:rPr>
          <w:rFonts w:hAnsi="宋体"/>
          <w:kern w:val="0"/>
          <w:sz w:val="24"/>
        </w:rPr>
        <w:t>，得</w:t>
      </w:r>
      <w:r>
        <w:rPr>
          <w:kern w:val="0"/>
          <w:sz w:val="24"/>
        </w:rPr>
        <w:t>10</w:t>
      </w:r>
      <w:r>
        <w:rPr>
          <w:rFonts w:hAnsi="宋体"/>
          <w:kern w:val="0"/>
          <w:sz w:val="24"/>
        </w:rPr>
        <w:t>分；</w:t>
      </w:r>
    </w:p>
    <w:p>
      <w:pPr>
        <w:autoSpaceDE w:val="0"/>
        <w:autoSpaceDN w:val="0"/>
        <w:adjustRightInd w:val="0"/>
        <w:spacing w:line="360" w:lineRule="auto"/>
        <w:ind w:left="210" w:leftChars="100"/>
        <w:jc w:val="left"/>
        <w:rPr>
          <w:kern w:val="0"/>
          <w:sz w:val="24"/>
        </w:rPr>
      </w:pPr>
      <w:r>
        <w:rPr>
          <w:b/>
          <w:kern w:val="0"/>
          <w:sz w:val="24"/>
        </w:rPr>
        <w:t>2</w:t>
      </w:r>
      <w:r>
        <w:rPr>
          <w:rFonts w:hAnsi="宋体"/>
          <w:kern w:val="0"/>
          <w:sz w:val="24"/>
        </w:rPr>
        <w:t>　公共建筑中的</w:t>
      </w:r>
      <w:r>
        <w:rPr>
          <w:rFonts w:hint="eastAsia" w:hAnsi="宋体"/>
          <w:kern w:val="0"/>
          <w:sz w:val="24"/>
        </w:rPr>
        <w:t>可再利用材料和</w:t>
      </w:r>
      <w:r>
        <w:rPr>
          <w:rFonts w:hAnsi="宋体"/>
          <w:kern w:val="0"/>
          <w:sz w:val="24"/>
        </w:rPr>
        <w:t>可再循环材料用量比例达到</w:t>
      </w:r>
      <w:r>
        <w:rPr>
          <w:rFonts w:hint="eastAsia"/>
          <w:kern w:val="0"/>
          <w:sz w:val="24"/>
        </w:rPr>
        <w:t>8</w:t>
      </w:r>
      <w:r>
        <w:rPr>
          <w:kern w:val="0"/>
          <w:sz w:val="24"/>
        </w:rPr>
        <w:t>%</w:t>
      </w:r>
      <w:r>
        <w:rPr>
          <w:rFonts w:hAnsi="宋体"/>
          <w:kern w:val="0"/>
          <w:sz w:val="24"/>
        </w:rPr>
        <w:t>，得</w:t>
      </w:r>
      <w:r>
        <w:rPr>
          <w:rFonts w:hint="eastAsia"/>
          <w:kern w:val="0"/>
          <w:sz w:val="24"/>
        </w:rPr>
        <w:t>6</w:t>
      </w:r>
      <w:r>
        <w:rPr>
          <w:rFonts w:hAnsi="宋体"/>
          <w:kern w:val="0"/>
          <w:sz w:val="24"/>
        </w:rPr>
        <w:t>分；</w:t>
      </w:r>
      <w:r>
        <w:rPr>
          <w:rFonts w:hint="eastAsia" w:hAnsi="宋体"/>
          <w:kern w:val="0"/>
          <w:sz w:val="24"/>
        </w:rPr>
        <w:t>达到10%，得8分；</w:t>
      </w:r>
      <w:r>
        <w:rPr>
          <w:rFonts w:hAnsi="宋体"/>
          <w:kern w:val="0"/>
          <w:sz w:val="24"/>
        </w:rPr>
        <w:t>达到</w:t>
      </w:r>
      <w:r>
        <w:rPr>
          <w:kern w:val="0"/>
          <w:sz w:val="24"/>
        </w:rPr>
        <w:t>15%</w:t>
      </w:r>
      <w:r>
        <w:rPr>
          <w:rFonts w:hAnsi="宋体"/>
          <w:kern w:val="0"/>
          <w:sz w:val="24"/>
        </w:rPr>
        <w:t>，得</w:t>
      </w:r>
      <w:r>
        <w:rPr>
          <w:kern w:val="0"/>
          <w:sz w:val="24"/>
        </w:rPr>
        <w:t>10</w:t>
      </w:r>
      <w:r>
        <w:rPr>
          <w:rFonts w:hAnsi="宋体"/>
          <w:kern w:val="0"/>
          <w:sz w:val="24"/>
        </w:rPr>
        <w:t>分</w:t>
      </w:r>
      <w:r>
        <w:rPr>
          <w:rFonts w:hint="eastAsia" w:hAnsi="宋体"/>
          <w:kern w:val="0"/>
          <w:sz w:val="24"/>
        </w:rPr>
        <w:t>。</w:t>
      </w:r>
    </w:p>
    <w:p>
      <w:pPr>
        <w:pStyle w:val="87"/>
        <w:spacing w:line="360" w:lineRule="auto"/>
        <w:ind w:firstLine="0" w:firstLineChars="0"/>
        <w:outlineLvl w:val="9"/>
        <w:rPr>
          <w:rFonts w:ascii="仿宋" w:hAnsi="仿宋" w:eastAsia="仿宋"/>
          <w:color w:val="FF0000"/>
        </w:rPr>
      </w:pPr>
      <w:r>
        <w:rPr>
          <w:rFonts w:ascii="仿宋" w:hAnsi="仿宋" w:eastAsia="仿宋"/>
          <w:color w:val="FF0000"/>
        </w:rPr>
        <w:t>【条文说明】：与国</w:t>
      </w:r>
      <w:r>
        <w:rPr>
          <w:rFonts w:hint="eastAsia" w:ascii="仿宋" w:hAnsi="仿宋" w:eastAsia="仿宋"/>
          <w:color w:val="FF0000"/>
        </w:rPr>
        <w:t>家</w:t>
      </w:r>
      <w:r>
        <w:rPr>
          <w:rFonts w:ascii="仿宋" w:hAnsi="仿宋" w:eastAsia="仿宋"/>
          <w:color w:val="FF0000"/>
        </w:rPr>
        <w:t>标</w:t>
      </w:r>
      <w:r>
        <w:rPr>
          <w:rFonts w:hint="eastAsia" w:ascii="仿宋" w:hAnsi="仿宋" w:eastAsia="仿宋"/>
          <w:color w:val="FF0000"/>
        </w:rPr>
        <w:t>准</w:t>
      </w:r>
      <w:r>
        <w:rPr>
          <w:rFonts w:ascii="仿宋" w:hAnsi="仿宋" w:eastAsia="仿宋"/>
          <w:color w:val="FF0000"/>
        </w:rPr>
        <w:t>一致</w:t>
      </w:r>
      <w:r>
        <w:rPr>
          <w:rFonts w:hint="eastAsia" w:ascii="仿宋" w:hAnsi="仿宋" w:eastAsia="仿宋"/>
          <w:color w:val="FF0000"/>
        </w:rPr>
        <w:t>，细化调整得分区间</w:t>
      </w:r>
      <w:r>
        <w:rPr>
          <w:rFonts w:ascii="仿宋" w:hAnsi="仿宋" w:eastAsia="仿宋"/>
          <w:color w:val="FF0000"/>
        </w:rPr>
        <w:t>。</w:t>
      </w:r>
      <w:r>
        <w:rPr>
          <w:rFonts w:hint="eastAsia" w:ascii="仿宋" w:hAnsi="仿宋" w:eastAsia="仿宋"/>
          <w:color w:val="FF0000"/>
        </w:rPr>
        <w:t>可再利用材料是指不改变物质形态可直接再利用的，或经过组合、修复后可直接再利用的建筑材料，即基本不改变旧建筑材料或制品的原貌，仅对其进行适当清洁或修整等简单工序经过性能检测合格，直接回用于建筑工程的建筑材料。可再利用建筑材料一般是指制品、部品或型材形式的建筑材料。</w:t>
      </w:r>
    </w:p>
    <w:p>
      <w:pPr>
        <w:pStyle w:val="87"/>
        <w:spacing w:line="360" w:lineRule="auto"/>
        <w:ind w:firstLine="0" w:firstLineChars="0"/>
        <w:outlineLvl w:val="9"/>
        <w:rPr>
          <w:rFonts w:ascii="仿宋" w:hAnsi="仿宋" w:eastAsia="仿宋"/>
          <w:color w:val="FF0000"/>
        </w:rPr>
      </w:pPr>
      <w:r>
        <w:rPr>
          <w:rFonts w:hint="eastAsia" w:ascii="仿宋" w:hAnsi="仿宋" w:eastAsia="仿宋"/>
          <w:color w:val="FF0000"/>
        </w:rPr>
        <w:t>可再循环材料是指通过改变物质形态可实现循环利用的材料，如难以直接回用的钢筋、玻璃等，可以回炉再生产。可再循环材料主要包括金属材料（钢材、铜等）、玻璃、铝合金型材、石膏制品、木材。有的建筑材料既可以直接再利用又可以回炉后再循环利用，例如标准尺寸的钢结构型材等。以上各类材料均可纳入本条“可再利用材料和可再循环材料用量”范畴，但同种建材不重复计算。</w:t>
      </w:r>
    </w:p>
    <w:p>
      <w:pPr>
        <w:pStyle w:val="87"/>
        <w:spacing w:line="360" w:lineRule="auto"/>
        <w:ind w:firstLine="0" w:firstLineChars="0"/>
        <w:outlineLvl w:val="9"/>
        <w:rPr>
          <w:rFonts w:ascii="仿宋" w:hAnsi="仿宋" w:eastAsia="仿宋"/>
          <w:color w:val="FF0000"/>
        </w:rPr>
      </w:pPr>
    </w:p>
    <w:p>
      <w:pPr>
        <w:autoSpaceDE w:val="0"/>
        <w:autoSpaceDN w:val="0"/>
        <w:adjustRightInd w:val="0"/>
        <w:spacing w:line="360" w:lineRule="auto"/>
        <w:jc w:val="left"/>
        <w:rPr>
          <w:kern w:val="0"/>
          <w:sz w:val="24"/>
        </w:rPr>
      </w:pPr>
    </w:p>
    <w:p>
      <w:pPr>
        <w:autoSpaceDE w:val="0"/>
        <w:autoSpaceDN w:val="0"/>
        <w:adjustRightInd w:val="0"/>
        <w:spacing w:line="360" w:lineRule="auto"/>
        <w:jc w:val="left"/>
        <w:rPr>
          <w:rFonts w:hAnsi="宋体"/>
          <w:kern w:val="0"/>
          <w:sz w:val="24"/>
        </w:rPr>
      </w:pPr>
      <w:r>
        <w:rPr>
          <w:rFonts w:hint="eastAsia"/>
          <w:b/>
          <w:bCs/>
          <w:kern w:val="0"/>
          <w:sz w:val="24"/>
        </w:rPr>
        <w:t>9</w:t>
      </w:r>
      <w:r>
        <w:rPr>
          <w:b/>
          <w:bCs/>
          <w:kern w:val="0"/>
          <w:sz w:val="24"/>
        </w:rPr>
        <w:t>.2.</w:t>
      </w:r>
      <w:r>
        <w:rPr>
          <w:rFonts w:hint="eastAsia"/>
          <w:b/>
          <w:bCs/>
          <w:kern w:val="0"/>
          <w:sz w:val="24"/>
        </w:rPr>
        <w:t>14</w:t>
      </w:r>
      <w:r>
        <w:rPr>
          <w:rFonts w:hAnsi="宋体"/>
          <w:bCs/>
          <w:kern w:val="0"/>
          <w:sz w:val="24"/>
        </w:rPr>
        <w:t>　</w:t>
      </w:r>
      <w:r>
        <w:rPr>
          <w:rFonts w:hint="eastAsia" w:hAnsi="宋体"/>
          <w:kern w:val="0"/>
          <w:sz w:val="24"/>
        </w:rPr>
        <w:t>使用以废弃物为原料生产的建筑材料，评价总分值为5分，并按下列规则评分：</w:t>
      </w:r>
    </w:p>
    <w:p>
      <w:pPr>
        <w:autoSpaceDE w:val="0"/>
        <w:autoSpaceDN w:val="0"/>
        <w:adjustRightInd w:val="0"/>
        <w:spacing w:line="360" w:lineRule="auto"/>
        <w:ind w:firstLine="481" w:firstLineChars="200"/>
        <w:jc w:val="left"/>
        <w:rPr>
          <w:kern w:val="0"/>
          <w:sz w:val="24"/>
        </w:rPr>
      </w:pPr>
      <w:r>
        <w:rPr>
          <w:b/>
          <w:kern w:val="0"/>
          <w:sz w:val="24"/>
        </w:rPr>
        <w:t>1</w:t>
      </w:r>
      <w:r>
        <w:rPr>
          <w:rFonts w:hAnsi="宋体"/>
          <w:kern w:val="0"/>
          <w:sz w:val="24"/>
        </w:rPr>
        <w:t>　采用一种以废弃物为原料生产的建筑材料，其占同类建材的用量比例达到</w:t>
      </w:r>
      <w:r>
        <w:rPr>
          <w:kern w:val="0"/>
          <w:sz w:val="24"/>
        </w:rPr>
        <w:t>30%</w:t>
      </w:r>
      <w:r>
        <w:rPr>
          <w:rFonts w:hAnsi="宋体"/>
          <w:kern w:val="0"/>
          <w:sz w:val="24"/>
        </w:rPr>
        <w:t>，得</w:t>
      </w:r>
      <w:r>
        <w:rPr>
          <w:rFonts w:hint="eastAsia"/>
          <w:kern w:val="0"/>
          <w:sz w:val="24"/>
        </w:rPr>
        <w:t>3</w:t>
      </w:r>
      <w:r>
        <w:rPr>
          <w:rFonts w:hAnsi="宋体"/>
          <w:kern w:val="0"/>
          <w:sz w:val="24"/>
        </w:rPr>
        <w:t>分；达到</w:t>
      </w:r>
      <w:r>
        <w:rPr>
          <w:kern w:val="0"/>
          <w:sz w:val="24"/>
        </w:rPr>
        <w:t>50%</w:t>
      </w:r>
      <w:r>
        <w:rPr>
          <w:rFonts w:hAnsi="宋体"/>
          <w:kern w:val="0"/>
          <w:sz w:val="24"/>
        </w:rPr>
        <w:t>，得</w:t>
      </w:r>
      <w:r>
        <w:rPr>
          <w:rFonts w:hint="eastAsia"/>
          <w:kern w:val="0"/>
          <w:sz w:val="24"/>
        </w:rPr>
        <w:t>5</w:t>
      </w:r>
      <w:r>
        <w:rPr>
          <w:rFonts w:hAnsi="宋体"/>
          <w:kern w:val="0"/>
          <w:sz w:val="24"/>
        </w:rPr>
        <w:t>分；</w:t>
      </w:r>
    </w:p>
    <w:p>
      <w:pPr>
        <w:autoSpaceDE w:val="0"/>
        <w:autoSpaceDN w:val="0"/>
        <w:adjustRightInd w:val="0"/>
        <w:spacing w:line="360" w:lineRule="auto"/>
        <w:ind w:firstLine="481" w:firstLineChars="200"/>
        <w:jc w:val="left"/>
        <w:rPr>
          <w:kern w:val="0"/>
          <w:sz w:val="24"/>
        </w:rPr>
      </w:pPr>
      <w:r>
        <w:rPr>
          <w:b/>
          <w:kern w:val="0"/>
          <w:sz w:val="24"/>
        </w:rPr>
        <w:t>2</w:t>
      </w:r>
      <w:r>
        <w:rPr>
          <w:rFonts w:hAnsi="宋体"/>
          <w:kern w:val="0"/>
          <w:sz w:val="24"/>
        </w:rPr>
        <w:t>　采用两种及以上以废弃物为原料生产的建筑材料，每一种用量占同类建材的用量比例均达到</w:t>
      </w:r>
      <w:r>
        <w:rPr>
          <w:kern w:val="0"/>
          <w:sz w:val="24"/>
        </w:rPr>
        <w:t>30%</w:t>
      </w:r>
      <w:r>
        <w:rPr>
          <w:rFonts w:hAnsi="宋体"/>
          <w:kern w:val="0"/>
          <w:sz w:val="24"/>
        </w:rPr>
        <w:t>，得</w:t>
      </w:r>
      <w:r>
        <w:rPr>
          <w:rFonts w:hint="eastAsia"/>
          <w:kern w:val="0"/>
          <w:sz w:val="24"/>
        </w:rPr>
        <w:t>5</w:t>
      </w:r>
      <w:r>
        <w:rPr>
          <w:rFonts w:hAnsi="宋体"/>
          <w:kern w:val="0"/>
          <w:sz w:val="24"/>
        </w:rPr>
        <w:t>分。</w:t>
      </w:r>
    </w:p>
    <w:p>
      <w:pPr>
        <w:pStyle w:val="87"/>
        <w:spacing w:line="360" w:lineRule="auto"/>
        <w:ind w:firstLine="0" w:firstLineChars="0"/>
        <w:outlineLvl w:val="9"/>
        <w:rPr>
          <w:rFonts w:ascii="仿宋" w:hAnsi="仿宋" w:eastAsia="仿宋"/>
          <w:color w:val="FF0000"/>
        </w:rPr>
      </w:pPr>
      <w:r>
        <w:rPr>
          <w:rFonts w:ascii="仿宋" w:hAnsi="仿宋" w:eastAsia="仿宋"/>
          <w:color w:val="FF0000"/>
        </w:rPr>
        <w:t>【条文说明】与国</w:t>
      </w:r>
      <w:r>
        <w:rPr>
          <w:rFonts w:hint="eastAsia" w:ascii="仿宋" w:hAnsi="仿宋" w:eastAsia="仿宋"/>
          <w:color w:val="FF0000"/>
        </w:rPr>
        <w:t>家</w:t>
      </w:r>
      <w:r>
        <w:rPr>
          <w:rFonts w:ascii="仿宋" w:hAnsi="仿宋" w:eastAsia="仿宋"/>
          <w:color w:val="FF0000"/>
        </w:rPr>
        <w:t>标</w:t>
      </w:r>
      <w:r>
        <w:rPr>
          <w:rFonts w:hint="eastAsia" w:ascii="仿宋" w:hAnsi="仿宋" w:eastAsia="仿宋"/>
          <w:color w:val="FF0000"/>
        </w:rPr>
        <w:t>准</w:t>
      </w:r>
      <w:r>
        <w:rPr>
          <w:rFonts w:ascii="仿宋" w:hAnsi="仿宋" w:eastAsia="仿宋"/>
          <w:color w:val="FF0000"/>
        </w:rPr>
        <w:t>一致。</w:t>
      </w:r>
      <w:r>
        <w:rPr>
          <w:rFonts w:hint="eastAsia" w:ascii="仿宋" w:hAnsi="仿宋" w:eastAsia="仿宋"/>
          <w:color w:val="FF0000"/>
        </w:rPr>
        <w:t>本条中的“以废弃物为原料生产的建筑材料”是指在满足安全和使用性能的前提下，使用废弃物等作为原材料生产出的建筑材料，其中废弃物主要包括建筑废弃物、工业废料和生活废弃物。</w:t>
      </w:r>
    </w:p>
    <w:p>
      <w:pPr>
        <w:pStyle w:val="87"/>
        <w:spacing w:line="360" w:lineRule="auto"/>
        <w:ind w:firstLine="0" w:firstLineChars="0"/>
        <w:outlineLvl w:val="9"/>
        <w:rPr>
          <w:rFonts w:ascii="仿宋" w:hAnsi="仿宋" w:eastAsia="仿宋"/>
          <w:color w:val="FF0000"/>
        </w:rPr>
      </w:pPr>
      <w:r>
        <w:rPr>
          <w:rFonts w:hint="eastAsia" w:ascii="仿宋" w:hAnsi="仿宋" w:eastAsia="仿宋"/>
          <w:color w:val="FF0000"/>
        </w:rPr>
        <w:t>在满足使用性能的前提下，鼓励利用建筑废弃混凝土，生产再生骨料，制作成混凝土砌块、水泥制品或配制再生混凝土；鼓励利用工业废料、农作物秸秆、建筑垃圾、淤泥为原料制作成水泥、混凝土、墙体材料、保温材料等建筑材料；鼓励以工业副产品石膏制作成石膏制品；鼓励使用生活废弃物经处理后制成的建筑材料。</w:t>
      </w:r>
    </w:p>
    <w:p>
      <w:pPr>
        <w:pStyle w:val="87"/>
        <w:spacing w:line="360" w:lineRule="auto"/>
        <w:ind w:firstLine="0" w:firstLineChars="0"/>
        <w:outlineLvl w:val="9"/>
        <w:rPr>
          <w:rFonts w:ascii="仿宋" w:hAnsi="仿宋" w:eastAsia="仿宋"/>
          <w:color w:val="FF0000"/>
        </w:rPr>
      </w:pPr>
      <w:r>
        <w:rPr>
          <w:rFonts w:hint="eastAsia" w:ascii="仿宋" w:hAnsi="仿宋" w:eastAsia="仿宋"/>
          <w:color w:val="FF0000"/>
        </w:rPr>
        <w:t>为保证废弃物使用量达到一定比例，本条要求以废弃物为原料生产的建筑材料重量占同类建筑材料总重量的比例不小于30%。以废弃物为原料生产的建筑材料，应满足相应的国家或行业标准要求。</w:t>
      </w:r>
    </w:p>
    <w:p/>
    <w:p>
      <w:pPr>
        <w:autoSpaceDE w:val="0"/>
        <w:autoSpaceDN w:val="0"/>
        <w:adjustRightInd w:val="0"/>
        <w:spacing w:line="360" w:lineRule="auto"/>
        <w:jc w:val="left"/>
        <w:rPr>
          <w:rFonts w:hAnsi="宋体"/>
          <w:kern w:val="0"/>
          <w:sz w:val="24"/>
        </w:rPr>
      </w:pPr>
      <w:r>
        <w:rPr>
          <w:rFonts w:hint="eastAsia"/>
          <w:b/>
          <w:bCs/>
          <w:kern w:val="0"/>
          <w:sz w:val="24"/>
        </w:rPr>
        <w:t>9</w:t>
      </w:r>
      <w:r>
        <w:rPr>
          <w:b/>
          <w:bCs/>
          <w:kern w:val="0"/>
          <w:sz w:val="24"/>
        </w:rPr>
        <w:t>.2.</w:t>
      </w:r>
      <w:r>
        <w:rPr>
          <w:rFonts w:hint="eastAsia"/>
          <w:b/>
          <w:bCs/>
          <w:kern w:val="0"/>
          <w:sz w:val="24"/>
        </w:rPr>
        <w:t>15</w:t>
      </w:r>
      <w:r>
        <w:rPr>
          <w:rFonts w:hAnsi="宋体"/>
          <w:bCs/>
          <w:kern w:val="0"/>
          <w:sz w:val="24"/>
        </w:rPr>
        <w:t>　</w:t>
      </w:r>
      <w:r>
        <w:rPr>
          <w:rFonts w:hint="eastAsia" w:hAnsi="宋体"/>
          <w:kern w:val="0"/>
          <w:sz w:val="24"/>
        </w:rPr>
        <w:t>合理采用耐久性好、易维护的装饰装修建筑材料，评价总分值为5分，并按下列规则评分：</w:t>
      </w:r>
    </w:p>
    <w:p>
      <w:pPr>
        <w:autoSpaceDE w:val="0"/>
        <w:autoSpaceDN w:val="0"/>
        <w:adjustRightInd w:val="0"/>
        <w:spacing w:line="360" w:lineRule="auto"/>
        <w:ind w:firstLine="481" w:firstLineChars="200"/>
        <w:jc w:val="left"/>
        <w:rPr>
          <w:kern w:val="0"/>
          <w:sz w:val="24"/>
        </w:rPr>
      </w:pPr>
      <w:r>
        <w:rPr>
          <w:b/>
          <w:kern w:val="0"/>
          <w:sz w:val="24"/>
        </w:rPr>
        <w:t>1</w:t>
      </w:r>
      <w:r>
        <w:rPr>
          <w:rFonts w:hAnsi="宋体"/>
          <w:kern w:val="0"/>
          <w:sz w:val="24"/>
        </w:rPr>
        <w:t>　</w:t>
      </w:r>
      <w:r>
        <w:rPr>
          <w:rFonts w:hint="eastAsia" w:hAnsi="宋体"/>
          <w:kern w:val="0"/>
          <w:sz w:val="24"/>
        </w:rPr>
        <w:t>合理采用清水混凝土</w:t>
      </w:r>
      <w:r>
        <w:rPr>
          <w:rFonts w:hAnsi="宋体"/>
          <w:kern w:val="0"/>
          <w:sz w:val="24"/>
        </w:rPr>
        <w:t>，得</w:t>
      </w:r>
      <w:r>
        <w:rPr>
          <w:rFonts w:hint="eastAsia"/>
          <w:kern w:val="0"/>
          <w:sz w:val="24"/>
        </w:rPr>
        <w:t>2</w:t>
      </w:r>
      <w:r>
        <w:rPr>
          <w:rFonts w:hAnsi="宋体"/>
          <w:kern w:val="0"/>
          <w:sz w:val="24"/>
        </w:rPr>
        <w:t>分；</w:t>
      </w:r>
    </w:p>
    <w:p>
      <w:pPr>
        <w:autoSpaceDE w:val="0"/>
        <w:autoSpaceDN w:val="0"/>
        <w:adjustRightInd w:val="0"/>
        <w:spacing w:line="360" w:lineRule="auto"/>
        <w:ind w:firstLine="481" w:firstLineChars="200"/>
        <w:jc w:val="left"/>
        <w:rPr>
          <w:rFonts w:hAnsi="宋体"/>
          <w:kern w:val="0"/>
          <w:sz w:val="24"/>
        </w:rPr>
      </w:pPr>
      <w:r>
        <w:rPr>
          <w:b/>
          <w:kern w:val="0"/>
          <w:sz w:val="24"/>
        </w:rPr>
        <w:t>2</w:t>
      </w:r>
      <w:r>
        <w:rPr>
          <w:rFonts w:hAnsi="宋体"/>
          <w:kern w:val="0"/>
          <w:sz w:val="24"/>
        </w:rPr>
        <w:t>　</w:t>
      </w:r>
      <w:r>
        <w:rPr>
          <w:rFonts w:hint="eastAsia" w:hAnsi="宋体"/>
          <w:kern w:val="0"/>
          <w:sz w:val="24"/>
        </w:rPr>
        <w:t>采用耐久性好、易维护的外立面材料</w:t>
      </w:r>
      <w:r>
        <w:rPr>
          <w:rFonts w:hAnsi="宋体"/>
          <w:kern w:val="0"/>
          <w:sz w:val="24"/>
        </w:rPr>
        <w:t>，得</w:t>
      </w:r>
      <w:r>
        <w:rPr>
          <w:rFonts w:hint="eastAsia"/>
          <w:kern w:val="0"/>
          <w:sz w:val="24"/>
        </w:rPr>
        <w:t>2</w:t>
      </w:r>
      <w:r>
        <w:rPr>
          <w:rFonts w:hAnsi="宋体"/>
          <w:kern w:val="0"/>
          <w:sz w:val="24"/>
        </w:rPr>
        <w:t>分</w:t>
      </w:r>
      <w:r>
        <w:rPr>
          <w:rFonts w:hint="eastAsia" w:hAnsi="宋体"/>
          <w:kern w:val="0"/>
          <w:sz w:val="24"/>
        </w:rPr>
        <w:t>；</w:t>
      </w:r>
    </w:p>
    <w:p>
      <w:pPr>
        <w:autoSpaceDE w:val="0"/>
        <w:autoSpaceDN w:val="0"/>
        <w:adjustRightInd w:val="0"/>
        <w:spacing w:line="360" w:lineRule="auto"/>
        <w:ind w:firstLine="481" w:firstLineChars="200"/>
        <w:jc w:val="left"/>
        <w:rPr>
          <w:rFonts w:hAnsi="宋体"/>
          <w:kern w:val="0"/>
          <w:sz w:val="24"/>
        </w:rPr>
      </w:pPr>
      <w:r>
        <w:rPr>
          <w:rFonts w:hint="eastAsia"/>
          <w:b/>
          <w:kern w:val="0"/>
          <w:sz w:val="24"/>
        </w:rPr>
        <w:t>3</w:t>
      </w:r>
      <w:r>
        <w:rPr>
          <w:rFonts w:hAnsi="宋体"/>
          <w:kern w:val="0"/>
          <w:sz w:val="24"/>
        </w:rPr>
        <w:t>　</w:t>
      </w:r>
      <w:r>
        <w:rPr>
          <w:rFonts w:hint="eastAsia" w:hAnsi="宋体"/>
          <w:kern w:val="0"/>
          <w:sz w:val="24"/>
        </w:rPr>
        <w:t>采用耐久性好、易维护的室内装饰装修材料</w:t>
      </w:r>
      <w:r>
        <w:rPr>
          <w:rFonts w:hAnsi="宋体"/>
          <w:kern w:val="0"/>
          <w:sz w:val="24"/>
        </w:rPr>
        <w:t>，得</w:t>
      </w:r>
      <w:r>
        <w:rPr>
          <w:rFonts w:hint="eastAsia"/>
          <w:kern w:val="0"/>
          <w:sz w:val="24"/>
        </w:rPr>
        <w:t>1</w:t>
      </w:r>
      <w:r>
        <w:rPr>
          <w:rFonts w:hAnsi="宋体"/>
          <w:kern w:val="0"/>
          <w:sz w:val="24"/>
        </w:rPr>
        <w:t>分</w:t>
      </w:r>
      <w:r>
        <w:rPr>
          <w:rFonts w:hint="eastAsia" w:hAnsi="宋体"/>
          <w:kern w:val="0"/>
          <w:sz w:val="24"/>
        </w:rPr>
        <w:t>。</w:t>
      </w:r>
    </w:p>
    <w:p>
      <w:pPr>
        <w:pStyle w:val="87"/>
        <w:spacing w:line="360" w:lineRule="auto"/>
        <w:ind w:firstLine="0" w:firstLineChars="0"/>
        <w:outlineLvl w:val="9"/>
        <w:rPr>
          <w:rFonts w:ascii="仿宋" w:hAnsi="仿宋" w:eastAsia="仿宋"/>
          <w:color w:val="FF0000"/>
        </w:rPr>
      </w:pPr>
      <w:r>
        <w:rPr>
          <w:rFonts w:ascii="仿宋" w:hAnsi="仿宋" w:eastAsia="仿宋"/>
          <w:color w:val="FF0000"/>
        </w:rPr>
        <w:t>【条文说明】与国</w:t>
      </w:r>
      <w:r>
        <w:rPr>
          <w:rFonts w:hint="eastAsia" w:ascii="仿宋" w:hAnsi="仿宋" w:eastAsia="仿宋"/>
          <w:color w:val="FF0000"/>
        </w:rPr>
        <w:t>家</w:t>
      </w:r>
      <w:r>
        <w:rPr>
          <w:rFonts w:ascii="仿宋" w:hAnsi="仿宋" w:eastAsia="仿宋"/>
          <w:color w:val="FF0000"/>
        </w:rPr>
        <w:t>标</w:t>
      </w:r>
      <w:r>
        <w:rPr>
          <w:rFonts w:hint="eastAsia" w:ascii="仿宋" w:hAnsi="仿宋" w:eastAsia="仿宋"/>
          <w:color w:val="FF0000"/>
        </w:rPr>
        <w:t>准</w:t>
      </w:r>
      <w:r>
        <w:rPr>
          <w:rFonts w:ascii="仿宋" w:hAnsi="仿宋" w:eastAsia="仿宋"/>
          <w:color w:val="FF0000"/>
        </w:rPr>
        <w:t>一致。</w:t>
      </w:r>
      <w:r>
        <w:rPr>
          <w:rFonts w:hint="eastAsia" w:ascii="仿宋" w:hAnsi="仿宋" w:eastAsia="仿宋"/>
          <w:color w:val="FF0000"/>
        </w:rPr>
        <w:t>为了保持建筑物的风格、视觉效果和人居环境，装饰装修材料在一定使用年限后会进行更新替换。如果使用易玷污、难维护及耐久性差的装饰装修材料，则会在一定程度上增加建筑物的维护成本，且施工也会带来有毒有害物质的排放、粉尘及噪声等问题。使用清水混凝土可减少装饰装修材料用量。</w:t>
      </w:r>
    </w:p>
    <w:p>
      <w:pPr>
        <w:pStyle w:val="87"/>
        <w:spacing w:line="360" w:lineRule="auto"/>
        <w:ind w:firstLine="0" w:firstLineChars="0"/>
        <w:outlineLvl w:val="9"/>
        <w:rPr>
          <w:rFonts w:ascii="仿宋" w:hAnsi="仿宋" w:eastAsia="仿宋"/>
          <w:color w:val="FF0000"/>
        </w:rPr>
      </w:pPr>
      <w:r>
        <w:rPr>
          <w:rFonts w:hint="eastAsia" w:ascii="仿宋" w:hAnsi="仿宋" w:eastAsia="仿宋"/>
          <w:color w:val="FF0000"/>
        </w:rPr>
        <w:t>如果内外墙等主要外露部位没有采用混凝土，则第1款不参评。如果内外墙等主要外露部位采用了其他简洁装饰方式，其技术经济效果类似于清水混凝土，且附详细的书面分析说明，第1款也可得分。</w:t>
      </w:r>
    </w:p>
    <w:p/>
    <w:p>
      <w:pPr>
        <w:autoSpaceDE w:val="0"/>
        <w:autoSpaceDN w:val="0"/>
        <w:adjustRightInd w:val="0"/>
        <w:spacing w:line="360" w:lineRule="auto"/>
        <w:jc w:val="left"/>
        <w:rPr>
          <w:rFonts w:hAnsi="宋体"/>
          <w:kern w:val="0"/>
          <w:sz w:val="24"/>
        </w:rPr>
      </w:pPr>
      <w:r>
        <w:rPr>
          <w:rFonts w:hint="eastAsia"/>
          <w:b/>
          <w:bCs/>
          <w:kern w:val="0"/>
          <w:sz w:val="24"/>
        </w:rPr>
        <w:t>9</w:t>
      </w:r>
      <w:r>
        <w:rPr>
          <w:b/>
          <w:bCs/>
          <w:kern w:val="0"/>
          <w:sz w:val="24"/>
        </w:rPr>
        <w:t>.2.</w:t>
      </w:r>
      <w:r>
        <w:rPr>
          <w:rFonts w:hint="eastAsia"/>
          <w:b/>
          <w:bCs/>
          <w:kern w:val="0"/>
          <w:sz w:val="24"/>
        </w:rPr>
        <w:t>16</w:t>
      </w:r>
      <w:r>
        <w:rPr>
          <w:rFonts w:hAnsi="宋体"/>
          <w:bCs/>
          <w:kern w:val="0"/>
          <w:sz w:val="24"/>
        </w:rPr>
        <w:t>　</w:t>
      </w:r>
      <w:r>
        <w:rPr>
          <w:rFonts w:hint="eastAsia" w:hAnsi="宋体"/>
          <w:bCs/>
          <w:kern w:val="0"/>
          <w:sz w:val="24"/>
        </w:rPr>
        <w:t>在满足使用功能和安全的前提下，合理使用绿色再生建材</w:t>
      </w:r>
      <w:r>
        <w:rPr>
          <w:rFonts w:hint="eastAsia" w:hAnsi="宋体"/>
          <w:kern w:val="0"/>
          <w:sz w:val="24"/>
        </w:rPr>
        <w:t>，评价总分值为5分，并按下列规则评分：</w:t>
      </w:r>
    </w:p>
    <w:p>
      <w:pPr>
        <w:autoSpaceDE w:val="0"/>
        <w:autoSpaceDN w:val="0"/>
        <w:adjustRightInd w:val="0"/>
        <w:spacing w:line="360" w:lineRule="auto"/>
        <w:ind w:firstLine="481" w:firstLineChars="200"/>
        <w:jc w:val="left"/>
        <w:rPr>
          <w:kern w:val="0"/>
          <w:sz w:val="24"/>
        </w:rPr>
      </w:pPr>
      <w:r>
        <w:rPr>
          <w:b/>
          <w:kern w:val="0"/>
          <w:sz w:val="24"/>
        </w:rPr>
        <w:t>1</w:t>
      </w:r>
      <w:r>
        <w:rPr>
          <w:rFonts w:hAnsi="宋体"/>
          <w:kern w:val="0"/>
          <w:sz w:val="24"/>
        </w:rPr>
        <w:t>　</w:t>
      </w:r>
      <w:r>
        <w:rPr>
          <w:rFonts w:hint="eastAsia" w:hAnsi="宋体"/>
          <w:kern w:val="0"/>
          <w:sz w:val="24"/>
        </w:rPr>
        <w:t>建筑物的基础垫层、围墙、管井、管沟、挡土坡以及市政道路的路基垫层等指定工程部位中的3种以上使用再生建材</w:t>
      </w:r>
      <w:r>
        <w:rPr>
          <w:rFonts w:hAnsi="宋体"/>
          <w:kern w:val="0"/>
          <w:sz w:val="24"/>
        </w:rPr>
        <w:t>，得</w:t>
      </w:r>
      <w:r>
        <w:rPr>
          <w:rFonts w:hint="eastAsia"/>
          <w:kern w:val="0"/>
          <w:sz w:val="24"/>
        </w:rPr>
        <w:t>3</w:t>
      </w:r>
      <w:r>
        <w:rPr>
          <w:rFonts w:hAnsi="宋体"/>
          <w:kern w:val="0"/>
          <w:sz w:val="24"/>
        </w:rPr>
        <w:t>分；</w:t>
      </w:r>
    </w:p>
    <w:p>
      <w:pPr>
        <w:autoSpaceDE w:val="0"/>
        <w:autoSpaceDN w:val="0"/>
        <w:adjustRightInd w:val="0"/>
        <w:spacing w:line="360" w:lineRule="auto"/>
        <w:ind w:firstLine="481" w:firstLineChars="200"/>
        <w:jc w:val="left"/>
        <w:rPr>
          <w:rFonts w:hAnsi="宋体"/>
          <w:kern w:val="0"/>
          <w:sz w:val="24"/>
        </w:rPr>
      </w:pPr>
      <w:r>
        <w:rPr>
          <w:b/>
          <w:kern w:val="0"/>
          <w:sz w:val="24"/>
        </w:rPr>
        <w:t>2</w:t>
      </w:r>
      <w:r>
        <w:rPr>
          <w:rFonts w:hAnsi="宋体"/>
          <w:kern w:val="0"/>
          <w:sz w:val="24"/>
        </w:rPr>
        <w:t>　</w:t>
      </w:r>
      <w:r>
        <w:rPr>
          <w:rFonts w:hint="eastAsia" w:hAnsi="宋体"/>
          <w:kern w:val="0"/>
          <w:sz w:val="24"/>
        </w:rPr>
        <w:t>新建道路的非机动车道、地面停车场等使用透水性绿色再生建材</w:t>
      </w:r>
      <w:r>
        <w:rPr>
          <w:rFonts w:hAnsi="宋体"/>
          <w:kern w:val="0"/>
          <w:sz w:val="24"/>
        </w:rPr>
        <w:t>，得</w:t>
      </w:r>
      <w:r>
        <w:rPr>
          <w:rFonts w:hint="eastAsia"/>
          <w:kern w:val="0"/>
          <w:sz w:val="24"/>
        </w:rPr>
        <w:t>2</w:t>
      </w:r>
      <w:r>
        <w:rPr>
          <w:rFonts w:hAnsi="宋体"/>
          <w:kern w:val="0"/>
          <w:sz w:val="24"/>
        </w:rPr>
        <w:t>分</w:t>
      </w:r>
      <w:r>
        <w:rPr>
          <w:rFonts w:hint="eastAsia" w:hAnsi="宋体"/>
          <w:kern w:val="0"/>
          <w:sz w:val="24"/>
        </w:rPr>
        <w:t>。</w:t>
      </w:r>
    </w:p>
    <w:p>
      <w:pPr>
        <w:pStyle w:val="87"/>
        <w:spacing w:line="360" w:lineRule="auto"/>
        <w:ind w:firstLine="0" w:firstLineChars="0"/>
        <w:outlineLvl w:val="9"/>
        <w:rPr>
          <w:rFonts w:ascii="仿宋" w:hAnsi="仿宋" w:eastAsia="仿宋"/>
          <w:color w:val="FF0000"/>
        </w:rPr>
      </w:pPr>
      <w:r>
        <w:rPr>
          <w:rFonts w:ascii="仿宋" w:hAnsi="仿宋" w:eastAsia="仿宋"/>
          <w:color w:val="FF0000"/>
        </w:rPr>
        <w:t>【条文说明】</w:t>
      </w:r>
      <w:r>
        <w:rPr>
          <w:rFonts w:hint="eastAsia" w:ascii="仿宋" w:hAnsi="仿宋" w:eastAsia="仿宋"/>
          <w:color w:val="FF0000"/>
        </w:rPr>
        <w:t>新增条文，根据《深圳市建筑废弃物减排与利用条例》要求，鼓励使用绿色再生建材</w:t>
      </w:r>
      <w:r>
        <w:rPr>
          <w:rFonts w:ascii="仿宋" w:hAnsi="仿宋" w:eastAsia="仿宋"/>
          <w:color w:val="FF0000"/>
        </w:rPr>
        <w:t>。</w:t>
      </w:r>
    </w:p>
    <w:p>
      <w:pPr>
        <w:rPr>
          <w:rFonts w:hint="eastAsia"/>
        </w:rPr>
      </w:pPr>
    </w:p>
    <w:p>
      <w:pPr>
        <w:autoSpaceDE w:val="0"/>
        <w:autoSpaceDN w:val="0"/>
        <w:adjustRightInd w:val="0"/>
        <w:spacing w:line="360" w:lineRule="auto"/>
        <w:jc w:val="left"/>
        <w:rPr>
          <w:rFonts w:hint="eastAsia"/>
        </w:rPr>
      </w:pPr>
      <w:r>
        <w:rPr>
          <w:rFonts w:hint="eastAsia"/>
          <w:bCs/>
          <w:kern w:val="0"/>
          <w:sz w:val="24"/>
        </w:rPr>
        <w:t>9.2.17　采用通过认证的绿色建材。评价总分值为5分。选用一种绿色建材产品，得2分；采用两种及以上绿色建材产品，得5分。</w:t>
      </w:r>
    </w:p>
    <w:p>
      <w:pPr>
        <w:pStyle w:val="87"/>
        <w:spacing w:line="360" w:lineRule="auto"/>
        <w:ind w:firstLine="0" w:firstLineChars="0"/>
        <w:outlineLvl w:val="9"/>
        <w:rPr>
          <w:rFonts w:hint="eastAsia" w:ascii="仿宋" w:hAnsi="仿宋" w:eastAsia="仿宋"/>
          <w:color w:val="FF0000"/>
        </w:rPr>
      </w:pPr>
      <w:r>
        <w:rPr>
          <w:rFonts w:ascii="仿宋" w:hAnsi="仿宋" w:eastAsia="仿宋"/>
          <w:color w:val="FF0000"/>
        </w:rPr>
        <w:t>【条文说明】</w:t>
      </w:r>
      <w:r>
        <w:rPr>
          <w:rFonts w:hint="eastAsia" w:ascii="仿宋" w:hAnsi="仿宋" w:eastAsia="仿宋"/>
          <w:color w:val="FF0000"/>
        </w:rPr>
        <w:t>新增条文。本条文鼓励采用通过认证的绿色建材产品，不涉及具体的应用数量和应用等级。</w:t>
      </w:r>
    </w:p>
    <w:p>
      <w:pPr>
        <w:pStyle w:val="87"/>
        <w:spacing w:line="360" w:lineRule="auto"/>
        <w:ind w:firstLine="0" w:firstLineChars="0"/>
        <w:outlineLvl w:val="9"/>
        <w:rPr>
          <w:rFonts w:hint="eastAsia" w:ascii="仿宋" w:hAnsi="仿宋" w:eastAsia="仿宋"/>
          <w:color w:val="FF0000"/>
        </w:rPr>
      </w:pPr>
      <w:r>
        <w:rPr>
          <w:rFonts w:hint="eastAsia" w:ascii="仿宋" w:hAnsi="仿宋" w:eastAsia="仿宋"/>
          <w:color w:val="FF0000"/>
        </w:rPr>
        <w:t>绿色建材是指在全生命周期内可减少对天然资源消耗和减轻对生态环境影响，具有“节能、减排、安全、便利和可循环”特征的建材产品。2015年住房城乡建设部、工业和信息化部联合发布了《促进绿色建材生产和应用行动方案》（工信部联原〔2015〕309号）、《绿色建材评价标识管理办法实施细则》和《绿色建材评价技术导则（试行）》（建科〔2015〕162号）等，并对砌体材料、保温材料、预拌混凝土、建筑节能玻璃、陶瓷砖、卫生陶瓷和预拌砂浆等7类建材产品进行评价，绿色建材产品等级划分为一星级、二星级和三星级。</w:t>
      </w:r>
    </w:p>
    <w:p>
      <w:pPr>
        <w:pStyle w:val="87"/>
        <w:spacing w:line="360" w:lineRule="auto"/>
        <w:ind w:firstLine="0" w:firstLineChars="0"/>
        <w:outlineLvl w:val="9"/>
      </w:pPr>
    </w:p>
    <w:p>
      <w:pPr>
        <w:pStyle w:val="2"/>
        <w:spacing w:before="240" w:after="240" w:line="360" w:lineRule="auto"/>
        <w:jc w:val="center"/>
        <w:rPr>
          <w:rFonts w:eastAsia="黑体"/>
          <w:sz w:val="28"/>
          <w:szCs w:val="24"/>
        </w:rPr>
      </w:pPr>
      <w:r>
        <w:rPr>
          <w:rFonts w:eastAsia="黑体"/>
          <w:sz w:val="28"/>
          <w:szCs w:val="24"/>
        </w:rPr>
        <w:br w:type="page"/>
      </w:r>
      <w:bookmarkStart w:id="107" w:name="_Toc449111682"/>
      <w:r>
        <w:rPr>
          <w:rFonts w:eastAsia="黑体"/>
          <w:sz w:val="28"/>
          <w:szCs w:val="24"/>
        </w:rPr>
        <w:t xml:space="preserve">10 </w:t>
      </w:r>
      <w:r>
        <w:rPr>
          <w:rFonts w:hint="eastAsia" w:eastAsia="黑体"/>
          <w:sz w:val="28"/>
          <w:szCs w:val="24"/>
        </w:rPr>
        <w:t>室内环境质量</w:t>
      </w:r>
      <w:bookmarkEnd w:id="107"/>
    </w:p>
    <w:p>
      <w:pPr>
        <w:pStyle w:val="3"/>
        <w:numPr>
          <w:ilvl w:val="0"/>
          <w:numId w:val="0"/>
        </w:numPr>
        <w:spacing w:before="120" w:after="120" w:line="240" w:lineRule="auto"/>
        <w:ind w:left="482" w:hanging="481" w:hangingChars="200"/>
        <w:jc w:val="center"/>
        <w:rPr>
          <w:rFonts w:ascii="Times New Roman" w:hAnsi="Times New Roman"/>
        </w:rPr>
      </w:pPr>
      <w:bookmarkStart w:id="108" w:name="_Toc449111683"/>
      <w:r>
        <w:rPr>
          <w:rFonts w:ascii="Times New Roman" w:hAnsi="Times New Roman"/>
        </w:rPr>
        <w:t xml:space="preserve">10.1 </w:t>
      </w:r>
      <w:r>
        <w:rPr>
          <w:rFonts w:hint="eastAsia" w:ascii="Times New Roman" w:hAnsi="Times New Roman"/>
        </w:rPr>
        <w:t>控制项</w:t>
      </w:r>
      <w:bookmarkEnd w:id="108"/>
    </w:p>
    <w:p>
      <w:pPr>
        <w:snapToGrid w:val="0"/>
        <w:spacing w:line="360" w:lineRule="auto"/>
        <w:rPr>
          <w:rFonts w:hAnsi="宋体"/>
          <w:sz w:val="24"/>
        </w:rPr>
      </w:pPr>
      <w:r>
        <w:rPr>
          <w:rFonts w:hint="eastAsia"/>
          <w:b/>
          <w:sz w:val="24"/>
        </w:rPr>
        <w:t>10</w:t>
      </w:r>
      <w:r>
        <w:rPr>
          <w:b/>
          <w:sz w:val="24"/>
        </w:rPr>
        <w:t>.1.</w:t>
      </w:r>
      <w:r>
        <w:rPr>
          <w:rFonts w:hint="eastAsia"/>
          <w:b/>
          <w:sz w:val="24"/>
        </w:rPr>
        <w:t>1</w:t>
      </w:r>
      <w:r>
        <w:rPr>
          <w:rFonts w:hAnsi="宋体"/>
          <w:sz w:val="24"/>
        </w:rPr>
        <w:t>　采用集中供暖空调系统的建筑，</w:t>
      </w:r>
      <w:r>
        <w:rPr>
          <w:rFonts w:hint="eastAsia" w:hAnsi="宋体"/>
          <w:sz w:val="24"/>
        </w:rPr>
        <w:t>新风量</w:t>
      </w:r>
      <w:r>
        <w:rPr>
          <w:rFonts w:hAnsi="宋体"/>
          <w:sz w:val="24"/>
        </w:rPr>
        <w:t>应符合现行国家标准《民用建筑供暖通风与空气调节设计规范》</w:t>
      </w:r>
      <w:r>
        <w:rPr>
          <w:sz w:val="24"/>
        </w:rPr>
        <w:t>GB 50736</w:t>
      </w:r>
      <w:r>
        <w:rPr>
          <w:rFonts w:hAnsi="宋体"/>
          <w:sz w:val="24"/>
        </w:rPr>
        <w:t>的规定。</w:t>
      </w:r>
    </w:p>
    <w:p>
      <w:pPr>
        <w:pStyle w:val="87"/>
        <w:spacing w:line="360" w:lineRule="auto"/>
        <w:ind w:firstLine="0" w:firstLineChars="0"/>
        <w:outlineLvl w:val="9"/>
        <w:rPr>
          <w:rFonts w:ascii="仿宋" w:hAnsi="仿宋" w:eastAsia="仿宋"/>
          <w:color w:val="FF0000"/>
        </w:rPr>
      </w:pPr>
      <w:r>
        <w:rPr>
          <w:rFonts w:ascii="仿宋" w:hAnsi="仿宋" w:eastAsia="仿宋"/>
          <w:color w:val="FF0000"/>
        </w:rPr>
        <w:t>【条文说明】与国标</w:t>
      </w:r>
      <w:r>
        <w:rPr>
          <w:rFonts w:hint="eastAsia" w:ascii="仿宋" w:hAnsi="仿宋" w:eastAsia="仿宋"/>
          <w:color w:val="FF0000"/>
        </w:rPr>
        <w:t>基本</w:t>
      </w:r>
      <w:r>
        <w:rPr>
          <w:rFonts w:ascii="仿宋" w:hAnsi="仿宋" w:eastAsia="仿宋"/>
          <w:color w:val="FF0000"/>
        </w:rPr>
        <w:t>一致</w:t>
      </w:r>
      <w:r>
        <w:rPr>
          <w:rFonts w:hint="eastAsia" w:ascii="仿宋" w:hAnsi="仿宋" w:eastAsia="仿宋"/>
          <w:color w:val="FF0000"/>
        </w:rPr>
        <w:t>，删去温湿度的要求，由于《公共建筑节能设计标准》GB50189-2015、《夏热冬暖地区居住建筑节能设计标准》JGJ75-2012均没有对室内温度湿度提出相关要求。由于新风量对室内热环境的质量有直接影响，国外绿色建筑评价标准均有新风量的强制要求，此条将新风量作为绿色建筑的控制项。</w:t>
      </w:r>
    </w:p>
    <w:p>
      <w:pPr>
        <w:snapToGrid w:val="0"/>
        <w:spacing w:line="360" w:lineRule="auto"/>
        <w:rPr>
          <w:rFonts w:hAnsi="宋体"/>
          <w:sz w:val="24"/>
        </w:rPr>
      </w:pPr>
    </w:p>
    <w:p>
      <w:pPr>
        <w:snapToGrid w:val="0"/>
        <w:spacing w:line="360" w:lineRule="auto"/>
        <w:rPr>
          <w:rFonts w:hAnsi="宋体"/>
          <w:sz w:val="24"/>
        </w:rPr>
      </w:pPr>
      <w:r>
        <w:rPr>
          <w:rFonts w:hint="eastAsia"/>
          <w:b/>
          <w:sz w:val="24"/>
        </w:rPr>
        <w:t>10</w:t>
      </w:r>
      <w:r>
        <w:rPr>
          <w:b/>
          <w:sz w:val="24"/>
        </w:rPr>
        <w:t>.1.</w:t>
      </w:r>
      <w:r>
        <w:rPr>
          <w:rFonts w:hint="eastAsia"/>
          <w:b/>
          <w:sz w:val="24"/>
        </w:rPr>
        <w:t>2</w:t>
      </w:r>
      <w:r>
        <w:rPr>
          <w:rFonts w:hAnsi="宋体"/>
          <w:sz w:val="24"/>
        </w:rPr>
        <w:t>　</w:t>
      </w:r>
      <w:r>
        <w:rPr>
          <w:rFonts w:hint="eastAsia" w:hAnsi="宋体"/>
          <w:sz w:val="24"/>
        </w:rPr>
        <w:t>屋顶和东、西外墙隔热性能应满足现行国家和深圳市相关标准的要求</w:t>
      </w:r>
      <w:r>
        <w:rPr>
          <w:rFonts w:hAnsi="宋体"/>
          <w:sz w:val="24"/>
        </w:rPr>
        <w:t>。</w:t>
      </w:r>
    </w:p>
    <w:p>
      <w:pPr>
        <w:pStyle w:val="87"/>
        <w:spacing w:line="360" w:lineRule="auto"/>
        <w:ind w:firstLine="0" w:firstLineChars="0"/>
        <w:outlineLvl w:val="9"/>
        <w:rPr>
          <w:rFonts w:ascii="仿宋" w:hAnsi="仿宋" w:eastAsia="仿宋"/>
          <w:color w:val="FF0000"/>
        </w:rPr>
      </w:pPr>
      <w:r>
        <w:rPr>
          <w:rFonts w:ascii="仿宋" w:hAnsi="仿宋" w:eastAsia="仿宋"/>
          <w:color w:val="FF0000"/>
        </w:rPr>
        <w:t>【条文说明】与国标</w:t>
      </w:r>
      <w:r>
        <w:rPr>
          <w:rFonts w:hint="eastAsia" w:ascii="仿宋" w:hAnsi="仿宋" w:eastAsia="仿宋"/>
          <w:color w:val="FF0000"/>
        </w:rPr>
        <w:t>基本</w:t>
      </w:r>
      <w:r>
        <w:rPr>
          <w:rFonts w:ascii="仿宋" w:hAnsi="仿宋" w:eastAsia="仿宋"/>
          <w:color w:val="FF0000"/>
        </w:rPr>
        <w:t>一致</w:t>
      </w:r>
      <w:r>
        <w:rPr>
          <w:rFonts w:hint="eastAsia" w:ascii="仿宋" w:hAnsi="仿宋" w:eastAsia="仿宋"/>
          <w:color w:val="FF0000"/>
        </w:rPr>
        <w:t>，考虑到《民用建筑热工设计规范》（报批稿）还未正式发布实施，《深圳市居住建筑节能设计标准实施细则》SJG15-2005和《深圳市公共建筑节能设计标准》SZJG29-2009、《夏热冬暖地区居住建筑节能设计标准》JGJ75-2012明确要求，D＜2.5的轻质屋顶和东、西外墙隔热性能按照《民用建筑热工设计规范》（报批稿）进行判断，对于D＞2.5的屋顶和东、西外墙直接判断满足隔热性能要求。本条文与现有的建筑节能设计要求一致。</w:t>
      </w:r>
    </w:p>
    <w:p>
      <w:pPr>
        <w:snapToGrid w:val="0"/>
        <w:spacing w:line="360" w:lineRule="auto"/>
        <w:rPr>
          <w:sz w:val="24"/>
        </w:rPr>
      </w:pPr>
    </w:p>
    <w:p>
      <w:pPr>
        <w:snapToGrid w:val="0"/>
        <w:spacing w:line="360" w:lineRule="auto"/>
        <w:rPr>
          <w:rFonts w:hAnsi="宋体"/>
          <w:sz w:val="24"/>
        </w:rPr>
      </w:pPr>
      <w:r>
        <w:rPr>
          <w:rFonts w:hint="eastAsia"/>
          <w:b/>
          <w:sz w:val="24"/>
        </w:rPr>
        <w:t>10</w:t>
      </w:r>
      <w:r>
        <w:rPr>
          <w:b/>
          <w:sz w:val="24"/>
        </w:rPr>
        <w:t>.1.</w:t>
      </w:r>
      <w:r>
        <w:rPr>
          <w:rFonts w:hint="eastAsia"/>
          <w:b/>
          <w:sz w:val="24"/>
        </w:rPr>
        <w:t>3</w:t>
      </w:r>
      <w:r>
        <w:rPr>
          <w:rFonts w:hAnsi="宋体"/>
          <w:sz w:val="24"/>
        </w:rPr>
        <w:t>　主要功能房间的室内</w:t>
      </w:r>
      <w:r>
        <w:rPr>
          <w:rFonts w:hint="eastAsia" w:hAnsi="宋体"/>
          <w:sz w:val="24"/>
        </w:rPr>
        <w:t>允许</w:t>
      </w:r>
      <w:r>
        <w:rPr>
          <w:rFonts w:hAnsi="宋体"/>
          <w:sz w:val="24"/>
        </w:rPr>
        <w:t>噪声级</w:t>
      </w:r>
      <w:r>
        <w:rPr>
          <w:rFonts w:hint="eastAsia" w:hAnsi="宋体"/>
          <w:sz w:val="24"/>
        </w:rPr>
        <w:t>和隔声标准</w:t>
      </w:r>
      <w:r>
        <w:rPr>
          <w:rFonts w:hAnsi="宋体"/>
          <w:sz w:val="24"/>
        </w:rPr>
        <w:t>应满足现行国家标准《民用建筑隔声设计规范》</w:t>
      </w:r>
      <w:r>
        <w:rPr>
          <w:sz w:val="24"/>
        </w:rPr>
        <w:t>GB 50118</w:t>
      </w:r>
      <w:r>
        <w:rPr>
          <w:rFonts w:hAnsi="宋体"/>
          <w:sz w:val="24"/>
        </w:rPr>
        <w:t>中的低限要求。</w:t>
      </w:r>
    </w:p>
    <w:p>
      <w:pPr>
        <w:pStyle w:val="87"/>
        <w:spacing w:line="360" w:lineRule="auto"/>
        <w:ind w:firstLine="0" w:firstLineChars="0"/>
        <w:outlineLvl w:val="9"/>
        <w:rPr>
          <w:rFonts w:ascii="仿宋" w:hAnsi="仿宋" w:eastAsia="仿宋"/>
          <w:color w:val="FF0000"/>
        </w:rPr>
      </w:pPr>
      <w:r>
        <w:rPr>
          <w:rFonts w:ascii="仿宋" w:hAnsi="仿宋" w:eastAsia="仿宋"/>
          <w:color w:val="FF0000"/>
        </w:rPr>
        <w:t>【条文说明】与国标</w:t>
      </w:r>
      <w:r>
        <w:rPr>
          <w:rFonts w:hint="eastAsia" w:ascii="仿宋" w:hAnsi="仿宋" w:eastAsia="仿宋"/>
          <w:color w:val="FF0000"/>
        </w:rPr>
        <w:t>基本</w:t>
      </w:r>
      <w:r>
        <w:rPr>
          <w:rFonts w:ascii="仿宋" w:hAnsi="仿宋" w:eastAsia="仿宋"/>
          <w:color w:val="FF0000"/>
        </w:rPr>
        <w:t>一致</w:t>
      </w:r>
      <w:r>
        <w:rPr>
          <w:rFonts w:hint="eastAsia" w:ascii="仿宋" w:hAnsi="仿宋" w:eastAsia="仿宋"/>
          <w:color w:val="FF0000"/>
        </w:rPr>
        <w:t>，根据现行国家标准《民用建筑隔声设计规范》GB50118-2010中的规定，对于标准没有涉及到的建筑类型，可参照近似功能类型的要求进行评价。对于公共建筑如办公建筑中的大空间、开放办公空间等的室内允许噪声等级和围护结构隔声性能没有明确要求的空间，此项不参评。本条对于精装修建筑，施工图中应明确楼板构造做法，同时提供计算报告；对于毛坯交房建筑，应在施工图中为业主提供可选的装修做法，并在购房合同中予以告知。</w:t>
      </w:r>
    </w:p>
    <w:p>
      <w:pPr>
        <w:snapToGrid w:val="0"/>
        <w:spacing w:line="360" w:lineRule="auto"/>
        <w:rPr>
          <w:rFonts w:hAnsi="宋体"/>
          <w:sz w:val="24"/>
        </w:rPr>
      </w:pPr>
    </w:p>
    <w:p>
      <w:pPr>
        <w:snapToGrid w:val="0"/>
        <w:spacing w:line="360" w:lineRule="auto"/>
        <w:rPr>
          <w:rFonts w:hAnsi="宋体"/>
          <w:sz w:val="24"/>
        </w:rPr>
      </w:pPr>
      <w:r>
        <w:rPr>
          <w:rFonts w:hint="eastAsia"/>
          <w:b/>
          <w:sz w:val="24"/>
        </w:rPr>
        <w:t>10</w:t>
      </w:r>
      <w:r>
        <w:rPr>
          <w:b/>
          <w:sz w:val="24"/>
        </w:rPr>
        <w:t>.1.</w:t>
      </w:r>
      <w:r>
        <w:rPr>
          <w:rFonts w:hint="eastAsia"/>
          <w:b/>
          <w:sz w:val="24"/>
        </w:rPr>
        <w:t>4</w:t>
      </w:r>
      <w:r>
        <w:rPr>
          <w:rFonts w:hAnsi="宋体"/>
          <w:sz w:val="24"/>
        </w:rPr>
        <w:t>　公共建筑的控制吸烟工作应符合现行《</w:t>
      </w:r>
      <w:r>
        <w:rPr>
          <w:rFonts w:hint="eastAsia" w:hAnsi="宋体"/>
          <w:sz w:val="24"/>
        </w:rPr>
        <w:t>深圳经济特区控制吸烟条例</w:t>
      </w:r>
      <w:r>
        <w:rPr>
          <w:rFonts w:hAnsi="宋体"/>
          <w:sz w:val="24"/>
        </w:rPr>
        <w:t>》的有关规定。</w:t>
      </w:r>
    </w:p>
    <w:p>
      <w:pPr>
        <w:pStyle w:val="87"/>
        <w:spacing w:line="360" w:lineRule="auto"/>
        <w:ind w:firstLine="0" w:firstLineChars="0"/>
        <w:outlineLvl w:val="9"/>
        <w:rPr>
          <w:rFonts w:ascii="仿宋" w:hAnsi="仿宋" w:eastAsia="仿宋"/>
          <w:color w:val="FF0000"/>
        </w:rPr>
      </w:pPr>
      <w:r>
        <w:rPr>
          <w:rFonts w:ascii="仿宋" w:hAnsi="仿宋" w:eastAsia="仿宋"/>
          <w:color w:val="FF0000"/>
        </w:rPr>
        <w:t>【条文说明】</w:t>
      </w:r>
      <w:r>
        <w:rPr>
          <w:rFonts w:hint="eastAsia" w:ascii="仿宋" w:hAnsi="仿宋" w:eastAsia="仿宋"/>
          <w:color w:val="FF0000"/>
        </w:rPr>
        <w:t>《深圳经济特区控制吸烟条例》（1998年8月28日深圳市第二届人民代表大会常务委员会第二十五次会议通过 2013年10月29日深圳市第五届人民代表大会常务委员会第二十五次会议修订）明确规定“室内工作场所、室内公共场所和公共交通工具内禁止吸烟”，教育、医疗、体育等人员集中的室外区域也禁止吸烟。国外绿色建筑评价体系也明确绿色建筑为禁烟建筑。因此将吸烟控制作为绿色建筑室内环境的控制项。</w:t>
      </w:r>
    </w:p>
    <w:p>
      <w:pPr>
        <w:snapToGrid w:val="0"/>
        <w:spacing w:line="300" w:lineRule="auto"/>
      </w:pPr>
    </w:p>
    <w:p>
      <w:pPr>
        <w:pStyle w:val="87"/>
        <w:spacing w:line="360" w:lineRule="auto"/>
        <w:ind w:firstLine="0" w:firstLineChars="0"/>
        <w:outlineLvl w:val="9"/>
        <w:rPr>
          <w:sz w:val="22"/>
          <w:szCs w:val="21"/>
        </w:rPr>
      </w:pPr>
      <w:r>
        <w:rPr>
          <w:b/>
        </w:rPr>
        <w:t>10.1.5</w:t>
      </w:r>
      <w:r>
        <w:rPr>
          <w:rFonts w:hint="eastAsia"/>
          <w:b/>
        </w:rPr>
        <w:t xml:space="preserve"> </w:t>
      </w:r>
      <w:r>
        <w:rPr>
          <w:rFonts w:hint="eastAsia" w:hAnsi="宋体"/>
        </w:rPr>
        <w:t>室内空气中的氨、甲醛、苯、总挥发性有机物、氡等污染物浓度应符合现行国家标准《室内空气质量标准》GB/T18883的有关规定。</w:t>
      </w:r>
    </w:p>
    <w:p>
      <w:pPr>
        <w:pStyle w:val="87"/>
        <w:spacing w:line="360" w:lineRule="auto"/>
        <w:ind w:firstLine="0" w:firstLineChars="0"/>
        <w:outlineLvl w:val="9"/>
        <w:rPr>
          <w:rFonts w:ascii="仿宋" w:hAnsi="仿宋" w:eastAsia="仿宋"/>
          <w:color w:val="FF0000"/>
        </w:rPr>
      </w:pPr>
      <w:r>
        <w:rPr>
          <w:rFonts w:hint="eastAsia" w:ascii="仿宋" w:hAnsi="仿宋" w:eastAsia="仿宋"/>
          <w:color w:val="FF0000"/>
        </w:rPr>
        <w:t>【条文说明】国家标准《室内空气质量标准》GB/T18883-2002中的有关规定详见表10.1.5-1。</w:t>
      </w:r>
    </w:p>
    <w:p>
      <w:pPr>
        <w:pStyle w:val="87"/>
        <w:spacing w:line="360" w:lineRule="auto"/>
        <w:ind w:firstLine="450" w:firstLineChars="0"/>
        <w:jc w:val="center"/>
        <w:outlineLvl w:val="9"/>
        <w:rPr>
          <w:color w:val="FF0000"/>
          <w:sz w:val="22"/>
          <w:szCs w:val="21"/>
        </w:rPr>
      </w:pPr>
      <w:r>
        <w:rPr>
          <w:rFonts w:hint="eastAsia"/>
          <w:color w:val="FF0000"/>
          <w:sz w:val="22"/>
          <w:szCs w:val="21"/>
        </w:rPr>
        <w:t>表10.1.5-1 室内空气质量标准</w:t>
      </w:r>
    </w:p>
    <w:tbl>
      <w:tblPr>
        <w:tblStyle w:val="38"/>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40"/>
        <w:gridCol w:w="2841"/>
        <w:gridCol w:w="28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pStyle w:val="87"/>
              <w:spacing w:line="360" w:lineRule="auto"/>
              <w:ind w:firstLine="0" w:firstLineChars="0"/>
              <w:outlineLvl w:val="9"/>
              <w:rPr>
                <w:color w:val="FF0000"/>
                <w:sz w:val="22"/>
                <w:szCs w:val="21"/>
              </w:rPr>
            </w:pPr>
            <w:r>
              <w:rPr>
                <w:rFonts w:hint="eastAsia"/>
                <w:color w:val="FF0000"/>
                <w:sz w:val="22"/>
                <w:szCs w:val="21"/>
              </w:rPr>
              <w:t>污染物</w:t>
            </w:r>
          </w:p>
        </w:tc>
        <w:tc>
          <w:tcPr>
            <w:tcW w:w="2841" w:type="dxa"/>
            <w:vAlign w:val="top"/>
          </w:tcPr>
          <w:p>
            <w:pPr>
              <w:pStyle w:val="87"/>
              <w:spacing w:line="360" w:lineRule="auto"/>
              <w:ind w:firstLine="0" w:firstLineChars="0"/>
              <w:outlineLvl w:val="9"/>
              <w:rPr>
                <w:color w:val="FF0000"/>
                <w:sz w:val="22"/>
                <w:szCs w:val="21"/>
              </w:rPr>
            </w:pPr>
            <w:r>
              <w:rPr>
                <w:rFonts w:hint="eastAsia"/>
                <w:color w:val="FF0000"/>
                <w:sz w:val="22"/>
                <w:szCs w:val="21"/>
              </w:rPr>
              <w:t>标准值</w:t>
            </w:r>
          </w:p>
        </w:tc>
        <w:tc>
          <w:tcPr>
            <w:tcW w:w="2841" w:type="dxa"/>
            <w:vAlign w:val="top"/>
          </w:tcPr>
          <w:p>
            <w:pPr>
              <w:pStyle w:val="87"/>
              <w:spacing w:line="360" w:lineRule="auto"/>
              <w:ind w:firstLine="0" w:firstLineChars="0"/>
              <w:outlineLvl w:val="9"/>
              <w:rPr>
                <w:color w:val="FF0000"/>
                <w:sz w:val="22"/>
                <w:szCs w:val="21"/>
              </w:rPr>
            </w:pPr>
            <w:r>
              <w:rPr>
                <w:rFonts w:hint="eastAsia"/>
                <w:color w:val="FF0000"/>
                <w:sz w:val="22"/>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pStyle w:val="87"/>
              <w:spacing w:line="360" w:lineRule="auto"/>
              <w:ind w:firstLine="0" w:firstLineChars="0"/>
              <w:outlineLvl w:val="9"/>
              <w:rPr>
                <w:color w:val="FF0000"/>
                <w:sz w:val="22"/>
                <w:szCs w:val="21"/>
              </w:rPr>
            </w:pPr>
            <w:r>
              <w:rPr>
                <w:rFonts w:hint="eastAsia"/>
                <w:color w:val="FF0000"/>
                <w:sz w:val="22"/>
                <w:szCs w:val="21"/>
              </w:rPr>
              <w:t>氨NH</w:t>
            </w:r>
            <w:r>
              <w:rPr>
                <w:color w:val="FF0000"/>
                <w:sz w:val="22"/>
                <w:szCs w:val="21"/>
                <w:vertAlign w:val="subscript"/>
              </w:rPr>
              <w:t>3</w:t>
            </w:r>
          </w:p>
        </w:tc>
        <w:tc>
          <w:tcPr>
            <w:tcW w:w="2841" w:type="dxa"/>
            <w:vAlign w:val="top"/>
          </w:tcPr>
          <w:p>
            <w:pPr>
              <w:pStyle w:val="87"/>
              <w:spacing w:line="360" w:lineRule="auto"/>
              <w:ind w:firstLine="0" w:firstLineChars="0"/>
              <w:outlineLvl w:val="9"/>
              <w:rPr>
                <w:color w:val="FF0000"/>
                <w:sz w:val="22"/>
                <w:szCs w:val="21"/>
              </w:rPr>
            </w:pPr>
            <w:r>
              <w:rPr>
                <w:rFonts w:hint="eastAsia"/>
                <w:color w:val="FF0000"/>
                <w:sz w:val="22"/>
                <w:szCs w:val="21"/>
              </w:rPr>
              <w:t>0.20mg/m</w:t>
            </w:r>
            <w:r>
              <w:rPr>
                <w:color w:val="FF0000"/>
                <w:sz w:val="22"/>
                <w:szCs w:val="21"/>
                <w:vertAlign w:val="superscript"/>
              </w:rPr>
              <w:t>3</w:t>
            </w:r>
          </w:p>
        </w:tc>
        <w:tc>
          <w:tcPr>
            <w:tcW w:w="2841" w:type="dxa"/>
            <w:vAlign w:val="top"/>
          </w:tcPr>
          <w:p>
            <w:pPr>
              <w:pStyle w:val="87"/>
              <w:spacing w:line="360" w:lineRule="auto"/>
              <w:ind w:firstLine="0" w:firstLineChars="0"/>
              <w:outlineLvl w:val="9"/>
              <w:rPr>
                <w:color w:val="FF0000"/>
                <w:sz w:val="22"/>
                <w:szCs w:val="21"/>
              </w:rPr>
            </w:pPr>
            <w:r>
              <w:rPr>
                <w:rFonts w:hint="eastAsia"/>
                <w:color w:val="FF0000"/>
                <w:sz w:val="22"/>
                <w:szCs w:val="21"/>
              </w:rPr>
              <w:t>1小时平均值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pStyle w:val="87"/>
              <w:spacing w:line="360" w:lineRule="auto"/>
              <w:ind w:firstLine="0" w:firstLineChars="0"/>
              <w:outlineLvl w:val="9"/>
              <w:rPr>
                <w:color w:val="FF0000"/>
                <w:sz w:val="22"/>
                <w:szCs w:val="21"/>
              </w:rPr>
            </w:pPr>
            <w:r>
              <w:rPr>
                <w:rFonts w:hint="eastAsia"/>
                <w:color w:val="FF0000"/>
                <w:sz w:val="22"/>
                <w:szCs w:val="21"/>
              </w:rPr>
              <w:t>甲醛HCHO</w:t>
            </w:r>
          </w:p>
        </w:tc>
        <w:tc>
          <w:tcPr>
            <w:tcW w:w="2841" w:type="dxa"/>
            <w:vAlign w:val="top"/>
          </w:tcPr>
          <w:p>
            <w:pPr>
              <w:pStyle w:val="87"/>
              <w:spacing w:line="360" w:lineRule="auto"/>
              <w:ind w:firstLine="0" w:firstLineChars="0"/>
              <w:outlineLvl w:val="9"/>
              <w:rPr>
                <w:color w:val="FF0000"/>
                <w:sz w:val="22"/>
                <w:szCs w:val="21"/>
              </w:rPr>
            </w:pPr>
            <w:r>
              <w:rPr>
                <w:rFonts w:hint="eastAsia"/>
                <w:color w:val="FF0000"/>
                <w:sz w:val="22"/>
                <w:szCs w:val="21"/>
              </w:rPr>
              <w:t>0.10mg/m</w:t>
            </w:r>
            <w:r>
              <w:rPr>
                <w:rFonts w:hint="eastAsia"/>
                <w:color w:val="FF0000"/>
                <w:sz w:val="22"/>
                <w:szCs w:val="21"/>
                <w:vertAlign w:val="superscript"/>
              </w:rPr>
              <w:t>3</w:t>
            </w:r>
          </w:p>
        </w:tc>
        <w:tc>
          <w:tcPr>
            <w:tcW w:w="2841" w:type="dxa"/>
            <w:vAlign w:val="top"/>
          </w:tcPr>
          <w:p>
            <w:pPr>
              <w:pStyle w:val="87"/>
              <w:spacing w:line="360" w:lineRule="auto"/>
              <w:ind w:firstLine="0" w:firstLineChars="0"/>
              <w:outlineLvl w:val="9"/>
              <w:rPr>
                <w:color w:val="FF0000"/>
                <w:sz w:val="22"/>
                <w:szCs w:val="21"/>
              </w:rPr>
            </w:pPr>
            <w:r>
              <w:rPr>
                <w:rFonts w:hint="eastAsia"/>
                <w:color w:val="FF0000"/>
                <w:sz w:val="22"/>
                <w:szCs w:val="21"/>
              </w:rPr>
              <w:t>1小时平均值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840" w:type="dxa"/>
            <w:vAlign w:val="top"/>
          </w:tcPr>
          <w:p>
            <w:pPr>
              <w:pStyle w:val="87"/>
              <w:spacing w:line="360" w:lineRule="auto"/>
              <w:ind w:firstLine="0" w:firstLineChars="0"/>
              <w:outlineLvl w:val="9"/>
              <w:rPr>
                <w:color w:val="FF0000"/>
                <w:sz w:val="22"/>
                <w:szCs w:val="21"/>
              </w:rPr>
            </w:pPr>
            <w:r>
              <w:rPr>
                <w:rFonts w:hint="eastAsia"/>
                <w:color w:val="FF0000"/>
                <w:sz w:val="22"/>
                <w:szCs w:val="21"/>
              </w:rPr>
              <w:t>苯C</w:t>
            </w:r>
            <w:r>
              <w:rPr>
                <w:color w:val="FF0000"/>
                <w:sz w:val="22"/>
                <w:szCs w:val="21"/>
                <w:vertAlign w:val="subscript"/>
              </w:rPr>
              <w:t>6</w:t>
            </w:r>
            <w:r>
              <w:rPr>
                <w:rFonts w:hint="eastAsia"/>
                <w:color w:val="FF0000"/>
                <w:sz w:val="22"/>
                <w:szCs w:val="21"/>
              </w:rPr>
              <w:t>H</w:t>
            </w:r>
            <w:r>
              <w:rPr>
                <w:color w:val="FF0000"/>
                <w:sz w:val="22"/>
                <w:szCs w:val="21"/>
                <w:vertAlign w:val="subscript"/>
              </w:rPr>
              <w:t>6</w:t>
            </w:r>
          </w:p>
        </w:tc>
        <w:tc>
          <w:tcPr>
            <w:tcW w:w="2841" w:type="dxa"/>
            <w:vAlign w:val="top"/>
          </w:tcPr>
          <w:p>
            <w:pPr>
              <w:pStyle w:val="87"/>
              <w:spacing w:line="360" w:lineRule="auto"/>
              <w:ind w:firstLine="0" w:firstLineChars="0"/>
              <w:outlineLvl w:val="9"/>
              <w:rPr>
                <w:color w:val="FF0000"/>
                <w:sz w:val="22"/>
                <w:szCs w:val="21"/>
              </w:rPr>
            </w:pPr>
            <w:r>
              <w:rPr>
                <w:rFonts w:hint="eastAsia"/>
                <w:color w:val="FF0000"/>
                <w:sz w:val="22"/>
                <w:szCs w:val="21"/>
              </w:rPr>
              <w:t>0.11mg/m</w:t>
            </w:r>
            <w:r>
              <w:rPr>
                <w:rFonts w:hint="eastAsia"/>
                <w:color w:val="FF0000"/>
                <w:sz w:val="22"/>
                <w:szCs w:val="21"/>
                <w:vertAlign w:val="superscript"/>
              </w:rPr>
              <w:t>3</w:t>
            </w:r>
          </w:p>
        </w:tc>
        <w:tc>
          <w:tcPr>
            <w:tcW w:w="2841" w:type="dxa"/>
            <w:vAlign w:val="top"/>
          </w:tcPr>
          <w:p>
            <w:pPr>
              <w:pStyle w:val="87"/>
              <w:spacing w:line="360" w:lineRule="auto"/>
              <w:ind w:firstLine="0" w:firstLineChars="0"/>
              <w:outlineLvl w:val="9"/>
              <w:rPr>
                <w:color w:val="FF0000"/>
                <w:sz w:val="22"/>
                <w:szCs w:val="21"/>
              </w:rPr>
            </w:pPr>
            <w:r>
              <w:rPr>
                <w:rFonts w:hint="eastAsia"/>
                <w:color w:val="FF0000"/>
                <w:sz w:val="22"/>
                <w:szCs w:val="21"/>
              </w:rPr>
              <w:t>1小时平均值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pStyle w:val="87"/>
              <w:spacing w:line="360" w:lineRule="auto"/>
              <w:ind w:firstLine="0" w:firstLineChars="0"/>
              <w:outlineLvl w:val="9"/>
              <w:rPr>
                <w:color w:val="FF0000"/>
                <w:sz w:val="22"/>
                <w:szCs w:val="21"/>
              </w:rPr>
            </w:pPr>
            <w:r>
              <w:rPr>
                <w:rFonts w:hint="eastAsia"/>
                <w:color w:val="FF0000"/>
                <w:sz w:val="22"/>
                <w:szCs w:val="21"/>
              </w:rPr>
              <w:t>总挥发性有机物TVOC</w:t>
            </w:r>
          </w:p>
        </w:tc>
        <w:tc>
          <w:tcPr>
            <w:tcW w:w="2841" w:type="dxa"/>
            <w:vAlign w:val="top"/>
          </w:tcPr>
          <w:p>
            <w:pPr>
              <w:pStyle w:val="87"/>
              <w:spacing w:line="360" w:lineRule="auto"/>
              <w:ind w:firstLine="0" w:firstLineChars="0"/>
              <w:outlineLvl w:val="9"/>
              <w:rPr>
                <w:color w:val="FF0000"/>
                <w:sz w:val="22"/>
                <w:szCs w:val="21"/>
              </w:rPr>
            </w:pPr>
            <w:r>
              <w:rPr>
                <w:rFonts w:hint="eastAsia"/>
                <w:color w:val="FF0000"/>
                <w:sz w:val="22"/>
                <w:szCs w:val="21"/>
              </w:rPr>
              <w:t>0.60mg/m</w:t>
            </w:r>
            <w:r>
              <w:rPr>
                <w:rFonts w:hint="eastAsia"/>
                <w:color w:val="FF0000"/>
                <w:sz w:val="22"/>
                <w:szCs w:val="21"/>
                <w:vertAlign w:val="superscript"/>
              </w:rPr>
              <w:t>3</w:t>
            </w:r>
          </w:p>
        </w:tc>
        <w:tc>
          <w:tcPr>
            <w:tcW w:w="2841" w:type="dxa"/>
            <w:vAlign w:val="top"/>
          </w:tcPr>
          <w:p>
            <w:pPr>
              <w:pStyle w:val="87"/>
              <w:spacing w:line="360" w:lineRule="auto"/>
              <w:ind w:firstLine="0" w:firstLineChars="0"/>
              <w:outlineLvl w:val="9"/>
              <w:rPr>
                <w:color w:val="FF0000"/>
                <w:sz w:val="22"/>
                <w:szCs w:val="21"/>
              </w:rPr>
            </w:pPr>
            <w:r>
              <w:rPr>
                <w:rFonts w:hint="eastAsia"/>
                <w:color w:val="FF0000"/>
                <w:sz w:val="22"/>
                <w:szCs w:val="21"/>
              </w:rPr>
              <w:t>8小时平均值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pStyle w:val="87"/>
              <w:spacing w:line="360" w:lineRule="auto"/>
              <w:ind w:firstLine="0" w:firstLineChars="0"/>
              <w:outlineLvl w:val="9"/>
              <w:rPr>
                <w:color w:val="FF0000"/>
                <w:sz w:val="22"/>
                <w:szCs w:val="21"/>
              </w:rPr>
            </w:pPr>
            <w:r>
              <w:rPr>
                <w:rFonts w:hint="eastAsia"/>
                <w:color w:val="FF0000"/>
                <w:sz w:val="22"/>
                <w:szCs w:val="21"/>
              </w:rPr>
              <w:t>氡</w:t>
            </w:r>
            <w:r>
              <w:rPr>
                <w:color w:val="FF0000"/>
                <w:sz w:val="22"/>
                <w:szCs w:val="21"/>
                <w:vertAlign w:val="superscript"/>
              </w:rPr>
              <w:t>222</w:t>
            </w:r>
            <w:r>
              <w:rPr>
                <w:rFonts w:hint="eastAsia"/>
                <w:color w:val="FF0000"/>
                <w:sz w:val="22"/>
                <w:szCs w:val="21"/>
              </w:rPr>
              <w:t>Rn</w:t>
            </w:r>
          </w:p>
        </w:tc>
        <w:tc>
          <w:tcPr>
            <w:tcW w:w="2841" w:type="dxa"/>
            <w:vAlign w:val="top"/>
          </w:tcPr>
          <w:p>
            <w:pPr>
              <w:pStyle w:val="87"/>
              <w:spacing w:line="360" w:lineRule="auto"/>
              <w:ind w:firstLine="0" w:firstLineChars="0"/>
              <w:outlineLvl w:val="9"/>
              <w:rPr>
                <w:color w:val="FF0000"/>
                <w:sz w:val="22"/>
                <w:szCs w:val="21"/>
              </w:rPr>
            </w:pPr>
            <w:r>
              <w:rPr>
                <w:rFonts w:hint="eastAsia"/>
                <w:color w:val="FF0000"/>
                <w:sz w:val="22"/>
                <w:szCs w:val="21"/>
              </w:rPr>
              <w:t>400Bq/m</w:t>
            </w:r>
            <w:r>
              <w:rPr>
                <w:rFonts w:hint="eastAsia"/>
                <w:color w:val="FF0000"/>
                <w:sz w:val="22"/>
                <w:szCs w:val="21"/>
                <w:vertAlign w:val="superscript"/>
              </w:rPr>
              <w:t>3</w:t>
            </w:r>
          </w:p>
        </w:tc>
        <w:tc>
          <w:tcPr>
            <w:tcW w:w="2841" w:type="dxa"/>
            <w:vAlign w:val="top"/>
          </w:tcPr>
          <w:p>
            <w:pPr>
              <w:pStyle w:val="87"/>
              <w:spacing w:line="360" w:lineRule="auto"/>
              <w:ind w:firstLine="0" w:firstLineChars="0"/>
              <w:outlineLvl w:val="9"/>
              <w:rPr>
                <w:color w:val="FF0000"/>
                <w:sz w:val="22"/>
                <w:szCs w:val="21"/>
              </w:rPr>
            </w:pPr>
            <w:r>
              <w:rPr>
                <w:rFonts w:hint="eastAsia"/>
                <w:color w:val="FF0000"/>
                <w:sz w:val="22"/>
                <w:szCs w:val="21"/>
              </w:rPr>
              <w:t>年平均值</w:t>
            </w:r>
          </w:p>
        </w:tc>
      </w:tr>
    </w:tbl>
    <w:p>
      <w:pPr>
        <w:pStyle w:val="87"/>
        <w:spacing w:line="360" w:lineRule="auto"/>
        <w:ind w:firstLine="450" w:firstLineChars="0"/>
        <w:outlineLvl w:val="9"/>
        <w:rPr>
          <w:rFonts w:ascii="仿宋" w:hAnsi="仿宋" w:eastAsia="仿宋"/>
          <w:color w:val="FF0000"/>
        </w:rPr>
      </w:pPr>
      <w:r>
        <w:rPr>
          <w:rFonts w:hint="eastAsia" w:ascii="仿宋" w:hAnsi="仿宋" w:eastAsia="仿宋"/>
          <w:color w:val="FF0000"/>
        </w:rPr>
        <w:t>需要注意的是，对于学校和体育建筑，其体育场地（含室内和室外）的跑道及各类球场铺装材料应满足《合成材料跑道面层》</w:t>
      </w:r>
      <w:r>
        <w:rPr>
          <w:rFonts w:ascii="仿宋" w:hAnsi="仿宋" w:eastAsia="仿宋"/>
          <w:color w:val="FF0000"/>
        </w:rPr>
        <w:t>GB/T14883-2011</w:t>
      </w:r>
      <w:r>
        <w:rPr>
          <w:rFonts w:hint="eastAsia" w:ascii="仿宋" w:hAnsi="仿宋" w:eastAsia="仿宋"/>
          <w:color w:val="FF0000"/>
        </w:rPr>
        <w:t>和《体育场地使用要求及检验方法</w:t>
      </w:r>
      <w:r>
        <w:rPr>
          <w:rFonts w:ascii="仿宋" w:hAnsi="仿宋" w:eastAsia="仿宋"/>
          <w:color w:val="FF0000"/>
        </w:rPr>
        <w:t xml:space="preserve"> </w:t>
      </w:r>
      <w:r>
        <w:rPr>
          <w:rFonts w:hint="eastAsia" w:ascii="仿宋" w:hAnsi="仿宋" w:eastAsia="仿宋"/>
          <w:color w:val="FF0000"/>
        </w:rPr>
        <w:t>第</w:t>
      </w:r>
      <w:r>
        <w:rPr>
          <w:rFonts w:ascii="仿宋" w:hAnsi="仿宋" w:eastAsia="仿宋"/>
          <w:color w:val="FF0000"/>
        </w:rPr>
        <w:t>6</w:t>
      </w:r>
      <w:r>
        <w:rPr>
          <w:rFonts w:hint="eastAsia" w:ascii="仿宋" w:hAnsi="仿宋" w:eastAsia="仿宋"/>
          <w:color w:val="FF0000"/>
        </w:rPr>
        <w:t>部分：田径场地》</w:t>
      </w:r>
      <w:r>
        <w:rPr>
          <w:rFonts w:ascii="仿宋" w:hAnsi="仿宋" w:eastAsia="仿宋"/>
          <w:color w:val="FF0000"/>
        </w:rPr>
        <w:t>GB/T</w:t>
      </w:r>
      <w:r>
        <w:rPr>
          <w:rFonts w:hint="eastAsia" w:ascii="仿宋" w:hAnsi="仿宋" w:eastAsia="仿宋"/>
          <w:color w:val="FF0000"/>
        </w:rPr>
        <w:t xml:space="preserve"> </w:t>
      </w:r>
      <w:r>
        <w:rPr>
          <w:rFonts w:ascii="仿宋" w:hAnsi="仿宋" w:eastAsia="仿宋"/>
          <w:color w:val="FF0000"/>
        </w:rPr>
        <w:t>22517.6-2011</w:t>
      </w:r>
      <w:r>
        <w:rPr>
          <w:rFonts w:hint="eastAsia" w:ascii="仿宋" w:hAnsi="仿宋" w:eastAsia="仿宋"/>
          <w:color w:val="FF0000"/>
        </w:rPr>
        <w:t>的要求，并应符合深圳市对于体育跑道绿色施工的要求。</w:t>
      </w:r>
    </w:p>
    <w:p>
      <w:pPr>
        <w:snapToGrid w:val="0"/>
        <w:spacing w:line="300" w:lineRule="auto"/>
      </w:pPr>
    </w:p>
    <w:p>
      <w:pPr>
        <w:pStyle w:val="3"/>
        <w:numPr>
          <w:ilvl w:val="0"/>
          <w:numId w:val="0"/>
        </w:numPr>
        <w:spacing w:before="120" w:after="120" w:line="240" w:lineRule="auto"/>
        <w:ind w:left="482" w:hanging="481" w:hangingChars="200"/>
        <w:jc w:val="center"/>
        <w:rPr>
          <w:rFonts w:ascii="Times New Roman" w:hAnsi="Times New Roman"/>
        </w:rPr>
      </w:pPr>
      <w:bookmarkStart w:id="109" w:name="_Toc449111684"/>
      <w:r>
        <w:rPr>
          <w:rFonts w:ascii="Times New Roman" w:hAnsi="Times New Roman"/>
        </w:rPr>
        <w:t xml:space="preserve">10.2 </w:t>
      </w:r>
      <w:r>
        <w:rPr>
          <w:rFonts w:hint="eastAsia" w:ascii="Times New Roman" w:hAnsi="Times New Roman"/>
        </w:rPr>
        <w:t>评分项</w:t>
      </w:r>
      <w:bookmarkEnd w:id="109"/>
    </w:p>
    <w:p>
      <w:pPr>
        <w:pStyle w:val="87"/>
        <w:ind w:firstLine="0" w:firstLineChars="0"/>
        <w:jc w:val="center"/>
      </w:pPr>
      <w:bookmarkStart w:id="110" w:name="_Toc449111685"/>
      <w:r>
        <w:rPr>
          <w:rFonts w:ascii="宋体" w:hAnsi="宋体"/>
        </w:rPr>
        <w:t>Ⅰ</w:t>
      </w:r>
      <w:r>
        <w:rPr>
          <w:rFonts w:hint="eastAsia" w:ascii="宋体" w:hAnsi="宋体"/>
        </w:rPr>
        <w:t xml:space="preserve"> </w:t>
      </w:r>
      <w:r>
        <w:rPr>
          <w:rFonts w:hAnsi="宋体"/>
        </w:rPr>
        <w:t>室内声环境</w:t>
      </w:r>
      <w:r>
        <w:rPr>
          <w:rFonts w:hint="eastAsia" w:hAnsi="宋体"/>
        </w:rPr>
        <w:t>（19）</w:t>
      </w:r>
      <w:bookmarkEnd w:id="110"/>
    </w:p>
    <w:p>
      <w:pPr>
        <w:pStyle w:val="87"/>
        <w:spacing w:line="360" w:lineRule="auto"/>
        <w:ind w:firstLine="0" w:firstLineChars="0"/>
        <w:outlineLvl w:val="9"/>
        <w:rPr>
          <w:rFonts w:hAnsi="宋体"/>
        </w:rPr>
      </w:pPr>
      <w:r>
        <w:rPr>
          <w:rFonts w:hint="eastAsia"/>
          <w:b/>
        </w:rPr>
        <w:t>10</w:t>
      </w:r>
      <w:r>
        <w:rPr>
          <w:b/>
        </w:rPr>
        <w:t>.2.1</w:t>
      </w:r>
      <w:r>
        <w:rPr>
          <w:rFonts w:hAnsi="宋体"/>
        </w:rPr>
        <w:t>　主要功能房间室内噪声级，评价总分值为</w:t>
      </w:r>
      <w:r>
        <w:rPr>
          <w:rFonts w:hint="eastAsia"/>
        </w:rPr>
        <w:t>4</w:t>
      </w:r>
      <w:r>
        <w:rPr>
          <w:rFonts w:hAnsi="宋体"/>
        </w:rPr>
        <w:t>分。噪声级达到现行国家标准《民用建筑隔声设计规范》</w:t>
      </w:r>
      <w:r>
        <w:t>GB 50118</w:t>
      </w:r>
      <w:r>
        <w:rPr>
          <w:rFonts w:hAnsi="宋体"/>
        </w:rPr>
        <w:t>中的低限标准限值和高要求标准限值的平均值，得</w:t>
      </w:r>
      <w:r>
        <w:rPr>
          <w:rFonts w:hint="eastAsia"/>
        </w:rPr>
        <w:t>2</w:t>
      </w:r>
      <w:r>
        <w:rPr>
          <w:rFonts w:hAnsi="宋体"/>
        </w:rPr>
        <w:t>分；达到高要求标准限值，得</w:t>
      </w:r>
      <w:r>
        <w:rPr>
          <w:rFonts w:hint="eastAsia"/>
        </w:rPr>
        <w:t>4</w:t>
      </w:r>
      <w:r>
        <w:rPr>
          <w:rFonts w:hAnsi="宋体"/>
        </w:rPr>
        <w:t>分。</w:t>
      </w:r>
    </w:p>
    <w:p>
      <w:pPr>
        <w:pStyle w:val="87"/>
        <w:spacing w:line="360" w:lineRule="auto"/>
        <w:ind w:firstLine="0" w:firstLineChars="0"/>
        <w:outlineLvl w:val="9"/>
        <w:rPr>
          <w:rFonts w:ascii="仿宋" w:hAnsi="仿宋" w:eastAsia="仿宋"/>
          <w:color w:val="FF0000"/>
        </w:rPr>
      </w:pPr>
      <w:r>
        <w:rPr>
          <w:rFonts w:ascii="仿宋" w:hAnsi="仿宋" w:eastAsia="仿宋"/>
          <w:color w:val="FF0000"/>
        </w:rPr>
        <w:t>【条文说明】：</w:t>
      </w:r>
      <w:r>
        <w:rPr>
          <w:rFonts w:hint="eastAsia" w:ascii="仿宋" w:hAnsi="仿宋" w:eastAsia="仿宋"/>
          <w:color w:val="FF0000"/>
        </w:rPr>
        <w:t>与国家标准一致。学校建筑主要功能房间的噪声低限标准限值按《民用建筑隔声设计规范》GB50118中的规定值选取，高要求标准限值在此基础上降低5dB（A）；对于旅馆建筑，《民用建筑隔声设计规范》GB50118室内噪声级限值有三级，二级为低限标准，特级为高要求标准。</w:t>
      </w:r>
    </w:p>
    <w:p>
      <w:pPr>
        <w:pStyle w:val="87"/>
        <w:spacing w:line="360" w:lineRule="auto"/>
        <w:ind w:firstLine="0" w:firstLineChars="0"/>
        <w:outlineLvl w:val="9"/>
        <w:rPr>
          <w:rFonts w:ascii="仿宋" w:hAnsi="仿宋" w:eastAsia="仿宋"/>
          <w:color w:val="FF0000"/>
        </w:rPr>
      </w:pPr>
      <w:r>
        <w:rPr>
          <w:rFonts w:hint="eastAsia" w:ascii="仿宋" w:hAnsi="仿宋" w:eastAsia="仿宋"/>
          <w:color w:val="FF0000"/>
        </w:rPr>
        <w:t>对于某些房间，由于受到诸多客观条件限制，诸如房间内设备运行噪声无法降低等，不宜对该类房间提出高要求标准限值，可以考虑不参与评价。</w:t>
      </w:r>
    </w:p>
    <w:p>
      <w:pPr>
        <w:pStyle w:val="87"/>
        <w:spacing w:line="360" w:lineRule="auto"/>
        <w:ind w:firstLine="0" w:firstLineChars="0"/>
        <w:outlineLvl w:val="9"/>
        <w:rPr>
          <w:rFonts w:ascii="仿宋" w:hAnsi="仿宋" w:eastAsia="仿宋"/>
          <w:color w:val="FF0000"/>
        </w:rPr>
      </w:pPr>
      <w:r>
        <w:rPr>
          <w:rFonts w:hint="eastAsia" w:ascii="仿宋" w:hAnsi="仿宋" w:eastAsia="仿宋"/>
          <w:color w:val="FF0000"/>
        </w:rPr>
        <w:t>低限标准限值和高要求标准限值的平均值按四舍五入取整。</w:t>
      </w:r>
    </w:p>
    <w:p>
      <w:pPr>
        <w:pStyle w:val="87"/>
        <w:spacing w:line="360" w:lineRule="auto"/>
        <w:ind w:firstLine="0" w:firstLineChars="0"/>
        <w:outlineLvl w:val="9"/>
      </w:pPr>
    </w:p>
    <w:p>
      <w:pPr>
        <w:snapToGrid w:val="0"/>
        <w:spacing w:line="360" w:lineRule="auto"/>
        <w:rPr>
          <w:sz w:val="24"/>
        </w:rPr>
      </w:pPr>
      <w:r>
        <w:rPr>
          <w:rFonts w:hint="eastAsia"/>
          <w:b/>
          <w:sz w:val="24"/>
        </w:rPr>
        <w:t>10</w:t>
      </w:r>
      <w:r>
        <w:rPr>
          <w:b/>
          <w:sz w:val="24"/>
        </w:rPr>
        <w:t>.2.2</w:t>
      </w:r>
      <w:r>
        <w:rPr>
          <w:rFonts w:hAnsi="宋体"/>
          <w:sz w:val="24"/>
        </w:rPr>
        <w:t>　主要功能房间的隔声性能良好，</w:t>
      </w:r>
      <w:r>
        <w:rPr>
          <w:rFonts w:hAnsi="宋体"/>
          <w:bCs/>
          <w:sz w:val="24"/>
        </w:rPr>
        <w:t>评价总分值为</w:t>
      </w:r>
      <w:r>
        <w:rPr>
          <w:rFonts w:hint="eastAsia"/>
          <w:bCs/>
          <w:sz w:val="24"/>
        </w:rPr>
        <w:t>6</w:t>
      </w:r>
      <w:r>
        <w:rPr>
          <w:rFonts w:hAnsi="宋体"/>
          <w:bCs/>
          <w:sz w:val="24"/>
        </w:rPr>
        <w:t>分，并按下列规则分别评分并累计</w:t>
      </w:r>
      <w:r>
        <w:rPr>
          <w:rFonts w:hAnsi="宋体"/>
          <w:sz w:val="24"/>
        </w:rPr>
        <w:t>：</w:t>
      </w:r>
    </w:p>
    <w:p>
      <w:pPr>
        <w:snapToGrid w:val="0"/>
        <w:spacing w:line="360" w:lineRule="auto"/>
        <w:ind w:firstLine="481" w:firstLineChars="200"/>
        <w:rPr>
          <w:sz w:val="24"/>
        </w:rPr>
      </w:pPr>
      <w:r>
        <w:rPr>
          <w:b/>
          <w:sz w:val="24"/>
        </w:rPr>
        <w:t>1</w:t>
      </w:r>
      <w:r>
        <w:rPr>
          <w:rFonts w:hAnsi="宋体"/>
          <w:sz w:val="24"/>
        </w:rPr>
        <w:t>　构件及相邻房间之间的空气声隔声性能达到现行国家标准《民用建筑隔声设计规范》</w:t>
      </w:r>
      <w:r>
        <w:rPr>
          <w:sz w:val="24"/>
        </w:rPr>
        <w:t>GB</w:t>
      </w:r>
      <w:r>
        <w:rPr>
          <w:rFonts w:hint="eastAsia"/>
          <w:sz w:val="24"/>
        </w:rPr>
        <w:t xml:space="preserve"> </w:t>
      </w:r>
      <w:r>
        <w:rPr>
          <w:sz w:val="24"/>
        </w:rPr>
        <w:t>50118</w:t>
      </w:r>
      <w:r>
        <w:rPr>
          <w:rFonts w:hAnsi="宋体"/>
          <w:sz w:val="24"/>
        </w:rPr>
        <w:t>中的低限标准限值和高要求标准限值的平均值，得</w:t>
      </w:r>
      <w:r>
        <w:rPr>
          <w:rFonts w:hint="eastAsia"/>
          <w:sz w:val="24"/>
        </w:rPr>
        <w:t>2</w:t>
      </w:r>
      <w:r>
        <w:rPr>
          <w:rFonts w:hAnsi="宋体"/>
          <w:sz w:val="24"/>
        </w:rPr>
        <w:t>分；达到高要求标准限值，得</w:t>
      </w:r>
      <w:r>
        <w:rPr>
          <w:rFonts w:hint="eastAsia"/>
          <w:sz w:val="24"/>
        </w:rPr>
        <w:t>3</w:t>
      </w:r>
      <w:r>
        <w:rPr>
          <w:rFonts w:hAnsi="宋体"/>
          <w:sz w:val="24"/>
        </w:rPr>
        <w:t>分；</w:t>
      </w:r>
    </w:p>
    <w:p>
      <w:pPr>
        <w:snapToGrid w:val="0"/>
        <w:spacing w:line="360" w:lineRule="auto"/>
        <w:ind w:firstLine="481" w:firstLineChars="200"/>
        <w:rPr>
          <w:rFonts w:hAnsi="宋体"/>
          <w:sz w:val="24"/>
        </w:rPr>
      </w:pPr>
      <w:r>
        <w:rPr>
          <w:b/>
          <w:sz w:val="24"/>
        </w:rPr>
        <w:t>2</w:t>
      </w:r>
      <w:r>
        <w:rPr>
          <w:rFonts w:hAnsi="宋体"/>
          <w:sz w:val="24"/>
        </w:rPr>
        <w:t>　楼板的撞击声隔声性能达到现行国家标准《民用建筑隔声设计规范》</w:t>
      </w:r>
      <w:r>
        <w:rPr>
          <w:sz w:val="24"/>
        </w:rPr>
        <w:t>GB</w:t>
      </w:r>
      <w:r>
        <w:rPr>
          <w:rFonts w:hint="eastAsia"/>
          <w:sz w:val="24"/>
        </w:rPr>
        <w:t xml:space="preserve"> </w:t>
      </w:r>
      <w:r>
        <w:rPr>
          <w:sz w:val="24"/>
        </w:rPr>
        <w:t>50118</w:t>
      </w:r>
      <w:r>
        <w:rPr>
          <w:rFonts w:hAnsi="宋体"/>
          <w:sz w:val="24"/>
        </w:rPr>
        <w:t>中的低限标准限值和高要求标准限值的平均值，得</w:t>
      </w:r>
      <w:r>
        <w:rPr>
          <w:rFonts w:hint="eastAsia"/>
          <w:sz w:val="24"/>
        </w:rPr>
        <w:t>2</w:t>
      </w:r>
      <w:r>
        <w:rPr>
          <w:rFonts w:hAnsi="宋体"/>
          <w:sz w:val="24"/>
        </w:rPr>
        <w:t>分；达到高要求标准限值，得</w:t>
      </w:r>
      <w:r>
        <w:rPr>
          <w:rFonts w:hint="eastAsia"/>
          <w:sz w:val="24"/>
        </w:rPr>
        <w:t>3</w:t>
      </w:r>
      <w:r>
        <w:rPr>
          <w:rFonts w:hAnsi="宋体"/>
          <w:sz w:val="24"/>
        </w:rPr>
        <w:t>分。</w:t>
      </w:r>
    </w:p>
    <w:p>
      <w:pPr>
        <w:pStyle w:val="87"/>
        <w:spacing w:line="360" w:lineRule="auto"/>
        <w:ind w:firstLine="0" w:firstLineChars="0"/>
        <w:outlineLvl w:val="9"/>
        <w:rPr>
          <w:rFonts w:ascii="仿宋" w:hAnsi="仿宋" w:eastAsia="仿宋"/>
          <w:color w:val="FF0000"/>
        </w:rPr>
      </w:pPr>
      <w:r>
        <w:rPr>
          <w:rFonts w:ascii="仿宋" w:hAnsi="仿宋" w:eastAsia="仿宋"/>
          <w:color w:val="FF0000"/>
        </w:rPr>
        <w:t>【条文说明】：</w:t>
      </w:r>
      <w:r>
        <w:rPr>
          <w:rFonts w:hint="eastAsia" w:ascii="仿宋" w:hAnsi="仿宋" w:eastAsia="仿宋"/>
          <w:color w:val="FF0000"/>
        </w:rPr>
        <w:t>与国家标准一致。对于学校建筑，《民用建筑隔声设计规范》GB50118的隔声标准只有一个级别，该级别为低限要求。空气隔声性能的高要求标准限值为低限标准限值提高5dB。撞击声隔声性能高要求标准限值为低限标准限值降低10dB。</w:t>
      </w:r>
    </w:p>
    <w:p>
      <w:pPr>
        <w:pStyle w:val="87"/>
        <w:spacing w:line="360" w:lineRule="auto"/>
        <w:ind w:firstLine="0" w:firstLineChars="0"/>
        <w:outlineLvl w:val="9"/>
        <w:rPr>
          <w:rFonts w:ascii="仿宋" w:hAnsi="仿宋" w:eastAsia="仿宋"/>
          <w:color w:val="FF0000"/>
        </w:rPr>
      </w:pPr>
      <w:r>
        <w:rPr>
          <w:rFonts w:hint="eastAsia" w:ascii="仿宋" w:hAnsi="仿宋" w:eastAsia="仿宋"/>
          <w:color w:val="FF0000"/>
        </w:rPr>
        <w:t>对于医院建筑，病房的门通常无法设置门坎，而且在门上还设置有观察窗，其空气声隔声性能通常无法达到更高要求。对医院建筑评价时，门的空气声隔声性能不参评。</w:t>
      </w:r>
    </w:p>
    <w:p>
      <w:pPr>
        <w:pStyle w:val="87"/>
        <w:spacing w:line="360" w:lineRule="auto"/>
        <w:ind w:firstLine="0" w:firstLineChars="0"/>
        <w:outlineLvl w:val="9"/>
        <w:rPr>
          <w:rFonts w:ascii="仿宋" w:hAnsi="仿宋" w:eastAsia="仿宋"/>
          <w:color w:val="FF0000"/>
        </w:rPr>
      </w:pPr>
      <w:r>
        <w:rPr>
          <w:rFonts w:hint="eastAsia" w:ascii="仿宋" w:hAnsi="仿宋" w:eastAsia="仿宋"/>
          <w:color w:val="FF0000"/>
        </w:rPr>
        <w:t>对旅馆建筑，《民用建筑隔声设计规范》GB50118的隔声标准有三级，二级为低限标准，特级为高要求标准。</w:t>
      </w:r>
    </w:p>
    <w:p>
      <w:pPr>
        <w:pStyle w:val="87"/>
        <w:spacing w:line="360" w:lineRule="auto"/>
        <w:ind w:firstLine="0" w:firstLineChars="0"/>
        <w:outlineLvl w:val="9"/>
        <w:rPr>
          <w:rFonts w:ascii="仿宋" w:hAnsi="仿宋" w:eastAsia="仿宋"/>
          <w:color w:val="FF0000"/>
        </w:rPr>
      </w:pPr>
      <w:r>
        <w:rPr>
          <w:rFonts w:hint="eastAsia" w:ascii="仿宋" w:hAnsi="仿宋" w:eastAsia="仿宋"/>
          <w:color w:val="FF0000"/>
        </w:rPr>
        <w:t>对于某些建筑类型中的建筑构件，由于受到诸多客观条件的限制，隔声性能再提高存在诸多困难，且提高此类建筑构件隔声性能对提高建筑声品质作用有限，不宜对该类建筑构件提出高要求标准限值，此类建筑构件不参与评价。</w:t>
      </w:r>
    </w:p>
    <w:p>
      <w:pPr>
        <w:pStyle w:val="87"/>
        <w:spacing w:line="360" w:lineRule="auto"/>
        <w:ind w:firstLine="0" w:firstLineChars="0"/>
        <w:outlineLvl w:val="9"/>
        <w:rPr>
          <w:rFonts w:ascii="仿宋" w:hAnsi="仿宋" w:eastAsia="仿宋"/>
          <w:color w:val="FF0000"/>
        </w:rPr>
      </w:pPr>
      <w:r>
        <w:rPr>
          <w:rFonts w:hint="eastAsia" w:ascii="仿宋" w:hAnsi="仿宋" w:eastAsia="仿宋"/>
          <w:color w:val="FF0000"/>
        </w:rPr>
        <w:t>低限标准限值和高要求标准限值的平均值按四舍五入取整。</w:t>
      </w:r>
    </w:p>
    <w:p>
      <w:pPr>
        <w:pStyle w:val="87"/>
        <w:spacing w:line="360" w:lineRule="auto"/>
        <w:ind w:firstLine="0" w:firstLineChars="0"/>
        <w:outlineLvl w:val="9"/>
      </w:pPr>
      <w:r>
        <w:rPr>
          <w:rFonts w:hint="eastAsia" w:ascii="仿宋" w:hAnsi="仿宋" w:eastAsia="仿宋"/>
          <w:color w:val="FF0000"/>
        </w:rPr>
        <w:t>本条对于精装修建筑，施工图中应明确楼板构造做法，同时提供计算报告；对于毛坯交房建筑，应在施工图中为业主提供可选的装修做法，并在购房合同中予以告知。</w:t>
      </w:r>
    </w:p>
    <w:p>
      <w:pPr>
        <w:snapToGrid w:val="0"/>
        <w:spacing w:line="360" w:lineRule="auto"/>
        <w:rPr>
          <w:sz w:val="24"/>
        </w:rPr>
      </w:pPr>
      <w:r>
        <w:rPr>
          <w:rFonts w:hint="eastAsia"/>
          <w:b/>
          <w:sz w:val="24"/>
        </w:rPr>
        <w:t>10</w:t>
      </w:r>
      <w:r>
        <w:rPr>
          <w:b/>
          <w:sz w:val="24"/>
        </w:rPr>
        <w:t>.2.3</w:t>
      </w:r>
      <w:r>
        <w:rPr>
          <w:rFonts w:hAnsi="宋体"/>
          <w:sz w:val="24"/>
        </w:rPr>
        <w:t>　采取减少噪声干扰的措施，</w:t>
      </w:r>
      <w:r>
        <w:rPr>
          <w:rFonts w:hAnsi="宋体"/>
          <w:bCs/>
          <w:sz w:val="24"/>
        </w:rPr>
        <w:t>评价总分值为</w:t>
      </w:r>
      <w:r>
        <w:rPr>
          <w:rFonts w:hint="eastAsia"/>
          <w:bCs/>
          <w:sz w:val="24"/>
        </w:rPr>
        <w:t>6</w:t>
      </w:r>
      <w:r>
        <w:rPr>
          <w:rFonts w:hAnsi="宋体"/>
          <w:bCs/>
          <w:sz w:val="24"/>
        </w:rPr>
        <w:t>分，并按下列规则分别评分并累计</w:t>
      </w:r>
      <w:r>
        <w:rPr>
          <w:rFonts w:hAnsi="宋体"/>
          <w:sz w:val="24"/>
        </w:rPr>
        <w:t>：</w:t>
      </w:r>
    </w:p>
    <w:p>
      <w:pPr>
        <w:snapToGrid w:val="0"/>
        <w:spacing w:line="360" w:lineRule="auto"/>
        <w:ind w:firstLine="481" w:firstLineChars="200"/>
        <w:rPr>
          <w:sz w:val="24"/>
        </w:rPr>
      </w:pPr>
      <w:r>
        <w:rPr>
          <w:b/>
          <w:sz w:val="24"/>
        </w:rPr>
        <w:t>1</w:t>
      </w:r>
      <w:r>
        <w:rPr>
          <w:rFonts w:hAnsi="宋体"/>
          <w:sz w:val="24"/>
        </w:rPr>
        <w:t>　建筑平面、空间布局合理，没有明显的噪声干扰，得</w:t>
      </w:r>
      <w:r>
        <w:rPr>
          <w:sz w:val="24"/>
        </w:rPr>
        <w:t>1</w:t>
      </w:r>
      <w:r>
        <w:rPr>
          <w:rFonts w:hAnsi="宋体"/>
          <w:sz w:val="24"/>
        </w:rPr>
        <w:t>分；</w:t>
      </w:r>
    </w:p>
    <w:p>
      <w:pPr>
        <w:snapToGrid w:val="0"/>
        <w:spacing w:line="360" w:lineRule="auto"/>
        <w:ind w:firstLine="481" w:firstLineChars="200"/>
        <w:rPr>
          <w:sz w:val="24"/>
        </w:rPr>
      </w:pPr>
      <w:r>
        <w:rPr>
          <w:b/>
          <w:sz w:val="24"/>
        </w:rPr>
        <w:t>2</w:t>
      </w:r>
      <w:r>
        <w:rPr>
          <w:rFonts w:hAnsi="宋体"/>
          <w:sz w:val="24"/>
        </w:rPr>
        <w:t>　对易产生震动及噪声的设备采用隔声、减振措施，得</w:t>
      </w:r>
      <w:r>
        <w:rPr>
          <w:sz w:val="24"/>
        </w:rPr>
        <w:t>1</w:t>
      </w:r>
      <w:r>
        <w:rPr>
          <w:rFonts w:hAnsi="宋体"/>
          <w:sz w:val="24"/>
        </w:rPr>
        <w:t>分；</w:t>
      </w:r>
    </w:p>
    <w:p>
      <w:pPr>
        <w:snapToGrid w:val="0"/>
        <w:spacing w:line="360" w:lineRule="auto"/>
        <w:ind w:firstLine="481" w:firstLineChars="200"/>
        <w:rPr>
          <w:rFonts w:hAnsi="宋体"/>
          <w:sz w:val="24"/>
        </w:rPr>
      </w:pPr>
      <w:r>
        <w:rPr>
          <w:b/>
          <w:sz w:val="24"/>
        </w:rPr>
        <w:t>3</w:t>
      </w:r>
      <w:r>
        <w:rPr>
          <w:rFonts w:hAnsi="宋体"/>
          <w:sz w:val="24"/>
        </w:rPr>
        <w:t>　采用同层排水降低排水噪声的有效措施，使用率</w:t>
      </w:r>
      <w:r>
        <w:rPr>
          <w:rFonts w:hint="eastAsia" w:hAnsi="宋体"/>
          <w:sz w:val="24"/>
        </w:rPr>
        <w:t>不小于</w:t>
      </w:r>
      <w:r>
        <w:rPr>
          <w:sz w:val="24"/>
        </w:rPr>
        <w:t>50%</w:t>
      </w:r>
      <w:r>
        <w:rPr>
          <w:rFonts w:hAnsi="宋体"/>
          <w:sz w:val="24"/>
        </w:rPr>
        <w:t>，得</w:t>
      </w:r>
      <w:r>
        <w:rPr>
          <w:sz w:val="24"/>
        </w:rPr>
        <w:t>2</w:t>
      </w:r>
      <w:r>
        <w:rPr>
          <w:rFonts w:hAnsi="宋体"/>
          <w:sz w:val="24"/>
        </w:rPr>
        <w:t>分</w:t>
      </w:r>
      <w:r>
        <w:rPr>
          <w:rFonts w:hint="eastAsia" w:hAnsi="宋体"/>
          <w:sz w:val="24"/>
        </w:rPr>
        <w:t>；</w:t>
      </w:r>
    </w:p>
    <w:p>
      <w:pPr>
        <w:snapToGrid w:val="0"/>
        <w:spacing w:line="360" w:lineRule="auto"/>
        <w:ind w:firstLine="481" w:firstLineChars="200"/>
        <w:rPr>
          <w:rFonts w:hAnsi="宋体"/>
          <w:sz w:val="24"/>
        </w:rPr>
      </w:pPr>
      <w:r>
        <w:rPr>
          <w:rFonts w:hint="eastAsia"/>
          <w:b/>
          <w:sz w:val="24"/>
        </w:rPr>
        <w:t xml:space="preserve">4  </w:t>
      </w:r>
      <w:r>
        <w:rPr>
          <w:rFonts w:hint="eastAsia" w:hAnsi="宋体"/>
          <w:sz w:val="24"/>
        </w:rPr>
        <w:t>采用降低管道排水噪声的措施，如新型排水降噪管、管道内藏、隐蔽式马桶等，使用率不少于50%，得2分。</w:t>
      </w:r>
    </w:p>
    <w:p>
      <w:pPr>
        <w:pStyle w:val="87"/>
        <w:spacing w:line="360" w:lineRule="auto"/>
        <w:ind w:firstLine="0" w:firstLineChars="0"/>
        <w:outlineLvl w:val="9"/>
        <w:rPr>
          <w:rFonts w:ascii="仿宋" w:hAnsi="仿宋" w:eastAsia="仿宋"/>
          <w:color w:val="FF0000"/>
        </w:rPr>
      </w:pPr>
      <w:r>
        <w:rPr>
          <w:rFonts w:ascii="仿宋" w:hAnsi="仿宋" w:eastAsia="仿宋"/>
          <w:color w:val="FF0000"/>
        </w:rPr>
        <w:t>【条文说明】</w:t>
      </w:r>
      <w:r>
        <w:rPr>
          <w:rFonts w:hint="eastAsia" w:ascii="仿宋" w:hAnsi="仿宋" w:eastAsia="仿宋"/>
          <w:color w:val="FF0000"/>
        </w:rPr>
        <w:t>与国家标准基本一致，增加室内设备的隔声和减振措施、加强排水管道噪声措施得分要求。解决民用建筑室内噪声干扰问题首先应从规划设计、单体建筑内的平面布置考虑。其次对易产生振动和噪声的设备，应采取有效的隔声、减震措施，从源头控制噪声。此外，卫生间排水噪声是影响正常工作生活的主要噪声，采取同层排水可以显著降低卫生间排水噪声对周边的影响，可以通过采用新型管道、旋流弯头等降低排水管道噪声影响。</w:t>
      </w:r>
    </w:p>
    <w:p>
      <w:pPr>
        <w:snapToGrid w:val="0"/>
        <w:spacing w:line="360" w:lineRule="auto"/>
        <w:rPr>
          <w:sz w:val="24"/>
        </w:rPr>
      </w:pPr>
    </w:p>
    <w:p>
      <w:pPr>
        <w:snapToGrid w:val="0"/>
        <w:spacing w:line="360" w:lineRule="auto"/>
        <w:rPr>
          <w:sz w:val="24"/>
        </w:rPr>
      </w:pPr>
      <w:r>
        <w:rPr>
          <w:rFonts w:hint="eastAsia"/>
          <w:b/>
          <w:sz w:val="24"/>
        </w:rPr>
        <w:t>10</w:t>
      </w:r>
      <w:r>
        <w:rPr>
          <w:b/>
          <w:sz w:val="24"/>
        </w:rPr>
        <w:t>.2.4</w:t>
      </w:r>
      <w:r>
        <w:rPr>
          <w:rFonts w:hAnsi="宋体"/>
          <w:sz w:val="24"/>
        </w:rPr>
        <w:t>　公共建筑中的</w:t>
      </w:r>
      <w:r>
        <w:rPr>
          <w:rFonts w:hint="eastAsia" w:hAnsi="宋体"/>
          <w:sz w:val="24"/>
        </w:rPr>
        <w:t>剧场</w:t>
      </w:r>
      <w:r>
        <w:rPr>
          <w:rFonts w:hAnsi="宋体"/>
          <w:sz w:val="24"/>
        </w:rPr>
        <w:t>、</w:t>
      </w:r>
      <w:r>
        <w:rPr>
          <w:rFonts w:hint="eastAsia" w:hAnsi="宋体"/>
          <w:sz w:val="24"/>
        </w:rPr>
        <w:t>电影院</w:t>
      </w:r>
      <w:r>
        <w:rPr>
          <w:rFonts w:hAnsi="宋体"/>
          <w:sz w:val="24"/>
        </w:rPr>
        <w:t>、</w:t>
      </w:r>
      <w:r>
        <w:rPr>
          <w:rFonts w:hint="eastAsia" w:hAnsi="宋体"/>
          <w:sz w:val="24"/>
        </w:rPr>
        <w:t>大型多功能厅堂</w:t>
      </w:r>
      <w:r>
        <w:rPr>
          <w:rFonts w:hAnsi="宋体"/>
          <w:sz w:val="24"/>
        </w:rPr>
        <w:t>和其他有</w:t>
      </w:r>
      <w:r>
        <w:rPr>
          <w:rFonts w:hint="eastAsia" w:hAnsi="宋体"/>
          <w:sz w:val="24"/>
        </w:rPr>
        <w:t>特殊</w:t>
      </w:r>
      <w:r>
        <w:rPr>
          <w:rFonts w:hAnsi="宋体"/>
          <w:sz w:val="24"/>
        </w:rPr>
        <w:t>声学要求的重要房间进行专项声学设计，满足相应功能要求，评价分值为</w:t>
      </w:r>
      <w:r>
        <w:rPr>
          <w:sz w:val="24"/>
        </w:rPr>
        <w:t>3</w:t>
      </w:r>
      <w:r>
        <w:rPr>
          <w:rFonts w:hAnsi="宋体"/>
          <w:sz w:val="24"/>
        </w:rPr>
        <w:t>分。</w:t>
      </w:r>
    </w:p>
    <w:p>
      <w:pPr>
        <w:pStyle w:val="87"/>
        <w:spacing w:line="360" w:lineRule="auto"/>
        <w:ind w:firstLine="0" w:firstLineChars="0"/>
        <w:outlineLvl w:val="9"/>
        <w:rPr>
          <w:rFonts w:ascii="仿宋" w:hAnsi="仿宋" w:eastAsia="仿宋"/>
          <w:color w:val="FF0000"/>
        </w:rPr>
      </w:pPr>
      <w:r>
        <w:rPr>
          <w:rFonts w:ascii="仿宋" w:hAnsi="仿宋" w:eastAsia="仿宋"/>
          <w:color w:val="FF0000"/>
        </w:rPr>
        <w:t>【条文说明】</w:t>
      </w:r>
      <w:r>
        <w:rPr>
          <w:rFonts w:hint="eastAsia" w:ascii="仿宋" w:hAnsi="仿宋" w:eastAsia="仿宋"/>
          <w:color w:val="FF0000"/>
        </w:rPr>
        <w:t>与国标基本一致，根据技术细则要求明确为剧场、电影院、大型多功能厅堂及其他有特殊声学要求的建筑物或场所才要求进行专项声学设计。缩小进行专项声学设计的范畴。其实此条文的意义不是特别大，如果是特殊声学场所肯定要做声学设计，其他一般声学设计场所，专项声学设计意义也不大，也可以考虑直接删去该条文。专项声学设计应包括建筑声学设计及扩声系统设计。建筑声学设计主要应包括体型设计、混响时间设计与计算、噪声控制设计与计算等方面的内容；扩声系统设计应包括最大声压级、传声频率特性、传声增益、声场不均匀度、语言清晰度等设计指标，设备配置及产品资料、系统连接图、扬声器布置图、计算机模拟辅助设计成果等。</w:t>
      </w:r>
    </w:p>
    <w:p>
      <w:pPr>
        <w:pStyle w:val="87"/>
        <w:spacing w:line="360" w:lineRule="auto"/>
        <w:ind w:firstLine="0" w:firstLineChars="0"/>
        <w:outlineLvl w:val="9"/>
        <w:rPr>
          <w:color w:val="FF0000"/>
          <w:sz w:val="22"/>
          <w:szCs w:val="21"/>
        </w:rPr>
      </w:pPr>
    </w:p>
    <w:p>
      <w:pPr>
        <w:pStyle w:val="87"/>
        <w:ind w:firstLine="0" w:firstLineChars="0"/>
        <w:jc w:val="center"/>
      </w:pPr>
      <w:bookmarkStart w:id="111" w:name="_Toc449111686"/>
      <w:r>
        <w:rPr>
          <w:rFonts w:ascii="宋体" w:hAnsi="宋体"/>
        </w:rPr>
        <w:t>Ⅱ</w:t>
      </w:r>
      <w:r>
        <w:rPr>
          <w:rFonts w:hint="eastAsia" w:ascii="宋体" w:hAnsi="宋体"/>
        </w:rPr>
        <w:t xml:space="preserve"> </w:t>
      </w:r>
      <w:r>
        <w:rPr>
          <w:rFonts w:hAnsi="宋体"/>
        </w:rPr>
        <w:t>室内光环境与视野</w:t>
      </w:r>
      <w:r>
        <w:rPr>
          <w:rFonts w:hint="eastAsia" w:hAnsi="宋体"/>
        </w:rPr>
        <w:t>（23）</w:t>
      </w:r>
      <w:bookmarkEnd w:id="111"/>
    </w:p>
    <w:p>
      <w:pPr>
        <w:snapToGrid w:val="0"/>
        <w:spacing w:line="300" w:lineRule="auto"/>
        <w:ind w:firstLine="480" w:firstLineChars="200"/>
        <w:rPr>
          <w:bCs/>
          <w:sz w:val="24"/>
        </w:rPr>
      </w:pPr>
    </w:p>
    <w:p>
      <w:pPr>
        <w:snapToGrid w:val="0"/>
        <w:spacing w:line="360" w:lineRule="auto"/>
        <w:rPr>
          <w:rFonts w:hAnsi="宋体"/>
          <w:sz w:val="24"/>
        </w:rPr>
      </w:pPr>
      <w:r>
        <w:rPr>
          <w:rFonts w:hint="eastAsia"/>
          <w:b/>
          <w:sz w:val="24"/>
        </w:rPr>
        <w:t>10</w:t>
      </w:r>
      <w:r>
        <w:rPr>
          <w:b/>
          <w:sz w:val="24"/>
        </w:rPr>
        <w:t>.2.5</w:t>
      </w:r>
      <w:r>
        <w:rPr>
          <w:rFonts w:hAnsi="宋体"/>
          <w:sz w:val="24"/>
        </w:rPr>
        <w:t>　建筑主要功能房间具有良好的户外视野，</w:t>
      </w:r>
      <w:r>
        <w:rPr>
          <w:rFonts w:hAnsi="宋体"/>
          <w:bCs/>
          <w:sz w:val="24"/>
        </w:rPr>
        <w:t>评价分值为</w:t>
      </w:r>
      <w:r>
        <w:rPr>
          <w:bCs/>
          <w:sz w:val="24"/>
        </w:rPr>
        <w:t>3</w:t>
      </w:r>
      <w:r>
        <w:rPr>
          <w:rFonts w:hAnsi="宋体"/>
          <w:bCs/>
          <w:sz w:val="24"/>
        </w:rPr>
        <w:t>分。</w:t>
      </w:r>
      <w:r>
        <w:rPr>
          <w:rFonts w:hAnsi="宋体"/>
          <w:sz w:val="24"/>
        </w:rPr>
        <w:t>对居住建筑，</w:t>
      </w:r>
      <w:r>
        <w:rPr>
          <w:rFonts w:hint="eastAsia" w:hAnsi="宋体"/>
          <w:sz w:val="24"/>
        </w:rPr>
        <w:t>居住空间开窗具有良好的视野，且避免户间居住空间的视线干扰。两栋住宅视觉卫生距离满足《深圳市城市规划标准与准则》的要求</w:t>
      </w:r>
      <w:r>
        <w:rPr>
          <w:rFonts w:hAnsi="宋体"/>
          <w:sz w:val="24"/>
        </w:rPr>
        <w:t>；对公共建筑，其主要功能房间能通过外窗看到室外自然景观，无明显视线干扰</w:t>
      </w:r>
      <w:r>
        <w:rPr>
          <w:rFonts w:hint="eastAsia" w:hAnsi="宋体"/>
          <w:sz w:val="24"/>
        </w:rPr>
        <w:t>，90%以上主要功能空间距楼地面垂直距离1.2m处视线可及室外</w:t>
      </w:r>
      <w:r>
        <w:rPr>
          <w:rFonts w:hAnsi="宋体"/>
          <w:sz w:val="24"/>
        </w:rPr>
        <w:t>。</w:t>
      </w:r>
    </w:p>
    <w:p>
      <w:pPr>
        <w:pStyle w:val="87"/>
        <w:spacing w:line="360" w:lineRule="auto"/>
        <w:ind w:firstLine="0" w:firstLineChars="0"/>
        <w:outlineLvl w:val="9"/>
        <w:rPr>
          <w:rFonts w:ascii="仿宋" w:hAnsi="仿宋" w:eastAsia="仿宋"/>
          <w:color w:val="FF0000"/>
        </w:rPr>
      </w:pPr>
      <w:r>
        <w:rPr>
          <w:rFonts w:ascii="仿宋" w:hAnsi="仿宋" w:eastAsia="仿宋"/>
          <w:color w:val="FF0000"/>
        </w:rPr>
        <w:t>【条文说明】</w:t>
      </w:r>
      <w:r>
        <w:rPr>
          <w:rFonts w:hint="eastAsia" w:ascii="仿宋" w:hAnsi="仿宋" w:eastAsia="仿宋"/>
          <w:color w:val="FF0000"/>
        </w:rPr>
        <w:t>保留深标2009版的6.5.14和5.5.6条文。视野是空间环境质量的重要组成部分。对于居住建筑，尽量避免前后左右不同住户之间的居住空间的视线干扰，视觉卫生距离应满足《深圳市城市规划标准与准则》的要求，两栋住宅楼居住空间的水平视线距离宜大于18m。对于公共建筑，为了便于评价，距楼地面垂直距离1.2m处只要90%视线可见室外即可满足要求。</w:t>
      </w:r>
    </w:p>
    <w:p>
      <w:pPr>
        <w:snapToGrid w:val="0"/>
        <w:spacing w:line="300" w:lineRule="auto"/>
      </w:pPr>
    </w:p>
    <w:p>
      <w:pPr>
        <w:snapToGrid w:val="0"/>
        <w:spacing w:line="360" w:lineRule="auto"/>
        <w:rPr>
          <w:sz w:val="24"/>
        </w:rPr>
      </w:pPr>
      <w:r>
        <w:rPr>
          <w:rFonts w:hint="eastAsia"/>
          <w:b/>
          <w:sz w:val="24"/>
        </w:rPr>
        <w:t>10</w:t>
      </w:r>
      <w:r>
        <w:rPr>
          <w:b/>
          <w:sz w:val="24"/>
        </w:rPr>
        <w:t>.2.6</w:t>
      </w:r>
      <w:r>
        <w:rPr>
          <w:rFonts w:hAnsi="宋体"/>
          <w:sz w:val="24"/>
        </w:rPr>
        <w:t>　主要功能房间的采光系数满足现行国家标准《建筑采光设计标准》</w:t>
      </w:r>
      <w:r>
        <w:rPr>
          <w:sz w:val="24"/>
        </w:rPr>
        <w:t>GB</w:t>
      </w:r>
      <w:r>
        <w:rPr>
          <w:rFonts w:hint="eastAsia"/>
          <w:sz w:val="24"/>
        </w:rPr>
        <w:t xml:space="preserve"> </w:t>
      </w:r>
      <w:r>
        <w:rPr>
          <w:sz w:val="24"/>
        </w:rPr>
        <w:t>50033</w:t>
      </w:r>
      <w:r>
        <w:rPr>
          <w:rFonts w:hAnsi="宋体"/>
          <w:sz w:val="24"/>
        </w:rPr>
        <w:t>的要求，</w:t>
      </w:r>
      <w:r>
        <w:rPr>
          <w:rFonts w:hAnsi="宋体"/>
          <w:bCs/>
          <w:sz w:val="24"/>
        </w:rPr>
        <w:t>评价总分值为</w:t>
      </w:r>
      <w:r>
        <w:rPr>
          <w:rFonts w:hint="eastAsia"/>
          <w:bCs/>
          <w:sz w:val="24"/>
        </w:rPr>
        <w:t>8</w:t>
      </w:r>
      <w:r>
        <w:rPr>
          <w:rFonts w:hAnsi="宋体"/>
          <w:bCs/>
          <w:sz w:val="24"/>
        </w:rPr>
        <w:t>分，并按下列规则评分</w:t>
      </w:r>
      <w:r>
        <w:rPr>
          <w:rFonts w:hAnsi="宋体"/>
          <w:sz w:val="24"/>
        </w:rPr>
        <w:t>：</w:t>
      </w:r>
    </w:p>
    <w:p>
      <w:pPr>
        <w:snapToGrid w:val="0"/>
        <w:spacing w:line="360" w:lineRule="auto"/>
        <w:ind w:firstLine="481" w:firstLineChars="200"/>
        <w:rPr>
          <w:sz w:val="24"/>
        </w:rPr>
      </w:pPr>
      <w:r>
        <w:rPr>
          <w:b/>
          <w:sz w:val="24"/>
        </w:rPr>
        <w:t>1</w:t>
      </w:r>
      <w:r>
        <w:rPr>
          <w:rFonts w:hAnsi="宋体"/>
          <w:sz w:val="24"/>
        </w:rPr>
        <w:t>　居住建筑</w:t>
      </w:r>
      <w:r>
        <w:rPr>
          <w:rFonts w:hint="eastAsia" w:hAnsi="宋体"/>
          <w:sz w:val="24"/>
        </w:rPr>
        <w:t>：</w:t>
      </w:r>
      <w:r>
        <w:rPr>
          <w:rFonts w:hAnsi="宋体"/>
          <w:sz w:val="24"/>
        </w:rPr>
        <w:t>卧室、起居室的窗地面积比达到</w:t>
      </w:r>
      <w:r>
        <w:rPr>
          <w:rFonts w:hint="eastAsia" w:hAnsi="宋体"/>
          <w:sz w:val="24"/>
        </w:rPr>
        <w:t>1/6，得6分；达到</w:t>
      </w:r>
      <w:r>
        <w:rPr>
          <w:sz w:val="24"/>
        </w:rPr>
        <w:t>1/5</w:t>
      </w:r>
      <w:r>
        <w:rPr>
          <w:rFonts w:hAnsi="宋体"/>
          <w:sz w:val="24"/>
        </w:rPr>
        <w:t>，得</w:t>
      </w:r>
      <w:r>
        <w:rPr>
          <w:rFonts w:hint="eastAsia"/>
          <w:sz w:val="24"/>
        </w:rPr>
        <w:t>8</w:t>
      </w:r>
      <w:r>
        <w:rPr>
          <w:rFonts w:hAnsi="宋体"/>
          <w:sz w:val="24"/>
        </w:rPr>
        <w:t>分；</w:t>
      </w:r>
    </w:p>
    <w:p>
      <w:pPr>
        <w:snapToGrid w:val="0"/>
        <w:spacing w:line="360" w:lineRule="auto"/>
        <w:ind w:firstLine="481" w:firstLineChars="200"/>
        <w:rPr>
          <w:rFonts w:hAnsi="宋体"/>
          <w:sz w:val="24"/>
        </w:rPr>
      </w:pPr>
      <w:r>
        <w:rPr>
          <w:b/>
          <w:sz w:val="24"/>
        </w:rPr>
        <w:t>2</w:t>
      </w:r>
      <w:r>
        <w:rPr>
          <w:rFonts w:hAnsi="宋体"/>
          <w:sz w:val="24"/>
        </w:rPr>
        <w:t>　公共建筑</w:t>
      </w:r>
      <w:r>
        <w:rPr>
          <w:rFonts w:hint="eastAsia" w:hAnsi="宋体"/>
          <w:sz w:val="24"/>
        </w:rPr>
        <w:t>：根据</w:t>
      </w:r>
      <w:r>
        <w:rPr>
          <w:rFonts w:hAnsi="宋体"/>
          <w:sz w:val="24"/>
        </w:rPr>
        <w:t>主要功能房间采光系数满足现行国家标准《建筑采光设计标准》</w:t>
      </w:r>
      <w:r>
        <w:rPr>
          <w:sz w:val="24"/>
        </w:rPr>
        <w:t>GB 50033</w:t>
      </w:r>
      <w:r>
        <w:rPr>
          <w:rFonts w:hAnsi="宋体"/>
          <w:sz w:val="24"/>
        </w:rPr>
        <w:t>要求</w:t>
      </w:r>
      <w:r>
        <w:rPr>
          <w:rFonts w:hint="eastAsia" w:hAnsi="宋体"/>
          <w:sz w:val="24"/>
        </w:rPr>
        <w:t>的面积比例，按照表8.2.6的规则评分，最高得8分。</w:t>
      </w:r>
    </w:p>
    <w:p>
      <w:pPr>
        <w:snapToGrid w:val="0"/>
        <w:spacing w:line="300" w:lineRule="auto"/>
        <w:jc w:val="center"/>
        <w:rPr>
          <w:rFonts w:hAnsi="宋体"/>
          <w:b/>
        </w:rPr>
      </w:pPr>
      <w:r>
        <w:rPr>
          <w:rFonts w:hint="eastAsia" w:hAnsi="宋体"/>
          <w:b/>
        </w:rPr>
        <w:t>表8.2.6 公共建筑主要功能房间采光评分规则</w:t>
      </w:r>
    </w:p>
    <w:tbl>
      <w:tblPr>
        <w:tblStyle w:val="38"/>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1"/>
        <w:gridCol w:w="42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vAlign w:val="top"/>
          </w:tcPr>
          <w:p>
            <w:pPr>
              <w:snapToGrid w:val="0"/>
              <w:jc w:val="center"/>
              <w:rPr>
                <w:rFonts w:hAnsi="宋体"/>
              </w:rPr>
            </w:pPr>
            <w:r>
              <w:rPr>
                <w:rFonts w:hint="eastAsia" w:hAnsi="宋体"/>
              </w:rPr>
              <w:t>面积比例</w:t>
            </w:r>
          </w:p>
        </w:tc>
        <w:tc>
          <w:tcPr>
            <w:tcW w:w="4261" w:type="dxa"/>
            <w:vAlign w:val="top"/>
          </w:tcPr>
          <w:p>
            <w:pPr>
              <w:snapToGrid w:val="0"/>
              <w:jc w:val="center"/>
              <w:rPr>
                <w:rFonts w:hAnsi="宋体"/>
              </w:rPr>
            </w:pPr>
            <w:r>
              <w:rPr>
                <w:rFonts w:hint="eastAsia" w:hAnsi="宋体"/>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vAlign w:val="top"/>
          </w:tcPr>
          <w:p>
            <w:pPr>
              <w:jc w:val="center"/>
            </w:pPr>
            <w:r>
              <w:rPr>
                <w:rFonts w:hint="eastAsia"/>
                <w:bCs/>
              </w:rPr>
              <w:t>50</w:t>
            </w:r>
            <w:r>
              <w:rPr>
                <w:bCs/>
              </w:rPr>
              <w:t>%≤＜</w:t>
            </w:r>
            <w:r>
              <w:rPr>
                <w:rFonts w:hint="eastAsia"/>
                <w:bCs/>
              </w:rPr>
              <w:t>60</w:t>
            </w:r>
            <w:r>
              <w:rPr>
                <w:bCs/>
              </w:rPr>
              <w:t>%</w:t>
            </w:r>
          </w:p>
        </w:tc>
        <w:tc>
          <w:tcPr>
            <w:tcW w:w="4261" w:type="dxa"/>
            <w:vAlign w:val="top"/>
          </w:tcPr>
          <w:p>
            <w:pPr>
              <w:snapToGrid w:val="0"/>
              <w:jc w:val="center"/>
              <w:rPr>
                <w:rFonts w:hAnsi="宋体"/>
              </w:rPr>
            </w:pPr>
            <w:r>
              <w:rPr>
                <w:rFonts w:hint="eastAsia" w:hAnsi="宋体"/>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vAlign w:val="top"/>
          </w:tcPr>
          <w:p>
            <w:pPr>
              <w:jc w:val="center"/>
            </w:pPr>
            <w:r>
              <w:rPr>
                <w:rFonts w:hint="eastAsia"/>
                <w:bCs/>
              </w:rPr>
              <w:t>60</w:t>
            </w:r>
            <w:r>
              <w:rPr>
                <w:bCs/>
              </w:rPr>
              <w:t>%≤＜</w:t>
            </w:r>
            <w:r>
              <w:rPr>
                <w:rFonts w:hint="eastAsia"/>
                <w:bCs/>
              </w:rPr>
              <w:t>65</w:t>
            </w:r>
            <w:r>
              <w:rPr>
                <w:bCs/>
              </w:rPr>
              <w:t>%</w:t>
            </w:r>
          </w:p>
        </w:tc>
        <w:tc>
          <w:tcPr>
            <w:tcW w:w="4261" w:type="dxa"/>
            <w:vAlign w:val="top"/>
          </w:tcPr>
          <w:p>
            <w:pPr>
              <w:snapToGrid w:val="0"/>
              <w:jc w:val="center"/>
              <w:rPr>
                <w:rFonts w:hAnsi="宋体"/>
              </w:rPr>
            </w:pPr>
            <w:r>
              <w:rPr>
                <w:rFonts w:hint="eastAsia" w:hAnsi="宋体"/>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261" w:type="dxa"/>
            <w:vAlign w:val="top"/>
          </w:tcPr>
          <w:p>
            <w:pPr>
              <w:jc w:val="center"/>
              <w:rPr>
                <w:bCs/>
              </w:rPr>
            </w:pPr>
            <w:r>
              <w:rPr>
                <w:rFonts w:hint="eastAsia"/>
                <w:bCs/>
              </w:rPr>
              <w:t>65</w:t>
            </w:r>
            <w:r>
              <w:rPr>
                <w:bCs/>
              </w:rPr>
              <w:t>%≤＜</w:t>
            </w:r>
            <w:r>
              <w:rPr>
                <w:rFonts w:hint="eastAsia"/>
                <w:bCs/>
              </w:rPr>
              <w:t>70</w:t>
            </w:r>
            <w:r>
              <w:rPr>
                <w:bCs/>
              </w:rPr>
              <w:t>%</w:t>
            </w:r>
          </w:p>
        </w:tc>
        <w:tc>
          <w:tcPr>
            <w:tcW w:w="4261" w:type="dxa"/>
            <w:vAlign w:val="top"/>
          </w:tcPr>
          <w:p>
            <w:pPr>
              <w:snapToGrid w:val="0"/>
              <w:jc w:val="center"/>
              <w:rPr>
                <w:rFonts w:hAnsi="宋体"/>
              </w:rPr>
            </w:pPr>
            <w:r>
              <w:rPr>
                <w:rFonts w:hint="eastAsia" w:hAnsi="宋体"/>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vAlign w:val="top"/>
          </w:tcPr>
          <w:p>
            <w:pPr>
              <w:jc w:val="center"/>
              <w:rPr>
                <w:bCs/>
              </w:rPr>
            </w:pPr>
            <w:r>
              <w:rPr>
                <w:rFonts w:hint="eastAsia"/>
                <w:bCs/>
              </w:rPr>
              <w:t>70</w:t>
            </w:r>
            <w:r>
              <w:rPr>
                <w:bCs/>
              </w:rPr>
              <w:t>%≤＜</w:t>
            </w:r>
            <w:r>
              <w:rPr>
                <w:rFonts w:hint="eastAsia"/>
                <w:bCs/>
              </w:rPr>
              <w:t>75</w:t>
            </w:r>
            <w:r>
              <w:rPr>
                <w:bCs/>
              </w:rPr>
              <w:t>%</w:t>
            </w:r>
          </w:p>
        </w:tc>
        <w:tc>
          <w:tcPr>
            <w:tcW w:w="4261" w:type="dxa"/>
            <w:vAlign w:val="top"/>
          </w:tcPr>
          <w:p>
            <w:pPr>
              <w:snapToGrid w:val="0"/>
              <w:jc w:val="center"/>
              <w:rPr>
                <w:rFonts w:hAnsi="宋体"/>
              </w:rPr>
            </w:pPr>
            <w:r>
              <w:rPr>
                <w:rFonts w:hint="eastAsia" w:hAnsi="宋体"/>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vAlign w:val="top"/>
          </w:tcPr>
          <w:p>
            <w:pPr>
              <w:jc w:val="center"/>
              <w:rPr>
                <w:bCs/>
              </w:rPr>
            </w:pPr>
            <w:r>
              <w:rPr>
                <w:rFonts w:hint="eastAsia"/>
                <w:bCs/>
              </w:rPr>
              <w:t>75</w:t>
            </w:r>
            <w:r>
              <w:rPr>
                <w:bCs/>
              </w:rPr>
              <w:t>%≤＜</w:t>
            </w:r>
            <w:r>
              <w:rPr>
                <w:rFonts w:hint="eastAsia"/>
                <w:bCs/>
              </w:rPr>
              <w:t>80</w:t>
            </w:r>
            <w:r>
              <w:rPr>
                <w:bCs/>
              </w:rPr>
              <w:t>%</w:t>
            </w:r>
          </w:p>
        </w:tc>
        <w:tc>
          <w:tcPr>
            <w:tcW w:w="4261" w:type="dxa"/>
            <w:vAlign w:val="top"/>
          </w:tcPr>
          <w:p>
            <w:pPr>
              <w:snapToGrid w:val="0"/>
              <w:jc w:val="center"/>
              <w:rPr>
                <w:rFonts w:hAnsi="宋体"/>
              </w:rPr>
            </w:pPr>
            <w:r>
              <w:rPr>
                <w:rFonts w:hint="eastAsia" w:hAnsi="宋体"/>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vAlign w:val="top"/>
          </w:tcPr>
          <w:p>
            <w:pPr>
              <w:jc w:val="center"/>
            </w:pPr>
            <w:r>
              <w:rPr>
                <w:bCs/>
              </w:rPr>
              <w:t>≥</w:t>
            </w:r>
            <w:r>
              <w:rPr>
                <w:rFonts w:hint="eastAsia"/>
                <w:bCs/>
              </w:rPr>
              <w:t>80</w:t>
            </w:r>
            <w:r>
              <w:rPr>
                <w:bCs/>
              </w:rPr>
              <w:t>%</w:t>
            </w:r>
          </w:p>
        </w:tc>
        <w:tc>
          <w:tcPr>
            <w:tcW w:w="4261" w:type="dxa"/>
            <w:vAlign w:val="top"/>
          </w:tcPr>
          <w:p>
            <w:pPr>
              <w:snapToGrid w:val="0"/>
              <w:jc w:val="center"/>
              <w:rPr>
                <w:rFonts w:hAnsi="宋体"/>
              </w:rPr>
            </w:pPr>
            <w:r>
              <w:rPr>
                <w:rFonts w:hint="eastAsia" w:hAnsi="宋体"/>
              </w:rPr>
              <w:t>8</w:t>
            </w:r>
          </w:p>
        </w:tc>
      </w:tr>
    </w:tbl>
    <w:p>
      <w:pPr>
        <w:pStyle w:val="87"/>
        <w:spacing w:line="360" w:lineRule="auto"/>
        <w:ind w:firstLine="0" w:firstLineChars="0"/>
        <w:outlineLvl w:val="9"/>
        <w:rPr>
          <w:rFonts w:ascii="仿宋" w:hAnsi="仿宋" w:eastAsia="仿宋"/>
          <w:color w:val="FF0000"/>
        </w:rPr>
      </w:pPr>
      <w:r>
        <w:rPr>
          <w:rFonts w:ascii="仿宋" w:hAnsi="仿宋" w:eastAsia="仿宋"/>
          <w:color w:val="FF0000"/>
        </w:rPr>
        <w:t>【条文说明】：</w:t>
      </w:r>
      <w:r>
        <w:rPr>
          <w:rFonts w:hint="eastAsia" w:ascii="仿宋" w:hAnsi="仿宋" w:eastAsia="仿宋"/>
          <w:color w:val="FF0000"/>
        </w:rPr>
        <w:t>与国家标准基本一致，考虑到深圳地区公共建筑外窗需要同时兼顾采光和节能要求，将达标面积比例降低到50%进行起步得分。</w:t>
      </w:r>
    </w:p>
    <w:p>
      <w:pPr>
        <w:pStyle w:val="87"/>
        <w:spacing w:line="360" w:lineRule="auto"/>
        <w:ind w:firstLine="0" w:firstLineChars="0"/>
        <w:outlineLvl w:val="9"/>
        <w:rPr>
          <w:rFonts w:ascii="仿宋" w:hAnsi="仿宋" w:eastAsia="仿宋"/>
          <w:color w:val="FF0000"/>
        </w:rPr>
      </w:pPr>
      <w:r>
        <w:rPr>
          <w:rFonts w:hint="eastAsia" w:ascii="仿宋" w:hAnsi="仿宋" w:eastAsia="仿宋"/>
          <w:color w:val="FF0000"/>
        </w:rPr>
        <w:t>充足的天然采光有利于居住者的生理和心理健康，同时也有利于降低人工照明能耗。各种光源的视觉试验结果表明，在同样照度的条件下，天然光的辨认能力优于人工光，从而有利于人们工作、生活、保护视力和提高劳动生产率。</w:t>
      </w:r>
    </w:p>
    <w:p>
      <w:pPr>
        <w:snapToGrid w:val="0"/>
        <w:spacing w:line="300" w:lineRule="auto"/>
        <w:rPr>
          <w:b/>
        </w:rPr>
      </w:pPr>
    </w:p>
    <w:p>
      <w:pPr>
        <w:snapToGrid w:val="0"/>
        <w:spacing w:line="360" w:lineRule="auto"/>
        <w:rPr>
          <w:sz w:val="24"/>
        </w:rPr>
      </w:pPr>
      <w:r>
        <w:rPr>
          <w:rFonts w:hint="eastAsia"/>
          <w:b/>
          <w:sz w:val="24"/>
        </w:rPr>
        <w:t>10</w:t>
      </w:r>
      <w:r>
        <w:rPr>
          <w:b/>
          <w:sz w:val="24"/>
        </w:rPr>
        <w:t>.2.7</w:t>
      </w:r>
      <w:r>
        <w:rPr>
          <w:rFonts w:hAnsi="宋体"/>
          <w:sz w:val="24"/>
        </w:rPr>
        <w:t>　改善建筑室内天然采光效果，</w:t>
      </w:r>
      <w:r>
        <w:rPr>
          <w:rFonts w:hAnsi="宋体"/>
          <w:bCs/>
          <w:sz w:val="24"/>
        </w:rPr>
        <w:t>评价总分值为</w:t>
      </w:r>
      <w:r>
        <w:rPr>
          <w:bCs/>
          <w:sz w:val="24"/>
        </w:rPr>
        <w:t>1</w:t>
      </w:r>
      <w:r>
        <w:rPr>
          <w:rFonts w:hint="eastAsia"/>
          <w:bCs/>
          <w:sz w:val="24"/>
        </w:rPr>
        <w:t>2</w:t>
      </w:r>
      <w:r>
        <w:rPr>
          <w:rFonts w:hAnsi="宋体"/>
          <w:bCs/>
          <w:sz w:val="24"/>
        </w:rPr>
        <w:t>分，并按下列规则分别评分并累计</w:t>
      </w:r>
      <w:r>
        <w:rPr>
          <w:rFonts w:hAnsi="宋体"/>
          <w:sz w:val="24"/>
        </w:rPr>
        <w:t>：</w:t>
      </w:r>
    </w:p>
    <w:p>
      <w:pPr>
        <w:snapToGrid w:val="0"/>
        <w:spacing w:line="360" w:lineRule="auto"/>
        <w:ind w:firstLine="481" w:firstLineChars="200"/>
        <w:rPr>
          <w:sz w:val="24"/>
        </w:rPr>
      </w:pPr>
      <w:r>
        <w:rPr>
          <w:b/>
          <w:sz w:val="24"/>
        </w:rPr>
        <w:t>1</w:t>
      </w:r>
      <w:r>
        <w:rPr>
          <w:rFonts w:hAnsi="宋体"/>
          <w:sz w:val="24"/>
        </w:rPr>
        <w:t>　主要功能房间有合理的控制眩光措施，得</w:t>
      </w:r>
      <w:r>
        <w:rPr>
          <w:rFonts w:hint="eastAsia"/>
          <w:sz w:val="24"/>
        </w:rPr>
        <w:t>2</w:t>
      </w:r>
      <w:r>
        <w:rPr>
          <w:rFonts w:hAnsi="宋体"/>
          <w:sz w:val="24"/>
        </w:rPr>
        <w:t>分；</w:t>
      </w:r>
    </w:p>
    <w:p>
      <w:pPr>
        <w:snapToGrid w:val="0"/>
        <w:spacing w:line="360" w:lineRule="auto"/>
        <w:ind w:firstLine="481" w:firstLineChars="200"/>
        <w:rPr>
          <w:sz w:val="24"/>
        </w:rPr>
      </w:pPr>
      <w:r>
        <w:rPr>
          <w:b/>
          <w:sz w:val="24"/>
        </w:rPr>
        <w:t>2</w:t>
      </w:r>
      <w:r>
        <w:rPr>
          <w:rFonts w:hAnsi="宋体"/>
          <w:sz w:val="24"/>
        </w:rPr>
        <w:t>　</w:t>
      </w:r>
      <w:r>
        <w:rPr>
          <w:rFonts w:hint="eastAsia" w:hAnsi="宋体"/>
          <w:sz w:val="24"/>
        </w:rPr>
        <w:t>楼梯间、电梯前室、走廊等</w:t>
      </w:r>
      <w:r>
        <w:rPr>
          <w:rFonts w:hAnsi="宋体"/>
          <w:sz w:val="24"/>
        </w:rPr>
        <w:t>采光系数满足采光要求的面积比例不</w:t>
      </w:r>
      <w:r>
        <w:rPr>
          <w:rFonts w:hint="eastAsia" w:hAnsi="宋体"/>
          <w:sz w:val="24"/>
        </w:rPr>
        <w:t>小</w:t>
      </w:r>
      <w:r>
        <w:rPr>
          <w:rFonts w:hAnsi="宋体"/>
          <w:sz w:val="24"/>
        </w:rPr>
        <w:t>于</w:t>
      </w:r>
      <w:r>
        <w:rPr>
          <w:rFonts w:hint="eastAsia"/>
          <w:sz w:val="24"/>
        </w:rPr>
        <w:t>50</w:t>
      </w:r>
      <w:r>
        <w:rPr>
          <w:sz w:val="24"/>
        </w:rPr>
        <w:t>%</w:t>
      </w:r>
      <w:r>
        <w:rPr>
          <w:rFonts w:hAnsi="宋体"/>
          <w:sz w:val="24"/>
        </w:rPr>
        <w:t>，得</w:t>
      </w:r>
      <w:r>
        <w:rPr>
          <w:sz w:val="24"/>
        </w:rPr>
        <w:t>4</w:t>
      </w:r>
      <w:r>
        <w:rPr>
          <w:rFonts w:hAnsi="宋体"/>
          <w:sz w:val="24"/>
        </w:rPr>
        <w:t>分；</w:t>
      </w:r>
    </w:p>
    <w:p>
      <w:pPr>
        <w:snapToGrid w:val="0"/>
        <w:spacing w:line="360" w:lineRule="auto"/>
        <w:ind w:firstLine="481" w:firstLineChars="200"/>
        <w:rPr>
          <w:sz w:val="24"/>
        </w:rPr>
      </w:pPr>
      <w:r>
        <w:rPr>
          <w:b/>
          <w:sz w:val="24"/>
        </w:rPr>
        <w:t>3</w:t>
      </w:r>
      <w:r>
        <w:rPr>
          <w:rFonts w:hAnsi="宋体"/>
          <w:sz w:val="24"/>
        </w:rPr>
        <w:t>　地下空间平均采光系数不</w:t>
      </w:r>
      <w:r>
        <w:rPr>
          <w:rFonts w:hint="eastAsia" w:hAnsi="宋体"/>
          <w:sz w:val="24"/>
        </w:rPr>
        <w:t>小</w:t>
      </w:r>
      <w:r>
        <w:rPr>
          <w:rFonts w:hAnsi="宋体"/>
          <w:sz w:val="24"/>
        </w:rPr>
        <w:t>于</w:t>
      </w:r>
      <w:r>
        <w:rPr>
          <w:sz w:val="24"/>
        </w:rPr>
        <w:t>0.5%</w:t>
      </w:r>
      <w:r>
        <w:rPr>
          <w:rFonts w:hAnsi="宋体"/>
          <w:sz w:val="24"/>
        </w:rPr>
        <w:t>的面积达到首层地下室面积的</w:t>
      </w:r>
      <w:r>
        <w:rPr>
          <w:rFonts w:hint="eastAsia" w:hAnsi="宋体"/>
          <w:sz w:val="24"/>
        </w:rPr>
        <w:t>比例达到</w:t>
      </w:r>
      <w:r>
        <w:rPr>
          <w:sz w:val="24"/>
        </w:rPr>
        <w:t>5%</w:t>
      </w:r>
      <w:r>
        <w:rPr>
          <w:rFonts w:hAnsi="宋体"/>
          <w:sz w:val="24"/>
        </w:rPr>
        <w:t>，得</w:t>
      </w:r>
      <w:r>
        <w:rPr>
          <w:rFonts w:hint="eastAsia"/>
          <w:sz w:val="24"/>
        </w:rPr>
        <w:t>2</w:t>
      </w:r>
      <w:r>
        <w:rPr>
          <w:rFonts w:hAnsi="宋体"/>
          <w:sz w:val="24"/>
        </w:rPr>
        <w:t>分，</w:t>
      </w:r>
      <w:r>
        <w:rPr>
          <w:rFonts w:hint="eastAsia" w:hAnsi="宋体"/>
          <w:sz w:val="24"/>
        </w:rPr>
        <w:t>达到10</w:t>
      </w:r>
      <w:r>
        <w:rPr>
          <w:sz w:val="24"/>
        </w:rPr>
        <w:t>%</w:t>
      </w:r>
      <w:r>
        <w:rPr>
          <w:rFonts w:hAnsi="宋体"/>
          <w:sz w:val="24"/>
        </w:rPr>
        <w:t>，得</w:t>
      </w:r>
      <w:r>
        <w:rPr>
          <w:rFonts w:hint="eastAsia"/>
          <w:sz w:val="24"/>
        </w:rPr>
        <w:t>4</w:t>
      </w:r>
      <w:r>
        <w:rPr>
          <w:rFonts w:hAnsi="宋体"/>
          <w:sz w:val="24"/>
        </w:rPr>
        <w:t>分</w:t>
      </w:r>
      <w:r>
        <w:rPr>
          <w:rFonts w:hint="eastAsia" w:hAnsi="宋体"/>
          <w:sz w:val="24"/>
        </w:rPr>
        <w:t>，达到20%，得6分</w:t>
      </w:r>
      <w:r>
        <w:rPr>
          <w:rFonts w:hAnsi="宋体"/>
          <w:sz w:val="24"/>
        </w:rPr>
        <w:t>。</w:t>
      </w:r>
    </w:p>
    <w:p>
      <w:pPr>
        <w:pStyle w:val="87"/>
        <w:spacing w:line="360" w:lineRule="auto"/>
        <w:ind w:firstLine="0" w:firstLineChars="0"/>
        <w:outlineLvl w:val="9"/>
        <w:rPr>
          <w:rFonts w:ascii="仿宋" w:hAnsi="仿宋" w:eastAsia="仿宋"/>
          <w:color w:val="FF0000"/>
        </w:rPr>
      </w:pPr>
      <w:r>
        <w:rPr>
          <w:rFonts w:ascii="仿宋" w:hAnsi="仿宋" w:eastAsia="仿宋"/>
          <w:color w:val="FF0000"/>
        </w:rPr>
        <w:t>【条文说明】</w:t>
      </w:r>
      <w:r>
        <w:rPr>
          <w:rFonts w:hint="eastAsia" w:ascii="仿宋" w:hAnsi="仿宋" w:eastAsia="仿宋"/>
          <w:color w:val="FF0000"/>
        </w:rPr>
        <w:t>与国家标准基本一致，删去内区采光系数满足面积比例要求，此款在10.2.6条文中有重复，增加楼梯间、电梯前室、走廊等辅助功能房间可以进行自然采光要求（比如建科大楼的楼梯间、电梯前室、走廊、平台全部可以进行自然采光），调整眩光控制措施的得分，调整地下空间自然采光的得分。</w:t>
      </w:r>
    </w:p>
    <w:p>
      <w:pPr>
        <w:pStyle w:val="87"/>
        <w:spacing w:line="360" w:lineRule="auto"/>
        <w:ind w:firstLine="0" w:firstLineChars="0"/>
        <w:outlineLvl w:val="9"/>
        <w:rPr>
          <w:rFonts w:ascii="仿宋" w:hAnsi="仿宋" w:eastAsia="仿宋"/>
          <w:color w:val="FF0000"/>
        </w:rPr>
      </w:pPr>
      <w:r>
        <w:rPr>
          <w:rFonts w:hint="eastAsia" w:ascii="仿宋" w:hAnsi="仿宋" w:eastAsia="仿宋"/>
          <w:color w:val="FF0000"/>
        </w:rPr>
        <w:t>为了改善建筑室内天然采光效果，不仅要保证适宜的采光水平，还需要提高采光质量。本条文三款分别对控制眩光措施、内区采光、地下空间采光进行评价。</w:t>
      </w:r>
    </w:p>
    <w:p>
      <w:pPr>
        <w:spacing w:line="360" w:lineRule="auto"/>
        <w:rPr>
          <w:sz w:val="24"/>
        </w:rPr>
      </w:pPr>
    </w:p>
    <w:p>
      <w:pPr>
        <w:pStyle w:val="87"/>
        <w:ind w:firstLine="0" w:firstLineChars="0"/>
        <w:jc w:val="center"/>
      </w:pPr>
      <w:bookmarkStart w:id="112" w:name="_Toc449111687"/>
      <w:r>
        <w:rPr>
          <w:rFonts w:ascii="宋体" w:hAnsi="宋体"/>
        </w:rPr>
        <w:t>Ⅲ</w:t>
      </w:r>
      <w:r>
        <w:rPr>
          <w:rFonts w:hint="eastAsia" w:ascii="宋体" w:hAnsi="宋体"/>
        </w:rPr>
        <w:t xml:space="preserve"> </w:t>
      </w:r>
      <w:r>
        <w:rPr>
          <w:rFonts w:hAnsi="宋体"/>
        </w:rPr>
        <w:t>室内热湿环境</w:t>
      </w:r>
      <w:r>
        <w:rPr>
          <w:rFonts w:hint="eastAsia" w:hAnsi="宋体"/>
        </w:rPr>
        <w:t>（20）</w:t>
      </w:r>
      <w:bookmarkEnd w:id="112"/>
    </w:p>
    <w:p>
      <w:pPr>
        <w:snapToGrid w:val="0"/>
        <w:spacing w:line="360" w:lineRule="auto"/>
        <w:rPr>
          <w:rFonts w:hAnsi="宋体"/>
          <w:sz w:val="24"/>
        </w:rPr>
      </w:pPr>
      <w:r>
        <w:rPr>
          <w:rFonts w:hint="eastAsia"/>
          <w:b/>
          <w:sz w:val="24"/>
        </w:rPr>
        <w:t>10</w:t>
      </w:r>
      <w:r>
        <w:rPr>
          <w:b/>
          <w:sz w:val="24"/>
        </w:rPr>
        <w:t>.2.8</w:t>
      </w:r>
      <w:r>
        <w:rPr>
          <w:rFonts w:hAnsi="宋体"/>
          <w:sz w:val="24"/>
        </w:rPr>
        <w:t>　</w:t>
      </w:r>
      <w:r>
        <w:rPr>
          <w:rFonts w:hint="eastAsia" w:hAnsi="宋体"/>
          <w:sz w:val="24"/>
        </w:rPr>
        <w:t>主要功能房间</w:t>
      </w:r>
      <w:r>
        <w:rPr>
          <w:rFonts w:hAnsi="宋体"/>
          <w:sz w:val="24"/>
        </w:rPr>
        <w:t>采取可调节遮阳措施，降低夏季太阳辐射得热</w:t>
      </w:r>
      <w:r>
        <w:rPr>
          <w:rFonts w:hint="eastAsia" w:hAnsi="宋体"/>
          <w:sz w:val="24"/>
        </w:rPr>
        <w:t>，</w:t>
      </w:r>
      <w:r>
        <w:rPr>
          <w:rFonts w:hAnsi="宋体"/>
          <w:sz w:val="24"/>
        </w:rPr>
        <w:t>评价总分值为</w:t>
      </w:r>
      <w:r>
        <w:rPr>
          <w:sz w:val="24"/>
        </w:rPr>
        <w:t>12</w:t>
      </w:r>
      <w:r>
        <w:rPr>
          <w:rFonts w:hAnsi="宋体"/>
          <w:sz w:val="24"/>
        </w:rPr>
        <w:t>分。外窗和幕墙透明部分中，有可控遮阳调节措施的面积比例达到</w:t>
      </w:r>
      <w:r>
        <w:rPr>
          <w:rFonts w:hint="eastAsia"/>
          <w:sz w:val="24"/>
        </w:rPr>
        <w:t>1</w:t>
      </w:r>
      <w:r>
        <w:rPr>
          <w:sz w:val="24"/>
        </w:rPr>
        <w:t>5%</w:t>
      </w:r>
      <w:r>
        <w:rPr>
          <w:rFonts w:hAnsi="宋体"/>
          <w:sz w:val="24"/>
        </w:rPr>
        <w:t>，得</w:t>
      </w:r>
      <w:r>
        <w:rPr>
          <w:rFonts w:hint="eastAsia"/>
          <w:sz w:val="24"/>
        </w:rPr>
        <w:t>4</w:t>
      </w:r>
      <w:r>
        <w:rPr>
          <w:rFonts w:hAnsi="宋体"/>
          <w:sz w:val="24"/>
        </w:rPr>
        <w:t>分；达到</w:t>
      </w:r>
      <w:r>
        <w:rPr>
          <w:sz w:val="24"/>
        </w:rPr>
        <w:t>35%</w:t>
      </w:r>
      <w:r>
        <w:rPr>
          <w:rFonts w:hAnsi="宋体"/>
          <w:sz w:val="24"/>
        </w:rPr>
        <w:t>，得</w:t>
      </w:r>
      <w:r>
        <w:rPr>
          <w:rFonts w:hint="eastAsia"/>
          <w:sz w:val="24"/>
        </w:rPr>
        <w:t>8</w:t>
      </w:r>
      <w:r>
        <w:rPr>
          <w:rFonts w:hAnsi="宋体"/>
          <w:sz w:val="24"/>
        </w:rPr>
        <w:t>分；达到</w:t>
      </w:r>
      <w:r>
        <w:rPr>
          <w:sz w:val="24"/>
        </w:rPr>
        <w:t>50%</w:t>
      </w:r>
      <w:r>
        <w:rPr>
          <w:rFonts w:hAnsi="宋体"/>
          <w:sz w:val="24"/>
        </w:rPr>
        <w:t>，得</w:t>
      </w:r>
      <w:r>
        <w:rPr>
          <w:sz w:val="24"/>
        </w:rPr>
        <w:t>12</w:t>
      </w:r>
      <w:r>
        <w:rPr>
          <w:rFonts w:hAnsi="宋体"/>
          <w:sz w:val="24"/>
        </w:rPr>
        <w:t>分。</w:t>
      </w:r>
    </w:p>
    <w:p>
      <w:pPr>
        <w:pStyle w:val="87"/>
        <w:spacing w:line="360" w:lineRule="auto"/>
        <w:ind w:firstLine="0" w:firstLineChars="0"/>
        <w:outlineLvl w:val="9"/>
        <w:rPr>
          <w:rFonts w:ascii="仿宋" w:hAnsi="仿宋" w:eastAsia="仿宋"/>
          <w:color w:val="FF0000"/>
        </w:rPr>
      </w:pPr>
      <w:r>
        <w:rPr>
          <w:rFonts w:ascii="仿宋" w:hAnsi="仿宋" w:eastAsia="仿宋"/>
          <w:color w:val="FF0000"/>
        </w:rPr>
        <w:t>【条文说明】</w:t>
      </w:r>
      <w:r>
        <w:rPr>
          <w:rFonts w:hint="eastAsia" w:ascii="仿宋" w:hAnsi="仿宋" w:eastAsia="仿宋"/>
          <w:color w:val="FF0000"/>
        </w:rPr>
        <w:t>与国家标准基本一致，降低最低比例要求，增加得分档次，使之具备可操作性。明确范围为主要功能房间，一些辅助房间如楼梯间、设备房、卫生间、厨房不计入统计面积。可调遮阳措施包括活动外遮阳设施、永久设施（中空玻璃夹层智能内遮阳）、固定外遮阳加内部高反射率可调节遮阳等措施。对于没有阳光直射的透明围护结构（如玻璃幕墙后为实墙等），不计入面积计算。</w:t>
      </w:r>
    </w:p>
    <w:p>
      <w:pPr>
        <w:snapToGrid w:val="0"/>
        <w:spacing w:line="360" w:lineRule="auto"/>
        <w:rPr>
          <w:sz w:val="24"/>
        </w:rPr>
      </w:pPr>
    </w:p>
    <w:p>
      <w:pPr>
        <w:snapToGrid w:val="0"/>
        <w:spacing w:line="360" w:lineRule="auto"/>
        <w:rPr>
          <w:sz w:val="24"/>
        </w:rPr>
      </w:pPr>
      <w:r>
        <w:rPr>
          <w:rFonts w:hint="eastAsia"/>
          <w:b/>
          <w:sz w:val="24"/>
        </w:rPr>
        <w:t>10</w:t>
      </w:r>
      <w:r>
        <w:rPr>
          <w:b/>
          <w:sz w:val="24"/>
        </w:rPr>
        <w:t>.2.9</w:t>
      </w:r>
      <w:r>
        <w:rPr>
          <w:rFonts w:hAnsi="宋体"/>
          <w:sz w:val="24"/>
        </w:rPr>
        <w:t>　供暖空调系统末端现场可独立调节，评价总分值为</w:t>
      </w:r>
      <w:r>
        <w:rPr>
          <w:sz w:val="24"/>
        </w:rPr>
        <w:t>8</w:t>
      </w:r>
      <w:r>
        <w:rPr>
          <w:rFonts w:hAnsi="宋体"/>
          <w:sz w:val="24"/>
        </w:rPr>
        <w:t>分。供暖、空调末端装置可独立启停的主要功能房间数量比例达到</w:t>
      </w:r>
      <w:r>
        <w:rPr>
          <w:sz w:val="24"/>
        </w:rPr>
        <w:t>70%</w:t>
      </w:r>
      <w:r>
        <w:rPr>
          <w:rFonts w:hAnsi="宋体"/>
          <w:sz w:val="24"/>
        </w:rPr>
        <w:t>，得</w:t>
      </w:r>
      <w:r>
        <w:rPr>
          <w:sz w:val="24"/>
        </w:rPr>
        <w:t>4</w:t>
      </w:r>
      <w:r>
        <w:rPr>
          <w:rFonts w:hAnsi="宋体"/>
          <w:sz w:val="24"/>
        </w:rPr>
        <w:t>分；达到</w:t>
      </w:r>
      <w:r>
        <w:rPr>
          <w:sz w:val="24"/>
        </w:rPr>
        <w:t>90%</w:t>
      </w:r>
      <w:r>
        <w:rPr>
          <w:rFonts w:hAnsi="宋体"/>
          <w:sz w:val="24"/>
        </w:rPr>
        <w:t>，得</w:t>
      </w:r>
      <w:r>
        <w:rPr>
          <w:sz w:val="24"/>
        </w:rPr>
        <w:t>8</w:t>
      </w:r>
      <w:r>
        <w:rPr>
          <w:rFonts w:hAnsi="宋体"/>
          <w:sz w:val="24"/>
        </w:rPr>
        <w:t>分。</w:t>
      </w:r>
    </w:p>
    <w:p>
      <w:pPr>
        <w:pStyle w:val="87"/>
        <w:spacing w:line="360" w:lineRule="auto"/>
        <w:ind w:firstLine="0" w:firstLineChars="0"/>
        <w:outlineLvl w:val="9"/>
        <w:rPr>
          <w:rFonts w:ascii="仿宋" w:hAnsi="仿宋" w:eastAsia="仿宋"/>
          <w:color w:val="FF0000"/>
        </w:rPr>
      </w:pPr>
      <w:r>
        <w:rPr>
          <w:rFonts w:ascii="仿宋" w:hAnsi="仿宋" w:eastAsia="仿宋"/>
          <w:color w:val="FF0000"/>
        </w:rPr>
        <w:t>【条文说明】</w:t>
      </w:r>
      <w:r>
        <w:rPr>
          <w:rFonts w:hint="eastAsia" w:ascii="仿宋" w:hAnsi="仿宋" w:eastAsia="仿宋"/>
          <w:color w:val="FF0000"/>
        </w:rPr>
        <w:t>与国家标准一致。本条文强调室内热舒适的调控性，包括主动式供暖空调末端的可调性及个性化的调节措施，总的目标是尽量地满足用户改善个人热舒适的差异化需求。</w:t>
      </w:r>
    </w:p>
    <w:p>
      <w:pPr>
        <w:pStyle w:val="87"/>
        <w:spacing w:line="360" w:lineRule="auto"/>
        <w:ind w:firstLine="0" w:firstLineChars="0"/>
        <w:outlineLvl w:val="9"/>
        <w:rPr>
          <w:color w:val="FF0000"/>
          <w:sz w:val="22"/>
          <w:szCs w:val="21"/>
        </w:rPr>
      </w:pPr>
    </w:p>
    <w:p>
      <w:pPr>
        <w:pStyle w:val="87"/>
        <w:ind w:firstLine="0" w:firstLineChars="0"/>
        <w:jc w:val="center"/>
      </w:pPr>
      <w:bookmarkStart w:id="113" w:name="_Toc449111688"/>
      <w:r>
        <w:rPr>
          <w:rFonts w:ascii="宋体" w:hAnsi="宋体"/>
        </w:rPr>
        <w:t>Ⅳ</w:t>
      </w:r>
      <w:r>
        <w:rPr>
          <w:rFonts w:hint="eastAsia" w:ascii="宋体" w:hAnsi="宋体"/>
        </w:rPr>
        <w:t xml:space="preserve"> </w:t>
      </w:r>
      <w:r>
        <w:rPr>
          <w:rFonts w:hAnsi="宋体"/>
        </w:rPr>
        <w:t>室内空气质量</w:t>
      </w:r>
      <w:r>
        <w:rPr>
          <w:rFonts w:hint="eastAsia" w:hAnsi="宋体"/>
        </w:rPr>
        <w:t>（38）</w:t>
      </w:r>
      <w:bookmarkEnd w:id="113"/>
    </w:p>
    <w:p>
      <w:pPr>
        <w:snapToGrid w:val="0"/>
        <w:spacing w:line="360" w:lineRule="auto"/>
        <w:rPr>
          <w:sz w:val="24"/>
        </w:rPr>
      </w:pPr>
      <w:r>
        <w:rPr>
          <w:rFonts w:hint="eastAsia"/>
          <w:b/>
          <w:sz w:val="24"/>
        </w:rPr>
        <w:t>10</w:t>
      </w:r>
      <w:r>
        <w:rPr>
          <w:b/>
          <w:sz w:val="24"/>
        </w:rPr>
        <w:t>.2.10</w:t>
      </w:r>
      <w:r>
        <w:rPr>
          <w:rFonts w:hAnsi="宋体"/>
          <w:sz w:val="24"/>
        </w:rPr>
        <w:t>　优化建筑空间、平面布局和构造设计，改善自然通风效果，</w:t>
      </w:r>
      <w:r>
        <w:rPr>
          <w:rFonts w:hAnsi="宋体"/>
          <w:bCs/>
          <w:sz w:val="24"/>
        </w:rPr>
        <w:t>评价总分值为</w:t>
      </w:r>
      <w:r>
        <w:rPr>
          <w:rFonts w:hint="eastAsia"/>
          <w:bCs/>
          <w:sz w:val="24"/>
        </w:rPr>
        <w:t>15</w:t>
      </w:r>
      <w:r>
        <w:rPr>
          <w:rFonts w:hAnsi="宋体"/>
          <w:bCs/>
          <w:sz w:val="24"/>
        </w:rPr>
        <w:t>分，并按下列规则评分</w:t>
      </w:r>
      <w:r>
        <w:rPr>
          <w:rFonts w:hAnsi="宋体"/>
          <w:sz w:val="24"/>
        </w:rPr>
        <w:t>：</w:t>
      </w:r>
    </w:p>
    <w:p>
      <w:pPr>
        <w:snapToGrid w:val="0"/>
        <w:spacing w:line="360" w:lineRule="auto"/>
        <w:ind w:firstLine="481" w:firstLineChars="200"/>
        <w:rPr>
          <w:sz w:val="24"/>
        </w:rPr>
      </w:pPr>
      <w:r>
        <w:rPr>
          <w:b/>
          <w:sz w:val="24"/>
        </w:rPr>
        <w:t>1</w:t>
      </w:r>
      <w:r>
        <w:rPr>
          <w:rFonts w:hAnsi="宋体"/>
          <w:sz w:val="24"/>
        </w:rPr>
        <w:t>　居住建筑：按下列</w:t>
      </w:r>
      <w:r>
        <w:rPr>
          <w:rFonts w:hint="eastAsia"/>
          <w:sz w:val="24"/>
        </w:rPr>
        <w:t>4</w:t>
      </w:r>
      <w:r>
        <w:rPr>
          <w:rFonts w:hAnsi="宋体"/>
          <w:sz w:val="24"/>
        </w:rPr>
        <w:t>项的规则分别评分并累计：</w:t>
      </w:r>
    </w:p>
    <w:p>
      <w:pPr>
        <w:pStyle w:val="78"/>
        <w:numPr>
          <w:ilvl w:val="0"/>
          <w:numId w:val="5"/>
        </w:numPr>
        <w:snapToGrid w:val="0"/>
        <w:spacing w:line="360" w:lineRule="auto"/>
        <w:ind w:firstLineChars="0"/>
        <w:rPr>
          <w:rFonts w:hAnsi="宋体"/>
          <w:sz w:val="24"/>
        </w:rPr>
      </w:pPr>
      <w:r>
        <w:rPr>
          <w:rFonts w:hAnsi="宋体"/>
          <w:sz w:val="24"/>
        </w:rPr>
        <w:t>设有明卫，得</w:t>
      </w:r>
      <w:r>
        <w:rPr>
          <w:sz w:val="24"/>
        </w:rPr>
        <w:t>3</w:t>
      </w:r>
      <w:r>
        <w:rPr>
          <w:rFonts w:hAnsi="宋体"/>
          <w:sz w:val="24"/>
        </w:rPr>
        <w:t>分。</w:t>
      </w:r>
    </w:p>
    <w:p>
      <w:pPr>
        <w:pStyle w:val="78"/>
        <w:numPr>
          <w:ilvl w:val="0"/>
          <w:numId w:val="5"/>
        </w:numPr>
        <w:snapToGrid w:val="0"/>
        <w:spacing w:line="360" w:lineRule="auto"/>
        <w:ind w:firstLineChars="0"/>
        <w:rPr>
          <w:sz w:val="24"/>
        </w:rPr>
      </w:pPr>
      <w:r>
        <w:rPr>
          <w:rFonts w:hAnsi="宋体"/>
          <w:sz w:val="24"/>
        </w:rPr>
        <w:t>外窗的</w:t>
      </w:r>
      <w:r>
        <w:rPr>
          <w:rFonts w:hint="eastAsia" w:hAnsi="宋体"/>
          <w:sz w:val="24"/>
        </w:rPr>
        <w:t>通风开口面积与房间地板面积的比例达到10%，得4分，达到12%，得6分；</w:t>
      </w:r>
    </w:p>
    <w:p>
      <w:pPr>
        <w:pStyle w:val="78"/>
        <w:numPr>
          <w:ilvl w:val="0"/>
          <w:numId w:val="5"/>
        </w:numPr>
        <w:snapToGrid w:val="0"/>
        <w:spacing w:line="360" w:lineRule="auto"/>
        <w:ind w:firstLineChars="0"/>
        <w:rPr>
          <w:rFonts w:hAnsi="宋体"/>
          <w:sz w:val="24"/>
        </w:rPr>
      </w:pPr>
      <w:r>
        <w:rPr>
          <w:rFonts w:hint="eastAsia" w:hAnsi="宋体"/>
          <w:sz w:val="24"/>
        </w:rPr>
        <w:t>不少于75%的住户可以形成穿堂风</w:t>
      </w:r>
      <w:r>
        <w:rPr>
          <w:rFonts w:hAnsi="宋体"/>
          <w:sz w:val="24"/>
        </w:rPr>
        <w:t>，得</w:t>
      </w:r>
      <w:r>
        <w:rPr>
          <w:sz w:val="24"/>
        </w:rPr>
        <w:t>3</w:t>
      </w:r>
      <w:r>
        <w:rPr>
          <w:rFonts w:hAnsi="宋体"/>
          <w:sz w:val="24"/>
        </w:rPr>
        <w:t>分</w:t>
      </w:r>
      <w:r>
        <w:rPr>
          <w:rFonts w:hint="eastAsia" w:hAnsi="宋体"/>
          <w:sz w:val="24"/>
        </w:rPr>
        <w:t>；</w:t>
      </w:r>
    </w:p>
    <w:p>
      <w:pPr>
        <w:pStyle w:val="78"/>
        <w:numPr>
          <w:ilvl w:val="0"/>
          <w:numId w:val="5"/>
        </w:numPr>
        <w:snapToGrid w:val="0"/>
        <w:spacing w:line="360" w:lineRule="auto"/>
        <w:ind w:firstLineChars="0"/>
        <w:rPr>
          <w:sz w:val="24"/>
        </w:rPr>
      </w:pPr>
      <w:r>
        <w:rPr>
          <w:rFonts w:hint="eastAsia"/>
          <w:sz w:val="24"/>
        </w:rPr>
        <w:t>不少于75%的住户的厨房和卫生间设置于户型的下风侧，或设置于户型自然通风的负压侧，得3分。</w:t>
      </w:r>
    </w:p>
    <w:p>
      <w:pPr>
        <w:snapToGrid w:val="0"/>
        <w:spacing w:line="360" w:lineRule="auto"/>
        <w:ind w:firstLine="481" w:firstLineChars="200"/>
        <w:rPr>
          <w:rFonts w:hAnsi="宋体"/>
          <w:sz w:val="24"/>
        </w:rPr>
      </w:pPr>
      <w:r>
        <w:rPr>
          <w:b/>
          <w:sz w:val="24"/>
        </w:rPr>
        <w:t>2</w:t>
      </w:r>
      <w:r>
        <w:rPr>
          <w:rFonts w:hAnsi="宋体"/>
          <w:sz w:val="24"/>
        </w:rPr>
        <w:t>　公共建筑：按下列</w:t>
      </w:r>
      <w:r>
        <w:rPr>
          <w:rFonts w:hint="eastAsia"/>
          <w:sz w:val="24"/>
        </w:rPr>
        <w:t>2</w:t>
      </w:r>
      <w:r>
        <w:rPr>
          <w:rFonts w:hAnsi="宋体"/>
          <w:sz w:val="24"/>
        </w:rPr>
        <w:t>项的规则分别评分并累计：</w:t>
      </w:r>
    </w:p>
    <w:p>
      <w:pPr>
        <w:pStyle w:val="78"/>
        <w:numPr>
          <w:ilvl w:val="0"/>
          <w:numId w:val="6"/>
        </w:numPr>
        <w:snapToGrid w:val="0"/>
        <w:spacing w:line="360" w:lineRule="auto"/>
        <w:ind w:firstLineChars="0"/>
        <w:rPr>
          <w:rFonts w:hAnsi="宋体"/>
          <w:sz w:val="24"/>
        </w:rPr>
      </w:pPr>
      <w:r>
        <w:rPr>
          <w:rFonts w:hAnsi="宋体"/>
          <w:sz w:val="24"/>
        </w:rPr>
        <w:t>在过渡季典型工况下，主要功能房间的平均自然通风换气次数不小于2次/h</w:t>
      </w:r>
      <w:r>
        <w:rPr>
          <w:rFonts w:hint="eastAsia" w:hAnsi="宋体"/>
          <w:sz w:val="24"/>
        </w:rPr>
        <w:t>的面积比例，按表10.2.10的规则评分</w:t>
      </w:r>
      <w:r>
        <w:rPr>
          <w:rFonts w:hAnsi="宋体"/>
          <w:sz w:val="24"/>
        </w:rPr>
        <w:t>，最高得10分</w:t>
      </w:r>
      <w:r>
        <w:rPr>
          <w:rFonts w:hint="eastAsia" w:hAnsi="宋体"/>
          <w:sz w:val="24"/>
        </w:rPr>
        <w:t>；</w:t>
      </w:r>
    </w:p>
    <w:p>
      <w:pPr>
        <w:snapToGrid w:val="0"/>
        <w:spacing w:line="300" w:lineRule="auto"/>
        <w:jc w:val="center"/>
        <w:rPr>
          <w:rFonts w:hAnsi="宋体"/>
          <w:b/>
        </w:rPr>
      </w:pPr>
      <w:r>
        <w:rPr>
          <w:rFonts w:hint="eastAsia" w:hAnsi="宋体"/>
          <w:b/>
        </w:rPr>
        <w:t>表10.2.10 公共建筑过渡季节典型工况下主要功能房间自然评分规则</w:t>
      </w:r>
    </w:p>
    <w:tbl>
      <w:tblPr>
        <w:tblStyle w:val="38"/>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1"/>
        <w:gridCol w:w="42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vAlign w:val="top"/>
          </w:tcPr>
          <w:p>
            <w:pPr>
              <w:snapToGrid w:val="0"/>
              <w:jc w:val="center"/>
              <w:rPr>
                <w:rFonts w:hAnsi="宋体"/>
              </w:rPr>
            </w:pPr>
            <w:r>
              <w:rPr>
                <w:rFonts w:hint="eastAsia" w:hAnsi="宋体"/>
              </w:rPr>
              <w:t>面积比例</w:t>
            </w:r>
          </w:p>
        </w:tc>
        <w:tc>
          <w:tcPr>
            <w:tcW w:w="4261" w:type="dxa"/>
            <w:vAlign w:val="top"/>
          </w:tcPr>
          <w:p>
            <w:pPr>
              <w:snapToGrid w:val="0"/>
              <w:jc w:val="center"/>
              <w:rPr>
                <w:rFonts w:hAnsi="宋体"/>
              </w:rPr>
            </w:pPr>
            <w:r>
              <w:rPr>
                <w:rFonts w:hint="eastAsia" w:hAnsi="宋体"/>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vAlign w:val="top"/>
          </w:tcPr>
          <w:p>
            <w:pPr>
              <w:jc w:val="center"/>
            </w:pPr>
            <w:r>
              <w:rPr>
                <w:rFonts w:hint="eastAsia"/>
                <w:bCs/>
              </w:rPr>
              <w:t>60</w:t>
            </w:r>
            <w:r>
              <w:rPr>
                <w:bCs/>
              </w:rPr>
              <w:t>%≤＜</w:t>
            </w:r>
            <w:r>
              <w:rPr>
                <w:rFonts w:hint="eastAsia"/>
                <w:bCs/>
              </w:rPr>
              <w:t>65</w:t>
            </w:r>
            <w:r>
              <w:rPr>
                <w:bCs/>
              </w:rPr>
              <w:t>%</w:t>
            </w:r>
          </w:p>
        </w:tc>
        <w:tc>
          <w:tcPr>
            <w:tcW w:w="4261" w:type="dxa"/>
            <w:vAlign w:val="top"/>
          </w:tcPr>
          <w:p>
            <w:pPr>
              <w:snapToGrid w:val="0"/>
              <w:jc w:val="center"/>
              <w:rPr>
                <w:rFonts w:hAnsi="宋体"/>
              </w:rPr>
            </w:pPr>
            <w:r>
              <w:rPr>
                <w:rFonts w:hint="eastAsia" w:hAnsi="宋体"/>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vAlign w:val="top"/>
          </w:tcPr>
          <w:p>
            <w:pPr>
              <w:jc w:val="center"/>
            </w:pPr>
            <w:r>
              <w:rPr>
                <w:rFonts w:hint="eastAsia"/>
                <w:bCs/>
              </w:rPr>
              <w:t>65</w:t>
            </w:r>
            <w:r>
              <w:rPr>
                <w:bCs/>
              </w:rPr>
              <w:t>%≤＜</w:t>
            </w:r>
            <w:r>
              <w:rPr>
                <w:rFonts w:hint="eastAsia"/>
                <w:bCs/>
              </w:rPr>
              <w:t>70</w:t>
            </w:r>
            <w:r>
              <w:rPr>
                <w:bCs/>
              </w:rPr>
              <w:t>%</w:t>
            </w:r>
          </w:p>
        </w:tc>
        <w:tc>
          <w:tcPr>
            <w:tcW w:w="4261" w:type="dxa"/>
            <w:vAlign w:val="top"/>
          </w:tcPr>
          <w:p>
            <w:pPr>
              <w:snapToGrid w:val="0"/>
              <w:jc w:val="center"/>
              <w:rPr>
                <w:rFonts w:hAnsi="宋体"/>
              </w:rPr>
            </w:pPr>
            <w:r>
              <w:rPr>
                <w:rFonts w:hint="eastAsia" w:hAnsi="宋体"/>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261" w:type="dxa"/>
            <w:vAlign w:val="top"/>
          </w:tcPr>
          <w:p>
            <w:pPr>
              <w:jc w:val="center"/>
              <w:rPr>
                <w:bCs/>
              </w:rPr>
            </w:pPr>
            <w:r>
              <w:rPr>
                <w:rFonts w:hint="eastAsia"/>
                <w:bCs/>
              </w:rPr>
              <w:t>70</w:t>
            </w:r>
            <w:r>
              <w:rPr>
                <w:bCs/>
              </w:rPr>
              <w:t>%≤＜</w:t>
            </w:r>
            <w:r>
              <w:rPr>
                <w:rFonts w:hint="eastAsia"/>
                <w:bCs/>
              </w:rPr>
              <w:t>75</w:t>
            </w:r>
            <w:r>
              <w:rPr>
                <w:bCs/>
              </w:rPr>
              <w:t>%</w:t>
            </w:r>
          </w:p>
        </w:tc>
        <w:tc>
          <w:tcPr>
            <w:tcW w:w="4261" w:type="dxa"/>
            <w:vAlign w:val="top"/>
          </w:tcPr>
          <w:p>
            <w:pPr>
              <w:snapToGrid w:val="0"/>
              <w:jc w:val="center"/>
              <w:rPr>
                <w:rFonts w:hAnsi="宋体"/>
              </w:rPr>
            </w:pPr>
            <w:r>
              <w:rPr>
                <w:rFonts w:hint="eastAsia" w:hAnsi="宋体"/>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vAlign w:val="top"/>
          </w:tcPr>
          <w:p>
            <w:pPr>
              <w:jc w:val="center"/>
              <w:rPr>
                <w:bCs/>
              </w:rPr>
            </w:pPr>
            <w:r>
              <w:rPr>
                <w:rFonts w:hint="eastAsia"/>
                <w:bCs/>
              </w:rPr>
              <w:t>75</w:t>
            </w:r>
            <w:r>
              <w:rPr>
                <w:bCs/>
              </w:rPr>
              <w:t>%≤＜</w:t>
            </w:r>
            <w:r>
              <w:rPr>
                <w:rFonts w:hint="eastAsia"/>
                <w:bCs/>
              </w:rPr>
              <w:t>80</w:t>
            </w:r>
            <w:r>
              <w:rPr>
                <w:bCs/>
              </w:rPr>
              <w:t>%</w:t>
            </w:r>
          </w:p>
        </w:tc>
        <w:tc>
          <w:tcPr>
            <w:tcW w:w="4261" w:type="dxa"/>
            <w:vAlign w:val="top"/>
          </w:tcPr>
          <w:p>
            <w:pPr>
              <w:snapToGrid w:val="0"/>
              <w:jc w:val="center"/>
              <w:rPr>
                <w:rFonts w:hAnsi="宋体"/>
              </w:rPr>
            </w:pPr>
            <w:r>
              <w:rPr>
                <w:rFonts w:hint="eastAsia" w:hAnsi="宋体"/>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vAlign w:val="top"/>
          </w:tcPr>
          <w:p>
            <w:pPr>
              <w:jc w:val="center"/>
              <w:rPr>
                <w:bCs/>
              </w:rPr>
            </w:pPr>
            <w:r>
              <w:rPr>
                <w:rFonts w:hint="eastAsia"/>
                <w:bCs/>
              </w:rPr>
              <w:t>80</w:t>
            </w:r>
            <w:r>
              <w:rPr>
                <w:bCs/>
              </w:rPr>
              <w:t>%≤＜</w:t>
            </w:r>
            <w:r>
              <w:rPr>
                <w:rFonts w:hint="eastAsia"/>
                <w:bCs/>
              </w:rPr>
              <w:t>85</w:t>
            </w:r>
            <w:r>
              <w:rPr>
                <w:bCs/>
              </w:rPr>
              <w:t>%</w:t>
            </w:r>
          </w:p>
        </w:tc>
        <w:tc>
          <w:tcPr>
            <w:tcW w:w="4261" w:type="dxa"/>
            <w:vAlign w:val="top"/>
          </w:tcPr>
          <w:p>
            <w:pPr>
              <w:snapToGrid w:val="0"/>
              <w:jc w:val="center"/>
              <w:rPr>
                <w:rFonts w:hAnsi="宋体"/>
              </w:rPr>
            </w:pPr>
            <w:r>
              <w:rPr>
                <w:rFonts w:hint="eastAsia" w:hAnsi="宋体"/>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vAlign w:val="top"/>
          </w:tcPr>
          <w:p>
            <w:pPr>
              <w:jc w:val="center"/>
              <w:rPr>
                <w:bCs/>
              </w:rPr>
            </w:pPr>
            <w:r>
              <w:rPr>
                <w:rFonts w:hint="eastAsia"/>
                <w:bCs/>
              </w:rPr>
              <w:t>85</w:t>
            </w:r>
            <w:r>
              <w:rPr>
                <w:bCs/>
              </w:rPr>
              <w:t>%≤＜</w:t>
            </w:r>
            <w:r>
              <w:rPr>
                <w:rFonts w:hint="eastAsia"/>
                <w:bCs/>
              </w:rPr>
              <w:t>90</w:t>
            </w:r>
            <w:r>
              <w:rPr>
                <w:bCs/>
              </w:rPr>
              <w:t>%</w:t>
            </w:r>
          </w:p>
        </w:tc>
        <w:tc>
          <w:tcPr>
            <w:tcW w:w="4261" w:type="dxa"/>
            <w:vAlign w:val="top"/>
          </w:tcPr>
          <w:p>
            <w:pPr>
              <w:snapToGrid w:val="0"/>
              <w:jc w:val="center"/>
              <w:rPr>
                <w:rFonts w:hAnsi="宋体"/>
              </w:rPr>
            </w:pPr>
            <w:r>
              <w:rPr>
                <w:rFonts w:hint="eastAsia" w:hAnsi="宋体"/>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261" w:type="dxa"/>
            <w:vAlign w:val="top"/>
          </w:tcPr>
          <w:p>
            <w:pPr>
              <w:jc w:val="center"/>
              <w:rPr>
                <w:bCs/>
              </w:rPr>
            </w:pPr>
            <w:r>
              <w:rPr>
                <w:rFonts w:hint="eastAsia"/>
                <w:bCs/>
              </w:rPr>
              <w:t>90</w:t>
            </w:r>
            <w:r>
              <w:rPr>
                <w:bCs/>
              </w:rPr>
              <w:t>%≤＜</w:t>
            </w:r>
            <w:r>
              <w:rPr>
                <w:rFonts w:hint="eastAsia"/>
                <w:bCs/>
              </w:rPr>
              <w:t>95</w:t>
            </w:r>
            <w:r>
              <w:rPr>
                <w:bCs/>
              </w:rPr>
              <w:t>%</w:t>
            </w:r>
          </w:p>
        </w:tc>
        <w:tc>
          <w:tcPr>
            <w:tcW w:w="4261" w:type="dxa"/>
            <w:vAlign w:val="top"/>
          </w:tcPr>
          <w:p>
            <w:pPr>
              <w:snapToGrid w:val="0"/>
              <w:jc w:val="center"/>
              <w:rPr>
                <w:rFonts w:hAnsi="宋体"/>
              </w:rPr>
            </w:pPr>
            <w:r>
              <w:rPr>
                <w:rFonts w:hint="eastAsia" w:hAnsi="宋体"/>
              </w:rP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vAlign w:val="top"/>
          </w:tcPr>
          <w:p>
            <w:pPr>
              <w:jc w:val="center"/>
            </w:pPr>
            <w:r>
              <w:rPr>
                <w:bCs/>
              </w:rPr>
              <w:t>≥</w:t>
            </w:r>
            <w:r>
              <w:rPr>
                <w:rFonts w:hint="eastAsia"/>
                <w:bCs/>
              </w:rPr>
              <w:t>95</w:t>
            </w:r>
            <w:r>
              <w:rPr>
                <w:bCs/>
              </w:rPr>
              <w:t>%</w:t>
            </w:r>
          </w:p>
        </w:tc>
        <w:tc>
          <w:tcPr>
            <w:tcW w:w="4261" w:type="dxa"/>
            <w:vAlign w:val="top"/>
          </w:tcPr>
          <w:p>
            <w:pPr>
              <w:snapToGrid w:val="0"/>
              <w:jc w:val="center"/>
              <w:rPr>
                <w:rFonts w:hAnsi="宋体"/>
              </w:rPr>
            </w:pPr>
            <w:r>
              <w:rPr>
                <w:rFonts w:hint="eastAsia" w:hAnsi="宋体"/>
              </w:rPr>
              <w:t>10</w:t>
            </w:r>
          </w:p>
        </w:tc>
      </w:tr>
    </w:tbl>
    <w:p>
      <w:pPr>
        <w:snapToGrid w:val="0"/>
        <w:spacing w:line="300" w:lineRule="auto"/>
        <w:rPr>
          <w:rFonts w:hAnsi="宋体"/>
        </w:rPr>
      </w:pPr>
    </w:p>
    <w:p>
      <w:pPr>
        <w:pStyle w:val="78"/>
        <w:numPr>
          <w:ilvl w:val="0"/>
          <w:numId w:val="6"/>
        </w:numPr>
        <w:snapToGrid w:val="0"/>
        <w:spacing w:line="360" w:lineRule="auto"/>
        <w:ind w:left="986" w:hanging="357" w:firstLineChars="0"/>
        <w:rPr>
          <w:rFonts w:hAnsi="宋体"/>
          <w:sz w:val="24"/>
        </w:rPr>
      </w:pPr>
      <w:r>
        <w:rPr>
          <w:rFonts w:hint="eastAsia" w:hAnsi="宋体"/>
          <w:sz w:val="24"/>
        </w:rPr>
        <w:t>建筑单体采用诱导气流方式，如导风墙、拔风井、热压中庭等，促进建筑室内自然通风，并采用数值模拟技术定量分析与优化设计方案，得5分。</w:t>
      </w:r>
    </w:p>
    <w:p>
      <w:pPr>
        <w:pStyle w:val="87"/>
        <w:spacing w:line="360" w:lineRule="auto"/>
        <w:ind w:firstLine="0" w:firstLineChars="0"/>
        <w:outlineLvl w:val="9"/>
        <w:rPr>
          <w:rFonts w:ascii="仿宋" w:hAnsi="仿宋" w:eastAsia="仿宋"/>
          <w:color w:val="FF0000"/>
        </w:rPr>
      </w:pPr>
      <w:r>
        <w:rPr>
          <w:rFonts w:hint="eastAsia" w:ascii="仿宋" w:hAnsi="仿宋" w:eastAsia="仿宋"/>
          <w:color w:val="FF0000"/>
        </w:rPr>
        <w:t>【条文说明】与国家标准相比，提高总分从13分提高到15分，提高得分标准要求，将深圳标准2009版中的穿堂风、促进室内自然通风等措施进行得分，主要也是考虑到深圳地区自然通风为主要被动式技术手段。通风模拟分析的边界条件要采用《深圳市居住建筑节能设计标准实施细则》SZJG15(修订中)主导风向和风速进行分析。</w:t>
      </w:r>
    </w:p>
    <w:p>
      <w:pPr>
        <w:snapToGrid w:val="0"/>
        <w:spacing w:line="300" w:lineRule="auto"/>
        <w:rPr>
          <w:rFonts w:hAnsi="宋体"/>
        </w:rPr>
      </w:pPr>
    </w:p>
    <w:p>
      <w:pPr>
        <w:snapToGrid w:val="0"/>
        <w:spacing w:line="360" w:lineRule="auto"/>
        <w:rPr>
          <w:sz w:val="24"/>
        </w:rPr>
      </w:pPr>
      <w:r>
        <w:rPr>
          <w:rFonts w:hint="eastAsia"/>
          <w:b/>
          <w:sz w:val="24"/>
        </w:rPr>
        <w:t>10</w:t>
      </w:r>
      <w:r>
        <w:rPr>
          <w:b/>
          <w:sz w:val="24"/>
        </w:rPr>
        <w:t>.2.11</w:t>
      </w:r>
      <w:r>
        <w:rPr>
          <w:rFonts w:hAnsi="宋体"/>
          <w:sz w:val="24"/>
        </w:rPr>
        <w:t>　气流组织合理，</w:t>
      </w:r>
      <w:r>
        <w:rPr>
          <w:rFonts w:hAnsi="宋体"/>
          <w:bCs/>
          <w:sz w:val="24"/>
        </w:rPr>
        <w:t>评价总分值为</w:t>
      </w:r>
      <w:r>
        <w:rPr>
          <w:rFonts w:hint="eastAsia"/>
          <w:bCs/>
          <w:sz w:val="24"/>
        </w:rPr>
        <w:t>5</w:t>
      </w:r>
      <w:r>
        <w:rPr>
          <w:rFonts w:hAnsi="宋体"/>
          <w:bCs/>
          <w:sz w:val="24"/>
        </w:rPr>
        <w:t>分，并按下列规则分别评分并累计</w:t>
      </w:r>
      <w:r>
        <w:rPr>
          <w:rFonts w:hAnsi="宋体"/>
          <w:sz w:val="24"/>
        </w:rPr>
        <w:t>：</w:t>
      </w:r>
    </w:p>
    <w:p>
      <w:pPr>
        <w:snapToGrid w:val="0"/>
        <w:spacing w:line="360" w:lineRule="auto"/>
        <w:ind w:firstLine="481" w:firstLineChars="200"/>
        <w:rPr>
          <w:sz w:val="24"/>
        </w:rPr>
      </w:pPr>
      <w:r>
        <w:rPr>
          <w:b/>
          <w:sz w:val="24"/>
        </w:rPr>
        <w:t>1</w:t>
      </w:r>
      <w:r>
        <w:rPr>
          <w:rFonts w:hAnsi="宋体"/>
          <w:sz w:val="24"/>
        </w:rPr>
        <w:t>　重要功能区域供暖、通风与空调工况下的气流组织满足热环境参数设计要求，得</w:t>
      </w:r>
      <w:r>
        <w:rPr>
          <w:rFonts w:hint="eastAsia"/>
          <w:sz w:val="24"/>
        </w:rPr>
        <w:t>2</w:t>
      </w:r>
      <w:r>
        <w:rPr>
          <w:rFonts w:hAnsi="宋体"/>
          <w:sz w:val="24"/>
        </w:rPr>
        <w:t>分；</w:t>
      </w:r>
    </w:p>
    <w:p>
      <w:pPr>
        <w:snapToGrid w:val="0"/>
        <w:spacing w:line="360" w:lineRule="auto"/>
        <w:ind w:firstLine="481" w:firstLineChars="200"/>
        <w:rPr>
          <w:rFonts w:hAnsi="宋体"/>
          <w:sz w:val="24"/>
        </w:rPr>
      </w:pPr>
      <w:r>
        <w:rPr>
          <w:b/>
          <w:sz w:val="24"/>
        </w:rPr>
        <w:t>2</w:t>
      </w:r>
      <w:r>
        <w:rPr>
          <w:rFonts w:hAnsi="宋体"/>
          <w:sz w:val="24"/>
        </w:rPr>
        <w:t>　避免卫生间、餐厅、地下车库等区域的空气和污染物串通到其他空间或室外活动场所，得</w:t>
      </w:r>
      <w:r>
        <w:rPr>
          <w:sz w:val="24"/>
        </w:rPr>
        <w:t>2</w:t>
      </w:r>
      <w:r>
        <w:rPr>
          <w:rFonts w:hAnsi="宋体"/>
          <w:sz w:val="24"/>
        </w:rPr>
        <w:t>分</w:t>
      </w:r>
      <w:r>
        <w:rPr>
          <w:rFonts w:hint="eastAsia" w:hAnsi="宋体"/>
          <w:sz w:val="24"/>
        </w:rPr>
        <w:t>；</w:t>
      </w:r>
    </w:p>
    <w:p>
      <w:pPr>
        <w:snapToGrid w:val="0"/>
        <w:spacing w:line="360" w:lineRule="auto"/>
        <w:ind w:firstLine="481" w:firstLineChars="200"/>
        <w:rPr>
          <w:rFonts w:hAnsi="宋体"/>
          <w:sz w:val="24"/>
        </w:rPr>
      </w:pPr>
      <w:r>
        <w:rPr>
          <w:rFonts w:hint="eastAsia"/>
          <w:b/>
          <w:sz w:val="24"/>
        </w:rPr>
        <w:t>3</w:t>
      </w:r>
      <w:r>
        <w:rPr>
          <w:rFonts w:hint="eastAsia" w:hAnsi="宋体"/>
          <w:sz w:val="24"/>
        </w:rPr>
        <w:t xml:space="preserve"> </w:t>
      </w:r>
      <w:bookmarkStart w:id="114" w:name="OLE_LINK43"/>
      <w:bookmarkStart w:id="115" w:name="OLE_LINK42"/>
      <w:r>
        <w:rPr>
          <w:rFonts w:hint="eastAsia" w:hAnsi="宋体"/>
          <w:sz w:val="24"/>
        </w:rPr>
        <w:t>复印室需单独设置且设置机械排风系统</w:t>
      </w:r>
      <w:bookmarkEnd w:id="114"/>
      <w:bookmarkEnd w:id="115"/>
      <w:r>
        <w:rPr>
          <w:rFonts w:hint="eastAsia" w:hAnsi="宋体"/>
          <w:sz w:val="24"/>
        </w:rPr>
        <w:t>，保持负压，得1分</w:t>
      </w:r>
      <w:r>
        <w:rPr>
          <w:rFonts w:hAnsi="宋体"/>
          <w:sz w:val="24"/>
        </w:rPr>
        <w:t>。</w:t>
      </w:r>
    </w:p>
    <w:p>
      <w:pPr>
        <w:pStyle w:val="87"/>
        <w:spacing w:line="360" w:lineRule="auto"/>
        <w:ind w:firstLine="0" w:firstLineChars="0"/>
        <w:outlineLvl w:val="9"/>
        <w:rPr>
          <w:rFonts w:ascii="仿宋" w:hAnsi="仿宋" w:eastAsia="仿宋"/>
          <w:color w:val="FF0000"/>
        </w:rPr>
      </w:pPr>
      <w:r>
        <w:rPr>
          <w:rFonts w:hint="eastAsia" w:ascii="仿宋" w:hAnsi="仿宋" w:eastAsia="仿宋"/>
          <w:color w:val="FF0000"/>
        </w:rPr>
        <w:t>【条文说明】：与国家标准基本一致，调整总分从7分调整到5分。参考国外LEED标准，增加复印室等设置排风系统的要求。重要功能区域指的是主要功能房间，高大空间（如剧场、体育场馆、博物馆、展览馆等），以及对于气流组织有特殊要求的区域。对于没有复印室等功能需要的建筑物，第三款可不参评。</w:t>
      </w:r>
    </w:p>
    <w:p>
      <w:pPr>
        <w:snapToGrid w:val="0"/>
        <w:spacing w:line="360" w:lineRule="auto"/>
        <w:rPr>
          <w:rFonts w:hAnsi="宋体"/>
          <w:sz w:val="24"/>
        </w:rPr>
      </w:pPr>
    </w:p>
    <w:p>
      <w:pPr>
        <w:snapToGrid w:val="0"/>
        <w:spacing w:line="360" w:lineRule="auto"/>
        <w:rPr>
          <w:sz w:val="24"/>
        </w:rPr>
      </w:pPr>
      <w:r>
        <w:rPr>
          <w:rFonts w:hint="eastAsia"/>
          <w:b/>
          <w:sz w:val="24"/>
        </w:rPr>
        <w:t>10</w:t>
      </w:r>
      <w:r>
        <w:rPr>
          <w:b/>
          <w:sz w:val="24"/>
        </w:rPr>
        <w:t>.2.12</w:t>
      </w:r>
      <w:r>
        <w:rPr>
          <w:rFonts w:hAnsi="宋体"/>
          <w:sz w:val="24"/>
        </w:rPr>
        <w:t>　主要功能房间中人员密度较高且随时间变化大的区域设置室内空气质量监控系统，</w:t>
      </w:r>
      <w:r>
        <w:rPr>
          <w:rFonts w:hAnsi="宋体"/>
          <w:bCs/>
          <w:sz w:val="24"/>
        </w:rPr>
        <w:t>评价总分值为</w:t>
      </w:r>
      <w:r>
        <w:rPr>
          <w:rFonts w:hint="eastAsia"/>
          <w:bCs/>
          <w:sz w:val="24"/>
        </w:rPr>
        <w:t>5</w:t>
      </w:r>
      <w:r>
        <w:rPr>
          <w:rFonts w:hAnsi="宋体"/>
          <w:bCs/>
          <w:sz w:val="24"/>
        </w:rPr>
        <w:t>分，并按下列规则分别评分并累计</w:t>
      </w:r>
      <w:r>
        <w:rPr>
          <w:rFonts w:hAnsi="宋体"/>
          <w:sz w:val="24"/>
        </w:rPr>
        <w:t>：</w:t>
      </w:r>
    </w:p>
    <w:p>
      <w:pPr>
        <w:snapToGrid w:val="0"/>
        <w:spacing w:line="360" w:lineRule="auto"/>
        <w:ind w:firstLine="481" w:firstLineChars="200"/>
        <w:rPr>
          <w:sz w:val="24"/>
        </w:rPr>
      </w:pPr>
      <w:r>
        <w:rPr>
          <w:b/>
          <w:sz w:val="24"/>
        </w:rPr>
        <w:t>1</w:t>
      </w:r>
      <w:r>
        <w:rPr>
          <w:rFonts w:hAnsi="宋体"/>
          <w:sz w:val="24"/>
        </w:rPr>
        <w:t>　对室内的二氧化碳浓度进行数据采集、分析，并与通风系统联动，得</w:t>
      </w:r>
      <w:r>
        <w:rPr>
          <w:rFonts w:hint="eastAsia"/>
          <w:sz w:val="24"/>
        </w:rPr>
        <w:t>2</w:t>
      </w:r>
      <w:r>
        <w:rPr>
          <w:rFonts w:hAnsi="宋体"/>
          <w:sz w:val="24"/>
        </w:rPr>
        <w:t>分；</w:t>
      </w:r>
    </w:p>
    <w:p>
      <w:pPr>
        <w:snapToGrid w:val="0"/>
        <w:spacing w:line="360" w:lineRule="auto"/>
        <w:ind w:firstLine="481" w:firstLineChars="200"/>
        <w:rPr>
          <w:rFonts w:hAnsi="宋体"/>
          <w:sz w:val="24"/>
        </w:rPr>
      </w:pPr>
      <w:r>
        <w:rPr>
          <w:b/>
          <w:sz w:val="24"/>
        </w:rPr>
        <w:t>2</w:t>
      </w:r>
      <w:r>
        <w:rPr>
          <w:rFonts w:hAnsi="宋体"/>
          <w:sz w:val="24"/>
        </w:rPr>
        <w:t>　实现室内污染物浓度超标实时报警，并与通风系统联动，得</w:t>
      </w:r>
      <w:r>
        <w:rPr>
          <w:sz w:val="24"/>
        </w:rPr>
        <w:t>3</w:t>
      </w:r>
      <w:r>
        <w:rPr>
          <w:rFonts w:hAnsi="宋体"/>
          <w:sz w:val="24"/>
        </w:rPr>
        <w:t>分。</w:t>
      </w:r>
    </w:p>
    <w:p>
      <w:pPr>
        <w:pStyle w:val="87"/>
        <w:spacing w:line="360" w:lineRule="auto"/>
        <w:ind w:firstLine="0" w:firstLineChars="0"/>
        <w:outlineLvl w:val="9"/>
        <w:rPr>
          <w:rFonts w:ascii="仿宋" w:hAnsi="仿宋" w:eastAsia="仿宋"/>
          <w:color w:val="FF0000"/>
        </w:rPr>
      </w:pPr>
      <w:r>
        <w:rPr>
          <w:rFonts w:hint="eastAsia" w:ascii="仿宋" w:hAnsi="仿宋" w:eastAsia="仿宋"/>
          <w:color w:val="FF0000"/>
        </w:rPr>
        <w:t>【条文说明】与国家标准基本一致，调整总分从8分调整到5分，主要考虑到实际项目中空气质量监测系统是否运行良好与后期物业管理水平有很大的关系，可能按照二氧化碳浓度的等级进行判定室内空气质量。本条包括对室内的要求二氧化碳浓度的监控，即应设置与排风联动的二氧化碳检测装置，当传感器监测到室内CO2浓度超过一定量值时，进行报警，同时自动启动排风系统。室内CO2浓度的设定量值可参考国家标准《室内空气中二氧化碳卫生标准》GB/T17094-1997(2000mg/</w:t>
      </w:r>
      <w:r>
        <w:rPr>
          <w:rFonts w:eastAsia="仿宋"/>
          <w:color w:val="FF0000"/>
        </w:rPr>
        <w:t>m³</w:t>
      </w:r>
      <w:r>
        <w:rPr>
          <w:rFonts w:hint="eastAsia" w:ascii="仿宋" w:hAnsi="仿宋" w:eastAsia="仿宋"/>
          <w:color w:val="FF0000"/>
        </w:rPr>
        <w:t>，换算为体积浓度2000*22.4/44=1018ppm)。</w:t>
      </w:r>
    </w:p>
    <w:p>
      <w:pPr>
        <w:snapToGrid w:val="0"/>
        <w:spacing w:line="360" w:lineRule="auto"/>
        <w:rPr>
          <w:sz w:val="24"/>
        </w:rPr>
      </w:pPr>
    </w:p>
    <w:p>
      <w:pPr>
        <w:snapToGrid w:val="0"/>
        <w:spacing w:line="360" w:lineRule="auto"/>
        <w:rPr>
          <w:rFonts w:hAnsi="宋体"/>
          <w:sz w:val="24"/>
        </w:rPr>
      </w:pPr>
      <w:r>
        <w:rPr>
          <w:rFonts w:hint="eastAsia"/>
          <w:b/>
          <w:sz w:val="24"/>
        </w:rPr>
        <w:t>10</w:t>
      </w:r>
      <w:r>
        <w:rPr>
          <w:b/>
          <w:sz w:val="24"/>
        </w:rPr>
        <w:t>.2.13</w:t>
      </w:r>
      <w:r>
        <w:rPr>
          <w:rFonts w:hAnsi="宋体"/>
          <w:sz w:val="24"/>
        </w:rPr>
        <w:t>　地下车库设置与排风设备联动的一氧化碳浓度监测装置，评价分值为</w:t>
      </w:r>
      <w:r>
        <w:rPr>
          <w:rFonts w:hint="eastAsia"/>
          <w:sz w:val="24"/>
        </w:rPr>
        <w:t>5</w:t>
      </w:r>
      <w:r>
        <w:rPr>
          <w:rFonts w:hAnsi="宋体"/>
          <w:sz w:val="24"/>
        </w:rPr>
        <w:t>分。</w:t>
      </w:r>
    </w:p>
    <w:p>
      <w:pPr>
        <w:pStyle w:val="87"/>
        <w:spacing w:line="360" w:lineRule="auto"/>
        <w:ind w:firstLine="0" w:firstLineChars="0"/>
        <w:outlineLvl w:val="9"/>
        <w:rPr>
          <w:rFonts w:ascii="仿宋" w:hAnsi="仿宋" w:eastAsia="仿宋"/>
          <w:color w:val="FF0000"/>
        </w:rPr>
      </w:pPr>
      <w:r>
        <w:rPr>
          <w:rFonts w:hint="eastAsia" w:ascii="仿宋" w:hAnsi="仿宋" w:eastAsia="仿宋"/>
          <w:color w:val="FF0000"/>
        </w:rPr>
        <w:t>【条文说明】与国家标准基本一致，主要考虑到实际项目中空气质量监测系统是否运行良好与后期物业管理水平有很大的关系。地下车库空气流通不好，容易导致有害气体浓度过大，对人体造成伤害。有地下车库的建筑，车库设置与排风设备联动的一氧化碳检测装置，超过一定的量值时需报警，并立刻启动排风系统。所设定的量值可参考国家标准《工作场所有害因素职业接触限值 第1部分：化学有害因素》GBZ2.1-2007（一氧化碳的短时间接触容许浓度上限为30mg/m³，换算为体积浓度30*22.4/28=24ppm）等相关标准的规定。</w:t>
      </w:r>
    </w:p>
    <w:p>
      <w:pPr>
        <w:snapToGrid w:val="0"/>
        <w:spacing w:line="360" w:lineRule="auto"/>
        <w:rPr>
          <w:sz w:val="24"/>
        </w:rPr>
      </w:pPr>
    </w:p>
    <w:p>
      <w:pPr>
        <w:snapToGrid w:val="0"/>
        <w:spacing w:line="360" w:lineRule="auto"/>
        <w:rPr>
          <w:rFonts w:hAnsi="宋体"/>
          <w:sz w:val="24"/>
        </w:rPr>
      </w:pPr>
      <w:r>
        <w:rPr>
          <w:rFonts w:hint="eastAsia"/>
          <w:b/>
          <w:sz w:val="24"/>
        </w:rPr>
        <w:t>10</w:t>
      </w:r>
      <w:r>
        <w:rPr>
          <w:b/>
          <w:sz w:val="24"/>
        </w:rPr>
        <w:t>.2.14</w:t>
      </w:r>
      <w:r>
        <w:rPr>
          <w:rFonts w:hAnsi="宋体"/>
          <w:sz w:val="24"/>
        </w:rPr>
        <w:t>　采取有效</w:t>
      </w:r>
      <w:r>
        <w:rPr>
          <w:rFonts w:hint="eastAsia" w:hAnsi="宋体"/>
          <w:sz w:val="24"/>
        </w:rPr>
        <w:t>的室内污染控制</w:t>
      </w:r>
      <w:r>
        <w:rPr>
          <w:rFonts w:hAnsi="宋体"/>
          <w:sz w:val="24"/>
        </w:rPr>
        <w:t>措施</w:t>
      </w:r>
      <w:r>
        <w:rPr>
          <w:rFonts w:hint="eastAsia" w:hAnsi="宋体"/>
          <w:sz w:val="24"/>
        </w:rPr>
        <w:t>，改善室内空气质量，室内空气中的氨、甲醛、苯、总挥发性有机物、氡、可吸入颗粒等污染物浓度不高于现行国家标准《室内空气质量标准》GB/T1883规定限值的80%，评价总分值为8分。</w:t>
      </w:r>
    </w:p>
    <w:p>
      <w:pPr>
        <w:pStyle w:val="87"/>
        <w:spacing w:line="360" w:lineRule="auto"/>
        <w:ind w:firstLine="0" w:firstLineChars="0"/>
        <w:outlineLvl w:val="9"/>
        <w:rPr>
          <w:rFonts w:ascii="仿宋" w:hAnsi="仿宋" w:eastAsia="仿宋"/>
          <w:color w:val="FF0000"/>
        </w:rPr>
      </w:pPr>
      <w:r>
        <w:rPr>
          <w:rFonts w:hint="eastAsia" w:ascii="仿宋" w:hAnsi="仿宋" w:eastAsia="仿宋"/>
          <w:color w:val="FF0000"/>
        </w:rPr>
        <w:t>【条文说明】：新增条文。在国家标准控制项8.1.7条文和创新项11.2.7条文增加一个评分项。可以采取三种得分途径，一种是采用室内污染物浓度预测评价软件通过综合计算得到室内的空气污染物浓度不超过国家现行标准的80%，另外一种是所有室内可能散发污染物的材料（如胶黏剂、涂料、油漆等）选择污染浓度低于相应产品环境控制标准的80%。最后鼓励采用功能材料降低室内污染物浓度。采用硅藻泥、竹炭、空气净化功能的纳米复相涂材料、产生负离子功能的涂料、稀土激活报建抗菌材料或其他有助于改善室内空气品质的多功能涂料，提供详细证明材料。</w:t>
      </w:r>
    </w:p>
    <w:p>
      <w:pPr>
        <w:pStyle w:val="2"/>
        <w:spacing w:before="240" w:after="240" w:line="360" w:lineRule="auto"/>
        <w:jc w:val="center"/>
        <w:rPr>
          <w:rFonts w:eastAsia="黑体"/>
          <w:sz w:val="28"/>
          <w:szCs w:val="24"/>
        </w:rPr>
      </w:pPr>
      <w:r>
        <w:rPr>
          <w:rFonts w:eastAsia="黑体"/>
          <w:sz w:val="28"/>
          <w:szCs w:val="24"/>
        </w:rPr>
        <w:br w:type="page"/>
      </w:r>
      <w:bookmarkStart w:id="116" w:name="_Toc449111689"/>
      <w:r>
        <w:rPr>
          <w:rFonts w:eastAsia="黑体"/>
          <w:sz w:val="28"/>
          <w:szCs w:val="24"/>
        </w:rPr>
        <w:t xml:space="preserve">11 </w:t>
      </w:r>
      <w:r>
        <w:rPr>
          <w:rFonts w:hint="eastAsia" w:eastAsia="黑体"/>
          <w:sz w:val="28"/>
          <w:szCs w:val="24"/>
        </w:rPr>
        <w:t>施工管理</w:t>
      </w:r>
      <w:bookmarkEnd w:id="116"/>
    </w:p>
    <w:p>
      <w:pPr>
        <w:pStyle w:val="3"/>
        <w:numPr>
          <w:ilvl w:val="0"/>
          <w:numId w:val="0"/>
        </w:numPr>
        <w:spacing w:before="120" w:after="120" w:line="240" w:lineRule="auto"/>
        <w:ind w:left="482" w:hanging="481" w:hangingChars="200"/>
        <w:jc w:val="center"/>
        <w:rPr>
          <w:rFonts w:ascii="Times New Roman" w:hAnsi="Times New Roman"/>
        </w:rPr>
      </w:pPr>
      <w:bookmarkStart w:id="117" w:name="_Toc449111690"/>
      <w:r>
        <w:rPr>
          <w:rFonts w:ascii="Times New Roman" w:hAnsi="Times New Roman"/>
        </w:rPr>
        <w:t xml:space="preserve">11.1 </w:t>
      </w:r>
      <w:r>
        <w:rPr>
          <w:rFonts w:hint="eastAsia" w:ascii="Times New Roman" w:hAnsi="Times New Roman"/>
        </w:rPr>
        <w:t>控制项</w:t>
      </w:r>
      <w:bookmarkEnd w:id="117"/>
    </w:p>
    <w:p>
      <w:pPr>
        <w:spacing w:line="360" w:lineRule="auto"/>
        <w:rPr>
          <w:sz w:val="24"/>
        </w:rPr>
      </w:pPr>
      <w:r>
        <w:rPr>
          <w:rFonts w:hint="eastAsia"/>
          <w:b/>
          <w:bCs/>
          <w:sz w:val="24"/>
        </w:rPr>
        <w:t>11</w:t>
      </w:r>
      <w:r>
        <w:rPr>
          <w:b/>
          <w:bCs/>
          <w:sz w:val="24"/>
        </w:rPr>
        <w:t>.1.1</w:t>
      </w:r>
      <w:r>
        <w:rPr>
          <w:sz w:val="24"/>
        </w:rPr>
        <w:t>　</w:t>
      </w:r>
      <w:r>
        <w:rPr>
          <w:bCs/>
          <w:sz w:val="24"/>
        </w:rPr>
        <w:t>应</w:t>
      </w:r>
      <w:r>
        <w:rPr>
          <w:sz w:val="24"/>
        </w:rPr>
        <w:t>建立绿色建筑项目施工管理体系和组织机构</w:t>
      </w:r>
      <w:r>
        <w:rPr>
          <w:rFonts w:hint="eastAsia"/>
          <w:sz w:val="24"/>
        </w:rPr>
        <w:t>，制定绿色施工组织设计（专项方案）</w:t>
      </w:r>
      <w:r>
        <w:rPr>
          <w:sz w:val="24"/>
        </w:rPr>
        <w:t>，</w:t>
      </w:r>
      <w:r>
        <w:rPr>
          <w:rFonts w:hint="eastAsia"/>
          <w:sz w:val="24"/>
        </w:rPr>
        <w:t>并组织实施</w:t>
      </w:r>
      <w:r>
        <w:rPr>
          <w:sz w:val="24"/>
        </w:rPr>
        <w:t>。</w:t>
      </w:r>
    </w:p>
    <w:p>
      <w:pPr>
        <w:pStyle w:val="87"/>
        <w:spacing w:line="360" w:lineRule="auto"/>
        <w:ind w:firstLine="0" w:firstLineChars="0"/>
        <w:outlineLvl w:val="9"/>
        <w:rPr>
          <w:rFonts w:ascii="仿宋" w:hAnsi="仿宋" w:eastAsia="仿宋"/>
          <w:color w:val="FF0000"/>
        </w:rPr>
      </w:pPr>
      <w:r>
        <w:rPr>
          <w:rFonts w:ascii="仿宋" w:hAnsi="仿宋" w:eastAsia="仿宋"/>
          <w:color w:val="FF0000"/>
        </w:rPr>
        <w:t>【条文说明】</w:t>
      </w:r>
      <w:r>
        <w:rPr>
          <w:rFonts w:hint="eastAsia" w:ascii="仿宋" w:hAnsi="仿宋" w:eastAsia="仿宋"/>
          <w:color w:val="FF0000"/>
        </w:rPr>
        <w:t>相对国家标准，将9.1.1条文（管理体系）、9.1.2条文（环境保护计划）、9.1.3条文（职业健康计划）整合为一个条文。</w:t>
      </w:r>
    </w:p>
    <w:p>
      <w:pPr>
        <w:pStyle w:val="87"/>
        <w:spacing w:line="360" w:lineRule="auto"/>
        <w:ind w:firstLine="0" w:firstLineChars="0"/>
        <w:outlineLvl w:val="9"/>
        <w:rPr>
          <w:rFonts w:ascii="仿宋" w:hAnsi="仿宋" w:eastAsia="仿宋"/>
          <w:color w:val="FF0000"/>
        </w:rPr>
      </w:pPr>
      <w:r>
        <w:rPr>
          <w:rFonts w:hint="eastAsia" w:ascii="仿宋" w:hAnsi="仿宋" w:eastAsia="仿宋"/>
          <w:color w:val="FF0000"/>
        </w:rPr>
        <w:t>项目部应成立专门的绿色建筑施工管理组织机构，完善管理体系和制度建设，制定施工全过程的环境保护计划，编制职业健康安全管理计划。项目经理为绿色施工的第一责任人，负责绿色施工的组织实施及目标实现，并指定绿色建筑施工各级管理人员和监督人员。</w:t>
      </w:r>
    </w:p>
    <w:p>
      <w:pPr>
        <w:spacing w:line="360" w:lineRule="auto"/>
        <w:rPr>
          <w:sz w:val="24"/>
        </w:rPr>
      </w:pPr>
    </w:p>
    <w:p>
      <w:pPr>
        <w:spacing w:line="360" w:lineRule="auto"/>
        <w:rPr>
          <w:sz w:val="24"/>
        </w:rPr>
      </w:pPr>
      <w:r>
        <w:rPr>
          <w:rFonts w:hint="eastAsia"/>
          <w:b/>
          <w:bCs/>
          <w:sz w:val="24"/>
        </w:rPr>
        <w:t>11</w:t>
      </w:r>
      <w:r>
        <w:rPr>
          <w:b/>
          <w:bCs/>
          <w:sz w:val="24"/>
        </w:rPr>
        <w:t>.1.2</w:t>
      </w:r>
      <w:r>
        <w:rPr>
          <w:sz w:val="24"/>
        </w:rPr>
        <w:t>　</w:t>
      </w:r>
      <w:r>
        <w:rPr>
          <w:rFonts w:hint="eastAsia"/>
        </w:rPr>
        <w:t xml:space="preserve"> </w:t>
      </w:r>
      <w:r>
        <w:rPr>
          <w:rFonts w:hint="eastAsia"/>
          <w:sz w:val="24"/>
        </w:rPr>
        <w:t>在编制工程概算和招标文件、签订合同时，建设单位应明确建设工程绿色施工的要求，</w:t>
      </w:r>
      <w:r>
        <w:rPr>
          <w:sz w:val="24"/>
        </w:rPr>
        <w:t>施工前应进行设计文件中绿色建筑重点内容的</w:t>
      </w:r>
      <w:r>
        <w:rPr>
          <w:rFonts w:hint="eastAsia"/>
          <w:sz w:val="24"/>
        </w:rPr>
        <w:t>交底和</w:t>
      </w:r>
      <w:r>
        <w:rPr>
          <w:sz w:val="24"/>
        </w:rPr>
        <w:t>专项会审。</w:t>
      </w:r>
    </w:p>
    <w:p>
      <w:pPr>
        <w:pStyle w:val="87"/>
        <w:spacing w:line="360" w:lineRule="auto"/>
        <w:ind w:firstLine="0" w:firstLineChars="0"/>
        <w:outlineLvl w:val="9"/>
        <w:rPr>
          <w:rFonts w:ascii="仿宋" w:hAnsi="仿宋" w:eastAsia="仿宋"/>
          <w:color w:val="FF0000"/>
        </w:rPr>
      </w:pPr>
      <w:r>
        <w:rPr>
          <w:rFonts w:ascii="仿宋" w:hAnsi="仿宋" w:eastAsia="仿宋"/>
          <w:color w:val="FF0000"/>
        </w:rPr>
        <w:t>【条文说明】</w:t>
      </w:r>
      <w:r>
        <w:rPr>
          <w:rFonts w:hint="eastAsia" w:ascii="仿宋" w:hAnsi="仿宋" w:eastAsia="仿宋"/>
          <w:color w:val="FF0000"/>
        </w:rPr>
        <w:t>相对国家标准，增加了建设单位对绿色施工的要求。在编制工程概算、招标文件，以及与施工单位和监理单位签订合同中，都要明确建设工程的绿色建筑目标和绿色施工的要求，并提供包括场地、环境、工期等方面的条件保障，同时明确绿色施工费用指标，必要时应设立绿色施工奖励条款。</w:t>
      </w:r>
    </w:p>
    <w:p>
      <w:pPr>
        <w:pStyle w:val="87"/>
        <w:spacing w:line="360" w:lineRule="auto"/>
        <w:ind w:firstLine="0" w:firstLineChars="0"/>
        <w:outlineLvl w:val="9"/>
        <w:rPr>
          <w:rFonts w:ascii="仿宋" w:hAnsi="仿宋" w:eastAsia="仿宋"/>
          <w:color w:val="FF0000"/>
        </w:rPr>
      </w:pPr>
      <w:r>
        <w:rPr>
          <w:rFonts w:hint="eastAsia" w:ascii="仿宋" w:hAnsi="仿宋" w:eastAsia="仿宋"/>
          <w:color w:val="FF0000"/>
        </w:rPr>
        <w:t>施工建设将绿色设计转化为绿色建筑。在这一过程中，参建各方应对设计文件中的绿色建筑重点内容正确理解和准确把握。施工前建设单位应组织参建各方进行专业会审，应对保障绿色建筑性能的重点内容逐一进行。</w:t>
      </w:r>
    </w:p>
    <w:p>
      <w:pPr>
        <w:spacing w:line="360" w:lineRule="auto"/>
        <w:rPr>
          <w:color w:val="000000"/>
          <w:sz w:val="24"/>
        </w:rPr>
      </w:pPr>
    </w:p>
    <w:p>
      <w:pPr>
        <w:pStyle w:val="3"/>
        <w:numPr>
          <w:ilvl w:val="0"/>
          <w:numId w:val="0"/>
        </w:numPr>
        <w:spacing w:before="120" w:after="120" w:line="240" w:lineRule="auto"/>
        <w:ind w:left="482" w:hanging="481" w:hangingChars="200"/>
        <w:jc w:val="center"/>
        <w:rPr>
          <w:rFonts w:ascii="Times New Roman" w:hAnsi="Times New Roman"/>
        </w:rPr>
      </w:pPr>
      <w:bookmarkStart w:id="118" w:name="_Toc449111691"/>
      <w:r>
        <w:rPr>
          <w:rFonts w:ascii="Times New Roman" w:hAnsi="Times New Roman"/>
        </w:rPr>
        <w:t xml:space="preserve">11.2 </w:t>
      </w:r>
      <w:r>
        <w:rPr>
          <w:rFonts w:hint="eastAsia" w:ascii="Times New Roman" w:hAnsi="Times New Roman"/>
        </w:rPr>
        <w:t>评分项</w:t>
      </w:r>
      <w:bookmarkEnd w:id="118"/>
    </w:p>
    <w:p>
      <w:pPr>
        <w:pStyle w:val="87"/>
        <w:ind w:firstLine="0" w:firstLineChars="0"/>
        <w:jc w:val="center"/>
      </w:pPr>
      <w:bookmarkStart w:id="119" w:name="_Toc449111692"/>
      <w:r>
        <w:rPr>
          <w:rFonts w:ascii="宋体" w:hAnsi="宋体"/>
        </w:rPr>
        <w:t>Ⅰ</w:t>
      </w:r>
      <w:r>
        <w:rPr>
          <w:rFonts w:hint="eastAsia" w:ascii="宋体" w:hAnsi="宋体"/>
        </w:rPr>
        <w:t xml:space="preserve"> </w:t>
      </w:r>
      <w:r>
        <w:rPr>
          <w:rFonts w:hAnsi="宋体"/>
        </w:rPr>
        <w:t>环境保护</w:t>
      </w:r>
      <w:r>
        <w:rPr>
          <w:rFonts w:hint="eastAsia" w:hAnsi="宋体"/>
        </w:rPr>
        <w:t>（25）</w:t>
      </w:r>
      <w:bookmarkEnd w:id="119"/>
    </w:p>
    <w:p>
      <w:pPr>
        <w:pStyle w:val="87"/>
        <w:snapToGrid w:val="0"/>
        <w:ind w:firstLine="480"/>
        <w:outlineLvl w:val="9"/>
        <w:rPr>
          <w:bCs/>
        </w:rPr>
      </w:pPr>
    </w:p>
    <w:p>
      <w:pPr>
        <w:spacing w:line="360" w:lineRule="auto"/>
        <w:rPr>
          <w:sz w:val="24"/>
        </w:rPr>
      </w:pPr>
      <w:r>
        <w:rPr>
          <w:rFonts w:hint="eastAsia"/>
          <w:b/>
          <w:sz w:val="24"/>
        </w:rPr>
        <w:t>11</w:t>
      </w:r>
      <w:r>
        <w:rPr>
          <w:b/>
          <w:sz w:val="24"/>
        </w:rPr>
        <w:t>.2.1</w:t>
      </w:r>
      <w:r>
        <w:rPr>
          <w:sz w:val="24"/>
        </w:rPr>
        <w:t>　采取</w:t>
      </w:r>
      <w:r>
        <w:rPr>
          <w:kern w:val="0"/>
          <w:sz w:val="24"/>
        </w:rPr>
        <w:t>洒水、覆盖、遮挡等</w:t>
      </w:r>
      <w:r>
        <w:rPr>
          <w:sz w:val="24"/>
        </w:rPr>
        <w:t>控制扬尘</w:t>
      </w:r>
      <w:r>
        <w:rPr>
          <w:kern w:val="0"/>
          <w:sz w:val="24"/>
        </w:rPr>
        <w:t>措施</w:t>
      </w:r>
      <w:r>
        <w:rPr>
          <w:sz w:val="24"/>
        </w:rPr>
        <w:t>，评价分值为</w:t>
      </w:r>
      <w:r>
        <w:rPr>
          <w:rFonts w:hint="eastAsia"/>
          <w:sz w:val="24"/>
        </w:rPr>
        <w:t>6</w:t>
      </w:r>
      <w:r>
        <w:rPr>
          <w:sz w:val="24"/>
        </w:rPr>
        <w:t>分，并按下列规则分别评分并累计：</w:t>
      </w:r>
    </w:p>
    <w:p>
      <w:pPr>
        <w:spacing w:line="360" w:lineRule="auto"/>
        <w:ind w:left="420" w:leftChars="200"/>
        <w:rPr>
          <w:sz w:val="24"/>
        </w:rPr>
      </w:pPr>
      <w:r>
        <w:rPr>
          <w:b/>
          <w:sz w:val="24"/>
        </w:rPr>
        <w:t>1</w:t>
      </w:r>
      <w:r>
        <w:rPr>
          <w:kern w:val="0"/>
          <w:sz w:val="24"/>
        </w:rPr>
        <w:t>　</w:t>
      </w:r>
      <w:r>
        <w:rPr>
          <w:sz w:val="24"/>
        </w:rPr>
        <w:t>施工现场出入口设置车辆冲洗设施，车辆出场时必须将车轮、车身清理干净，土方施工阶段安装高效洗轮机，得1分；</w:t>
      </w:r>
    </w:p>
    <w:p>
      <w:pPr>
        <w:spacing w:line="360" w:lineRule="auto"/>
        <w:ind w:left="420" w:leftChars="200"/>
        <w:rPr>
          <w:sz w:val="24"/>
        </w:rPr>
      </w:pPr>
      <w:r>
        <w:rPr>
          <w:b/>
          <w:sz w:val="24"/>
        </w:rPr>
        <w:t>2</w:t>
      </w:r>
      <w:r>
        <w:rPr>
          <w:kern w:val="0"/>
          <w:sz w:val="24"/>
        </w:rPr>
        <w:t>　</w:t>
      </w:r>
      <w:r>
        <w:rPr>
          <w:sz w:val="24"/>
        </w:rPr>
        <w:t>施工现场主要道路和模板存放、料具码放等场地根据用途进行硬化，土方应集中堆放并采取覆盖或固化措施，其它场地应当进行覆盖或绿化，得</w:t>
      </w:r>
      <w:r>
        <w:rPr>
          <w:rFonts w:hint="eastAsia"/>
          <w:sz w:val="24"/>
        </w:rPr>
        <w:t>1</w:t>
      </w:r>
      <w:r>
        <w:rPr>
          <w:sz w:val="24"/>
        </w:rPr>
        <w:t>分；</w:t>
      </w:r>
    </w:p>
    <w:p>
      <w:pPr>
        <w:spacing w:line="360" w:lineRule="auto"/>
        <w:ind w:left="420" w:leftChars="200"/>
        <w:rPr>
          <w:sz w:val="24"/>
        </w:rPr>
      </w:pPr>
      <w:r>
        <w:rPr>
          <w:b/>
          <w:sz w:val="24"/>
        </w:rPr>
        <w:t>3</w:t>
      </w:r>
      <w:r>
        <w:rPr>
          <w:kern w:val="0"/>
          <w:sz w:val="24"/>
        </w:rPr>
        <w:t>　</w:t>
      </w:r>
      <w:r>
        <w:rPr>
          <w:sz w:val="24"/>
        </w:rPr>
        <w:t>施工现场按要求设置封闭式垃圾站，建筑垃圾使用符合本市标准的运输车辆并密闭运输，不得遗撒，得1分；</w:t>
      </w:r>
    </w:p>
    <w:p>
      <w:pPr>
        <w:spacing w:line="360" w:lineRule="auto"/>
        <w:ind w:left="420" w:leftChars="200"/>
        <w:rPr>
          <w:sz w:val="24"/>
        </w:rPr>
      </w:pPr>
      <w:r>
        <w:rPr>
          <w:b/>
          <w:sz w:val="24"/>
        </w:rPr>
        <w:t>4</w:t>
      </w:r>
      <w:r>
        <w:rPr>
          <w:kern w:val="0"/>
          <w:sz w:val="24"/>
        </w:rPr>
        <w:t>　</w:t>
      </w:r>
      <w:r>
        <w:rPr>
          <w:sz w:val="24"/>
        </w:rPr>
        <w:t>建筑物内施工垃圾的清运，必须采用相应容器或管道运输，严禁凌空抛掷,得1分；</w:t>
      </w:r>
    </w:p>
    <w:p>
      <w:pPr>
        <w:spacing w:line="360" w:lineRule="auto"/>
        <w:ind w:left="420" w:leftChars="200"/>
        <w:rPr>
          <w:sz w:val="24"/>
        </w:rPr>
      </w:pPr>
      <w:r>
        <w:rPr>
          <w:b/>
          <w:sz w:val="24"/>
        </w:rPr>
        <w:t>5</w:t>
      </w:r>
      <w:r>
        <w:rPr>
          <w:kern w:val="0"/>
          <w:sz w:val="24"/>
        </w:rPr>
        <w:t>　</w:t>
      </w:r>
      <w:r>
        <w:rPr>
          <w:sz w:val="24"/>
        </w:rPr>
        <w:t>外脚手架按要求采用密目网进行封闭，得1分；</w:t>
      </w:r>
    </w:p>
    <w:p>
      <w:pPr>
        <w:spacing w:line="360" w:lineRule="auto"/>
        <w:ind w:left="420" w:leftChars="200"/>
        <w:rPr>
          <w:sz w:val="24"/>
        </w:rPr>
      </w:pPr>
      <w:r>
        <w:rPr>
          <w:b/>
          <w:sz w:val="24"/>
        </w:rPr>
        <w:t>6</w:t>
      </w:r>
      <w:r>
        <w:rPr>
          <w:kern w:val="0"/>
          <w:sz w:val="24"/>
        </w:rPr>
        <w:t>　</w:t>
      </w:r>
      <w:r>
        <w:rPr>
          <w:sz w:val="24"/>
        </w:rPr>
        <w:t>施工现场按要求洒水降尘。易产生扬尘的机械配备降尘防尘装置，易飞扬、细颗粒散体材料应密闭存放，得1分</w:t>
      </w:r>
      <w:r>
        <w:rPr>
          <w:rFonts w:hint="eastAsia"/>
          <w:sz w:val="24"/>
        </w:rPr>
        <w:t>。</w:t>
      </w:r>
    </w:p>
    <w:p>
      <w:pPr>
        <w:pStyle w:val="87"/>
        <w:spacing w:line="360" w:lineRule="auto"/>
        <w:ind w:firstLine="0" w:firstLineChars="0"/>
        <w:outlineLvl w:val="9"/>
        <w:rPr>
          <w:rFonts w:ascii="仿宋" w:hAnsi="仿宋" w:eastAsia="仿宋"/>
          <w:color w:val="FF0000"/>
        </w:rPr>
      </w:pPr>
      <w:r>
        <w:rPr>
          <w:rFonts w:ascii="仿宋" w:hAnsi="仿宋" w:eastAsia="仿宋"/>
          <w:color w:val="FF0000"/>
        </w:rPr>
        <w:t>【条文说明】</w:t>
      </w:r>
      <w:r>
        <w:rPr>
          <w:rFonts w:hint="eastAsia" w:ascii="仿宋" w:hAnsi="仿宋" w:eastAsia="仿宋"/>
          <w:color w:val="FF0000"/>
        </w:rPr>
        <w:t>与国家标准一致，根据技术细则细化得分要求。获得绿色施工评价合格级得3分，获得绿色施工评价优良级或深圳市绿色施工示范项目得6分。</w:t>
      </w:r>
    </w:p>
    <w:p>
      <w:pPr>
        <w:pStyle w:val="87"/>
        <w:spacing w:line="360" w:lineRule="auto"/>
        <w:ind w:firstLine="0" w:firstLineChars="0"/>
        <w:outlineLvl w:val="9"/>
        <w:rPr>
          <w:rFonts w:ascii="仿宋" w:hAnsi="仿宋" w:eastAsia="仿宋"/>
          <w:color w:val="FF0000"/>
        </w:rPr>
      </w:pPr>
      <w:r>
        <w:rPr>
          <w:rFonts w:hint="eastAsia" w:ascii="仿宋" w:hAnsi="仿宋" w:eastAsia="仿宋"/>
          <w:color w:val="FF0000"/>
        </w:rPr>
        <w:t>施工扬尘是最主要的大气污染源之一。施工中应采取降尘措施，降低大气中总悬浮颗粒物浓度。施工中的降尘措施包括对易飞扬物质的洒水、覆盖、遮挡，对出入车辆的清洗、封闭，对易产生扬尘施工工艺的降尘措施等。在工地建筑结构脚手架外侧设置密目防尘网或防尘布，具有很好的扬尘控制效果。</w:t>
      </w:r>
      <w:bookmarkStart w:id="120" w:name="OLE_LINK45"/>
      <w:bookmarkStart w:id="121" w:name="OLE_LINK44"/>
      <w:r>
        <w:rPr>
          <w:rFonts w:hint="eastAsia" w:ascii="仿宋" w:hAnsi="仿宋" w:eastAsia="仿宋"/>
          <w:color w:val="FF0000"/>
        </w:rPr>
        <w:t>建筑工业化项目此条直接得分。</w:t>
      </w:r>
    </w:p>
    <w:bookmarkEnd w:id="120"/>
    <w:bookmarkEnd w:id="121"/>
    <w:p>
      <w:pPr>
        <w:spacing w:line="360" w:lineRule="auto"/>
        <w:rPr>
          <w:sz w:val="24"/>
        </w:rPr>
      </w:pPr>
    </w:p>
    <w:p>
      <w:pPr>
        <w:spacing w:line="360" w:lineRule="auto"/>
        <w:rPr>
          <w:sz w:val="24"/>
        </w:rPr>
      </w:pPr>
      <w:r>
        <w:rPr>
          <w:rFonts w:hint="eastAsia"/>
          <w:b/>
          <w:sz w:val="24"/>
        </w:rPr>
        <w:t>11</w:t>
      </w:r>
      <w:r>
        <w:rPr>
          <w:b/>
          <w:sz w:val="24"/>
        </w:rPr>
        <w:t>.2.2</w:t>
      </w:r>
      <w:r>
        <w:rPr>
          <w:sz w:val="24"/>
        </w:rPr>
        <w:t>　采取有效的降噪</w:t>
      </w:r>
      <w:r>
        <w:rPr>
          <w:kern w:val="0"/>
          <w:sz w:val="24"/>
        </w:rPr>
        <w:t>措施</w:t>
      </w:r>
      <w:r>
        <w:rPr>
          <w:sz w:val="24"/>
        </w:rPr>
        <w:t>。在施工场界测量并记录噪声，满足现行国家标准《建筑施工场界环境噪声排放标准》GB 12523的规定，评价总分值为4分，并按下列规则分别评分并累计：</w:t>
      </w:r>
    </w:p>
    <w:p>
      <w:pPr>
        <w:spacing w:line="360" w:lineRule="auto"/>
        <w:ind w:left="420" w:leftChars="200"/>
        <w:rPr>
          <w:sz w:val="24"/>
        </w:rPr>
      </w:pPr>
      <w:r>
        <w:rPr>
          <w:b/>
          <w:sz w:val="24"/>
        </w:rPr>
        <w:t>1</w:t>
      </w:r>
      <w:r>
        <w:rPr>
          <w:sz w:val="24"/>
        </w:rPr>
        <w:t>　施工现场根据《建筑施工场界环境噪声排放标准》GB</w:t>
      </w:r>
      <w:r>
        <w:rPr>
          <w:rFonts w:hint="eastAsia"/>
          <w:sz w:val="24"/>
        </w:rPr>
        <w:t xml:space="preserve"> </w:t>
      </w:r>
      <w:r>
        <w:rPr>
          <w:sz w:val="24"/>
        </w:rPr>
        <w:t>12523的要求控制噪声排放，制定降噪措施，并对施工现场场界噪声进行检测和记录，得1分；</w:t>
      </w:r>
    </w:p>
    <w:p>
      <w:pPr>
        <w:spacing w:line="360" w:lineRule="auto"/>
        <w:ind w:left="420" w:leftChars="200"/>
        <w:rPr>
          <w:sz w:val="24"/>
        </w:rPr>
      </w:pPr>
      <w:r>
        <w:rPr>
          <w:b/>
          <w:sz w:val="24"/>
        </w:rPr>
        <w:t>2</w:t>
      </w:r>
      <w:r>
        <w:rPr>
          <w:sz w:val="24"/>
        </w:rPr>
        <w:t>　施工过程中优先使用低噪声、低振动的施工机具。施工场地的强噪声设备宜设置在远离居民区的一侧，对强噪声设备应采取封闭等降噪措施，得1分；</w:t>
      </w:r>
    </w:p>
    <w:p>
      <w:pPr>
        <w:spacing w:line="360" w:lineRule="auto"/>
        <w:ind w:left="420" w:leftChars="200"/>
        <w:rPr>
          <w:sz w:val="24"/>
        </w:rPr>
      </w:pPr>
      <w:r>
        <w:rPr>
          <w:b/>
          <w:sz w:val="24"/>
        </w:rPr>
        <w:t>3</w:t>
      </w:r>
      <w:r>
        <w:rPr>
          <w:sz w:val="24"/>
        </w:rPr>
        <w:t>　在噪声敏感建筑物集中区域内，夜间不得进行产生环境噪声污染的施工作业，确需进行夜间施工的，施工单位需在夜间施工许可期限内施工，并采取有效的噪声污染防治措施，得1分；</w:t>
      </w:r>
    </w:p>
    <w:p>
      <w:pPr>
        <w:spacing w:line="360" w:lineRule="auto"/>
        <w:ind w:left="420" w:leftChars="200"/>
        <w:rPr>
          <w:sz w:val="24"/>
        </w:rPr>
      </w:pPr>
      <w:r>
        <w:rPr>
          <w:b/>
          <w:sz w:val="24"/>
        </w:rPr>
        <w:t>4</w:t>
      </w:r>
      <w:r>
        <w:rPr>
          <w:sz w:val="24"/>
        </w:rPr>
        <w:t>　施工现场混凝土振捣宜采用低噪声振捣设备或围挡等降噪措施，得1分。</w:t>
      </w:r>
    </w:p>
    <w:p>
      <w:pPr>
        <w:pStyle w:val="87"/>
        <w:spacing w:line="360" w:lineRule="auto"/>
        <w:ind w:firstLine="0" w:firstLineChars="0"/>
        <w:outlineLvl w:val="9"/>
        <w:rPr>
          <w:rFonts w:ascii="仿宋" w:hAnsi="仿宋" w:eastAsia="仿宋"/>
          <w:color w:val="FF0000"/>
        </w:rPr>
      </w:pPr>
      <w:r>
        <w:rPr>
          <w:rFonts w:ascii="仿宋" w:hAnsi="仿宋" w:eastAsia="仿宋"/>
          <w:color w:val="FF0000"/>
        </w:rPr>
        <w:t>【条文说明】</w:t>
      </w:r>
      <w:r>
        <w:rPr>
          <w:rFonts w:hint="eastAsia" w:ascii="仿宋" w:hAnsi="仿宋" w:eastAsia="仿宋"/>
          <w:color w:val="FF0000"/>
        </w:rPr>
        <w:t>与国标一致，根据技术细则细化得分要求，总分从6分降低为4分。</w:t>
      </w:r>
    </w:p>
    <w:p>
      <w:pPr>
        <w:pStyle w:val="87"/>
        <w:spacing w:line="360" w:lineRule="auto"/>
        <w:ind w:firstLine="0" w:firstLineChars="0"/>
        <w:outlineLvl w:val="9"/>
        <w:rPr>
          <w:rFonts w:ascii="仿宋" w:hAnsi="仿宋" w:eastAsia="仿宋"/>
          <w:color w:val="FF0000"/>
        </w:rPr>
      </w:pPr>
      <w:r>
        <w:rPr>
          <w:rFonts w:hint="eastAsia" w:ascii="仿宋" w:hAnsi="仿宋" w:eastAsia="仿宋"/>
          <w:color w:val="FF0000"/>
        </w:rPr>
        <w:t>施工产生的噪声是影响周边居民生活的主要因素之一，也是居民投诉的主要对象。国家标准《建筑施工场界环境噪声排放标准》GB12523-2011对噪声的测量、限值作出了具体的规定，是施工噪声排放管理的依据。为了减低施工噪声的排放，应该采取降低噪声和噪声传播的有效措施，包括采用低噪声设备，运用吸声、消声、隔声、隔振等降噪措施，降低施工机械噪声。</w:t>
      </w:r>
    </w:p>
    <w:p>
      <w:pPr>
        <w:spacing w:line="360" w:lineRule="auto"/>
        <w:rPr>
          <w:color w:val="000000"/>
          <w:sz w:val="24"/>
        </w:rPr>
      </w:pPr>
    </w:p>
    <w:p>
      <w:pPr>
        <w:spacing w:line="360" w:lineRule="auto"/>
        <w:rPr>
          <w:sz w:val="24"/>
        </w:rPr>
      </w:pPr>
      <w:r>
        <w:rPr>
          <w:rFonts w:hint="eastAsia"/>
          <w:b/>
          <w:sz w:val="24"/>
        </w:rPr>
        <w:t>11</w:t>
      </w:r>
      <w:r>
        <w:rPr>
          <w:b/>
          <w:sz w:val="24"/>
        </w:rPr>
        <w:t>.2.3</w:t>
      </w:r>
      <w:r>
        <w:rPr>
          <w:sz w:val="24"/>
        </w:rPr>
        <w:t>　施工现场制定并实施施工废弃物减量化、资源化计划，评价总分值为8分，并按下列规则分别评分并累计：</w:t>
      </w:r>
    </w:p>
    <w:p>
      <w:pPr>
        <w:spacing w:line="360" w:lineRule="auto"/>
        <w:ind w:left="420" w:leftChars="200"/>
        <w:rPr>
          <w:sz w:val="24"/>
        </w:rPr>
      </w:pPr>
      <w:r>
        <w:rPr>
          <w:b/>
          <w:sz w:val="24"/>
        </w:rPr>
        <w:t>1</w:t>
      </w:r>
      <w:r>
        <w:rPr>
          <w:sz w:val="24"/>
        </w:rPr>
        <w:t>　制定施工废弃物减量化、资源化计划，并实施，得2分；</w:t>
      </w:r>
    </w:p>
    <w:p>
      <w:pPr>
        <w:spacing w:line="360" w:lineRule="auto"/>
        <w:ind w:left="420" w:leftChars="200"/>
        <w:rPr>
          <w:sz w:val="24"/>
        </w:rPr>
      </w:pPr>
      <w:r>
        <w:rPr>
          <w:b/>
          <w:sz w:val="24"/>
        </w:rPr>
        <w:t>2</w:t>
      </w:r>
      <w:r>
        <w:rPr>
          <w:sz w:val="24"/>
        </w:rPr>
        <w:t>　制定可回收施工废弃物回收计划，回收率不小于80%，得3分；</w:t>
      </w:r>
    </w:p>
    <w:p>
      <w:pPr>
        <w:spacing w:line="360" w:lineRule="auto"/>
        <w:ind w:left="420" w:leftChars="200"/>
        <w:rPr>
          <w:sz w:val="24"/>
        </w:rPr>
      </w:pPr>
      <w:r>
        <w:rPr>
          <w:b/>
          <w:sz w:val="24"/>
        </w:rPr>
        <w:t>3</w:t>
      </w:r>
      <w:r>
        <w:rPr>
          <w:sz w:val="24"/>
        </w:rPr>
        <w:t>　每10000m</w:t>
      </w:r>
      <w:r>
        <w:rPr>
          <w:sz w:val="24"/>
          <w:vertAlign w:val="superscript"/>
        </w:rPr>
        <w:t>2</w:t>
      </w:r>
      <w:r>
        <w:rPr>
          <w:sz w:val="24"/>
        </w:rPr>
        <w:t>建筑面积施工固体废弃物排放量</w:t>
      </w:r>
      <w:r>
        <w:rPr>
          <w:rFonts w:hint="eastAsia"/>
          <w:sz w:val="24"/>
        </w:rPr>
        <w:t>，按表11.2.3的规则评分，最高得3分。</w:t>
      </w:r>
    </w:p>
    <w:p>
      <w:pPr>
        <w:jc w:val="center"/>
        <w:rPr>
          <w:b/>
        </w:rPr>
      </w:pPr>
      <w:r>
        <w:rPr>
          <w:rFonts w:hint="eastAsia"/>
          <w:b/>
        </w:rPr>
        <w:t>表9.2.3 施工固体废弃物排放量评分规则</w:t>
      </w:r>
    </w:p>
    <w:tbl>
      <w:tblPr>
        <w:tblStyle w:val="38"/>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95"/>
        <w:gridCol w:w="30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95" w:type="dxa"/>
            <w:vAlign w:val="top"/>
          </w:tcPr>
          <w:p>
            <w:pPr>
              <w:jc w:val="center"/>
            </w:pPr>
            <w:r>
              <w:t>每10000m</w:t>
            </w:r>
            <w:r>
              <w:rPr>
                <w:vertAlign w:val="superscript"/>
              </w:rPr>
              <w:t>2</w:t>
            </w:r>
            <w:r>
              <w:t>建筑面积施工固体废弃物排放量</w:t>
            </w:r>
          </w:p>
        </w:tc>
        <w:tc>
          <w:tcPr>
            <w:tcW w:w="3027" w:type="dxa"/>
            <w:vAlign w:val="top"/>
          </w:tcPr>
          <w:p>
            <w:pPr>
              <w:jc w:val="center"/>
            </w:pPr>
            <w:r>
              <w:rPr>
                <w:rFonts w:hint="eastAsia"/>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95" w:type="dxa"/>
            <w:vAlign w:val="top"/>
          </w:tcPr>
          <w:p>
            <w:pPr>
              <w:jc w:val="center"/>
            </w:pPr>
            <w:r>
              <w:rPr>
                <w:rFonts w:hint="eastAsia"/>
              </w:rPr>
              <w:t>350 t</w:t>
            </w:r>
            <w:r>
              <w:t>＜≤</w:t>
            </w:r>
            <w:r>
              <w:rPr>
                <w:rFonts w:hint="eastAsia"/>
              </w:rPr>
              <w:t>400t</w:t>
            </w:r>
          </w:p>
        </w:tc>
        <w:tc>
          <w:tcPr>
            <w:tcW w:w="3027" w:type="dxa"/>
            <w:vAlign w:val="top"/>
          </w:tcPr>
          <w:p>
            <w:pPr>
              <w:jc w:val="center"/>
            </w:pPr>
            <w:r>
              <w:rPr>
                <w:rFonts w:hint="eastAsia"/>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95" w:type="dxa"/>
            <w:vAlign w:val="top"/>
          </w:tcPr>
          <w:p>
            <w:pPr>
              <w:jc w:val="center"/>
            </w:pPr>
            <w:r>
              <w:rPr>
                <w:rFonts w:hint="eastAsia"/>
              </w:rPr>
              <w:t>300 t</w:t>
            </w:r>
            <w:r>
              <w:t>＜≤</w:t>
            </w:r>
            <w:r>
              <w:rPr>
                <w:rFonts w:hint="eastAsia"/>
              </w:rPr>
              <w:t>350t</w:t>
            </w:r>
          </w:p>
        </w:tc>
        <w:tc>
          <w:tcPr>
            <w:tcW w:w="3027" w:type="dxa"/>
            <w:vAlign w:val="top"/>
          </w:tcPr>
          <w:p>
            <w:pPr>
              <w:jc w:val="center"/>
            </w:pPr>
            <w:r>
              <w:rPr>
                <w:rFonts w:hint="eastAsia"/>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495" w:type="dxa"/>
            <w:vAlign w:val="top"/>
          </w:tcPr>
          <w:p>
            <w:pPr>
              <w:jc w:val="center"/>
            </w:pPr>
            <w:r>
              <w:t>≤</w:t>
            </w:r>
            <w:r>
              <w:rPr>
                <w:rFonts w:hint="eastAsia"/>
              </w:rPr>
              <w:t>300t</w:t>
            </w:r>
          </w:p>
        </w:tc>
        <w:tc>
          <w:tcPr>
            <w:tcW w:w="3027" w:type="dxa"/>
            <w:vAlign w:val="top"/>
          </w:tcPr>
          <w:p>
            <w:pPr>
              <w:jc w:val="center"/>
            </w:pPr>
            <w:r>
              <w:rPr>
                <w:rFonts w:hint="eastAsia"/>
              </w:rPr>
              <w:t>3</w:t>
            </w:r>
          </w:p>
        </w:tc>
      </w:tr>
    </w:tbl>
    <w:p>
      <w:pPr>
        <w:pStyle w:val="87"/>
        <w:spacing w:line="360" w:lineRule="auto"/>
        <w:ind w:firstLine="0" w:firstLineChars="0"/>
        <w:outlineLvl w:val="9"/>
        <w:rPr>
          <w:color w:val="FF0000"/>
          <w:sz w:val="22"/>
          <w:szCs w:val="21"/>
        </w:rPr>
      </w:pPr>
      <w:r>
        <w:rPr>
          <w:rFonts w:ascii="仿宋" w:hAnsi="仿宋" w:eastAsia="仿宋"/>
          <w:color w:val="FF0000"/>
        </w:rPr>
        <w:t>【条文说明】</w:t>
      </w:r>
      <w:r>
        <w:rPr>
          <w:rFonts w:hint="eastAsia" w:ascii="仿宋" w:hAnsi="仿宋" w:eastAsia="仿宋"/>
          <w:color w:val="FF0000"/>
        </w:rPr>
        <w:t>与国标一致，总分从10分降低为8分。目前施工废弃物的数量很大，堆放或填埋均占用大量的土地；对环境产生很大的影响，包括建筑垃圾的渗滤液渗入土层和含水层，破坏土壤环境，污染地下水，有机物质发生分解产生有害气体，污染控制；同时建筑施工废弃物的产出，也意味着资源的浪费。因此减少建筑施工废弃物产出，涉及节地、节能、节材和保护环境这样一个可持续发展的综合性问题。施工废弃物减量化应在材料采购、材料管理、施工管理的全过程实施。施工废弃物应分类收集、集中堆放，尽量回收和再利用。建筑工业化项目此条直接得分。</w:t>
      </w:r>
    </w:p>
    <w:p>
      <w:pPr>
        <w:spacing w:line="360" w:lineRule="auto"/>
        <w:rPr>
          <w:sz w:val="24"/>
        </w:rPr>
      </w:pPr>
    </w:p>
    <w:p>
      <w:pPr>
        <w:spacing w:line="360" w:lineRule="auto"/>
        <w:rPr>
          <w:sz w:val="24"/>
        </w:rPr>
      </w:pPr>
      <w:r>
        <w:rPr>
          <w:rFonts w:hint="eastAsia"/>
          <w:b/>
          <w:sz w:val="24"/>
        </w:rPr>
        <w:t>11</w:t>
      </w:r>
      <w:r>
        <w:rPr>
          <w:b/>
          <w:sz w:val="24"/>
        </w:rPr>
        <w:t>.2.4</w:t>
      </w:r>
      <w:r>
        <w:rPr>
          <w:sz w:val="24"/>
        </w:rPr>
        <w:t>　采取有效措施减少对周围环境的光污染，评价总分值为2分，并按下列规则分别评分并累计：</w:t>
      </w:r>
    </w:p>
    <w:p>
      <w:pPr>
        <w:spacing w:line="360" w:lineRule="auto"/>
        <w:ind w:left="420" w:leftChars="200"/>
        <w:rPr>
          <w:sz w:val="24"/>
        </w:rPr>
      </w:pPr>
      <w:r>
        <w:rPr>
          <w:b/>
          <w:sz w:val="24"/>
        </w:rPr>
        <w:t>1</w:t>
      </w:r>
      <w:r>
        <w:rPr>
          <w:kern w:val="0"/>
          <w:sz w:val="24"/>
        </w:rPr>
        <w:t>　</w:t>
      </w:r>
      <w:r>
        <w:rPr>
          <w:sz w:val="24"/>
        </w:rPr>
        <w:t>施工单位合理安排作业时间，尽量避免夜间施工。必要时的夜间施工，合理调整灯光照射方向，在保证现场施工作业面有足够光照的条件下，减少对周围居民生活的干扰，得1分；</w:t>
      </w:r>
    </w:p>
    <w:p>
      <w:pPr>
        <w:spacing w:line="360" w:lineRule="auto"/>
        <w:ind w:left="420" w:leftChars="200"/>
        <w:rPr>
          <w:sz w:val="24"/>
        </w:rPr>
      </w:pPr>
      <w:r>
        <w:rPr>
          <w:b/>
          <w:sz w:val="24"/>
        </w:rPr>
        <w:t>2</w:t>
      </w:r>
      <w:r>
        <w:rPr>
          <w:kern w:val="0"/>
          <w:sz w:val="24"/>
        </w:rPr>
        <w:t>　</w:t>
      </w:r>
      <w:r>
        <w:rPr>
          <w:sz w:val="24"/>
        </w:rPr>
        <w:t>在高处进行电焊作业时采取遮挡措施，避免电弧光外泄，得1分。</w:t>
      </w:r>
    </w:p>
    <w:p>
      <w:pPr>
        <w:pStyle w:val="87"/>
        <w:spacing w:line="360" w:lineRule="auto"/>
        <w:ind w:firstLine="0" w:firstLineChars="0"/>
        <w:outlineLvl w:val="9"/>
        <w:rPr>
          <w:rFonts w:ascii="仿宋" w:hAnsi="仿宋" w:eastAsia="仿宋"/>
          <w:color w:val="FF0000"/>
        </w:rPr>
      </w:pPr>
      <w:r>
        <w:rPr>
          <w:rFonts w:ascii="仿宋" w:hAnsi="仿宋" w:eastAsia="仿宋"/>
          <w:color w:val="FF0000"/>
        </w:rPr>
        <w:t>【条文说明】</w:t>
      </w:r>
      <w:r>
        <w:rPr>
          <w:rFonts w:hint="eastAsia" w:ascii="仿宋" w:hAnsi="仿宋" w:eastAsia="仿宋"/>
          <w:color w:val="FF0000"/>
        </w:rPr>
        <w:t>新增条文，引用《建筑工程绿色施工规范》GB/T50905-2014的相关条文。</w:t>
      </w:r>
    </w:p>
    <w:p>
      <w:pPr>
        <w:spacing w:line="360" w:lineRule="auto"/>
        <w:rPr>
          <w:sz w:val="24"/>
        </w:rPr>
      </w:pPr>
    </w:p>
    <w:p>
      <w:pPr>
        <w:spacing w:line="360" w:lineRule="auto"/>
        <w:rPr>
          <w:sz w:val="24"/>
        </w:rPr>
      </w:pPr>
      <w:r>
        <w:rPr>
          <w:rFonts w:hint="eastAsia"/>
          <w:b/>
          <w:sz w:val="24"/>
        </w:rPr>
        <w:t>11</w:t>
      </w:r>
      <w:r>
        <w:rPr>
          <w:b/>
          <w:sz w:val="24"/>
        </w:rPr>
        <w:t>.2.5</w:t>
      </w:r>
      <w:r>
        <w:rPr>
          <w:sz w:val="24"/>
        </w:rPr>
        <w:t>　采取有效措施减少对施工场地的水土污染，评价总分值为5分，并按下列规则分别评分并累计：</w:t>
      </w:r>
    </w:p>
    <w:p>
      <w:pPr>
        <w:spacing w:line="360" w:lineRule="auto"/>
        <w:ind w:left="420" w:leftChars="200"/>
        <w:rPr>
          <w:sz w:val="24"/>
        </w:rPr>
      </w:pPr>
      <w:r>
        <w:rPr>
          <w:b/>
          <w:sz w:val="24"/>
        </w:rPr>
        <w:t>1</w:t>
      </w:r>
      <w:r>
        <w:rPr>
          <w:kern w:val="0"/>
          <w:sz w:val="24"/>
        </w:rPr>
        <w:t>　</w:t>
      </w:r>
      <w:r>
        <w:rPr>
          <w:sz w:val="24"/>
        </w:rPr>
        <w:t>施工现场混凝土输送泵及运输车辆清洗处设置沉淀池，废水不得直接排入市政污水管网，可经二次沉淀后循环使用或用于洒水降尘，得1分；</w:t>
      </w:r>
    </w:p>
    <w:p>
      <w:pPr>
        <w:spacing w:line="360" w:lineRule="auto"/>
        <w:ind w:left="420" w:leftChars="200"/>
        <w:rPr>
          <w:sz w:val="24"/>
        </w:rPr>
      </w:pPr>
      <w:r>
        <w:rPr>
          <w:b/>
          <w:sz w:val="24"/>
        </w:rPr>
        <w:t>2</w:t>
      </w:r>
      <w:r>
        <w:rPr>
          <w:kern w:val="0"/>
          <w:sz w:val="24"/>
        </w:rPr>
        <w:t>　</w:t>
      </w:r>
      <w:r>
        <w:rPr>
          <w:sz w:val="24"/>
        </w:rPr>
        <w:t>施工现场存放的油料和化学溶剂等物品设有专门的库房，地面做防渗漏处理。废弃的油料和化学溶剂集中处理，不得随意倾倒，得1分；</w:t>
      </w:r>
    </w:p>
    <w:p>
      <w:pPr>
        <w:spacing w:line="360" w:lineRule="auto"/>
        <w:ind w:left="420" w:leftChars="200"/>
        <w:rPr>
          <w:sz w:val="24"/>
        </w:rPr>
      </w:pPr>
      <w:r>
        <w:rPr>
          <w:b/>
          <w:sz w:val="24"/>
        </w:rPr>
        <w:t>3</w:t>
      </w:r>
      <w:r>
        <w:rPr>
          <w:kern w:val="0"/>
          <w:sz w:val="24"/>
        </w:rPr>
        <w:t>　</w:t>
      </w:r>
      <w:r>
        <w:rPr>
          <w:sz w:val="24"/>
        </w:rPr>
        <w:t>食堂设隔油池，并及时清理，做好记录，得1分；</w:t>
      </w:r>
    </w:p>
    <w:p>
      <w:pPr>
        <w:spacing w:line="360" w:lineRule="auto"/>
        <w:ind w:left="420" w:leftChars="200"/>
        <w:rPr>
          <w:sz w:val="24"/>
        </w:rPr>
      </w:pPr>
      <w:r>
        <w:rPr>
          <w:b/>
          <w:sz w:val="24"/>
        </w:rPr>
        <w:t>4</w:t>
      </w:r>
      <w:r>
        <w:rPr>
          <w:kern w:val="0"/>
          <w:sz w:val="24"/>
        </w:rPr>
        <w:t>　</w:t>
      </w:r>
      <w:r>
        <w:rPr>
          <w:sz w:val="24"/>
        </w:rPr>
        <w:t>施工现场设置的临时厕所化粪池做抗渗处理，得1分；</w:t>
      </w:r>
    </w:p>
    <w:p>
      <w:pPr>
        <w:spacing w:line="360" w:lineRule="auto"/>
        <w:ind w:left="420" w:leftChars="200"/>
        <w:rPr>
          <w:sz w:val="24"/>
        </w:rPr>
      </w:pPr>
      <w:r>
        <w:rPr>
          <w:b/>
          <w:sz w:val="24"/>
        </w:rPr>
        <w:t>5</w:t>
      </w:r>
      <w:r>
        <w:rPr>
          <w:kern w:val="0"/>
          <w:sz w:val="24"/>
        </w:rPr>
        <w:t>　</w:t>
      </w:r>
      <w:r>
        <w:rPr>
          <w:sz w:val="24"/>
        </w:rPr>
        <w:t>食堂、盥洗室、淋浴间的下水管线设置过滤网，并与市政污水管线连接，保证排水畅通，得1分。</w:t>
      </w:r>
    </w:p>
    <w:p>
      <w:pPr>
        <w:pStyle w:val="87"/>
        <w:spacing w:line="360" w:lineRule="auto"/>
        <w:ind w:firstLine="0" w:firstLineChars="0"/>
        <w:outlineLvl w:val="9"/>
        <w:rPr>
          <w:rFonts w:ascii="仿宋" w:hAnsi="仿宋" w:eastAsia="仿宋"/>
          <w:color w:val="FF0000"/>
        </w:rPr>
      </w:pPr>
      <w:r>
        <w:rPr>
          <w:rFonts w:ascii="仿宋" w:hAnsi="仿宋" w:eastAsia="仿宋"/>
          <w:color w:val="FF0000"/>
        </w:rPr>
        <w:t>【条文说明】</w:t>
      </w:r>
      <w:r>
        <w:rPr>
          <w:rFonts w:hint="eastAsia" w:ascii="仿宋" w:hAnsi="仿宋" w:eastAsia="仿宋"/>
          <w:color w:val="FF0000"/>
        </w:rPr>
        <w:t>新增条文，引用《建筑工程绿色施工规范》GB/T50905-2014的相关条文。</w:t>
      </w:r>
    </w:p>
    <w:p>
      <w:pPr>
        <w:snapToGrid w:val="0"/>
        <w:spacing w:line="300" w:lineRule="auto"/>
        <w:ind w:firstLine="480" w:firstLineChars="200"/>
        <w:rPr>
          <w:bCs/>
          <w:sz w:val="24"/>
        </w:rPr>
      </w:pPr>
    </w:p>
    <w:p>
      <w:pPr>
        <w:pStyle w:val="87"/>
        <w:ind w:firstLine="0" w:firstLineChars="0"/>
        <w:jc w:val="center"/>
        <w:rPr>
          <w:rFonts w:hAnsi="宋体"/>
        </w:rPr>
      </w:pPr>
      <w:bookmarkStart w:id="122" w:name="_Toc349912348"/>
      <w:bookmarkStart w:id="123" w:name="_Toc449111693"/>
      <w:r>
        <w:rPr>
          <w:rFonts w:ascii="宋体" w:hAnsi="宋体"/>
        </w:rPr>
        <w:t>Ⅱ</w:t>
      </w:r>
      <w:r>
        <w:rPr>
          <w:rFonts w:hint="eastAsia" w:ascii="宋体" w:hAnsi="宋体"/>
        </w:rPr>
        <w:t xml:space="preserve"> </w:t>
      </w:r>
      <w:r>
        <w:rPr>
          <w:rFonts w:hAnsi="宋体"/>
        </w:rPr>
        <w:t>资源节约</w:t>
      </w:r>
      <w:bookmarkEnd w:id="122"/>
      <w:r>
        <w:rPr>
          <w:rFonts w:hint="eastAsia" w:hAnsi="宋体"/>
        </w:rPr>
        <w:t>（37）</w:t>
      </w:r>
      <w:bookmarkEnd w:id="123"/>
    </w:p>
    <w:p>
      <w:pPr>
        <w:spacing w:line="360" w:lineRule="auto"/>
        <w:rPr>
          <w:sz w:val="24"/>
        </w:rPr>
      </w:pPr>
    </w:p>
    <w:p>
      <w:pPr>
        <w:spacing w:line="360" w:lineRule="auto"/>
        <w:rPr>
          <w:sz w:val="24"/>
        </w:rPr>
      </w:pPr>
      <w:r>
        <w:rPr>
          <w:rFonts w:hint="eastAsia"/>
          <w:b/>
          <w:sz w:val="24"/>
        </w:rPr>
        <w:t>11</w:t>
      </w:r>
      <w:r>
        <w:rPr>
          <w:b/>
          <w:sz w:val="24"/>
        </w:rPr>
        <w:t>.2.6</w:t>
      </w:r>
      <w:r>
        <w:rPr>
          <w:sz w:val="24"/>
        </w:rPr>
        <w:t>　制定并实施施工节能和用能方案，监测并记录施工能耗，评价总分值为</w:t>
      </w:r>
      <w:r>
        <w:rPr>
          <w:rFonts w:hint="eastAsia"/>
          <w:sz w:val="24"/>
        </w:rPr>
        <w:t>8</w:t>
      </w:r>
      <w:r>
        <w:rPr>
          <w:sz w:val="24"/>
        </w:rPr>
        <w:t>分，并按下列规则分别评分并累计：</w:t>
      </w:r>
    </w:p>
    <w:p>
      <w:pPr>
        <w:spacing w:line="360" w:lineRule="auto"/>
        <w:ind w:left="420" w:leftChars="200"/>
        <w:rPr>
          <w:sz w:val="24"/>
        </w:rPr>
      </w:pPr>
      <w:r>
        <w:rPr>
          <w:b/>
          <w:sz w:val="24"/>
        </w:rPr>
        <w:t>1</w:t>
      </w:r>
      <w:r>
        <w:rPr>
          <w:sz w:val="24"/>
        </w:rPr>
        <w:t>　制定并实施施工节能和用能方案，方案包括机械设备与机具、生产生活及办公设施、施工用电及照明等节能措施，得</w:t>
      </w:r>
      <w:r>
        <w:rPr>
          <w:rFonts w:hint="eastAsia"/>
          <w:sz w:val="24"/>
        </w:rPr>
        <w:t>2</w:t>
      </w:r>
      <w:r>
        <w:rPr>
          <w:sz w:val="24"/>
        </w:rPr>
        <w:t>分；</w:t>
      </w:r>
    </w:p>
    <w:p>
      <w:pPr>
        <w:spacing w:line="360" w:lineRule="auto"/>
        <w:ind w:left="420" w:leftChars="200"/>
        <w:rPr>
          <w:sz w:val="24"/>
        </w:rPr>
      </w:pPr>
      <w:r>
        <w:rPr>
          <w:b/>
          <w:sz w:val="24"/>
        </w:rPr>
        <w:t>2</w:t>
      </w:r>
      <w:r>
        <w:rPr>
          <w:sz w:val="24"/>
        </w:rPr>
        <w:t>　监测并记录施工区和生活区的能耗，得</w:t>
      </w:r>
      <w:r>
        <w:rPr>
          <w:rFonts w:hint="eastAsia"/>
          <w:sz w:val="24"/>
        </w:rPr>
        <w:t>4</w:t>
      </w:r>
      <w:r>
        <w:rPr>
          <w:sz w:val="24"/>
        </w:rPr>
        <w:t>分；</w:t>
      </w:r>
    </w:p>
    <w:p>
      <w:pPr>
        <w:spacing w:line="360" w:lineRule="auto"/>
        <w:ind w:left="420" w:leftChars="200"/>
        <w:rPr>
          <w:sz w:val="24"/>
        </w:rPr>
      </w:pPr>
      <w:r>
        <w:rPr>
          <w:rFonts w:hint="eastAsia"/>
          <w:b/>
          <w:sz w:val="24"/>
        </w:rPr>
        <w:t>3</w:t>
      </w:r>
      <w:r>
        <w:rPr>
          <w:sz w:val="24"/>
        </w:rPr>
        <w:t>　监测并记录建筑施工废弃物从施工现场到废弃物处理/回收中心运输的能耗，得</w:t>
      </w:r>
      <w:r>
        <w:rPr>
          <w:rFonts w:hint="eastAsia"/>
          <w:sz w:val="24"/>
        </w:rPr>
        <w:t>2</w:t>
      </w:r>
      <w:r>
        <w:rPr>
          <w:sz w:val="24"/>
        </w:rPr>
        <w:t>分。</w:t>
      </w:r>
    </w:p>
    <w:p>
      <w:pPr>
        <w:pStyle w:val="87"/>
        <w:spacing w:line="360" w:lineRule="auto"/>
        <w:ind w:firstLine="0" w:firstLineChars="0"/>
        <w:outlineLvl w:val="9"/>
        <w:rPr>
          <w:rFonts w:ascii="仿宋" w:hAnsi="仿宋" w:eastAsia="仿宋"/>
          <w:color w:val="FF0000"/>
        </w:rPr>
      </w:pPr>
      <w:r>
        <w:rPr>
          <w:rFonts w:ascii="仿宋" w:hAnsi="仿宋" w:eastAsia="仿宋"/>
          <w:color w:val="FF0000"/>
        </w:rPr>
        <w:t>【条文说明】</w:t>
      </w:r>
      <w:r>
        <w:rPr>
          <w:rFonts w:hint="eastAsia" w:ascii="仿宋" w:hAnsi="仿宋" w:eastAsia="仿宋"/>
          <w:color w:val="FF0000"/>
        </w:rPr>
        <w:t>与国家标准基本一致，考虑到目前建筑材料和设备都是由供货单位直接运输到施工场地，因此删去了建筑材料和设备运输能耗的得分条款。与现行的绿色施工评价标准、深圳市绿色施工示范项目评价相结合。获得绿色施工评价合格级以上或深圳市绿色施工示范项目第1、2款直接得分。首先项目部应制定施工节能和用能方案。施工区与生活区应分设电表，分别统计。施工区能耗包括施工区施工中各类作业、设备以及临建的用能；生活区能耗包括了生活区人员生活、各类设施、设备、临建的能耗。建筑废弃物运输能耗，包括土方工程渣土的运输能耗。建筑工业化项目，此条直接得分。</w:t>
      </w:r>
    </w:p>
    <w:p>
      <w:pPr>
        <w:spacing w:line="360" w:lineRule="auto"/>
        <w:rPr>
          <w:sz w:val="24"/>
        </w:rPr>
      </w:pPr>
    </w:p>
    <w:p>
      <w:pPr>
        <w:spacing w:line="360" w:lineRule="auto"/>
        <w:rPr>
          <w:sz w:val="24"/>
        </w:rPr>
      </w:pPr>
      <w:r>
        <w:rPr>
          <w:rFonts w:hint="eastAsia"/>
          <w:b/>
          <w:sz w:val="24"/>
        </w:rPr>
        <w:t>11</w:t>
      </w:r>
      <w:r>
        <w:rPr>
          <w:b/>
          <w:sz w:val="24"/>
        </w:rPr>
        <w:t>.2.7</w:t>
      </w:r>
      <w:r>
        <w:rPr>
          <w:sz w:val="24"/>
        </w:rPr>
        <w:t>　制定并实施施工节水和用水方案，监测并记录施工水耗，评价总分值为5分，并按下列规则分别评分并累计：</w:t>
      </w:r>
    </w:p>
    <w:p>
      <w:pPr>
        <w:spacing w:line="360" w:lineRule="auto"/>
        <w:ind w:left="420" w:leftChars="200"/>
        <w:rPr>
          <w:sz w:val="24"/>
        </w:rPr>
      </w:pPr>
      <w:r>
        <w:rPr>
          <w:b/>
          <w:sz w:val="24"/>
        </w:rPr>
        <w:t>1</w:t>
      </w:r>
      <w:r>
        <w:rPr>
          <w:sz w:val="24"/>
        </w:rPr>
        <w:t>　制定并实施施工节水和用水方案，包括生活及办公节水、建筑施工过程节水及污废水利用等节水措施，得1分；</w:t>
      </w:r>
    </w:p>
    <w:p>
      <w:pPr>
        <w:spacing w:line="360" w:lineRule="auto"/>
        <w:ind w:left="420" w:leftChars="200"/>
        <w:rPr>
          <w:sz w:val="24"/>
        </w:rPr>
      </w:pPr>
      <w:r>
        <w:rPr>
          <w:b/>
          <w:sz w:val="24"/>
        </w:rPr>
        <w:t>2</w:t>
      </w:r>
      <w:r>
        <w:rPr>
          <w:sz w:val="24"/>
        </w:rPr>
        <w:t>　监测并记录施工区和生活区的水耗数据，得2分；</w:t>
      </w:r>
    </w:p>
    <w:p>
      <w:pPr>
        <w:spacing w:line="360" w:lineRule="auto"/>
        <w:ind w:left="420" w:leftChars="200"/>
        <w:rPr>
          <w:sz w:val="24"/>
        </w:rPr>
      </w:pPr>
      <w:r>
        <w:rPr>
          <w:b/>
          <w:sz w:val="24"/>
        </w:rPr>
        <w:t>3</w:t>
      </w:r>
      <w:r>
        <w:rPr>
          <w:sz w:val="24"/>
        </w:rPr>
        <w:t>　监测并记录基坑降水的抽取量、排放量和利用量数据，得2分。</w:t>
      </w:r>
    </w:p>
    <w:p>
      <w:pPr>
        <w:pStyle w:val="87"/>
        <w:spacing w:line="360" w:lineRule="auto"/>
        <w:ind w:firstLine="0" w:firstLineChars="0"/>
        <w:outlineLvl w:val="9"/>
        <w:rPr>
          <w:rFonts w:ascii="仿宋" w:hAnsi="仿宋" w:eastAsia="仿宋"/>
          <w:color w:val="FF0000"/>
        </w:rPr>
      </w:pPr>
      <w:r>
        <w:rPr>
          <w:rFonts w:ascii="仿宋" w:hAnsi="仿宋" w:eastAsia="仿宋"/>
          <w:color w:val="FF0000"/>
        </w:rPr>
        <w:t>【条文说明】</w:t>
      </w:r>
      <w:r>
        <w:rPr>
          <w:rFonts w:hint="eastAsia" w:ascii="仿宋" w:hAnsi="仿宋" w:eastAsia="仿宋"/>
          <w:color w:val="FF0000"/>
        </w:rPr>
        <w:t>与国标基本一致，总分从8分调整为5分。获得绿色施工评价合格级以上或深圳市绿色施工示范项目直接得分。</w:t>
      </w:r>
    </w:p>
    <w:p>
      <w:pPr>
        <w:pStyle w:val="87"/>
        <w:spacing w:line="360" w:lineRule="auto"/>
        <w:ind w:firstLine="0" w:firstLineChars="0"/>
        <w:outlineLvl w:val="9"/>
        <w:rPr>
          <w:rFonts w:ascii="仿宋" w:hAnsi="仿宋" w:eastAsia="仿宋"/>
          <w:color w:val="FF0000"/>
        </w:rPr>
      </w:pPr>
      <w:r>
        <w:rPr>
          <w:rFonts w:hint="eastAsia" w:ascii="仿宋" w:hAnsi="仿宋" w:eastAsia="仿宋"/>
          <w:color w:val="FF0000"/>
        </w:rPr>
        <w:t>施工过程中的用水，是建筑全寿命期水耗的组成部分。由于建筑结构、高度、所在地区等的不同，建成每平方米建筑的用水量有显著的差异。施工中应制定节水和用水方案，提出建成每平方米建筑水耗目标值。为此应该做好水耗监测、记录，用于指导施工过程中的节水。竣工时提供施工过程水耗记录和建成每平方米建筑实际水耗值，为施工过程的水耗统计提供基础数据。建筑工业化项目，此条直接得分。</w:t>
      </w:r>
    </w:p>
    <w:p>
      <w:pPr>
        <w:spacing w:line="360" w:lineRule="auto"/>
        <w:rPr>
          <w:sz w:val="24"/>
        </w:rPr>
      </w:pPr>
    </w:p>
    <w:p>
      <w:pPr>
        <w:spacing w:line="360" w:lineRule="auto"/>
        <w:rPr>
          <w:sz w:val="24"/>
        </w:rPr>
      </w:pPr>
      <w:r>
        <w:rPr>
          <w:rFonts w:hint="eastAsia"/>
          <w:b/>
          <w:sz w:val="24"/>
        </w:rPr>
        <w:t>11</w:t>
      </w:r>
      <w:r>
        <w:rPr>
          <w:b/>
          <w:sz w:val="24"/>
        </w:rPr>
        <w:t>.2.8</w:t>
      </w:r>
      <w:r>
        <w:rPr>
          <w:sz w:val="24"/>
        </w:rPr>
        <w:t>　减少预拌混凝土的损耗。损耗率降低至1.5%，得3分；降低至1.0%，得6分，评价总分值为6分。</w:t>
      </w:r>
    </w:p>
    <w:p>
      <w:pPr>
        <w:pStyle w:val="87"/>
        <w:spacing w:line="360" w:lineRule="auto"/>
        <w:ind w:firstLine="0" w:firstLineChars="0"/>
        <w:outlineLvl w:val="9"/>
        <w:rPr>
          <w:rFonts w:ascii="仿宋" w:hAnsi="仿宋" w:eastAsia="仿宋"/>
          <w:color w:val="FF0000"/>
        </w:rPr>
      </w:pPr>
      <w:r>
        <w:rPr>
          <w:rFonts w:ascii="仿宋" w:hAnsi="仿宋" w:eastAsia="仿宋"/>
          <w:color w:val="FF0000"/>
        </w:rPr>
        <w:t>【条文说明】</w:t>
      </w:r>
      <w:r>
        <w:rPr>
          <w:rFonts w:hint="eastAsia" w:ascii="仿宋" w:hAnsi="仿宋" w:eastAsia="仿宋"/>
          <w:color w:val="FF0000"/>
        </w:rPr>
        <w:t>与国家标准基本一致。深圳市强制使用预拌混凝土，因此减少混凝土损耗、降低混凝土消耗量是施工中节材的重点内容之一。我国各地方的工程量预算定额，一般规定预拌混凝土的损耗率是1.5%，但在很多工程施工中超过了1.5%，甚至达到了2%~3%，因此有必要对预拌混凝土的损耗率提出要求。建筑工业化项目，此条直接得分。</w:t>
      </w:r>
    </w:p>
    <w:p>
      <w:pPr>
        <w:spacing w:line="360" w:lineRule="auto"/>
        <w:rPr>
          <w:sz w:val="24"/>
        </w:rPr>
      </w:pPr>
    </w:p>
    <w:p>
      <w:pPr>
        <w:spacing w:line="360" w:lineRule="auto"/>
        <w:rPr>
          <w:sz w:val="24"/>
        </w:rPr>
      </w:pPr>
      <w:r>
        <w:rPr>
          <w:rFonts w:hint="eastAsia"/>
          <w:b/>
          <w:sz w:val="24"/>
        </w:rPr>
        <w:t>11</w:t>
      </w:r>
      <w:r>
        <w:rPr>
          <w:b/>
          <w:sz w:val="24"/>
        </w:rPr>
        <w:t>.2.9</w:t>
      </w:r>
      <w:r>
        <w:rPr>
          <w:sz w:val="24"/>
        </w:rPr>
        <w:t>　采取措施降低钢筋损耗，评价总分值为</w:t>
      </w:r>
      <w:r>
        <w:rPr>
          <w:rFonts w:hint="eastAsia"/>
          <w:sz w:val="24"/>
        </w:rPr>
        <w:t>8</w:t>
      </w:r>
      <w:r>
        <w:rPr>
          <w:sz w:val="24"/>
        </w:rPr>
        <w:t>分，并按下列规则评分：</w:t>
      </w:r>
    </w:p>
    <w:p>
      <w:pPr>
        <w:spacing w:line="360" w:lineRule="auto"/>
        <w:ind w:left="420" w:leftChars="200"/>
        <w:rPr>
          <w:sz w:val="24"/>
        </w:rPr>
      </w:pPr>
      <w:r>
        <w:rPr>
          <w:b/>
          <w:sz w:val="24"/>
        </w:rPr>
        <w:t>1</w:t>
      </w:r>
      <w:r>
        <w:rPr>
          <w:sz w:val="24"/>
        </w:rPr>
        <w:t>　80%以上的钢筋采用专业化生产的成型钢筋，得</w:t>
      </w:r>
      <w:r>
        <w:rPr>
          <w:rFonts w:hint="eastAsia"/>
          <w:sz w:val="24"/>
        </w:rPr>
        <w:t>8</w:t>
      </w:r>
      <w:r>
        <w:rPr>
          <w:sz w:val="24"/>
        </w:rPr>
        <w:t>分；</w:t>
      </w:r>
    </w:p>
    <w:p>
      <w:pPr>
        <w:spacing w:line="360" w:lineRule="auto"/>
        <w:ind w:left="420" w:leftChars="200"/>
        <w:rPr>
          <w:sz w:val="24"/>
        </w:rPr>
      </w:pPr>
      <w:r>
        <w:rPr>
          <w:b/>
          <w:sz w:val="24"/>
        </w:rPr>
        <w:t>2</w:t>
      </w:r>
      <w:r>
        <w:rPr>
          <w:sz w:val="24"/>
        </w:rPr>
        <w:t>　</w:t>
      </w:r>
      <w:r>
        <w:rPr>
          <w:rFonts w:hint="eastAsia"/>
          <w:sz w:val="24"/>
        </w:rPr>
        <w:t>根据</w:t>
      </w:r>
      <w:r>
        <w:rPr>
          <w:sz w:val="24"/>
        </w:rPr>
        <w:t>现场加工钢筋损耗率</w:t>
      </w:r>
      <w:r>
        <w:rPr>
          <w:rFonts w:hint="eastAsia"/>
          <w:sz w:val="24"/>
        </w:rPr>
        <w:t>，按表11.2.9的规则评分，最高得8分。</w:t>
      </w:r>
    </w:p>
    <w:p>
      <w:pPr>
        <w:jc w:val="center"/>
      </w:pPr>
      <w:r>
        <w:rPr>
          <w:rFonts w:hint="eastAsia"/>
        </w:rPr>
        <w:t>表11.2.9 现场加工钢筋损耗率评分规则</w:t>
      </w:r>
    </w:p>
    <w:tbl>
      <w:tblPr>
        <w:tblStyle w:val="38"/>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11"/>
        <w:gridCol w:w="33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11" w:type="dxa"/>
            <w:vAlign w:val="top"/>
          </w:tcPr>
          <w:p>
            <w:pPr>
              <w:jc w:val="center"/>
            </w:pPr>
            <w:r>
              <w:rPr>
                <w:rFonts w:hint="eastAsia"/>
              </w:rPr>
              <w:t>现场加工钢筋损耗率</w:t>
            </w:r>
          </w:p>
        </w:tc>
        <w:tc>
          <w:tcPr>
            <w:tcW w:w="3311" w:type="dxa"/>
            <w:vAlign w:val="top"/>
          </w:tcPr>
          <w:p>
            <w:pPr>
              <w:jc w:val="center"/>
            </w:pPr>
            <w:r>
              <w:rPr>
                <w:rFonts w:hint="eastAsia"/>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11" w:type="dxa"/>
            <w:vAlign w:val="top"/>
          </w:tcPr>
          <w:p>
            <w:pPr>
              <w:jc w:val="center"/>
              <w:rPr>
                <w:bCs/>
              </w:rPr>
            </w:pPr>
            <w:r>
              <w:rPr>
                <w:rFonts w:hint="eastAsia"/>
                <w:bCs/>
              </w:rPr>
              <w:t>3.0%</w:t>
            </w:r>
            <w:r>
              <w:rPr>
                <w:bCs/>
              </w:rPr>
              <w:t>＜≤</w:t>
            </w:r>
            <w:r>
              <w:rPr>
                <w:rFonts w:hint="eastAsia"/>
                <w:bCs/>
              </w:rPr>
              <w:t>4.0%</w:t>
            </w:r>
          </w:p>
        </w:tc>
        <w:tc>
          <w:tcPr>
            <w:tcW w:w="3311" w:type="dxa"/>
            <w:vAlign w:val="top"/>
          </w:tcPr>
          <w:p>
            <w:pPr>
              <w:jc w:val="center"/>
            </w:pPr>
            <w:r>
              <w:rPr>
                <w:rFonts w:hint="eastAsia"/>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11" w:type="dxa"/>
            <w:vAlign w:val="top"/>
          </w:tcPr>
          <w:p>
            <w:pPr>
              <w:jc w:val="center"/>
              <w:rPr>
                <w:bCs/>
              </w:rPr>
            </w:pPr>
            <w:r>
              <w:rPr>
                <w:rFonts w:hint="eastAsia"/>
                <w:bCs/>
              </w:rPr>
              <w:t>1.5%</w:t>
            </w:r>
            <w:r>
              <w:rPr>
                <w:bCs/>
              </w:rPr>
              <w:t>＜≤</w:t>
            </w:r>
            <w:r>
              <w:rPr>
                <w:rFonts w:hint="eastAsia"/>
                <w:bCs/>
              </w:rPr>
              <w:t>3.0%</w:t>
            </w:r>
          </w:p>
        </w:tc>
        <w:tc>
          <w:tcPr>
            <w:tcW w:w="3311" w:type="dxa"/>
            <w:vAlign w:val="top"/>
          </w:tcPr>
          <w:p>
            <w:pPr>
              <w:jc w:val="center"/>
            </w:pPr>
            <w:r>
              <w:rPr>
                <w:rFonts w:hint="eastAsia"/>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211" w:type="dxa"/>
            <w:vAlign w:val="top"/>
          </w:tcPr>
          <w:p>
            <w:pPr>
              <w:jc w:val="center"/>
            </w:pPr>
            <w:r>
              <w:rPr>
                <w:bCs/>
              </w:rPr>
              <w:t>≤</w:t>
            </w:r>
            <w:r>
              <w:rPr>
                <w:rFonts w:hint="eastAsia"/>
                <w:bCs/>
              </w:rPr>
              <w:t>1.5%</w:t>
            </w:r>
          </w:p>
        </w:tc>
        <w:tc>
          <w:tcPr>
            <w:tcW w:w="3311" w:type="dxa"/>
            <w:vAlign w:val="top"/>
          </w:tcPr>
          <w:p>
            <w:pPr>
              <w:jc w:val="center"/>
            </w:pPr>
            <w:r>
              <w:rPr>
                <w:rFonts w:hint="eastAsia"/>
              </w:rPr>
              <w:t>8</w:t>
            </w:r>
          </w:p>
        </w:tc>
      </w:tr>
    </w:tbl>
    <w:p>
      <w:pPr>
        <w:pStyle w:val="87"/>
        <w:spacing w:line="360" w:lineRule="auto"/>
        <w:ind w:firstLine="0" w:firstLineChars="0"/>
        <w:outlineLvl w:val="9"/>
        <w:rPr>
          <w:rFonts w:ascii="仿宋" w:hAnsi="仿宋" w:eastAsia="仿宋"/>
          <w:color w:val="FF0000"/>
        </w:rPr>
      </w:pPr>
      <w:r>
        <w:rPr>
          <w:rFonts w:ascii="仿宋" w:hAnsi="仿宋" w:eastAsia="仿宋"/>
          <w:color w:val="FF0000"/>
        </w:rPr>
        <w:t>【条文说明】</w:t>
      </w:r>
      <w:r>
        <w:rPr>
          <w:rFonts w:hint="eastAsia" w:ascii="仿宋" w:hAnsi="仿宋" w:eastAsia="仿宋"/>
          <w:color w:val="FF0000"/>
        </w:rPr>
        <w:t>与国家标准基本一致。钢筋是混凝土结构建筑的大宗消耗材料。钢筋浪费是建筑施工中普遍存在的问题，设计、施工不合理都会造成钢筋浪费。我国各地方的工程预算定额，根据钢筋的规格不同，一般规定的损耗率为2.5%~4.5%。根据对国内施工项目的初步调查，施工中实际钢筋浪费率约为6%。因此有必要对钢筋的损耗率提出要求。</w:t>
      </w:r>
    </w:p>
    <w:p>
      <w:pPr>
        <w:pStyle w:val="87"/>
        <w:spacing w:line="360" w:lineRule="auto"/>
        <w:ind w:firstLine="0" w:firstLineChars="0"/>
        <w:outlineLvl w:val="9"/>
        <w:rPr>
          <w:rFonts w:ascii="仿宋" w:hAnsi="仿宋" w:eastAsia="仿宋"/>
          <w:color w:val="FF0000"/>
        </w:rPr>
      </w:pPr>
      <w:r>
        <w:rPr>
          <w:rFonts w:hint="eastAsia" w:ascii="仿宋" w:hAnsi="仿宋" w:eastAsia="仿宋"/>
          <w:color w:val="FF0000"/>
        </w:rPr>
        <w:t>专业化生产是指将钢筋用自动化机械设备按设计图纸要求加工成钢筋半成品，并进行配送的生产方式。钢筋专业化生产不仅可以通过统筹套裁节约钢筋，还可减少现场作业、降低加工成本、提高生产效率、改善施工环境和保证工程质量。</w:t>
      </w:r>
    </w:p>
    <w:p>
      <w:pPr>
        <w:pStyle w:val="87"/>
        <w:spacing w:line="360" w:lineRule="auto"/>
        <w:ind w:firstLine="0" w:firstLineChars="0"/>
        <w:outlineLvl w:val="9"/>
        <w:rPr>
          <w:rFonts w:ascii="仿宋" w:hAnsi="仿宋" w:eastAsia="仿宋"/>
          <w:color w:val="FF0000"/>
        </w:rPr>
      </w:pPr>
      <w:r>
        <w:rPr>
          <w:rFonts w:hint="eastAsia" w:ascii="仿宋" w:hAnsi="仿宋" w:eastAsia="仿宋"/>
          <w:color w:val="FF0000"/>
        </w:rPr>
        <w:t>建筑工业化项目，此条直接得分。</w:t>
      </w:r>
    </w:p>
    <w:p>
      <w:pPr>
        <w:spacing w:line="360" w:lineRule="auto"/>
        <w:rPr>
          <w:sz w:val="24"/>
        </w:rPr>
      </w:pPr>
    </w:p>
    <w:p>
      <w:pPr>
        <w:spacing w:line="360" w:lineRule="auto"/>
        <w:rPr>
          <w:sz w:val="24"/>
        </w:rPr>
      </w:pPr>
      <w:r>
        <w:rPr>
          <w:rFonts w:hint="eastAsia"/>
          <w:b/>
          <w:sz w:val="24"/>
        </w:rPr>
        <w:t>11</w:t>
      </w:r>
      <w:r>
        <w:rPr>
          <w:b/>
          <w:sz w:val="24"/>
        </w:rPr>
        <w:t>.2.10</w:t>
      </w:r>
      <w:r>
        <w:rPr>
          <w:sz w:val="24"/>
        </w:rPr>
        <w:t>　使用工具式定型模板，增加模板周转次数</w:t>
      </w:r>
      <w:r>
        <w:rPr>
          <w:rFonts w:hint="eastAsia"/>
          <w:sz w:val="24"/>
        </w:rPr>
        <w:t>，</w:t>
      </w:r>
      <w:r>
        <w:rPr>
          <w:sz w:val="24"/>
        </w:rPr>
        <w:t>评价总分值为10分</w:t>
      </w:r>
      <w:r>
        <w:rPr>
          <w:rFonts w:hint="eastAsia"/>
          <w:sz w:val="24"/>
        </w:rPr>
        <w:t>，根据</w:t>
      </w:r>
      <w:r>
        <w:rPr>
          <w:sz w:val="24"/>
        </w:rPr>
        <w:t>工具式定型模板使用面积占模板工程总面积的比例</w:t>
      </w:r>
      <w:r>
        <w:rPr>
          <w:rFonts w:hint="eastAsia"/>
          <w:sz w:val="24"/>
        </w:rPr>
        <w:t>按表11.2.10的规则评分。</w:t>
      </w:r>
    </w:p>
    <w:p>
      <w:pPr>
        <w:jc w:val="center"/>
      </w:pPr>
      <w:r>
        <w:rPr>
          <w:rFonts w:hint="eastAsia"/>
        </w:rPr>
        <w:t>表11.2.10 工具式定型模板使用率评分规则</w:t>
      </w:r>
    </w:p>
    <w:tbl>
      <w:tblPr>
        <w:tblStyle w:val="38"/>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04"/>
        <w:gridCol w:w="23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04" w:type="dxa"/>
            <w:vAlign w:val="top"/>
          </w:tcPr>
          <w:p>
            <w:pPr>
              <w:jc w:val="center"/>
            </w:pPr>
            <w:r>
              <w:rPr>
                <w:rFonts w:hint="eastAsia"/>
              </w:rPr>
              <w:t>工具式定型模板使用面积占模板工程总面积的比例</w:t>
            </w:r>
          </w:p>
        </w:tc>
        <w:tc>
          <w:tcPr>
            <w:tcW w:w="2318" w:type="dxa"/>
            <w:vAlign w:val="top"/>
          </w:tcPr>
          <w:p>
            <w:pPr>
              <w:jc w:val="center"/>
            </w:pPr>
            <w:r>
              <w:rPr>
                <w:rFonts w:hint="eastAsia"/>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04" w:type="dxa"/>
            <w:vAlign w:val="top"/>
          </w:tcPr>
          <w:p>
            <w:pPr>
              <w:jc w:val="center"/>
              <w:rPr>
                <w:bCs/>
              </w:rPr>
            </w:pPr>
            <w:r>
              <w:rPr>
                <w:rFonts w:hint="eastAsia"/>
                <w:bCs/>
              </w:rPr>
              <w:t>50%</w:t>
            </w:r>
            <w:r>
              <w:rPr>
                <w:bCs/>
              </w:rPr>
              <w:t>＜≤</w:t>
            </w:r>
            <w:r>
              <w:rPr>
                <w:rFonts w:hint="eastAsia"/>
                <w:bCs/>
              </w:rPr>
              <w:t>70%</w:t>
            </w:r>
          </w:p>
        </w:tc>
        <w:tc>
          <w:tcPr>
            <w:tcW w:w="2318" w:type="dxa"/>
            <w:vAlign w:val="top"/>
          </w:tcPr>
          <w:p>
            <w:pPr>
              <w:jc w:val="center"/>
            </w:pPr>
            <w:r>
              <w:rPr>
                <w:rFonts w:hint="eastAsia"/>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04" w:type="dxa"/>
            <w:vAlign w:val="top"/>
          </w:tcPr>
          <w:p>
            <w:pPr>
              <w:jc w:val="center"/>
              <w:rPr>
                <w:bCs/>
              </w:rPr>
            </w:pPr>
            <w:r>
              <w:rPr>
                <w:rFonts w:hint="eastAsia"/>
                <w:bCs/>
              </w:rPr>
              <w:t>70%</w:t>
            </w:r>
            <w:r>
              <w:rPr>
                <w:bCs/>
              </w:rPr>
              <w:t>＜≤</w:t>
            </w:r>
            <w:r>
              <w:rPr>
                <w:rFonts w:hint="eastAsia"/>
                <w:bCs/>
              </w:rPr>
              <w:t>85%</w:t>
            </w:r>
          </w:p>
        </w:tc>
        <w:tc>
          <w:tcPr>
            <w:tcW w:w="2318" w:type="dxa"/>
            <w:vAlign w:val="top"/>
          </w:tcPr>
          <w:p>
            <w:pPr>
              <w:jc w:val="center"/>
            </w:pPr>
            <w:r>
              <w:rPr>
                <w:rFonts w:hint="eastAsia"/>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204" w:type="dxa"/>
            <w:vAlign w:val="top"/>
          </w:tcPr>
          <w:p>
            <w:pPr>
              <w:jc w:val="center"/>
            </w:pPr>
            <w:r>
              <w:rPr>
                <w:rFonts w:hint="eastAsia"/>
                <w:bCs/>
              </w:rPr>
              <w:t>≥85%</w:t>
            </w:r>
          </w:p>
        </w:tc>
        <w:tc>
          <w:tcPr>
            <w:tcW w:w="2318" w:type="dxa"/>
            <w:vAlign w:val="top"/>
          </w:tcPr>
          <w:p>
            <w:pPr>
              <w:jc w:val="center"/>
            </w:pPr>
            <w:r>
              <w:rPr>
                <w:rFonts w:hint="eastAsia"/>
              </w:rPr>
              <w:t>10</w:t>
            </w:r>
          </w:p>
        </w:tc>
      </w:tr>
    </w:tbl>
    <w:p>
      <w:pPr>
        <w:pStyle w:val="87"/>
        <w:spacing w:line="360" w:lineRule="auto"/>
        <w:ind w:firstLine="0" w:firstLineChars="0"/>
        <w:outlineLvl w:val="9"/>
        <w:rPr>
          <w:rFonts w:ascii="仿宋" w:hAnsi="仿宋" w:eastAsia="仿宋"/>
          <w:color w:val="FF0000"/>
        </w:rPr>
      </w:pPr>
      <w:r>
        <w:rPr>
          <w:rFonts w:ascii="仿宋" w:hAnsi="仿宋" w:eastAsia="仿宋"/>
          <w:color w:val="FF0000"/>
        </w:rPr>
        <w:t>【条文说明】</w:t>
      </w:r>
      <w:r>
        <w:rPr>
          <w:rFonts w:hint="eastAsia" w:ascii="仿宋" w:hAnsi="仿宋" w:eastAsia="仿宋"/>
          <w:color w:val="FF0000"/>
        </w:rPr>
        <w:t>与国家标准基本一致。工具式定型模板，采用模数制设计，可以通过定型单元，包括平面模板、内角、外角模板以及连接件等，在施工现场拼装成多种形式的混凝土模板。它既可以一次拼装，多次重复使用；又可以灵活拼装，随时变化拼装模板尺寸。定型模板的使用，提高了周转次数，减少了废弃物的产出，是模板工程绿色技术的发展方向。</w:t>
      </w:r>
    </w:p>
    <w:p>
      <w:pPr>
        <w:pStyle w:val="87"/>
        <w:spacing w:line="360" w:lineRule="auto"/>
        <w:ind w:firstLine="0" w:firstLineChars="0"/>
        <w:outlineLvl w:val="9"/>
        <w:rPr>
          <w:rFonts w:ascii="仿宋" w:hAnsi="仿宋" w:eastAsia="仿宋"/>
          <w:color w:val="FF0000"/>
        </w:rPr>
      </w:pPr>
    </w:p>
    <w:p/>
    <w:p>
      <w:pPr>
        <w:pStyle w:val="87"/>
        <w:ind w:firstLine="0" w:firstLineChars="0"/>
        <w:jc w:val="center"/>
        <w:rPr>
          <w:rFonts w:ascii="宋体" w:hAnsi="宋体"/>
        </w:rPr>
      </w:pPr>
      <w:bookmarkStart w:id="124" w:name="_Toc349912349"/>
      <w:bookmarkStart w:id="125" w:name="_Toc449111694"/>
      <w:r>
        <w:rPr>
          <w:rFonts w:ascii="宋体" w:hAnsi="宋体"/>
        </w:rPr>
        <w:t>Ⅲ</w:t>
      </w:r>
      <w:r>
        <w:rPr>
          <w:rFonts w:hint="eastAsia" w:ascii="宋体" w:hAnsi="宋体"/>
        </w:rPr>
        <w:t xml:space="preserve"> </w:t>
      </w:r>
      <w:r>
        <w:rPr>
          <w:rFonts w:ascii="宋体" w:hAnsi="宋体"/>
        </w:rPr>
        <w:t>过程管理</w:t>
      </w:r>
      <w:bookmarkEnd w:id="124"/>
      <w:r>
        <w:rPr>
          <w:rFonts w:hint="eastAsia" w:ascii="宋体" w:hAnsi="宋体"/>
        </w:rPr>
        <w:t>（38）</w:t>
      </w:r>
      <w:bookmarkEnd w:id="125"/>
    </w:p>
    <w:p>
      <w:pPr>
        <w:snapToGrid w:val="0"/>
        <w:spacing w:line="300" w:lineRule="auto"/>
        <w:ind w:firstLine="480" w:firstLineChars="200"/>
        <w:rPr>
          <w:sz w:val="24"/>
        </w:rPr>
      </w:pPr>
    </w:p>
    <w:p>
      <w:pPr>
        <w:spacing w:line="360" w:lineRule="auto"/>
        <w:rPr>
          <w:sz w:val="24"/>
        </w:rPr>
      </w:pPr>
      <w:r>
        <w:rPr>
          <w:rFonts w:hint="eastAsia"/>
          <w:b/>
          <w:sz w:val="24"/>
        </w:rPr>
        <w:t>11</w:t>
      </w:r>
      <w:r>
        <w:rPr>
          <w:b/>
          <w:sz w:val="24"/>
        </w:rPr>
        <w:t>.2.11</w:t>
      </w:r>
      <w:r>
        <w:rPr>
          <w:sz w:val="24"/>
        </w:rPr>
        <w:t>　实施设计文件中绿色建筑重点内容，评价总分值为</w:t>
      </w:r>
      <w:r>
        <w:rPr>
          <w:rFonts w:hint="eastAsia"/>
          <w:sz w:val="24"/>
        </w:rPr>
        <w:t>4</w:t>
      </w:r>
      <w:r>
        <w:rPr>
          <w:sz w:val="24"/>
        </w:rPr>
        <w:t>分，并按下列规则分别评分并累计：</w:t>
      </w:r>
    </w:p>
    <w:p>
      <w:pPr>
        <w:spacing w:line="360" w:lineRule="auto"/>
        <w:ind w:left="420" w:leftChars="200"/>
        <w:rPr>
          <w:sz w:val="24"/>
        </w:rPr>
      </w:pPr>
      <w:r>
        <w:rPr>
          <w:b/>
          <w:sz w:val="24"/>
        </w:rPr>
        <w:t>1</w:t>
      </w:r>
      <w:r>
        <w:rPr>
          <w:sz w:val="24"/>
        </w:rPr>
        <w:t>　参建各方进行绿色建筑重点内容的专项交底，得</w:t>
      </w:r>
      <w:r>
        <w:rPr>
          <w:rFonts w:hint="eastAsia"/>
          <w:sz w:val="24"/>
        </w:rPr>
        <w:t>2</w:t>
      </w:r>
      <w:r>
        <w:rPr>
          <w:sz w:val="24"/>
        </w:rPr>
        <w:t>分；</w:t>
      </w:r>
    </w:p>
    <w:p>
      <w:pPr>
        <w:spacing w:line="360" w:lineRule="auto"/>
        <w:ind w:left="420" w:leftChars="200"/>
        <w:rPr>
          <w:sz w:val="24"/>
        </w:rPr>
      </w:pPr>
      <w:r>
        <w:rPr>
          <w:b/>
          <w:sz w:val="24"/>
        </w:rPr>
        <w:t>2</w:t>
      </w:r>
      <w:r>
        <w:rPr>
          <w:sz w:val="24"/>
        </w:rPr>
        <w:t>　施工过程中以施工日志记录绿色建筑重点内容的实施情况，得2分。</w:t>
      </w:r>
    </w:p>
    <w:p>
      <w:pPr>
        <w:pStyle w:val="87"/>
        <w:spacing w:line="360" w:lineRule="auto"/>
        <w:ind w:firstLine="0" w:firstLineChars="0"/>
        <w:outlineLvl w:val="9"/>
        <w:rPr>
          <w:rFonts w:ascii="仿宋" w:hAnsi="仿宋" w:eastAsia="仿宋"/>
          <w:color w:val="FF0000"/>
        </w:rPr>
      </w:pPr>
      <w:r>
        <w:rPr>
          <w:rFonts w:ascii="仿宋" w:hAnsi="仿宋" w:eastAsia="仿宋"/>
          <w:color w:val="FF0000"/>
        </w:rPr>
        <w:t>【条文说明】</w:t>
      </w:r>
      <w:r>
        <w:rPr>
          <w:rFonts w:hint="eastAsia" w:ascii="仿宋" w:hAnsi="仿宋" w:eastAsia="仿宋"/>
          <w:color w:val="FF0000"/>
        </w:rPr>
        <w:t>与国家标准基本一致。施工是把绿色建筑由设计转化为实体的重要过程，为此施工单位应进行专项交底，落实绿色建筑重点内容。</w:t>
      </w:r>
    </w:p>
    <w:p>
      <w:pPr>
        <w:spacing w:line="360" w:lineRule="auto"/>
        <w:rPr>
          <w:sz w:val="24"/>
        </w:rPr>
      </w:pPr>
    </w:p>
    <w:p>
      <w:pPr>
        <w:spacing w:line="360" w:lineRule="auto"/>
        <w:rPr>
          <w:sz w:val="24"/>
        </w:rPr>
      </w:pPr>
      <w:r>
        <w:rPr>
          <w:rFonts w:hint="eastAsia"/>
          <w:b/>
          <w:sz w:val="24"/>
        </w:rPr>
        <w:t>11</w:t>
      </w:r>
      <w:r>
        <w:rPr>
          <w:b/>
          <w:sz w:val="24"/>
        </w:rPr>
        <w:t>.2.12</w:t>
      </w:r>
      <w:r>
        <w:rPr>
          <w:sz w:val="24"/>
        </w:rPr>
        <w:t>　严格控制设计文件变更，避免出现降低建筑绿色性能的重大变更，评价分值为</w:t>
      </w:r>
      <w:r>
        <w:rPr>
          <w:rFonts w:hint="eastAsia"/>
          <w:sz w:val="24"/>
        </w:rPr>
        <w:t>3</w:t>
      </w:r>
      <w:r>
        <w:rPr>
          <w:sz w:val="24"/>
        </w:rPr>
        <w:t>分。</w:t>
      </w:r>
    </w:p>
    <w:p>
      <w:pPr>
        <w:pStyle w:val="87"/>
        <w:spacing w:line="360" w:lineRule="auto"/>
        <w:ind w:firstLine="0" w:firstLineChars="0"/>
        <w:outlineLvl w:val="9"/>
        <w:rPr>
          <w:rFonts w:ascii="仿宋" w:hAnsi="仿宋" w:eastAsia="仿宋"/>
          <w:color w:val="FF0000"/>
        </w:rPr>
      </w:pPr>
      <w:r>
        <w:rPr>
          <w:rFonts w:ascii="仿宋" w:hAnsi="仿宋" w:eastAsia="仿宋"/>
          <w:color w:val="FF0000"/>
        </w:rPr>
        <w:t>【条文说明】</w:t>
      </w:r>
      <w:r>
        <w:rPr>
          <w:rFonts w:hint="eastAsia" w:ascii="仿宋" w:hAnsi="仿宋" w:eastAsia="仿宋"/>
          <w:color w:val="FF0000"/>
        </w:rPr>
        <w:t>与国家标准基本一致，总分从4分调整为3分。绿色建筑设计文件经审查后，在建造过程中往往可能需要进行变更，这样有可能使绿色建筑的相关指标发生变化。此条旨在强调在建造过程中严格执行审批后的设计文件，若在施工过程中出于整体建筑功能要求，对绿色建筑设计文件进行变更，但不显著影响该建筑绿色性能，其变更可按照正常的程序进行。设计变更应存留完整的资料档案，作为最终评审时的依据。</w:t>
      </w:r>
    </w:p>
    <w:p>
      <w:pPr>
        <w:spacing w:line="360" w:lineRule="auto"/>
        <w:rPr>
          <w:sz w:val="24"/>
        </w:rPr>
      </w:pPr>
    </w:p>
    <w:p>
      <w:pPr>
        <w:spacing w:line="360" w:lineRule="auto"/>
        <w:rPr>
          <w:sz w:val="24"/>
        </w:rPr>
      </w:pPr>
      <w:r>
        <w:rPr>
          <w:rFonts w:hint="eastAsia"/>
          <w:b/>
          <w:sz w:val="24"/>
        </w:rPr>
        <w:t>11</w:t>
      </w:r>
      <w:r>
        <w:rPr>
          <w:b/>
          <w:sz w:val="24"/>
        </w:rPr>
        <w:t>.2.13</w:t>
      </w:r>
      <w:r>
        <w:rPr>
          <w:sz w:val="24"/>
        </w:rPr>
        <w:t>　施工过程中采取相关措施保证建筑的耐久性，评价总分值为8分，并按下列规则分别评分并累计：</w:t>
      </w:r>
    </w:p>
    <w:p>
      <w:pPr>
        <w:spacing w:line="360" w:lineRule="auto"/>
        <w:ind w:left="420" w:leftChars="200"/>
        <w:rPr>
          <w:sz w:val="24"/>
        </w:rPr>
      </w:pPr>
      <w:r>
        <w:rPr>
          <w:b/>
          <w:sz w:val="24"/>
        </w:rPr>
        <w:t>1</w:t>
      </w:r>
      <w:r>
        <w:rPr>
          <w:sz w:val="24"/>
        </w:rPr>
        <w:t>　对保证建筑结构耐久性的技术措施进行相应检测并记录，得3分；</w:t>
      </w:r>
    </w:p>
    <w:p>
      <w:pPr>
        <w:spacing w:line="360" w:lineRule="auto"/>
        <w:ind w:left="420" w:leftChars="200"/>
        <w:rPr>
          <w:sz w:val="24"/>
        </w:rPr>
      </w:pPr>
      <w:r>
        <w:rPr>
          <w:b/>
          <w:sz w:val="24"/>
        </w:rPr>
        <w:t>2</w:t>
      </w:r>
      <w:r>
        <w:rPr>
          <w:sz w:val="24"/>
        </w:rPr>
        <w:t>　对有节能、环保要求的设备进行相应验收并记录，得3分；</w:t>
      </w:r>
    </w:p>
    <w:p>
      <w:pPr>
        <w:spacing w:line="360" w:lineRule="auto"/>
        <w:ind w:left="420" w:leftChars="200"/>
        <w:rPr>
          <w:sz w:val="24"/>
        </w:rPr>
      </w:pPr>
      <w:r>
        <w:rPr>
          <w:b/>
          <w:sz w:val="24"/>
        </w:rPr>
        <w:t>3</w:t>
      </w:r>
      <w:r>
        <w:rPr>
          <w:sz w:val="24"/>
        </w:rPr>
        <w:t>　对有节能、环保要求的装修装饰材料进行相应抽检并记录，得2分。</w:t>
      </w:r>
    </w:p>
    <w:p>
      <w:pPr>
        <w:pStyle w:val="87"/>
        <w:spacing w:line="360" w:lineRule="auto"/>
        <w:ind w:firstLine="0" w:firstLineChars="0"/>
        <w:outlineLvl w:val="9"/>
        <w:rPr>
          <w:rFonts w:ascii="仿宋" w:hAnsi="仿宋" w:eastAsia="仿宋"/>
          <w:color w:val="FF0000"/>
        </w:rPr>
      </w:pPr>
      <w:r>
        <w:rPr>
          <w:rFonts w:ascii="仿宋" w:hAnsi="仿宋" w:eastAsia="仿宋"/>
          <w:color w:val="FF0000"/>
        </w:rPr>
        <w:t>【条文说明】</w:t>
      </w:r>
      <w:r>
        <w:rPr>
          <w:rFonts w:hint="eastAsia" w:ascii="仿宋" w:hAnsi="仿宋" w:eastAsia="仿宋"/>
          <w:color w:val="FF0000"/>
        </w:rPr>
        <w:t>与国家标准基本一致。建筑使用寿命的延长意味着更好地节约能源资源。建筑结构耐久性指标，决定着建筑的使用年限。施工过程中，应根据绿色建筑设计文件和有关标准的要求，对保障建筑结构耐久性相关措施进行检测。检测结果是竣工验收及绿色建筑评价时的重要依据。对绿色建筑的装修装饰材料、设备，应按照相应标准进行检测。</w:t>
      </w:r>
    </w:p>
    <w:p>
      <w:pPr>
        <w:spacing w:line="360" w:lineRule="auto"/>
        <w:rPr>
          <w:sz w:val="24"/>
        </w:rPr>
      </w:pPr>
    </w:p>
    <w:p>
      <w:pPr>
        <w:spacing w:line="360" w:lineRule="auto"/>
        <w:rPr>
          <w:sz w:val="24"/>
        </w:rPr>
      </w:pPr>
      <w:r>
        <w:rPr>
          <w:rFonts w:hint="eastAsia"/>
          <w:b/>
          <w:sz w:val="24"/>
        </w:rPr>
        <w:t>11</w:t>
      </w:r>
      <w:r>
        <w:rPr>
          <w:b/>
          <w:sz w:val="24"/>
        </w:rPr>
        <w:t>.2.14</w:t>
      </w:r>
      <w:r>
        <w:rPr>
          <w:sz w:val="24"/>
        </w:rPr>
        <w:t>　实现土建装修一体化施工，评价总分值为10分，并按下列规则分别评分并累计：</w:t>
      </w:r>
    </w:p>
    <w:p>
      <w:pPr>
        <w:spacing w:line="360" w:lineRule="auto"/>
        <w:ind w:left="420" w:leftChars="200"/>
        <w:rPr>
          <w:sz w:val="24"/>
        </w:rPr>
      </w:pPr>
      <w:r>
        <w:rPr>
          <w:b/>
          <w:sz w:val="24"/>
        </w:rPr>
        <w:t>1</w:t>
      </w:r>
      <w:r>
        <w:rPr>
          <w:sz w:val="24"/>
        </w:rPr>
        <w:t>　工程竣工时主要功能空间的使用功能完备，装修到位，得2分；</w:t>
      </w:r>
    </w:p>
    <w:p>
      <w:pPr>
        <w:spacing w:line="360" w:lineRule="auto"/>
        <w:ind w:left="420" w:leftChars="200"/>
        <w:rPr>
          <w:sz w:val="24"/>
        </w:rPr>
      </w:pPr>
      <w:r>
        <w:rPr>
          <w:b/>
          <w:sz w:val="24"/>
        </w:rPr>
        <w:t>2</w:t>
      </w:r>
      <w:r>
        <w:rPr>
          <w:sz w:val="24"/>
        </w:rPr>
        <w:t>　提供装修材料检测报告、建筑外墙节能检测报告、机电设备检测报告、性能复试报告，得3分；</w:t>
      </w:r>
    </w:p>
    <w:p>
      <w:pPr>
        <w:spacing w:line="360" w:lineRule="auto"/>
        <w:ind w:left="420" w:leftChars="200"/>
        <w:rPr>
          <w:sz w:val="24"/>
        </w:rPr>
      </w:pPr>
      <w:r>
        <w:rPr>
          <w:b/>
          <w:sz w:val="24"/>
        </w:rPr>
        <w:t>3</w:t>
      </w:r>
      <w:r>
        <w:rPr>
          <w:sz w:val="24"/>
        </w:rPr>
        <w:t>　提供建筑竣工验收证明、建筑质量保修书、使用说明书，得3分；</w:t>
      </w:r>
    </w:p>
    <w:p>
      <w:pPr>
        <w:spacing w:line="360" w:lineRule="auto"/>
        <w:ind w:left="420" w:leftChars="200"/>
        <w:rPr>
          <w:sz w:val="24"/>
        </w:rPr>
      </w:pPr>
      <w:r>
        <w:rPr>
          <w:b/>
          <w:sz w:val="24"/>
        </w:rPr>
        <w:t>4</w:t>
      </w:r>
      <w:r>
        <w:rPr>
          <w:sz w:val="24"/>
        </w:rPr>
        <w:t>　提供业主反馈意见书，得2分。</w:t>
      </w:r>
    </w:p>
    <w:p>
      <w:pPr>
        <w:pStyle w:val="87"/>
        <w:spacing w:line="360" w:lineRule="auto"/>
        <w:ind w:firstLine="0" w:firstLineChars="0"/>
        <w:outlineLvl w:val="9"/>
        <w:rPr>
          <w:rFonts w:ascii="仿宋" w:hAnsi="仿宋" w:eastAsia="仿宋"/>
          <w:color w:val="FF0000"/>
        </w:rPr>
      </w:pPr>
      <w:r>
        <w:rPr>
          <w:rFonts w:ascii="仿宋" w:hAnsi="仿宋" w:eastAsia="仿宋"/>
          <w:color w:val="FF0000"/>
        </w:rPr>
        <w:t>【条文说明】</w:t>
      </w:r>
      <w:r>
        <w:rPr>
          <w:rFonts w:hint="eastAsia" w:ascii="仿宋" w:hAnsi="仿宋" w:eastAsia="仿宋"/>
          <w:color w:val="FF0000"/>
        </w:rPr>
        <w:t>与国标基本一致，总分从14分调整为10分。土建装修一体化设计、施工，对节约能源资源有重要作用。实践中，可由建设单位统一组织建筑主体工程和装修施工，也可由建设单位提供菜单式的装修做法由业主选择，统一进行图纸设计、材料购买和施工。在选材和施工方面尽可能采取工业化制造，具备稳定性、耐久性、环保性和通用性的设备和装修装饰材料，从而在工程竣工验收时室内装修一步到位，避免破坏建筑构件和设施。</w:t>
      </w:r>
    </w:p>
    <w:p>
      <w:pPr>
        <w:spacing w:line="360" w:lineRule="auto"/>
        <w:rPr>
          <w:sz w:val="24"/>
        </w:rPr>
      </w:pPr>
    </w:p>
    <w:p>
      <w:pPr>
        <w:spacing w:line="360" w:lineRule="auto"/>
        <w:rPr>
          <w:sz w:val="24"/>
        </w:rPr>
      </w:pPr>
      <w:r>
        <w:rPr>
          <w:rFonts w:hint="eastAsia"/>
          <w:b/>
          <w:sz w:val="24"/>
        </w:rPr>
        <w:t>11</w:t>
      </w:r>
      <w:r>
        <w:rPr>
          <w:b/>
          <w:sz w:val="24"/>
        </w:rPr>
        <w:t>.2.15</w:t>
      </w:r>
      <w:r>
        <w:rPr>
          <w:sz w:val="24"/>
        </w:rPr>
        <w:t>　</w:t>
      </w:r>
      <w:r>
        <w:rPr>
          <w:rFonts w:hint="eastAsia"/>
          <w:sz w:val="24"/>
        </w:rPr>
        <w:t>工程竣工验收前，</w:t>
      </w:r>
      <w:r>
        <w:rPr>
          <w:sz w:val="24"/>
        </w:rPr>
        <w:t>由建设单位组织有关责任单位，进行机电系统的综合调试和联合试运转，结果符合设计要求，评价</w:t>
      </w:r>
      <w:r>
        <w:rPr>
          <w:rFonts w:hint="eastAsia"/>
          <w:sz w:val="24"/>
        </w:rPr>
        <w:t>总</w:t>
      </w:r>
      <w:r>
        <w:rPr>
          <w:sz w:val="24"/>
        </w:rPr>
        <w:t>分值为8分</w:t>
      </w:r>
      <w:r>
        <w:rPr>
          <w:rFonts w:hint="eastAsia"/>
          <w:sz w:val="24"/>
        </w:rPr>
        <w:t>，并按照下列规则分别评分并累计：</w:t>
      </w:r>
    </w:p>
    <w:p>
      <w:pPr>
        <w:spacing w:line="360" w:lineRule="auto"/>
        <w:ind w:left="420" w:leftChars="200"/>
        <w:rPr>
          <w:sz w:val="24"/>
        </w:rPr>
      </w:pPr>
      <w:r>
        <w:rPr>
          <w:b/>
          <w:sz w:val="24"/>
        </w:rPr>
        <w:t>1</w:t>
      </w:r>
      <w:r>
        <w:rPr>
          <w:sz w:val="24"/>
        </w:rPr>
        <w:t>　</w:t>
      </w:r>
      <w:r>
        <w:rPr>
          <w:rFonts w:hint="eastAsia"/>
          <w:sz w:val="24"/>
        </w:rPr>
        <w:t>工程建设单位、施工单位、设备单位等进行系统联合调试</w:t>
      </w:r>
      <w:r>
        <w:rPr>
          <w:sz w:val="24"/>
        </w:rPr>
        <w:t>，得</w:t>
      </w:r>
      <w:r>
        <w:rPr>
          <w:rFonts w:hint="eastAsia"/>
          <w:sz w:val="24"/>
        </w:rPr>
        <w:t>4</w:t>
      </w:r>
      <w:r>
        <w:rPr>
          <w:sz w:val="24"/>
        </w:rPr>
        <w:t>分；</w:t>
      </w:r>
    </w:p>
    <w:p>
      <w:pPr>
        <w:spacing w:line="360" w:lineRule="auto"/>
        <w:ind w:left="420" w:leftChars="200"/>
        <w:rPr>
          <w:sz w:val="24"/>
        </w:rPr>
      </w:pPr>
      <w:r>
        <w:rPr>
          <w:b/>
          <w:sz w:val="24"/>
        </w:rPr>
        <w:t>2</w:t>
      </w:r>
      <w:r>
        <w:rPr>
          <w:sz w:val="24"/>
        </w:rPr>
        <w:t>　</w:t>
      </w:r>
      <w:r>
        <w:rPr>
          <w:rFonts w:hint="eastAsia"/>
          <w:sz w:val="24"/>
        </w:rPr>
        <w:t>第三方调试机构进行调试验证，满足设计要求</w:t>
      </w:r>
      <w:r>
        <w:rPr>
          <w:sz w:val="24"/>
        </w:rPr>
        <w:t>，得</w:t>
      </w:r>
      <w:r>
        <w:rPr>
          <w:rFonts w:hint="eastAsia"/>
          <w:sz w:val="24"/>
        </w:rPr>
        <w:t>4</w:t>
      </w:r>
      <w:r>
        <w:rPr>
          <w:sz w:val="24"/>
        </w:rPr>
        <w:t>分</w:t>
      </w:r>
      <w:r>
        <w:rPr>
          <w:rFonts w:hint="eastAsia"/>
          <w:sz w:val="24"/>
        </w:rPr>
        <w:t>。</w:t>
      </w:r>
    </w:p>
    <w:p>
      <w:pPr>
        <w:pStyle w:val="87"/>
        <w:spacing w:line="360" w:lineRule="auto"/>
        <w:ind w:firstLine="0" w:firstLineChars="0"/>
        <w:outlineLvl w:val="9"/>
        <w:rPr>
          <w:rFonts w:ascii="仿宋" w:hAnsi="仿宋" w:eastAsia="仿宋"/>
          <w:color w:val="FF0000"/>
        </w:rPr>
      </w:pPr>
      <w:r>
        <w:rPr>
          <w:rFonts w:ascii="仿宋" w:hAnsi="仿宋" w:eastAsia="仿宋"/>
          <w:color w:val="FF0000"/>
        </w:rPr>
        <w:t>【条文说明】</w:t>
      </w:r>
      <w:r>
        <w:rPr>
          <w:rFonts w:hint="eastAsia" w:ascii="仿宋" w:hAnsi="仿宋" w:eastAsia="仿宋"/>
          <w:color w:val="FF0000"/>
        </w:rPr>
        <w:t>根据征求意见，细化国标要求，参照LEED引入专业第三方调试机构，将调试分为两个层次。首先是机电系统综合调试和联合试运转，建设单位是机电系统综合调试和联合试运转的组织者，根据工程类别、承包形式，建设单位也可以委托代建公司和施工总承包单位组织机电系统的综合调试和联合试运转。其次，参照LEED认证标准，引入第三方调试机构对项目机电系统进行验证调试，从而确保绿色建筑的运行效果。</w:t>
      </w:r>
    </w:p>
    <w:p>
      <w:pPr>
        <w:spacing w:line="360" w:lineRule="auto"/>
        <w:rPr>
          <w:sz w:val="24"/>
        </w:rPr>
      </w:pPr>
    </w:p>
    <w:p>
      <w:pPr>
        <w:spacing w:line="360" w:lineRule="auto"/>
        <w:rPr>
          <w:sz w:val="24"/>
        </w:rPr>
      </w:pPr>
    </w:p>
    <w:p>
      <w:pPr>
        <w:spacing w:line="360" w:lineRule="auto"/>
        <w:rPr>
          <w:sz w:val="24"/>
        </w:rPr>
      </w:pPr>
      <w:r>
        <w:rPr>
          <w:rFonts w:hint="eastAsia"/>
          <w:b/>
          <w:sz w:val="24"/>
        </w:rPr>
        <w:t>11</w:t>
      </w:r>
      <w:r>
        <w:rPr>
          <w:b/>
          <w:sz w:val="24"/>
        </w:rPr>
        <w:t>.2.1</w:t>
      </w:r>
      <w:r>
        <w:rPr>
          <w:rFonts w:hint="eastAsia"/>
          <w:b/>
          <w:sz w:val="24"/>
        </w:rPr>
        <w:t>6</w:t>
      </w:r>
      <w:r>
        <w:rPr>
          <w:sz w:val="24"/>
        </w:rPr>
        <w:t>　组织</w:t>
      </w:r>
      <w:r>
        <w:rPr>
          <w:rFonts w:hint="eastAsia"/>
          <w:sz w:val="24"/>
          <w:lang w:eastAsia="zh-CN"/>
        </w:rPr>
        <w:t>建筑节能（</w:t>
      </w:r>
      <w:r>
        <w:rPr>
          <w:sz w:val="24"/>
        </w:rPr>
        <w:t>绿色</w:t>
      </w:r>
      <w:r>
        <w:rPr>
          <w:rFonts w:hint="eastAsia"/>
          <w:sz w:val="24"/>
        </w:rPr>
        <w:t>建筑</w:t>
      </w:r>
      <w:r>
        <w:rPr>
          <w:rFonts w:hint="eastAsia"/>
          <w:sz w:val="24"/>
          <w:lang w:eastAsia="zh-CN"/>
        </w:rPr>
        <w:t>）</w:t>
      </w:r>
      <w:r>
        <w:rPr>
          <w:rFonts w:hint="eastAsia"/>
          <w:sz w:val="24"/>
        </w:rPr>
        <w:t>工程</w:t>
      </w:r>
      <w:r>
        <w:rPr>
          <w:sz w:val="24"/>
        </w:rPr>
        <w:t>专项验收，评价分值为</w:t>
      </w:r>
      <w:r>
        <w:rPr>
          <w:rFonts w:hint="eastAsia"/>
          <w:sz w:val="24"/>
        </w:rPr>
        <w:t>5</w:t>
      </w:r>
      <w:r>
        <w:rPr>
          <w:sz w:val="24"/>
        </w:rPr>
        <w:t>分。</w:t>
      </w:r>
    </w:p>
    <w:p>
      <w:pPr>
        <w:pStyle w:val="87"/>
        <w:spacing w:line="360" w:lineRule="auto"/>
        <w:ind w:firstLine="0" w:firstLineChars="0"/>
        <w:outlineLvl w:val="9"/>
        <w:rPr>
          <w:rFonts w:ascii="仿宋" w:hAnsi="仿宋" w:eastAsia="仿宋"/>
          <w:color w:val="FF0000"/>
        </w:rPr>
      </w:pPr>
      <w:r>
        <w:rPr>
          <w:rFonts w:ascii="仿宋" w:hAnsi="仿宋" w:eastAsia="仿宋"/>
          <w:color w:val="FF0000"/>
        </w:rPr>
        <w:t>【条文说明】</w:t>
      </w:r>
      <w:r>
        <w:rPr>
          <w:rFonts w:hint="eastAsia" w:ascii="仿宋" w:hAnsi="仿宋" w:eastAsia="仿宋"/>
          <w:color w:val="FF0000"/>
        </w:rPr>
        <w:t>新增条文，根据《深圳市绿色建筑促进办法》中第十六条，规定，主管部门进行建筑节能专项验收时，对未按照施工图设计文件和绿色施工方案进行建设的项目不予通过建筑节能专项验收，不予办理竣工验收备案手续。</w:t>
      </w:r>
    </w:p>
    <w:p>
      <w:pPr>
        <w:spacing w:line="360" w:lineRule="auto"/>
        <w:jc w:val="left"/>
        <w:rPr>
          <w:color w:val="000000"/>
          <w:sz w:val="24"/>
        </w:rPr>
      </w:pPr>
    </w:p>
    <w:p>
      <w:pPr>
        <w:pStyle w:val="2"/>
        <w:spacing w:before="240" w:after="240" w:line="360" w:lineRule="auto"/>
        <w:jc w:val="center"/>
        <w:rPr>
          <w:rFonts w:eastAsia="黑体"/>
          <w:sz w:val="28"/>
          <w:szCs w:val="24"/>
        </w:rPr>
      </w:pPr>
      <w:r>
        <w:rPr>
          <w:rFonts w:eastAsia="黑体"/>
          <w:sz w:val="28"/>
          <w:szCs w:val="24"/>
        </w:rPr>
        <w:br w:type="page"/>
      </w:r>
      <w:bookmarkStart w:id="126" w:name="_Toc449111695"/>
      <w:r>
        <w:rPr>
          <w:rFonts w:eastAsia="黑体"/>
          <w:sz w:val="28"/>
          <w:szCs w:val="24"/>
        </w:rPr>
        <w:t xml:space="preserve">12 </w:t>
      </w:r>
      <w:r>
        <w:rPr>
          <w:rFonts w:hint="eastAsia" w:eastAsia="黑体"/>
          <w:sz w:val="28"/>
          <w:szCs w:val="24"/>
        </w:rPr>
        <w:t>运营管理</w:t>
      </w:r>
      <w:bookmarkEnd w:id="126"/>
    </w:p>
    <w:p>
      <w:pPr>
        <w:pStyle w:val="3"/>
        <w:numPr>
          <w:ilvl w:val="0"/>
          <w:numId w:val="0"/>
        </w:numPr>
        <w:spacing w:before="120" w:after="120" w:line="240" w:lineRule="auto"/>
        <w:ind w:left="482" w:hanging="481" w:hangingChars="200"/>
        <w:jc w:val="center"/>
        <w:rPr>
          <w:rFonts w:ascii="Times New Roman" w:hAnsi="Times New Roman"/>
        </w:rPr>
      </w:pPr>
      <w:bookmarkStart w:id="127" w:name="_Toc449111696"/>
      <w:r>
        <w:rPr>
          <w:rFonts w:ascii="Times New Roman" w:hAnsi="Times New Roman"/>
        </w:rPr>
        <w:t xml:space="preserve">12.1 </w:t>
      </w:r>
      <w:r>
        <w:rPr>
          <w:rFonts w:hint="eastAsia" w:ascii="Times New Roman" w:hAnsi="Times New Roman"/>
        </w:rPr>
        <w:t>控制项</w:t>
      </w:r>
      <w:bookmarkEnd w:id="127"/>
    </w:p>
    <w:p>
      <w:pPr>
        <w:tabs>
          <w:tab w:val="left" w:pos="6103"/>
        </w:tabs>
        <w:snapToGrid w:val="0"/>
        <w:spacing w:line="360" w:lineRule="auto"/>
        <w:rPr>
          <w:rFonts w:hAnsi="宋体"/>
          <w:sz w:val="24"/>
        </w:rPr>
      </w:pPr>
      <w:r>
        <w:rPr>
          <w:b/>
          <w:sz w:val="24"/>
        </w:rPr>
        <w:t>1</w:t>
      </w:r>
      <w:r>
        <w:rPr>
          <w:rFonts w:hint="eastAsia"/>
          <w:b/>
          <w:sz w:val="24"/>
        </w:rPr>
        <w:t>2</w:t>
      </w:r>
      <w:r>
        <w:rPr>
          <w:b/>
          <w:sz w:val="24"/>
        </w:rPr>
        <w:t>.1.1</w:t>
      </w:r>
      <w:r>
        <w:rPr>
          <w:rFonts w:hAnsi="宋体"/>
          <w:sz w:val="24"/>
        </w:rPr>
        <w:t>　应</w:t>
      </w:r>
      <w:r>
        <w:rPr>
          <w:rFonts w:hint="eastAsia" w:hAnsi="宋体"/>
          <w:sz w:val="24"/>
        </w:rPr>
        <w:t>制定并实施资源节约、园林绿化、环境保护、设备设施等相关管理制度，并组织实施</w:t>
      </w:r>
      <w:r>
        <w:rPr>
          <w:rFonts w:hAnsi="宋体"/>
          <w:sz w:val="24"/>
        </w:rPr>
        <w:t>。</w:t>
      </w:r>
    </w:p>
    <w:p>
      <w:pPr>
        <w:pStyle w:val="87"/>
        <w:spacing w:line="360" w:lineRule="auto"/>
        <w:ind w:firstLine="0" w:firstLineChars="0"/>
        <w:outlineLvl w:val="9"/>
        <w:rPr>
          <w:rFonts w:ascii="仿宋" w:hAnsi="仿宋" w:eastAsia="仿宋"/>
          <w:color w:val="FF0000"/>
        </w:rPr>
      </w:pPr>
      <w:r>
        <w:rPr>
          <w:rFonts w:ascii="仿宋" w:hAnsi="仿宋" w:eastAsia="仿宋"/>
          <w:color w:val="FF0000"/>
        </w:rPr>
        <w:t>【条文说明</w:t>
      </w:r>
      <w:r>
        <w:rPr>
          <w:rFonts w:hint="eastAsia" w:ascii="仿宋" w:hAnsi="仿宋" w:eastAsia="仿宋"/>
          <w:color w:val="FF0000"/>
        </w:rPr>
        <w:t>】</w:t>
      </w:r>
    </w:p>
    <w:p>
      <w:pPr>
        <w:pStyle w:val="87"/>
        <w:spacing w:line="360" w:lineRule="auto"/>
        <w:ind w:firstLine="0" w:firstLineChars="0"/>
        <w:outlineLvl w:val="9"/>
        <w:rPr>
          <w:rFonts w:ascii="仿宋" w:hAnsi="仿宋" w:eastAsia="仿宋"/>
          <w:color w:val="FF0000"/>
        </w:rPr>
      </w:pPr>
      <w:r>
        <w:rPr>
          <w:rFonts w:hint="eastAsia" w:ascii="仿宋" w:hAnsi="仿宋" w:eastAsia="仿宋"/>
          <w:color w:val="FF0000"/>
        </w:rPr>
        <w:t>本条适用于各类民用建筑的运行评价。</w:t>
      </w:r>
    </w:p>
    <w:p>
      <w:pPr>
        <w:pStyle w:val="87"/>
        <w:spacing w:line="360" w:lineRule="auto"/>
        <w:ind w:firstLine="0" w:firstLineChars="0"/>
        <w:outlineLvl w:val="9"/>
        <w:rPr>
          <w:rFonts w:ascii="仿宋" w:hAnsi="仿宋" w:eastAsia="仿宋"/>
          <w:color w:val="FF0000"/>
        </w:rPr>
      </w:pPr>
      <w:r>
        <w:rPr>
          <w:rFonts w:hint="eastAsia" w:ascii="仿宋" w:hAnsi="仿宋" w:eastAsia="仿宋"/>
          <w:color w:val="FF0000"/>
        </w:rPr>
        <w:t>本条沿用自本规范《绿色建筑评价规范》SZJG30-2009控制项第5. 6.1、6. 6.1条。物业管理机构应提交资源节约（包括但不限于节能、节水、节材）、设备设施、园林绿化、环境保护与垃圾管理制度，并说明实施效果。节能管理制度主要包括节能目标、节能方案、节能管理模式和机制、分户分项计量收费等。节水管理制度主要包括节水目标、节水方案、分户分类计量收费、节水管理机制等。节材管理制度主要包括建筑、设备、系统维护和物业耗材管理。园林绿化管理制度主要包括苗木养护、用水计量、绿化灌溉的制度等。环境保护管理制度主要包括化学药品、废物处理、噪声控制、环保宣传的制度等。垃圾管理制度主要包括垃圾管理运行操作手册、管理设施、管理经费、人员配备及机构分工、监督机制、定期的岗位业务培训和突发事件的应急处理系统等内容。</w:t>
      </w:r>
    </w:p>
    <w:p>
      <w:pPr>
        <w:pStyle w:val="87"/>
        <w:spacing w:line="360" w:lineRule="auto"/>
        <w:ind w:firstLine="0" w:firstLineChars="0"/>
        <w:outlineLvl w:val="9"/>
        <w:rPr>
          <w:rFonts w:ascii="仿宋" w:hAnsi="仿宋" w:eastAsia="仿宋"/>
          <w:color w:val="FF0000"/>
        </w:rPr>
      </w:pPr>
      <w:r>
        <w:rPr>
          <w:rFonts w:hint="eastAsia" w:ascii="仿宋" w:hAnsi="仿宋" w:eastAsia="仿宋"/>
          <w:color w:val="FF0000"/>
        </w:rPr>
        <w:t>本条的评价方法为：查阅物业管理机构资源节约、设备设施、园林绿化、环境保护与垃圾管理制度文件、日常管理记录，并现场核查。</w:t>
      </w:r>
    </w:p>
    <w:p>
      <w:pPr>
        <w:tabs>
          <w:tab w:val="left" w:pos="6103"/>
        </w:tabs>
        <w:snapToGrid w:val="0"/>
        <w:spacing w:line="360" w:lineRule="auto"/>
        <w:rPr>
          <w:rFonts w:hAnsi="宋体"/>
          <w:sz w:val="24"/>
        </w:rPr>
      </w:pPr>
    </w:p>
    <w:p>
      <w:pPr>
        <w:tabs>
          <w:tab w:val="left" w:pos="6103"/>
        </w:tabs>
        <w:snapToGrid w:val="0"/>
        <w:spacing w:line="360" w:lineRule="auto"/>
        <w:rPr>
          <w:rFonts w:hAnsi="宋体"/>
          <w:sz w:val="24"/>
        </w:rPr>
      </w:pPr>
      <w:r>
        <w:rPr>
          <w:b/>
          <w:sz w:val="24"/>
        </w:rPr>
        <w:t>1</w:t>
      </w:r>
      <w:r>
        <w:rPr>
          <w:rFonts w:hint="eastAsia"/>
          <w:b/>
          <w:sz w:val="24"/>
        </w:rPr>
        <w:t>2</w:t>
      </w:r>
      <w:r>
        <w:rPr>
          <w:b/>
          <w:sz w:val="24"/>
        </w:rPr>
        <w:t>.1.</w:t>
      </w:r>
      <w:r>
        <w:rPr>
          <w:rFonts w:hint="eastAsia"/>
          <w:b/>
          <w:sz w:val="24"/>
        </w:rPr>
        <w:t>2</w:t>
      </w:r>
      <w:r>
        <w:rPr>
          <w:rFonts w:hAnsi="宋体"/>
          <w:sz w:val="24"/>
        </w:rPr>
        <w:t>　</w:t>
      </w:r>
      <w:r>
        <w:rPr>
          <w:rFonts w:hint="eastAsia" w:hAnsi="宋体"/>
          <w:sz w:val="24"/>
        </w:rPr>
        <w:t>建筑设备系统应正常工作，满足使用功能要求，运行管理记录应完整和齐全。</w:t>
      </w:r>
    </w:p>
    <w:p>
      <w:pPr>
        <w:pStyle w:val="87"/>
        <w:spacing w:line="360" w:lineRule="auto"/>
        <w:ind w:firstLine="0" w:firstLineChars="0"/>
        <w:outlineLvl w:val="9"/>
        <w:rPr>
          <w:rFonts w:ascii="仿宋" w:hAnsi="仿宋" w:eastAsia="仿宋"/>
          <w:color w:val="FF0000"/>
        </w:rPr>
      </w:pPr>
      <w:r>
        <w:rPr>
          <w:rFonts w:ascii="仿宋" w:hAnsi="仿宋" w:eastAsia="仿宋"/>
          <w:color w:val="FF0000"/>
        </w:rPr>
        <w:t>【条文说明</w:t>
      </w:r>
      <w:r>
        <w:rPr>
          <w:rFonts w:hint="eastAsia" w:ascii="仿宋" w:hAnsi="仿宋" w:eastAsia="仿宋"/>
          <w:color w:val="FF0000"/>
        </w:rPr>
        <w:t>】</w:t>
      </w:r>
    </w:p>
    <w:p>
      <w:pPr>
        <w:pStyle w:val="87"/>
        <w:spacing w:line="360" w:lineRule="auto"/>
        <w:ind w:firstLine="0" w:firstLineChars="0"/>
        <w:outlineLvl w:val="9"/>
        <w:rPr>
          <w:rFonts w:ascii="仿宋" w:hAnsi="仿宋" w:eastAsia="仿宋"/>
          <w:color w:val="FF0000"/>
        </w:rPr>
      </w:pPr>
      <w:r>
        <w:rPr>
          <w:rFonts w:ascii="仿宋" w:hAnsi="仿宋" w:eastAsia="仿宋"/>
          <w:color w:val="FF0000"/>
        </w:rPr>
        <w:t>本条适用于各类民用建筑的运行评价。对于住宅建筑，仅评价其公共部分。</w:t>
      </w:r>
    </w:p>
    <w:p>
      <w:pPr>
        <w:pStyle w:val="87"/>
        <w:spacing w:line="360" w:lineRule="auto"/>
        <w:ind w:firstLine="0" w:firstLineChars="0"/>
        <w:outlineLvl w:val="9"/>
        <w:rPr>
          <w:rFonts w:ascii="仿宋" w:hAnsi="仿宋" w:eastAsia="仿宋"/>
          <w:color w:val="FF0000"/>
        </w:rPr>
      </w:pPr>
      <w:r>
        <w:rPr>
          <w:rFonts w:hint="eastAsia" w:ascii="仿宋" w:hAnsi="仿宋" w:eastAsia="仿宋"/>
          <w:color w:val="FF0000"/>
        </w:rPr>
        <w:t>本条沿用自本规范《绿色建筑评价规范》SZJG30-2009得分项第6.6.8条，有修改，不仅适用范围扩展至各类民用建筑，而且强化为控制项。</w:t>
      </w:r>
    </w:p>
    <w:p>
      <w:pPr>
        <w:pStyle w:val="87"/>
        <w:spacing w:line="360" w:lineRule="auto"/>
        <w:ind w:firstLine="0" w:firstLineChars="0"/>
        <w:outlineLvl w:val="9"/>
        <w:rPr>
          <w:rFonts w:ascii="仿宋" w:hAnsi="仿宋" w:eastAsia="仿宋"/>
          <w:color w:val="FF0000"/>
        </w:rPr>
      </w:pPr>
      <w:r>
        <w:rPr>
          <w:rFonts w:ascii="仿宋" w:hAnsi="仿宋" w:eastAsia="仿宋"/>
          <w:color w:val="FF0000"/>
        </w:rPr>
        <w:t>建筑设备系统，如暖通空调系统、给排水系统、电气系统、</w:t>
      </w:r>
      <w:r>
        <w:rPr>
          <w:rFonts w:hint="eastAsia" w:ascii="仿宋" w:hAnsi="仿宋" w:eastAsia="仿宋"/>
          <w:color w:val="FF0000"/>
        </w:rPr>
        <w:t>电梯控制系统、</w:t>
      </w:r>
      <w:r>
        <w:rPr>
          <w:rFonts w:ascii="仿宋" w:hAnsi="仿宋" w:eastAsia="仿宋"/>
          <w:color w:val="FF0000"/>
        </w:rPr>
        <w:t>智能监控系统、可再生能源系统等包含的设施设备应工作正常且符合设计要求，才能实现建筑功能的完备性，体现绿色建筑的综合效益。</w:t>
      </w:r>
    </w:p>
    <w:p>
      <w:pPr>
        <w:pStyle w:val="87"/>
        <w:spacing w:line="360" w:lineRule="auto"/>
        <w:ind w:firstLine="0" w:firstLineChars="0"/>
        <w:outlineLvl w:val="9"/>
        <w:rPr>
          <w:rFonts w:ascii="仿宋" w:hAnsi="仿宋" w:eastAsia="仿宋"/>
          <w:color w:val="FF0000"/>
        </w:rPr>
      </w:pPr>
      <w:r>
        <w:rPr>
          <w:rFonts w:hint="eastAsia" w:ascii="仿宋" w:hAnsi="仿宋" w:eastAsia="仿宋"/>
          <w:color w:val="FF0000"/>
        </w:rPr>
        <w:t>运行管理记录应完整和齐全</w:t>
      </w:r>
      <w:r>
        <w:rPr>
          <w:rFonts w:ascii="仿宋" w:hAnsi="仿宋" w:eastAsia="仿宋"/>
          <w:color w:val="FF0000"/>
        </w:rPr>
        <w:t>，主要包括：各主要设备运行记录、巡回检查记录、事故分析及其处理记录、运行值班记录、维护保养记录、年度能耗统计表格和分析资料等。不停机运行的系统，还应有交接班记录等。原始记录应填写详细、准确、清楚，并符合相关管理制度的要求，填写人应签名。</w:t>
      </w:r>
    </w:p>
    <w:p>
      <w:pPr>
        <w:pStyle w:val="87"/>
        <w:spacing w:line="360" w:lineRule="auto"/>
        <w:ind w:firstLine="0" w:firstLineChars="0"/>
        <w:outlineLvl w:val="9"/>
        <w:rPr>
          <w:rFonts w:ascii="仿宋" w:hAnsi="仿宋" w:eastAsia="仿宋"/>
          <w:color w:val="FF0000"/>
        </w:rPr>
      </w:pPr>
      <w:r>
        <w:rPr>
          <w:rFonts w:ascii="仿宋" w:hAnsi="仿宋" w:eastAsia="仿宋"/>
          <w:color w:val="FF0000"/>
        </w:rPr>
        <w:t>巡回检查应定时、定点、定人，并做好原始记录。采用计算机集中控制的系统，可用定期打印汇总报表和数据数字化储存的方式记录并保存运行原始资料。</w:t>
      </w:r>
    </w:p>
    <w:p>
      <w:pPr>
        <w:pStyle w:val="87"/>
        <w:spacing w:line="360" w:lineRule="auto"/>
        <w:ind w:firstLine="0" w:firstLineChars="0"/>
        <w:outlineLvl w:val="9"/>
        <w:rPr>
          <w:rFonts w:ascii="仿宋" w:hAnsi="仿宋" w:eastAsia="仿宋"/>
          <w:color w:val="FF0000"/>
        </w:rPr>
      </w:pPr>
      <w:r>
        <w:rPr>
          <w:rFonts w:hint="eastAsia" w:ascii="仿宋" w:hAnsi="仿宋" w:eastAsia="仿宋"/>
          <w:color w:val="FF0000"/>
        </w:rPr>
        <w:t>因此，需对绿色建筑的上述系统及主要设备进行有效的监测，对主要运行数据进行实时采集并记录；并对上述设备系统按照设计要求进行自动控制，通过在各种不同运行工况下的自动调节来降低能耗。对于建筑面积2万m2以下的公共建筑和建筑面积10万m</w:t>
      </w:r>
      <w:r>
        <w:rPr>
          <w:rFonts w:ascii="仿宋" w:hAnsi="仿宋" w:eastAsia="仿宋"/>
          <w:color w:val="FF0000"/>
        </w:rPr>
        <w:t>2</w:t>
      </w:r>
      <w:r>
        <w:rPr>
          <w:rFonts w:hint="eastAsia" w:ascii="仿宋" w:hAnsi="仿宋" w:eastAsia="仿宋"/>
          <w:color w:val="FF0000"/>
        </w:rPr>
        <w:t>以下的住宅区公共设施的监控，可以不设建筑设备自动监控系统，但应设简易有效的控制措施。</w:t>
      </w:r>
    </w:p>
    <w:p>
      <w:pPr>
        <w:pStyle w:val="87"/>
        <w:spacing w:line="360" w:lineRule="auto"/>
        <w:ind w:firstLine="0" w:firstLineChars="0"/>
        <w:outlineLvl w:val="9"/>
        <w:rPr>
          <w:rFonts w:ascii="仿宋" w:hAnsi="仿宋" w:eastAsia="仿宋"/>
          <w:color w:val="FF0000"/>
        </w:rPr>
      </w:pPr>
      <w:r>
        <w:rPr>
          <w:rFonts w:ascii="仿宋" w:hAnsi="仿宋" w:eastAsia="仿宋"/>
          <w:color w:val="FF0000"/>
        </w:rPr>
        <w:t>本条的评价方法为：查阅建筑设备运行管理记录、巡回检查记录、事故分析及其处理记录、维护保养记录、年度能耗统计表格和分析资料记录，并现场核查</w:t>
      </w:r>
      <w:r>
        <w:rPr>
          <w:rFonts w:hint="eastAsia" w:ascii="仿宋" w:hAnsi="仿宋" w:eastAsia="仿宋"/>
          <w:color w:val="FF0000"/>
        </w:rPr>
        <w:t>设备系统的工作情况和</w:t>
      </w:r>
      <w:r>
        <w:rPr>
          <w:rFonts w:ascii="仿宋" w:hAnsi="仿宋" w:eastAsia="仿宋"/>
          <w:color w:val="FF0000"/>
        </w:rPr>
        <w:t>相关记录。</w:t>
      </w:r>
    </w:p>
    <w:p>
      <w:pPr>
        <w:pStyle w:val="87"/>
        <w:spacing w:line="360" w:lineRule="auto"/>
        <w:ind w:firstLine="0" w:firstLineChars="0"/>
        <w:outlineLvl w:val="9"/>
        <w:rPr>
          <w:rFonts w:ascii="仿宋" w:hAnsi="仿宋" w:eastAsia="仿宋"/>
          <w:color w:val="FF0000"/>
        </w:rPr>
      </w:pPr>
    </w:p>
    <w:p>
      <w:pPr>
        <w:spacing w:line="360" w:lineRule="auto"/>
        <w:rPr>
          <w:sz w:val="24"/>
        </w:rPr>
      </w:pPr>
    </w:p>
    <w:p>
      <w:pPr>
        <w:pStyle w:val="3"/>
        <w:numPr>
          <w:ilvl w:val="0"/>
          <w:numId w:val="0"/>
        </w:numPr>
        <w:spacing w:before="120" w:after="120" w:line="240" w:lineRule="auto"/>
        <w:ind w:left="482" w:hanging="481" w:hangingChars="200"/>
        <w:jc w:val="center"/>
        <w:rPr>
          <w:rFonts w:ascii="Times New Roman" w:hAnsi="Times New Roman"/>
        </w:rPr>
      </w:pPr>
      <w:bookmarkStart w:id="128" w:name="_Toc449111697"/>
      <w:r>
        <w:rPr>
          <w:rFonts w:ascii="Times New Roman" w:hAnsi="Times New Roman"/>
        </w:rPr>
        <w:t xml:space="preserve">12.2 </w:t>
      </w:r>
      <w:r>
        <w:rPr>
          <w:rFonts w:hint="eastAsia" w:ascii="Times New Roman" w:hAnsi="Times New Roman"/>
        </w:rPr>
        <w:t>评分项</w:t>
      </w:r>
      <w:bookmarkEnd w:id="128"/>
    </w:p>
    <w:p>
      <w:pPr>
        <w:pStyle w:val="87"/>
        <w:ind w:firstLine="0" w:firstLineChars="0"/>
        <w:jc w:val="center"/>
      </w:pPr>
      <w:bookmarkStart w:id="129" w:name="_Toc449111698"/>
      <w:r>
        <w:rPr>
          <w:rFonts w:ascii="宋体" w:hAnsi="宋体"/>
        </w:rPr>
        <w:t>Ⅰ</w:t>
      </w:r>
      <w:r>
        <w:t xml:space="preserve"> </w:t>
      </w:r>
      <w:r>
        <w:rPr>
          <w:rFonts w:hAnsi="宋体"/>
        </w:rPr>
        <w:t>管理制度</w:t>
      </w:r>
      <w:r>
        <w:rPr>
          <w:rFonts w:hint="eastAsia" w:hAnsi="宋体"/>
        </w:rPr>
        <w:t>（33）</w:t>
      </w:r>
      <w:bookmarkEnd w:id="129"/>
    </w:p>
    <w:p>
      <w:pPr>
        <w:snapToGrid w:val="0"/>
        <w:spacing w:line="360" w:lineRule="auto"/>
        <w:rPr>
          <w:bCs/>
          <w:sz w:val="24"/>
        </w:rPr>
      </w:pPr>
      <w:r>
        <w:rPr>
          <w:b/>
          <w:sz w:val="24"/>
        </w:rPr>
        <w:t>1</w:t>
      </w:r>
      <w:r>
        <w:rPr>
          <w:rFonts w:hint="eastAsia"/>
          <w:b/>
          <w:sz w:val="24"/>
        </w:rPr>
        <w:t>2</w:t>
      </w:r>
      <w:r>
        <w:rPr>
          <w:b/>
          <w:sz w:val="24"/>
        </w:rPr>
        <w:t>.2.1</w:t>
      </w:r>
      <w:r>
        <w:rPr>
          <w:rFonts w:hAnsi="宋体"/>
          <w:sz w:val="24"/>
        </w:rPr>
        <w:t>　</w:t>
      </w:r>
      <w:r>
        <w:rPr>
          <w:rFonts w:hAnsi="宋体"/>
          <w:bCs/>
          <w:sz w:val="24"/>
        </w:rPr>
        <w:t>物业管理部门获得有关管理体系认证</w:t>
      </w:r>
      <w:r>
        <w:rPr>
          <w:rFonts w:hint="eastAsia" w:hAnsi="宋体"/>
          <w:bCs/>
          <w:sz w:val="24"/>
        </w:rPr>
        <w:t>，</w:t>
      </w:r>
      <w:r>
        <w:rPr>
          <w:rFonts w:hAnsi="宋体"/>
          <w:bCs/>
          <w:sz w:val="24"/>
        </w:rPr>
        <w:t>评价总分值为</w:t>
      </w:r>
      <w:r>
        <w:rPr>
          <w:rFonts w:hint="eastAsia"/>
          <w:bCs/>
          <w:sz w:val="24"/>
        </w:rPr>
        <w:t>6</w:t>
      </w:r>
      <w:r>
        <w:rPr>
          <w:rFonts w:hAnsi="宋体"/>
          <w:bCs/>
          <w:sz w:val="24"/>
        </w:rPr>
        <w:t>分，并按下列规则</w:t>
      </w:r>
      <w:r>
        <w:rPr>
          <w:rFonts w:hint="eastAsia" w:hAnsi="宋体"/>
          <w:bCs/>
          <w:sz w:val="24"/>
        </w:rPr>
        <w:t>分别</w:t>
      </w:r>
      <w:r>
        <w:rPr>
          <w:rFonts w:hAnsi="宋体"/>
          <w:bCs/>
          <w:sz w:val="24"/>
        </w:rPr>
        <w:t>评分</w:t>
      </w:r>
      <w:r>
        <w:rPr>
          <w:rFonts w:hint="eastAsia" w:hAnsi="宋体"/>
          <w:bCs/>
          <w:sz w:val="24"/>
        </w:rPr>
        <w:t>并累计：</w:t>
      </w:r>
    </w:p>
    <w:p>
      <w:pPr>
        <w:snapToGrid w:val="0"/>
        <w:spacing w:line="360" w:lineRule="auto"/>
        <w:ind w:firstLine="481" w:firstLineChars="200"/>
        <w:rPr>
          <w:sz w:val="24"/>
        </w:rPr>
      </w:pPr>
      <w:r>
        <w:rPr>
          <w:b/>
          <w:sz w:val="24"/>
        </w:rPr>
        <w:t>1</w:t>
      </w:r>
      <w:r>
        <w:rPr>
          <w:rFonts w:hAnsi="宋体"/>
          <w:sz w:val="24"/>
        </w:rPr>
        <w:t>　具有</w:t>
      </w:r>
      <w:r>
        <w:rPr>
          <w:sz w:val="24"/>
        </w:rPr>
        <w:t>ISO14001</w:t>
      </w:r>
      <w:r>
        <w:rPr>
          <w:rFonts w:hAnsi="宋体"/>
          <w:sz w:val="24"/>
        </w:rPr>
        <w:t>环境管理体系认证，得</w:t>
      </w:r>
      <w:r>
        <w:rPr>
          <w:rFonts w:hint="eastAsia"/>
          <w:sz w:val="24"/>
        </w:rPr>
        <w:t>2</w:t>
      </w:r>
      <w:r>
        <w:rPr>
          <w:rFonts w:hAnsi="宋体"/>
          <w:sz w:val="24"/>
        </w:rPr>
        <w:t>分；</w:t>
      </w:r>
    </w:p>
    <w:p>
      <w:pPr>
        <w:snapToGrid w:val="0"/>
        <w:spacing w:line="360" w:lineRule="auto"/>
        <w:ind w:firstLine="481" w:firstLineChars="200"/>
        <w:rPr>
          <w:sz w:val="24"/>
        </w:rPr>
      </w:pPr>
      <w:r>
        <w:rPr>
          <w:b/>
          <w:sz w:val="24"/>
        </w:rPr>
        <w:t>2</w:t>
      </w:r>
      <w:r>
        <w:rPr>
          <w:rFonts w:hAnsi="宋体"/>
          <w:sz w:val="24"/>
        </w:rPr>
        <w:t>　具有</w:t>
      </w:r>
      <w:r>
        <w:rPr>
          <w:sz w:val="24"/>
        </w:rPr>
        <w:t>ISO 9001</w:t>
      </w:r>
      <w:r>
        <w:rPr>
          <w:rFonts w:hAnsi="宋体"/>
          <w:sz w:val="24"/>
        </w:rPr>
        <w:t>质量管理体系认证，得</w:t>
      </w:r>
      <w:r>
        <w:rPr>
          <w:rFonts w:hint="eastAsia"/>
          <w:sz w:val="24"/>
        </w:rPr>
        <w:t>2</w:t>
      </w:r>
      <w:r>
        <w:rPr>
          <w:rFonts w:hAnsi="宋体"/>
          <w:sz w:val="24"/>
        </w:rPr>
        <w:t>分；</w:t>
      </w:r>
    </w:p>
    <w:p>
      <w:pPr>
        <w:snapToGrid w:val="0"/>
        <w:spacing w:line="360" w:lineRule="auto"/>
        <w:ind w:firstLine="481" w:firstLineChars="200"/>
        <w:rPr>
          <w:rFonts w:hAnsi="宋体"/>
          <w:sz w:val="24"/>
        </w:rPr>
      </w:pPr>
      <w:r>
        <w:rPr>
          <w:b/>
          <w:sz w:val="24"/>
        </w:rPr>
        <w:t>3</w:t>
      </w:r>
      <w:r>
        <w:rPr>
          <w:rFonts w:hAnsi="宋体"/>
          <w:sz w:val="24"/>
        </w:rPr>
        <w:t>　具有现行国家标准《能源管理体系要求》</w:t>
      </w:r>
      <w:r>
        <w:rPr>
          <w:sz w:val="24"/>
        </w:rPr>
        <w:t>GB/T 23331</w:t>
      </w:r>
      <w:r>
        <w:rPr>
          <w:rFonts w:hAnsi="宋体"/>
          <w:sz w:val="24"/>
        </w:rPr>
        <w:t>的能源管理体系认证，得</w:t>
      </w:r>
      <w:r>
        <w:rPr>
          <w:sz w:val="24"/>
        </w:rPr>
        <w:t>2</w:t>
      </w:r>
      <w:r>
        <w:rPr>
          <w:rFonts w:hAnsi="宋体"/>
          <w:sz w:val="24"/>
        </w:rPr>
        <w:t>分。</w:t>
      </w:r>
    </w:p>
    <w:p>
      <w:pPr>
        <w:pStyle w:val="87"/>
        <w:spacing w:line="360" w:lineRule="auto"/>
        <w:ind w:firstLine="0" w:firstLineChars="0"/>
        <w:outlineLvl w:val="9"/>
        <w:rPr>
          <w:rFonts w:ascii="仿宋" w:hAnsi="仿宋" w:eastAsia="仿宋"/>
          <w:color w:val="FF0000"/>
        </w:rPr>
      </w:pPr>
      <w:r>
        <w:rPr>
          <w:rFonts w:ascii="仿宋" w:hAnsi="仿宋" w:eastAsia="仿宋"/>
          <w:color w:val="FF0000"/>
        </w:rPr>
        <w:t>【条文说明</w:t>
      </w:r>
      <w:r>
        <w:rPr>
          <w:rFonts w:hint="eastAsia" w:ascii="仿宋" w:hAnsi="仿宋" w:eastAsia="仿宋"/>
          <w:color w:val="FF0000"/>
        </w:rPr>
        <w:t>】本条适用于各类民用建筑的运行评价。</w:t>
      </w:r>
    </w:p>
    <w:p>
      <w:pPr>
        <w:pStyle w:val="87"/>
        <w:spacing w:line="360" w:lineRule="auto"/>
        <w:ind w:firstLine="0" w:firstLineChars="0"/>
        <w:outlineLvl w:val="9"/>
        <w:rPr>
          <w:rFonts w:ascii="仿宋" w:hAnsi="仿宋" w:eastAsia="仿宋"/>
          <w:color w:val="FF0000"/>
        </w:rPr>
      </w:pPr>
      <w:r>
        <w:rPr>
          <w:rFonts w:hint="eastAsia" w:ascii="仿宋" w:hAnsi="仿宋" w:eastAsia="仿宋"/>
          <w:color w:val="FF0000"/>
        </w:rPr>
        <w:t>本条在本规范《绿色建筑评价规范》SZJG30-2009一般项第5.6.12、6.6.10条基础上发展而来。物业管理单位通过IS0 14001环境管理体系认证，是提高环境管理水平的需要，可达到节约能源，降低消耗，减少环保支出，降低成本的目的，减少由于污染事故所造成的环境风险。</w:t>
      </w:r>
    </w:p>
    <w:p>
      <w:pPr>
        <w:pStyle w:val="87"/>
        <w:spacing w:line="360" w:lineRule="auto"/>
        <w:ind w:firstLine="0" w:firstLineChars="0"/>
        <w:outlineLvl w:val="9"/>
        <w:rPr>
          <w:rFonts w:ascii="仿宋" w:hAnsi="仿宋" w:eastAsia="仿宋"/>
          <w:color w:val="FF0000"/>
        </w:rPr>
      </w:pPr>
      <w:r>
        <w:rPr>
          <w:rFonts w:hint="eastAsia" w:ascii="仿宋" w:hAnsi="仿宋" w:eastAsia="仿宋"/>
          <w:color w:val="FF0000"/>
        </w:rPr>
        <w:t>物业管理具有完善的管理措施，定期进行物业管理人员的培训。ISO 9001质量管理体系认证可以促进物业管理单位质量管理体系的改进和完善，提高其管理水平和工作质量。</w:t>
      </w:r>
    </w:p>
    <w:p>
      <w:pPr>
        <w:pStyle w:val="87"/>
        <w:spacing w:line="360" w:lineRule="auto"/>
        <w:ind w:firstLine="0" w:firstLineChars="0"/>
        <w:outlineLvl w:val="9"/>
        <w:rPr>
          <w:rFonts w:ascii="仿宋" w:hAnsi="仿宋" w:eastAsia="仿宋"/>
          <w:color w:val="FF0000"/>
        </w:rPr>
      </w:pPr>
      <w:r>
        <w:rPr>
          <w:rFonts w:hint="eastAsia" w:ascii="仿宋" w:hAnsi="仿宋" w:eastAsia="仿宋"/>
          <w:color w:val="FF0000"/>
        </w:rPr>
        <w:t>《能源管理体系要求》GB/T 23331是在组织内建立起完整有效的、形成文件的能源管理体系，注重过程的控制，优化组织的活动、过程及其要素，通过管理措施，不断提高能源管理体系持续改进的有效性，实现能源管理方针和预期的能源消耗或使用目标。</w:t>
      </w:r>
    </w:p>
    <w:p>
      <w:pPr>
        <w:pStyle w:val="87"/>
        <w:spacing w:line="360" w:lineRule="auto"/>
        <w:ind w:firstLine="0" w:firstLineChars="0"/>
        <w:outlineLvl w:val="9"/>
        <w:rPr>
          <w:rFonts w:ascii="仿宋" w:hAnsi="仿宋" w:eastAsia="仿宋"/>
          <w:color w:val="FF0000"/>
        </w:rPr>
      </w:pPr>
      <w:r>
        <w:rPr>
          <w:rFonts w:hint="eastAsia" w:ascii="仿宋" w:hAnsi="仿宋" w:eastAsia="仿宋"/>
          <w:color w:val="FF0000"/>
        </w:rPr>
        <w:t>本条的评价方法为：查阅相关认证证书和相关的工作文件。</w:t>
      </w:r>
    </w:p>
    <w:p>
      <w:pPr>
        <w:pStyle w:val="87"/>
        <w:spacing w:line="360" w:lineRule="auto"/>
        <w:ind w:firstLine="0" w:firstLineChars="0"/>
        <w:outlineLvl w:val="9"/>
        <w:rPr>
          <w:rFonts w:ascii="仿宋" w:hAnsi="仿宋" w:eastAsia="仿宋"/>
          <w:color w:val="FF0000"/>
        </w:rPr>
      </w:pPr>
    </w:p>
    <w:p>
      <w:pPr>
        <w:snapToGrid w:val="0"/>
        <w:spacing w:line="360" w:lineRule="auto"/>
        <w:rPr>
          <w:bCs/>
          <w:sz w:val="24"/>
        </w:rPr>
      </w:pPr>
    </w:p>
    <w:p>
      <w:pPr>
        <w:snapToGrid w:val="0"/>
        <w:spacing w:line="360" w:lineRule="auto"/>
        <w:rPr>
          <w:bCs/>
          <w:sz w:val="24"/>
        </w:rPr>
      </w:pPr>
      <w:r>
        <w:rPr>
          <w:b/>
          <w:sz w:val="24"/>
        </w:rPr>
        <w:t>1</w:t>
      </w:r>
      <w:r>
        <w:rPr>
          <w:rFonts w:hint="eastAsia"/>
          <w:b/>
          <w:sz w:val="24"/>
        </w:rPr>
        <w:t>2</w:t>
      </w:r>
      <w:r>
        <w:rPr>
          <w:b/>
          <w:sz w:val="24"/>
        </w:rPr>
        <w:t>.2.2</w:t>
      </w:r>
      <w:r>
        <w:rPr>
          <w:rFonts w:hAnsi="宋体"/>
          <w:sz w:val="24"/>
        </w:rPr>
        <w:t>　</w:t>
      </w:r>
      <w:r>
        <w:rPr>
          <w:rFonts w:hAnsi="宋体"/>
          <w:bCs/>
          <w:sz w:val="24"/>
        </w:rPr>
        <w:t>节能、节水、节材、绿化的操作规程、保养维护规程、应急预案等完善，且有效实施，评价总分值为</w:t>
      </w:r>
      <w:r>
        <w:rPr>
          <w:bCs/>
          <w:sz w:val="24"/>
        </w:rPr>
        <w:t>5</w:t>
      </w:r>
      <w:r>
        <w:rPr>
          <w:rFonts w:hAnsi="宋体"/>
          <w:bCs/>
          <w:sz w:val="24"/>
        </w:rPr>
        <w:t>分，并按下列规则</w:t>
      </w:r>
      <w:r>
        <w:rPr>
          <w:rFonts w:hint="eastAsia" w:hAnsi="宋体"/>
          <w:bCs/>
          <w:sz w:val="24"/>
        </w:rPr>
        <w:t>分别</w:t>
      </w:r>
      <w:r>
        <w:rPr>
          <w:rFonts w:hAnsi="宋体"/>
          <w:bCs/>
          <w:sz w:val="24"/>
        </w:rPr>
        <w:t>评分</w:t>
      </w:r>
      <w:r>
        <w:rPr>
          <w:rFonts w:hint="eastAsia" w:hAnsi="宋体"/>
          <w:bCs/>
          <w:sz w:val="24"/>
        </w:rPr>
        <w:t>并累计：</w:t>
      </w:r>
    </w:p>
    <w:p>
      <w:pPr>
        <w:snapToGrid w:val="0"/>
        <w:spacing w:line="360" w:lineRule="auto"/>
        <w:ind w:firstLine="481" w:firstLineChars="200"/>
        <w:rPr>
          <w:sz w:val="24"/>
        </w:rPr>
      </w:pPr>
      <w:r>
        <w:rPr>
          <w:b/>
          <w:sz w:val="24"/>
        </w:rPr>
        <w:t>1</w:t>
      </w:r>
      <w:r>
        <w:rPr>
          <w:rFonts w:hAnsi="宋体"/>
          <w:sz w:val="24"/>
        </w:rPr>
        <w:t>　相关设施的操作规程、保养维护规程在现场明示，操作人员严格遵守规定，得</w:t>
      </w:r>
      <w:r>
        <w:rPr>
          <w:sz w:val="24"/>
        </w:rPr>
        <w:t>3</w:t>
      </w:r>
      <w:r>
        <w:rPr>
          <w:rFonts w:hAnsi="宋体"/>
          <w:sz w:val="24"/>
        </w:rPr>
        <w:t>分；</w:t>
      </w:r>
    </w:p>
    <w:p>
      <w:pPr>
        <w:snapToGrid w:val="0"/>
        <w:spacing w:line="360" w:lineRule="auto"/>
        <w:ind w:firstLine="481" w:firstLineChars="200"/>
        <w:rPr>
          <w:rFonts w:hAnsi="宋体"/>
          <w:sz w:val="24"/>
        </w:rPr>
      </w:pPr>
      <w:r>
        <w:rPr>
          <w:b/>
          <w:sz w:val="24"/>
        </w:rPr>
        <w:t>2</w:t>
      </w:r>
      <w:r>
        <w:rPr>
          <w:rFonts w:hAnsi="宋体"/>
          <w:sz w:val="24"/>
        </w:rPr>
        <w:t>　节能、节水设施运行具有完善的应急预案，得</w:t>
      </w:r>
      <w:r>
        <w:rPr>
          <w:sz w:val="24"/>
        </w:rPr>
        <w:t>2</w:t>
      </w:r>
      <w:r>
        <w:rPr>
          <w:rFonts w:hAnsi="宋体"/>
          <w:sz w:val="24"/>
        </w:rPr>
        <w:t>分。</w:t>
      </w:r>
    </w:p>
    <w:p>
      <w:pPr>
        <w:pStyle w:val="87"/>
        <w:spacing w:line="360" w:lineRule="auto"/>
        <w:ind w:firstLine="0" w:firstLineChars="0"/>
        <w:outlineLvl w:val="9"/>
        <w:rPr>
          <w:rFonts w:ascii="仿宋" w:hAnsi="仿宋" w:eastAsia="仿宋"/>
          <w:color w:val="FF0000"/>
        </w:rPr>
      </w:pPr>
      <w:r>
        <w:rPr>
          <w:rFonts w:hint="eastAsia" w:ascii="仿宋" w:hAnsi="仿宋" w:eastAsia="仿宋"/>
          <w:color w:val="FF0000"/>
        </w:rPr>
        <w:t>【条文说明】</w:t>
      </w:r>
    </w:p>
    <w:p>
      <w:pPr>
        <w:pStyle w:val="87"/>
        <w:spacing w:line="360" w:lineRule="auto"/>
        <w:ind w:firstLine="0" w:firstLineChars="0"/>
        <w:outlineLvl w:val="9"/>
        <w:rPr>
          <w:rFonts w:ascii="仿宋" w:hAnsi="仿宋" w:eastAsia="仿宋"/>
          <w:color w:val="FF0000"/>
        </w:rPr>
      </w:pPr>
      <w:r>
        <w:rPr>
          <w:rFonts w:hint="eastAsia" w:ascii="仿宋" w:hAnsi="仿宋" w:eastAsia="仿宋"/>
          <w:color w:val="FF0000"/>
        </w:rPr>
        <w:t>本条适用于各类民用建筑的运行评价。</w:t>
      </w:r>
    </w:p>
    <w:p>
      <w:pPr>
        <w:pStyle w:val="87"/>
        <w:spacing w:line="360" w:lineRule="auto"/>
        <w:ind w:firstLine="0" w:firstLineChars="0"/>
        <w:outlineLvl w:val="9"/>
        <w:rPr>
          <w:rFonts w:ascii="仿宋" w:hAnsi="仿宋" w:eastAsia="仿宋"/>
          <w:color w:val="FF0000"/>
        </w:rPr>
      </w:pPr>
      <w:r>
        <w:rPr>
          <w:rFonts w:hint="eastAsia" w:ascii="仿宋" w:hAnsi="仿宋" w:eastAsia="仿宋"/>
          <w:color w:val="FF0000"/>
        </w:rPr>
        <w:t>本条为新增条文，是在本规范控制项第10.1.1、10.1.3 条的基础上所提出的更高要求。节能、节水、节材、绿化的操作管理制度是指导操作管理人员工作的指南，应挂在各个操作现场的墙上，促使操作人员严格遵守，以有效保证工作的质量。</w:t>
      </w:r>
    </w:p>
    <w:p>
      <w:pPr>
        <w:pStyle w:val="87"/>
        <w:spacing w:line="360" w:lineRule="auto"/>
        <w:ind w:firstLine="0" w:firstLineChars="0"/>
        <w:outlineLvl w:val="9"/>
        <w:rPr>
          <w:rFonts w:ascii="仿宋" w:hAnsi="仿宋" w:eastAsia="仿宋"/>
          <w:color w:val="FF0000"/>
        </w:rPr>
      </w:pPr>
      <w:r>
        <w:rPr>
          <w:rFonts w:hint="eastAsia" w:ascii="仿宋" w:hAnsi="仿宋" w:eastAsia="仿宋"/>
          <w:color w:val="FF0000"/>
        </w:rPr>
        <w:t>可再生能源系统、雨废水回用系统等节能、节水设施的运行维护技术要求高，维护的工作量大，无论是自行运维还是购买专业服务，都需要建立完善的管理制度及应急预案。日常运行中应做好记录。</w:t>
      </w:r>
    </w:p>
    <w:p>
      <w:pPr>
        <w:pStyle w:val="87"/>
        <w:spacing w:line="360" w:lineRule="auto"/>
        <w:ind w:firstLine="0" w:firstLineChars="0"/>
        <w:outlineLvl w:val="9"/>
        <w:rPr>
          <w:rFonts w:ascii="仿宋" w:hAnsi="仿宋" w:eastAsia="仿宋"/>
          <w:color w:val="FF0000"/>
        </w:rPr>
      </w:pPr>
      <w:r>
        <w:rPr>
          <w:rFonts w:hint="eastAsia" w:ascii="仿宋" w:hAnsi="仿宋" w:eastAsia="仿宋"/>
          <w:color w:val="FF0000"/>
        </w:rPr>
        <w:t>建筑生活垃圾分为四类：可回收物、有害垃圾、厨余垃圾和其他垃圾本条的评价方法为：查阅相关管理制度、操作规程、维护保养规程、应急预案、操作人员的专业证书，并现场核查。</w:t>
      </w:r>
    </w:p>
    <w:p>
      <w:pPr>
        <w:snapToGrid w:val="0"/>
        <w:spacing w:line="360" w:lineRule="auto"/>
        <w:rPr>
          <w:b/>
          <w:sz w:val="24"/>
        </w:rPr>
      </w:pPr>
    </w:p>
    <w:p>
      <w:pPr>
        <w:snapToGrid w:val="0"/>
        <w:spacing w:line="360" w:lineRule="auto"/>
        <w:rPr>
          <w:bCs/>
          <w:sz w:val="24"/>
        </w:rPr>
      </w:pPr>
      <w:r>
        <w:rPr>
          <w:b/>
          <w:sz w:val="24"/>
        </w:rPr>
        <w:t>1</w:t>
      </w:r>
      <w:r>
        <w:rPr>
          <w:rFonts w:hint="eastAsia"/>
          <w:b/>
          <w:sz w:val="24"/>
        </w:rPr>
        <w:t>2</w:t>
      </w:r>
      <w:r>
        <w:rPr>
          <w:b/>
          <w:sz w:val="24"/>
        </w:rPr>
        <w:t>.2.3</w:t>
      </w:r>
      <w:r>
        <w:rPr>
          <w:rFonts w:hAnsi="宋体"/>
          <w:sz w:val="24"/>
        </w:rPr>
        <w:t>　</w:t>
      </w:r>
      <w:r>
        <w:rPr>
          <w:rFonts w:hAnsi="宋体"/>
          <w:bCs/>
          <w:sz w:val="24"/>
        </w:rPr>
        <w:t>实施能源资源管理激励机制，管理业绩与节约能源资源、提高经济效益挂钩，评价总分值为</w:t>
      </w:r>
      <w:r>
        <w:rPr>
          <w:rFonts w:hint="eastAsia"/>
          <w:bCs/>
          <w:sz w:val="24"/>
        </w:rPr>
        <w:t>6</w:t>
      </w:r>
      <w:r>
        <w:rPr>
          <w:rFonts w:hAnsi="宋体"/>
          <w:bCs/>
          <w:sz w:val="24"/>
        </w:rPr>
        <w:t>分，并按下列规则</w:t>
      </w:r>
      <w:r>
        <w:rPr>
          <w:rFonts w:hint="eastAsia" w:hAnsi="宋体"/>
          <w:bCs/>
          <w:sz w:val="24"/>
        </w:rPr>
        <w:t>分别</w:t>
      </w:r>
      <w:r>
        <w:rPr>
          <w:rFonts w:hAnsi="宋体"/>
          <w:bCs/>
          <w:sz w:val="24"/>
        </w:rPr>
        <w:t>评分</w:t>
      </w:r>
      <w:r>
        <w:rPr>
          <w:rFonts w:hint="eastAsia" w:hAnsi="宋体"/>
          <w:bCs/>
          <w:sz w:val="24"/>
        </w:rPr>
        <w:t>并累计：</w:t>
      </w:r>
    </w:p>
    <w:p>
      <w:pPr>
        <w:snapToGrid w:val="0"/>
        <w:spacing w:line="360" w:lineRule="auto"/>
        <w:ind w:firstLine="481" w:firstLineChars="200"/>
        <w:rPr>
          <w:sz w:val="24"/>
        </w:rPr>
      </w:pPr>
      <w:r>
        <w:rPr>
          <w:b/>
          <w:sz w:val="24"/>
        </w:rPr>
        <w:t>1</w:t>
      </w:r>
      <w:r>
        <w:rPr>
          <w:rFonts w:hAnsi="宋体"/>
          <w:sz w:val="24"/>
        </w:rPr>
        <w:t>　运行管理机构的工作考核体系中包含能源资源管理激励机制，得</w:t>
      </w:r>
      <w:r>
        <w:rPr>
          <w:sz w:val="24"/>
        </w:rPr>
        <w:t>3</w:t>
      </w:r>
      <w:r>
        <w:rPr>
          <w:rFonts w:hAnsi="宋体"/>
          <w:sz w:val="24"/>
        </w:rPr>
        <w:t>分；</w:t>
      </w:r>
    </w:p>
    <w:p>
      <w:pPr>
        <w:snapToGrid w:val="0"/>
        <w:spacing w:line="360" w:lineRule="auto"/>
        <w:ind w:firstLine="481" w:firstLineChars="200"/>
        <w:rPr>
          <w:sz w:val="24"/>
        </w:rPr>
      </w:pPr>
      <w:r>
        <w:rPr>
          <w:b/>
          <w:sz w:val="24"/>
        </w:rPr>
        <w:t>2</w:t>
      </w:r>
      <w:r>
        <w:rPr>
          <w:rFonts w:hAnsi="宋体"/>
          <w:sz w:val="24"/>
        </w:rPr>
        <w:t>　与租用者的合同中包含节能条款，得</w:t>
      </w:r>
      <w:r>
        <w:rPr>
          <w:rFonts w:hint="eastAsia"/>
          <w:sz w:val="24"/>
        </w:rPr>
        <w:t>1</w:t>
      </w:r>
      <w:r>
        <w:rPr>
          <w:rFonts w:hAnsi="宋体"/>
          <w:sz w:val="24"/>
        </w:rPr>
        <w:t>分；</w:t>
      </w:r>
    </w:p>
    <w:p>
      <w:pPr>
        <w:snapToGrid w:val="0"/>
        <w:spacing w:line="360" w:lineRule="auto"/>
        <w:ind w:firstLine="481" w:firstLineChars="200"/>
        <w:rPr>
          <w:rFonts w:hAnsi="宋体"/>
          <w:sz w:val="24"/>
        </w:rPr>
      </w:pPr>
      <w:r>
        <w:rPr>
          <w:b/>
          <w:sz w:val="24"/>
        </w:rPr>
        <w:t>3</w:t>
      </w:r>
      <w:r>
        <w:rPr>
          <w:rFonts w:hAnsi="宋体"/>
          <w:sz w:val="24"/>
        </w:rPr>
        <w:t>　采用合同能源管理模式，得</w:t>
      </w:r>
      <w:r>
        <w:rPr>
          <w:rFonts w:hint="eastAsia"/>
          <w:sz w:val="24"/>
        </w:rPr>
        <w:t>2</w:t>
      </w:r>
      <w:r>
        <w:rPr>
          <w:rFonts w:hAnsi="宋体"/>
          <w:sz w:val="24"/>
        </w:rPr>
        <w:t>分。</w:t>
      </w:r>
    </w:p>
    <w:p>
      <w:pPr>
        <w:pStyle w:val="87"/>
        <w:spacing w:line="360" w:lineRule="auto"/>
        <w:ind w:firstLine="0" w:firstLineChars="0"/>
        <w:outlineLvl w:val="9"/>
        <w:rPr>
          <w:rFonts w:ascii="仿宋" w:hAnsi="仿宋" w:eastAsia="仿宋"/>
          <w:color w:val="FF0000"/>
        </w:rPr>
      </w:pPr>
      <w:r>
        <w:rPr>
          <w:rFonts w:hint="eastAsia" w:ascii="仿宋" w:hAnsi="仿宋" w:eastAsia="仿宋"/>
          <w:color w:val="FF0000"/>
        </w:rPr>
        <w:t>【条文说明】</w:t>
      </w:r>
    </w:p>
    <w:p>
      <w:pPr>
        <w:pStyle w:val="87"/>
        <w:spacing w:line="360" w:lineRule="auto"/>
        <w:ind w:firstLine="0" w:firstLineChars="0"/>
        <w:outlineLvl w:val="9"/>
        <w:rPr>
          <w:rFonts w:ascii="仿宋" w:hAnsi="仿宋" w:eastAsia="仿宋"/>
          <w:color w:val="FF0000"/>
        </w:rPr>
      </w:pPr>
      <w:r>
        <w:rPr>
          <w:rFonts w:hint="eastAsia" w:ascii="仿宋" w:hAnsi="仿宋" w:eastAsia="仿宋"/>
          <w:color w:val="FF0000"/>
        </w:rPr>
        <w:t>本条适用于各类民用建筑的运行评价。当被评价项目不存在租用者时，第2款不参评。</w:t>
      </w:r>
    </w:p>
    <w:p>
      <w:pPr>
        <w:pStyle w:val="87"/>
        <w:spacing w:line="360" w:lineRule="auto"/>
        <w:ind w:firstLine="0" w:firstLineChars="0"/>
        <w:outlineLvl w:val="9"/>
        <w:rPr>
          <w:rFonts w:ascii="仿宋" w:hAnsi="仿宋" w:eastAsia="仿宋"/>
          <w:color w:val="FF0000"/>
        </w:rPr>
      </w:pPr>
      <w:r>
        <w:rPr>
          <w:rFonts w:hint="eastAsia" w:ascii="仿宋" w:hAnsi="仿宋" w:eastAsia="仿宋"/>
          <w:color w:val="FF0000"/>
        </w:rPr>
        <w:t>本条在本规范《绿色建筑评价规范》SZJG30-2009得分项第6.6.11条基础上发展而来。管理是运行节约能源、资源的重要手段，必须在管理业绩上与节能、节约资源情况挂钩。因此要求运行管理单位在保证建筑的使用性能要求、投诉率低于规定值的前提下，实现其经济效益与建筑用能系统的耗能状况、水资源和各类耗材等的使用情况直接挂钩。采用合同能源管理模式更是节能的有效方式。</w:t>
      </w:r>
    </w:p>
    <w:p>
      <w:pPr>
        <w:pStyle w:val="87"/>
        <w:spacing w:line="360" w:lineRule="auto"/>
        <w:ind w:firstLine="0" w:firstLineChars="0"/>
        <w:outlineLvl w:val="9"/>
        <w:rPr>
          <w:rFonts w:ascii="仿宋" w:hAnsi="仿宋" w:eastAsia="仿宋"/>
          <w:color w:val="FF0000"/>
        </w:rPr>
      </w:pPr>
      <w:r>
        <w:rPr>
          <w:rFonts w:hint="eastAsia" w:ascii="仿宋" w:hAnsi="仿宋" w:eastAsia="仿宋"/>
          <w:color w:val="FF0000"/>
        </w:rPr>
        <w:t>本条的评价方法为：查阅运行管理机构的工作考核体系文件、业主和租用者以及管理企业之间的合同。</w:t>
      </w:r>
    </w:p>
    <w:p>
      <w:pPr>
        <w:snapToGrid w:val="0"/>
        <w:spacing w:line="360" w:lineRule="auto"/>
        <w:rPr>
          <w:b/>
          <w:sz w:val="24"/>
        </w:rPr>
      </w:pPr>
    </w:p>
    <w:p>
      <w:pPr>
        <w:snapToGrid w:val="0"/>
        <w:spacing w:line="360" w:lineRule="auto"/>
        <w:rPr>
          <w:bCs/>
          <w:sz w:val="24"/>
        </w:rPr>
      </w:pPr>
      <w:r>
        <w:rPr>
          <w:b/>
          <w:sz w:val="24"/>
        </w:rPr>
        <w:t>1</w:t>
      </w:r>
      <w:r>
        <w:rPr>
          <w:rFonts w:hint="eastAsia"/>
          <w:b/>
          <w:sz w:val="24"/>
        </w:rPr>
        <w:t>2</w:t>
      </w:r>
      <w:r>
        <w:rPr>
          <w:b/>
          <w:sz w:val="24"/>
        </w:rPr>
        <w:t>.2.4</w:t>
      </w:r>
      <w:r>
        <w:rPr>
          <w:rFonts w:hAnsi="宋体"/>
          <w:sz w:val="24"/>
        </w:rPr>
        <w:t>　</w:t>
      </w:r>
      <w:r>
        <w:rPr>
          <w:rFonts w:hAnsi="宋体"/>
          <w:bCs/>
          <w:sz w:val="24"/>
        </w:rPr>
        <w:t>建立绿色教育宣传</w:t>
      </w:r>
      <w:r>
        <w:rPr>
          <w:rFonts w:hint="eastAsia" w:hAnsi="宋体"/>
          <w:bCs/>
          <w:sz w:val="24"/>
        </w:rPr>
        <w:t>、用户参与</w:t>
      </w:r>
      <w:r>
        <w:rPr>
          <w:rFonts w:hAnsi="宋体"/>
          <w:bCs/>
          <w:sz w:val="24"/>
        </w:rPr>
        <w:t>机制，编制绿色设施使用手册，形成良好的绿色氛围，评价总分值为</w:t>
      </w:r>
      <w:r>
        <w:rPr>
          <w:rFonts w:hint="eastAsia"/>
          <w:bCs/>
          <w:sz w:val="24"/>
        </w:rPr>
        <w:t>6</w:t>
      </w:r>
      <w:r>
        <w:rPr>
          <w:rFonts w:hAnsi="宋体"/>
          <w:bCs/>
          <w:sz w:val="24"/>
        </w:rPr>
        <w:t>分，并按下列规则</w:t>
      </w:r>
      <w:r>
        <w:rPr>
          <w:rFonts w:hint="eastAsia" w:hAnsi="宋体"/>
          <w:bCs/>
          <w:sz w:val="24"/>
        </w:rPr>
        <w:t>分别</w:t>
      </w:r>
      <w:r>
        <w:rPr>
          <w:rFonts w:hAnsi="宋体"/>
          <w:bCs/>
          <w:sz w:val="24"/>
        </w:rPr>
        <w:t>评分</w:t>
      </w:r>
      <w:r>
        <w:rPr>
          <w:rFonts w:hint="eastAsia" w:hAnsi="宋体"/>
          <w:bCs/>
          <w:sz w:val="24"/>
        </w:rPr>
        <w:t>并累计：</w:t>
      </w:r>
    </w:p>
    <w:p>
      <w:pPr>
        <w:snapToGrid w:val="0"/>
        <w:spacing w:line="360" w:lineRule="auto"/>
        <w:ind w:firstLine="481" w:firstLineChars="200"/>
        <w:rPr>
          <w:sz w:val="24"/>
        </w:rPr>
      </w:pPr>
      <w:r>
        <w:rPr>
          <w:b/>
          <w:sz w:val="24"/>
        </w:rPr>
        <w:t>1</w:t>
      </w:r>
      <w:r>
        <w:rPr>
          <w:rFonts w:hAnsi="宋体"/>
          <w:sz w:val="24"/>
        </w:rPr>
        <w:t>　有绿色教育宣传工作记录，得</w:t>
      </w:r>
      <w:r>
        <w:rPr>
          <w:rFonts w:hint="eastAsia"/>
          <w:sz w:val="24"/>
        </w:rPr>
        <w:t>2</w:t>
      </w:r>
      <w:r>
        <w:rPr>
          <w:rFonts w:hAnsi="宋体"/>
          <w:sz w:val="24"/>
        </w:rPr>
        <w:t>分；</w:t>
      </w:r>
    </w:p>
    <w:p>
      <w:pPr>
        <w:snapToGrid w:val="0"/>
        <w:spacing w:line="360" w:lineRule="auto"/>
        <w:ind w:firstLine="481" w:firstLineChars="200"/>
        <w:rPr>
          <w:rFonts w:hAnsi="宋体"/>
          <w:sz w:val="24"/>
        </w:rPr>
      </w:pPr>
      <w:r>
        <w:rPr>
          <w:b/>
          <w:sz w:val="24"/>
        </w:rPr>
        <w:t>2</w:t>
      </w:r>
      <w:r>
        <w:rPr>
          <w:rFonts w:hAnsi="宋体"/>
          <w:sz w:val="24"/>
        </w:rPr>
        <w:t>　向使用者提供绿色设施使用手册，得</w:t>
      </w:r>
      <w:r>
        <w:rPr>
          <w:rFonts w:hint="eastAsia"/>
          <w:sz w:val="24"/>
        </w:rPr>
        <w:t>2</w:t>
      </w:r>
      <w:r>
        <w:rPr>
          <w:rFonts w:hAnsi="宋体"/>
          <w:sz w:val="24"/>
        </w:rPr>
        <w:t>分；</w:t>
      </w:r>
    </w:p>
    <w:p>
      <w:pPr>
        <w:snapToGrid w:val="0"/>
        <w:spacing w:line="360" w:lineRule="auto"/>
        <w:ind w:firstLine="481" w:firstLineChars="200"/>
        <w:rPr>
          <w:bCs/>
          <w:sz w:val="24"/>
        </w:rPr>
      </w:pPr>
      <w:r>
        <w:rPr>
          <w:rFonts w:hint="eastAsia"/>
          <w:b/>
          <w:sz w:val="24"/>
        </w:rPr>
        <w:t>4</w:t>
      </w:r>
      <w:r>
        <w:rPr>
          <w:rFonts w:hAnsi="宋体"/>
          <w:sz w:val="24"/>
        </w:rPr>
        <w:t>　相关绿色行为与成效获得公共媒体报道，得</w:t>
      </w:r>
      <w:r>
        <w:rPr>
          <w:rFonts w:hint="eastAsia"/>
          <w:sz w:val="24"/>
        </w:rPr>
        <w:t>2</w:t>
      </w:r>
      <w:r>
        <w:rPr>
          <w:rFonts w:hAnsi="宋体"/>
          <w:sz w:val="24"/>
        </w:rPr>
        <w:t>分。</w:t>
      </w:r>
    </w:p>
    <w:p>
      <w:pPr>
        <w:pStyle w:val="87"/>
        <w:spacing w:line="360" w:lineRule="auto"/>
        <w:ind w:firstLine="0" w:firstLineChars="0"/>
        <w:outlineLvl w:val="9"/>
        <w:rPr>
          <w:rFonts w:ascii="仿宋" w:hAnsi="仿宋" w:eastAsia="仿宋"/>
          <w:color w:val="FF0000"/>
        </w:rPr>
      </w:pPr>
      <w:r>
        <w:rPr>
          <w:rFonts w:hint="eastAsia" w:ascii="仿宋" w:hAnsi="仿宋" w:eastAsia="仿宋"/>
          <w:color w:val="FF0000"/>
        </w:rPr>
        <w:t>【条文说明】</w:t>
      </w:r>
    </w:p>
    <w:p>
      <w:pPr>
        <w:pStyle w:val="87"/>
        <w:spacing w:line="360" w:lineRule="auto"/>
        <w:ind w:firstLine="0" w:firstLineChars="0"/>
        <w:outlineLvl w:val="9"/>
        <w:rPr>
          <w:rFonts w:ascii="仿宋" w:hAnsi="仿宋" w:eastAsia="仿宋"/>
          <w:color w:val="FF0000"/>
        </w:rPr>
      </w:pPr>
      <w:r>
        <w:rPr>
          <w:rFonts w:hint="eastAsia" w:ascii="仿宋" w:hAnsi="仿宋" w:eastAsia="仿宋"/>
          <w:color w:val="FF0000"/>
        </w:rPr>
        <w:t>本条适用于各类民用建筑的运行评价。</w:t>
      </w:r>
    </w:p>
    <w:p>
      <w:pPr>
        <w:pStyle w:val="87"/>
        <w:spacing w:line="360" w:lineRule="auto"/>
        <w:ind w:firstLine="0" w:firstLineChars="0"/>
        <w:outlineLvl w:val="9"/>
        <w:rPr>
          <w:rFonts w:ascii="仿宋" w:hAnsi="仿宋" w:eastAsia="仿宋"/>
          <w:color w:val="FF0000"/>
        </w:rPr>
      </w:pPr>
      <w:r>
        <w:rPr>
          <w:rFonts w:hint="eastAsia" w:ascii="仿宋" w:hAnsi="仿宋" w:eastAsia="仿宋"/>
          <w:color w:val="FF0000"/>
        </w:rPr>
        <w:t>本条为新增条文。在建筑物长期的运行过程中，用户和运行管理人员的意识与行为，直接影响绿色建筑的目标实现，因此需要坚持倡导绿色理念与绿色生活方式的教育宣传制度，培训各类人员正确使用绿色设施，形成良好的绿色行为与风气。</w:t>
      </w:r>
    </w:p>
    <w:p>
      <w:pPr>
        <w:pStyle w:val="87"/>
        <w:spacing w:line="360" w:lineRule="auto"/>
        <w:ind w:firstLine="0" w:firstLineChars="0"/>
        <w:outlineLvl w:val="9"/>
        <w:rPr>
          <w:rFonts w:ascii="仿宋" w:hAnsi="仿宋" w:eastAsia="仿宋"/>
          <w:color w:val="FF0000"/>
        </w:rPr>
      </w:pPr>
      <w:r>
        <w:rPr>
          <w:rFonts w:hint="eastAsia" w:ascii="仿宋" w:hAnsi="仿宋" w:eastAsia="仿宋"/>
          <w:color w:val="FF0000"/>
        </w:rPr>
        <w:t>本条的评价方法为：查阅绿色教育宣传的工作记录与报道记录，绿色设施使用手册，并向建筑使用者核实。</w:t>
      </w:r>
    </w:p>
    <w:p>
      <w:pPr>
        <w:pStyle w:val="87"/>
        <w:spacing w:line="360" w:lineRule="auto"/>
        <w:ind w:firstLine="0" w:firstLineChars="0"/>
        <w:outlineLvl w:val="9"/>
        <w:rPr>
          <w:rFonts w:ascii="仿宋" w:hAnsi="仿宋" w:eastAsia="仿宋"/>
          <w:color w:val="FF0000"/>
        </w:rPr>
      </w:pPr>
    </w:p>
    <w:p>
      <w:pPr>
        <w:snapToGrid w:val="0"/>
        <w:spacing w:line="360" w:lineRule="auto"/>
        <w:rPr>
          <w:bCs/>
          <w:sz w:val="24"/>
        </w:rPr>
      </w:pPr>
      <w:r>
        <w:rPr>
          <w:b/>
          <w:sz w:val="24"/>
        </w:rPr>
        <w:t>1</w:t>
      </w:r>
      <w:r>
        <w:rPr>
          <w:rFonts w:hint="eastAsia"/>
          <w:b/>
          <w:sz w:val="24"/>
        </w:rPr>
        <w:t>2</w:t>
      </w:r>
      <w:r>
        <w:rPr>
          <w:b/>
          <w:sz w:val="24"/>
        </w:rPr>
        <w:t>.2.</w:t>
      </w:r>
      <w:r>
        <w:rPr>
          <w:rFonts w:hint="eastAsia"/>
          <w:b/>
          <w:sz w:val="24"/>
        </w:rPr>
        <w:t>5</w:t>
      </w:r>
      <w:r>
        <w:rPr>
          <w:rFonts w:hAnsi="宋体"/>
          <w:sz w:val="24"/>
        </w:rPr>
        <w:t>　</w:t>
      </w:r>
      <w:r>
        <w:rPr>
          <w:rFonts w:hint="eastAsia" w:hAnsi="宋体"/>
          <w:bCs/>
          <w:sz w:val="24"/>
        </w:rPr>
        <w:t>定期进行建筑环境满意度评价，并有持续改进措施</w:t>
      </w:r>
      <w:r>
        <w:rPr>
          <w:rFonts w:hAnsi="宋体"/>
          <w:bCs/>
          <w:sz w:val="24"/>
        </w:rPr>
        <w:t>，评价总分值为</w:t>
      </w:r>
      <w:r>
        <w:rPr>
          <w:rFonts w:hint="eastAsia"/>
          <w:bCs/>
          <w:sz w:val="24"/>
        </w:rPr>
        <w:t>10</w:t>
      </w:r>
      <w:r>
        <w:rPr>
          <w:rFonts w:hAnsi="宋体"/>
          <w:bCs/>
          <w:sz w:val="24"/>
        </w:rPr>
        <w:t>分，并按下列规则</w:t>
      </w:r>
      <w:r>
        <w:rPr>
          <w:rFonts w:hint="eastAsia" w:hAnsi="宋体"/>
          <w:bCs/>
          <w:sz w:val="24"/>
        </w:rPr>
        <w:t>分别</w:t>
      </w:r>
      <w:r>
        <w:rPr>
          <w:rFonts w:hAnsi="宋体"/>
          <w:bCs/>
          <w:sz w:val="24"/>
        </w:rPr>
        <w:t>评分</w:t>
      </w:r>
      <w:r>
        <w:rPr>
          <w:rFonts w:hint="eastAsia" w:hAnsi="宋体"/>
          <w:bCs/>
          <w:sz w:val="24"/>
        </w:rPr>
        <w:t>并累计：</w:t>
      </w:r>
    </w:p>
    <w:p>
      <w:pPr>
        <w:snapToGrid w:val="0"/>
        <w:spacing w:line="360" w:lineRule="auto"/>
        <w:ind w:firstLine="481" w:firstLineChars="200"/>
        <w:rPr>
          <w:sz w:val="24"/>
        </w:rPr>
      </w:pPr>
      <w:r>
        <w:rPr>
          <w:b/>
          <w:sz w:val="24"/>
        </w:rPr>
        <w:t>1</w:t>
      </w:r>
      <w:r>
        <w:rPr>
          <w:rFonts w:hAnsi="宋体"/>
          <w:sz w:val="24"/>
        </w:rPr>
        <w:t>　</w:t>
      </w:r>
      <w:r>
        <w:rPr>
          <w:rFonts w:hint="eastAsia" w:hAnsi="宋体"/>
          <w:sz w:val="24"/>
        </w:rPr>
        <w:t>定期进行建筑环境满意度评价</w:t>
      </w:r>
      <w:r>
        <w:rPr>
          <w:rFonts w:hAnsi="宋体"/>
          <w:sz w:val="24"/>
        </w:rPr>
        <w:t>，得</w:t>
      </w:r>
      <w:r>
        <w:rPr>
          <w:rFonts w:hint="eastAsia"/>
          <w:sz w:val="24"/>
        </w:rPr>
        <w:t>6</w:t>
      </w:r>
      <w:r>
        <w:rPr>
          <w:rFonts w:hAnsi="宋体"/>
          <w:sz w:val="24"/>
        </w:rPr>
        <w:t>分；</w:t>
      </w:r>
    </w:p>
    <w:p>
      <w:pPr>
        <w:snapToGrid w:val="0"/>
        <w:spacing w:line="360" w:lineRule="auto"/>
        <w:ind w:firstLine="481" w:firstLineChars="200"/>
        <w:rPr>
          <w:rFonts w:hAnsi="宋体"/>
          <w:sz w:val="24"/>
        </w:rPr>
      </w:pPr>
      <w:r>
        <w:rPr>
          <w:b/>
          <w:sz w:val="24"/>
        </w:rPr>
        <w:t>2</w:t>
      </w:r>
      <w:r>
        <w:rPr>
          <w:rFonts w:hAnsi="宋体"/>
          <w:sz w:val="24"/>
        </w:rPr>
        <w:t>　</w:t>
      </w:r>
      <w:r>
        <w:rPr>
          <w:rFonts w:hint="eastAsia" w:hAnsi="宋体"/>
          <w:sz w:val="24"/>
        </w:rPr>
        <w:t>根据满意度调查结果</w:t>
      </w:r>
      <w:r>
        <w:rPr>
          <w:rFonts w:hAnsi="宋体"/>
          <w:sz w:val="24"/>
        </w:rPr>
        <w:t>，</w:t>
      </w:r>
      <w:r>
        <w:rPr>
          <w:rFonts w:hint="eastAsia" w:hAnsi="宋体"/>
          <w:sz w:val="24"/>
        </w:rPr>
        <w:t>有持续改进措施，</w:t>
      </w:r>
      <w:r>
        <w:rPr>
          <w:rFonts w:hAnsi="宋体"/>
          <w:sz w:val="24"/>
        </w:rPr>
        <w:t>得</w:t>
      </w:r>
      <w:r>
        <w:rPr>
          <w:rFonts w:hint="eastAsia"/>
          <w:sz w:val="24"/>
        </w:rPr>
        <w:t>4</w:t>
      </w:r>
      <w:r>
        <w:rPr>
          <w:rFonts w:hAnsi="宋体"/>
          <w:sz w:val="24"/>
        </w:rPr>
        <w:t>分</w:t>
      </w:r>
      <w:r>
        <w:rPr>
          <w:rFonts w:hint="eastAsia" w:hAnsi="宋体"/>
          <w:sz w:val="24"/>
        </w:rPr>
        <w:t>。</w:t>
      </w:r>
    </w:p>
    <w:p>
      <w:pPr>
        <w:pStyle w:val="87"/>
        <w:spacing w:line="360" w:lineRule="auto"/>
        <w:ind w:firstLine="0" w:firstLineChars="0"/>
        <w:outlineLvl w:val="9"/>
        <w:rPr>
          <w:rFonts w:ascii="仿宋" w:hAnsi="仿宋" w:eastAsia="仿宋"/>
          <w:color w:val="FF0000"/>
        </w:rPr>
      </w:pPr>
      <w:r>
        <w:rPr>
          <w:rFonts w:hint="eastAsia" w:ascii="仿宋" w:hAnsi="仿宋" w:eastAsia="仿宋"/>
          <w:color w:val="FF0000"/>
        </w:rPr>
        <w:t>【条文说明】</w:t>
      </w:r>
    </w:p>
    <w:p>
      <w:pPr>
        <w:pStyle w:val="87"/>
        <w:spacing w:line="360" w:lineRule="auto"/>
        <w:ind w:firstLine="0" w:firstLineChars="0"/>
        <w:outlineLvl w:val="9"/>
        <w:rPr>
          <w:rFonts w:ascii="仿宋" w:hAnsi="仿宋" w:eastAsia="仿宋"/>
          <w:color w:val="FF0000"/>
        </w:rPr>
      </w:pPr>
      <w:r>
        <w:rPr>
          <w:rFonts w:hint="eastAsia" w:ascii="仿宋" w:hAnsi="仿宋" w:eastAsia="仿宋"/>
          <w:color w:val="FF0000"/>
        </w:rPr>
        <w:t>本条适用于各类民用建筑的运行评价。</w:t>
      </w:r>
    </w:p>
    <w:p>
      <w:pPr>
        <w:pStyle w:val="87"/>
        <w:spacing w:line="360" w:lineRule="auto"/>
        <w:ind w:firstLine="0" w:firstLineChars="0"/>
        <w:outlineLvl w:val="9"/>
        <w:rPr>
          <w:rFonts w:ascii="仿宋" w:hAnsi="仿宋" w:eastAsia="仿宋"/>
          <w:color w:val="FF0000"/>
        </w:rPr>
      </w:pPr>
      <w:r>
        <w:rPr>
          <w:rFonts w:hint="eastAsia" w:ascii="仿宋" w:hAnsi="仿宋" w:eastAsia="仿宋"/>
          <w:color w:val="FF0000"/>
        </w:rPr>
        <w:t>本条为新增条文。参照《绿色办公建筑评价标准》第9.1.6条。LEED V4《建筑运营与维护》Occupant Comfort  survey(用户舒适性调查)。大众感知是绿色建筑可持续发展的保障。绿色建筑的运行管理应以人为本。绿色建筑最终是为人服务的，为使用者提供高效、适用、节能环保的环境。在评价绿色建筑的各项指标中应有对建筑中各使用人群的满意度调查，关注使用者的直接感受。本条要求必须从总用户中对不少于</w:t>
      </w:r>
      <w:r>
        <w:rPr>
          <w:rFonts w:ascii="仿宋" w:hAnsi="仿宋" w:eastAsia="仿宋"/>
          <w:color w:val="FF0000"/>
        </w:rPr>
        <w:t>30%的</w:t>
      </w:r>
      <w:r>
        <w:rPr>
          <w:rFonts w:hint="eastAsia" w:ascii="仿宋" w:hAnsi="仿宋" w:eastAsia="仿宋"/>
          <w:color w:val="FF0000"/>
        </w:rPr>
        <w:t>用户代表进行调查回访并记录调查结果，发现不足并通过持续改进，完善绿色建筑的各项管理。运营评价必须要有一次调查、使用者参与活动且必须要有一次整改行动。</w:t>
      </w:r>
    </w:p>
    <w:p>
      <w:pPr>
        <w:pStyle w:val="87"/>
        <w:spacing w:line="360" w:lineRule="auto"/>
        <w:ind w:firstLine="0" w:firstLineChars="0"/>
        <w:outlineLvl w:val="9"/>
        <w:rPr>
          <w:rFonts w:ascii="仿宋" w:hAnsi="仿宋" w:eastAsia="仿宋"/>
          <w:color w:val="FF0000"/>
        </w:rPr>
      </w:pPr>
      <w:r>
        <w:rPr>
          <w:rFonts w:hint="eastAsia" w:ascii="仿宋" w:hAnsi="仿宋" w:eastAsia="仿宋"/>
          <w:color w:val="FF0000"/>
        </w:rPr>
        <w:t>本条的评价方法为：查阅相关满意度调查记录、物业管理部门提供的改进措施与记录，并向建筑使用者核实。</w:t>
      </w:r>
    </w:p>
    <w:p>
      <w:pPr>
        <w:pStyle w:val="87"/>
        <w:spacing w:line="360" w:lineRule="auto"/>
        <w:ind w:firstLine="0" w:firstLineChars="0"/>
        <w:outlineLvl w:val="9"/>
        <w:rPr>
          <w:rFonts w:ascii="仿宋" w:hAnsi="仿宋" w:eastAsia="仿宋"/>
          <w:color w:val="FF0000"/>
        </w:rPr>
      </w:pPr>
    </w:p>
    <w:p>
      <w:pPr>
        <w:spacing w:line="360" w:lineRule="auto"/>
        <w:rPr>
          <w:sz w:val="24"/>
        </w:rPr>
      </w:pPr>
    </w:p>
    <w:p>
      <w:pPr>
        <w:pStyle w:val="87"/>
        <w:ind w:firstLine="0" w:firstLineChars="0"/>
        <w:jc w:val="center"/>
        <w:rPr>
          <w:rFonts w:hAnsi="宋体"/>
        </w:rPr>
      </w:pPr>
      <w:bookmarkStart w:id="130" w:name="_Toc449111699"/>
      <w:r>
        <w:rPr>
          <w:rFonts w:ascii="宋体" w:hAnsi="宋体"/>
        </w:rPr>
        <w:t>Ⅱ</w:t>
      </w:r>
      <w:r>
        <w:rPr>
          <w:rFonts w:hint="eastAsia" w:ascii="宋体" w:hAnsi="宋体"/>
        </w:rPr>
        <w:t xml:space="preserve"> </w:t>
      </w:r>
      <w:r>
        <w:rPr>
          <w:rFonts w:hAnsi="宋体"/>
        </w:rPr>
        <w:t>技术管理</w:t>
      </w:r>
      <w:r>
        <w:rPr>
          <w:rFonts w:hint="eastAsia" w:hAnsi="宋体"/>
        </w:rPr>
        <w:t>（42）</w:t>
      </w:r>
      <w:bookmarkEnd w:id="130"/>
    </w:p>
    <w:p>
      <w:pPr>
        <w:snapToGrid w:val="0"/>
        <w:spacing w:line="360" w:lineRule="auto"/>
        <w:rPr>
          <w:bCs/>
          <w:sz w:val="24"/>
        </w:rPr>
      </w:pPr>
      <w:r>
        <w:rPr>
          <w:b/>
          <w:sz w:val="24"/>
        </w:rPr>
        <w:t>1</w:t>
      </w:r>
      <w:r>
        <w:rPr>
          <w:rFonts w:hint="eastAsia"/>
          <w:b/>
          <w:sz w:val="24"/>
        </w:rPr>
        <w:t>2</w:t>
      </w:r>
      <w:r>
        <w:rPr>
          <w:b/>
          <w:sz w:val="24"/>
        </w:rPr>
        <w:t>.2.</w:t>
      </w:r>
      <w:r>
        <w:rPr>
          <w:rFonts w:hint="eastAsia"/>
          <w:b/>
          <w:sz w:val="24"/>
        </w:rPr>
        <w:t>6</w:t>
      </w:r>
      <w:r>
        <w:rPr>
          <w:rFonts w:hAnsi="宋体"/>
          <w:sz w:val="24"/>
        </w:rPr>
        <w:t>　</w:t>
      </w:r>
      <w:r>
        <w:rPr>
          <w:rFonts w:hint="eastAsia" w:hAnsi="宋体"/>
          <w:sz w:val="24"/>
        </w:rPr>
        <w:t>组织实施综合效能调试和制定持续调适计划</w:t>
      </w:r>
      <w:r>
        <w:rPr>
          <w:rFonts w:hAnsi="宋体"/>
          <w:sz w:val="24"/>
        </w:rPr>
        <w:t>，实现系统高效运行</w:t>
      </w:r>
      <w:r>
        <w:rPr>
          <w:rFonts w:hAnsi="宋体"/>
          <w:bCs/>
          <w:sz w:val="24"/>
        </w:rPr>
        <w:t>，评价总分值为</w:t>
      </w:r>
      <w:r>
        <w:rPr>
          <w:rFonts w:hint="eastAsia"/>
          <w:bCs/>
          <w:sz w:val="24"/>
        </w:rPr>
        <w:t>8</w:t>
      </w:r>
      <w:r>
        <w:rPr>
          <w:rFonts w:hAnsi="宋体"/>
          <w:bCs/>
          <w:sz w:val="24"/>
        </w:rPr>
        <w:t>分，并按下列规则分别评分并累计：</w:t>
      </w:r>
    </w:p>
    <w:p>
      <w:pPr>
        <w:spacing w:line="360" w:lineRule="auto"/>
        <w:ind w:firstLine="481" w:firstLineChars="200"/>
        <w:rPr>
          <w:sz w:val="24"/>
        </w:rPr>
      </w:pPr>
      <w:r>
        <w:rPr>
          <w:b/>
          <w:sz w:val="24"/>
        </w:rPr>
        <w:t>1</w:t>
      </w:r>
      <w:r>
        <w:rPr>
          <w:rFonts w:hAnsi="宋体"/>
          <w:sz w:val="24"/>
        </w:rPr>
        <w:t>　</w:t>
      </w:r>
      <w:r>
        <w:rPr>
          <w:rFonts w:hint="eastAsia" w:hAnsi="宋体"/>
          <w:sz w:val="24"/>
        </w:rPr>
        <w:t>建筑系统竣工后和交工交付前</w:t>
      </w:r>
      <w:r>
        <w:rPr>
          <w:rFonts w:hAnsi="宋体"/>
          <w:sz w:val="24"/>
        </w:rPr>
        <w:t>，</w:t>
      </w:r>
      <w:r>
        <w:rPr>
          <w:rFonts w:hint="eastAsia" w:hAnsi="宋体"/>
          <w:sz w:val="24"/>
        </w:rPr>
        <w:t>应</w:t>
      </w:r>
      <w:r>
        <w:rPr>
          <w:rFonts w:hAnsi="宋体"/>
          <w:sz w:val="24"/>
        </w:rPr>
        <w:t>进行综合效能调适，</w:t>
      </w:r>
      <w:r>
        <w:rPr>
          <w:rFonts w:hint="eastAsia" w:hAnsi="宋体"/>
          <w:sz w:val="24"/>
        </w:rPr>
        <w:t>以确保系统实现不同负荷工况运行和满足实际使用功能的要求。</w:t>
      </w:r>
      <w:r>
        <w:rPr>
          <w:rFonts w:hAnsi="宋体"/>
          <w:sz w:val="24"/>
        </w:rPr>
        <w:t>得</w:t>
      </w:r>
      <w:r>
        <w:rPr>
          <w:rFonts w:hint="eastAsia"/>
          <w:sz w:val="24"/>
        </w:rPr>
        <w:t>5</w:t>
      </w:r>
      <w:r>
        <w:rPr>
          <w:rFonts w:hAnsi="宋体"/>
          <w:sz w:val="24"/>
        </w:rPr>
        <w:t>分。</w:t>
      </w:r>
    </w:p>
    <w:p>
      <w:pPr>
        <w:snapToGrid w:val="0"/>
        <w:spacing w:line="360" w:lineRule="auto"/>
        <w:ind w:firstLine="481" w:firstLineChars="200"/>
        <w:rPr>
          <w:rFonts w:hAnsi="宋体"/>
          <w:sz w:val="24"/>
        </w:rPr>
      </w:pPr>
      <w:r>
        <w:rPr>
          <w:b/>
          <w:sz w:val="24"/>
        </w:rPr>
        <w:t>2</w:t>
      </w:r>
      <w:r>
        <w:rPr>
          <w:rFonts w:hAnsi="宋体"/>
          <w:sz w:val="24"/>
        </w:rPr>
        <w:t>　根据建筑设备和系统的实际运行情况，制定</w:t>
      </w:r>
      <w:r>
        <w:rPr>
          <w:rFonts w:hint="eastAsia" w:hAnsi="宋体"/>
          <w:sz w:val="24"/>
        </w:rPr>
        <w:t>并实施持续</w:t>
      </w:r>
      <w:r>
        <w:rPr>
          <w:rFonts w:hAnsi="宋体"/>
          <w:sz w:val="24"/>
        </w:rPr>
        <w:t>调适计划，实现系统</w:t>
      </w:r>
      <w:r>
        <w:rPr>
          <w:rFonts w:hint="eastAsia" w:hAnsi="宋体"/>
          <w:sz w:val="24"/>
        </w:rPr>
        <w:t>持续</w:t>
      </w:r>
      <w:r>
        <w:rPr>
          <w:rFonts w:hAnsi="宋体"/>
          <w:sz w:val="24"/>
        </w:rPr>
        <w:t>高效运行</w:t>
      </w:r>
      <w:r>
        <w:rPr>
          <w:rFonts w:hint="eastAsia" w:hAnsi="宋体"/>
          <w:sz w:val="24"/>
        </w:rPr>
        <w:t>。</w:t>
      </w:r>
      <w:r>
        <w:rPr>
          <w:rFonts w:hAnsi="宋体"/>
          <w:sz w:val="24"/>
        </w:rPr>
        <w:t>得</w:t>
      </w:r>
      <w:r>
        <w:rPr>
          <w:sz w:val="24"/>
        </w:rPr>
        <w:t>3</w:t>
      </w:r>
      <w:r>
        <w:rPr>
          <w:rFonts w:hAnsi="宋体"/>
          <w:sz w:val="24"/>
        </w:rPr>
        <w:t>分。</w:t>
      </w:r>
    </w:p>
    <w:p>
      <w:pPr>
        <w:pStyle w:val="87"/>
        <w:spacing w:line="360" w:lineRule="auto"/>
        <w:ind w:firstLine="0" w:firstLineChars="0"/>
        <w:outlineLvl w:val="9"/>
        <w:rPr>
          <w:rFonts w:ascii="仿宋" w:hAnsi="仿宋" w:eastAsia="仿宋"/>
          <w:color w:val="FF0000"/>
        </w:rPr>
      </w:pPr>
      <w:r>
        <w:rPr>
          <w:rFonts w:hint="eastAsia" w:ascii="仿宋" w:hAnsi="仿宋" w:eastAsia="仿宋"/>
          <w:color w:val="FF0000"/>
        </w:rPr>
        <w:t>【条文说明】</w:t>
      </w:r>
    </w:p>
    <w:p>
      <w:pPr>
        <w:pStyle w:val="87"/>
        <w:spacing w:line="360" w:lineRule="auto"/>
        <w:ind w:firstLine="0" w:firstLineChars="0"/>
        <w:outlineLvl w:val="9"/>
        <w:rPr>
          <w:rFonts w:ascii="仿宋" w:hAnsi="仿宋" w:eastAsia="仿宋"/>
          <w:color w:val="FF0000"/>
        </w:rPr>
      </w:pPr>
      <w:r>
        <w:rPr>
          <w:rFonts w:hint="eastAsia" w:ascii="仿宋" w:hAnsi="仿宋" w:eastAsia="仿宋"/>
          <w:color w:val="FF0000"/>
        </w:rPr>
        <w:t>本条适用于各类民用建筑的运行评价。</w:t>
      </w:r>
    </w:p>
    <w:p>
      <w:pPr>
        <w:pStyle w:val="87"/>
        <w:spacing w:line="360" w:lineRule="auto"/>
        <w:ind w:firstLine="0" w:firstLineChars="0"/>
        <w:outlineLvl w:val="9"/>
        <w:rPr>
          <w:rFonts w:ascii="仿宋" w:hAnsi="仿宋" w:eastAsia="仿宋"/>
          <w:color w:val="FF0000"/>
        </w:rPr>
      </w:pPr>
      <w:r>
        <w:rPr>
          <w:rFonts w:hint="eastAsia" w:ascii="仿宋" w:hAnsi="仿宋" w:eastAsia="仿宋"/>
          <w:color w:val="FF0000"/>
        </w:rPr>
        <w:t>本条文为新增条文。</w:t>
      </w:r>
      <w:r>
        <w:rPr>
          <w:rFonts w:ascii="仿宋" w:hAnsi="仿宋" w:eastAsia="仿宋"/>
          <w:color w:val="FF0000"/>
        </w:rPr>
        <w:t>传统的工程建设体制是由设计院设计、建设单位订货、施工安装等多方构成，在空调设备、电气、控制专业结合的分界面上经常出现脱节、管理混乱、联合调试相互扯皮，调试困难的现象。随着建筑各子系统日益复杂，子系统之间关联性越来越强，传统的调试体系已不能满足建筑动态负荷变化和实际使用功能的要求。因此，为了使系统能够实现设计的意图和系统的高效运行，必须重新建立新的具有针对性的调适体系和方法。实施宜由建设单位组织，调适顾问单位为主，施工单位负责实施，监理单位监督，建设单位与设计单位、主要设备供应商及后期运行管理单位共同组成调适团队参与和配合。</w:t>
      </w:r>
    </w:p>
    <w:p>
      <w:pPr>
        <w:pStyle w:val="87"/>
        <w:spacing w:line="360" w:lineRule="auto"/>
        <w:ind w:firstLine="0" w:firstLineChars="0"/>
        <w:outlineLvl w:val="9"/>
        <w:rPr>
          <w:rFonts w:ascii="仿宋" w:hAnsi="仿宋" w:eastAsia="仿宋"/>
          <w:color w:val="FF0000"/>
        </w:rPr>
      </w:pPr>
      <w:r>
        <w:rPr>
          <w:rFonts w:ascii="仿宋" w:hAnsi="仿宋" w:eastAsia="仿宋"/>
          <w:color w:val="FF0000"/>
        </w:rPr>
        <w:t>综合效能调适的主要目的如下：</w:t>
      </w:r>
    </w:p>
    <w:p>
      <w:pPr>
        <w:pStyle w:val="87"/>
        <w:spacing w:line="360" w:lineRule="auto"/>
        <w:ind w:firstLine="0" w:firstLineChars="0"/>
        <w:outlineLvl w:val="9"/>
        <w:rPr>
          <w:rFonts w:ascii="仿宋" w:hAnsi="仿宋" w:eastAsia="仿宋"/>
          <w:color w:val="FF0000"/>
        </w:rPr>
      </w:pPr>
      <w:r>
        <w:rPr>
          <w:rFonts w:ascii="仿宋" w:hAnsi="仿宋" w:eastAsia="仿宋"/>
          <w:color w:val="FF0000"/>
        </w:rPr>
        <w:t>1、保证设备的型号和性能参数符合设计要求；</w:t>
      </w:r>
    </w:p>
    <w:p>
      <w:pPr>
        <w:pStyle w:val="87"/>
        <w:spacing w:line="360" w:lineRule="auto"/>
        <w:ind w:firstLine="0" w:firstLineChars="0"/>
        <w:outlineLvl w:val="9"/>
        <w:rPr>
          <w:rFonts w:ascii="仿宋" w:hAnsi="仿宋" w:eastAsia="仿宋"/>
          <w:color w:val="FF0000"/>
        </w:rPr>
      </w:pPr>
      <w:r>
        <w:rPr>
          <w:rFonts w:ascii="仿宋" w:hAnsi="仿宋" w:eastAsia="仿宋"/>
          <w:color w:val="FF0000"/>
        </w:rPr>
        <w:t>2、保证设备和系统的安装位置正确；</w:t>
      </w:r>
    </w:p>
    <w:p>
      <w:pPr>
        <w:pStyle w:val="87"/>
        <w:spacing w:line="360" w:lineRule="auto"/>
        <w:ind w:firstLine="0" w:firstLineChars="0"/>
        <w:outlineLvl w:val="9"/>
        <w:rPr>
          <w:rFonts w:ascii="仿宋" w:hAnsi="仿宋" w:eastAsia="仿宋"/>
          <w:color w:val="FF0000"/>
        </w:rPr>
      </w:pPr>
      <w:r>
        <w:rPr>
          <w:rFonts w:ascii="仿宋" w:hAnsi="仿宋" w:eastAsia="仿宋"/>
          <w:color w:val="FF0000"/>
        </w:rPr>
        <w:t>3、保证设备和系统的安装质量满足相关规范的具体要求；</w:t>
      </w:r>
    </w:p>
    <w:p>
      <w:pPr>
        <w:pStyle w:val="87"/>
        <w:spacing w:line="360" w:lineRule="auto"/>
        <w:ind w:firstLine="0" w:firstLineChars="0"/>
        <w:outlineLvl w:val="9"/>
        <w:rPr>
          <w:rFonts w:ascii="仿宋" w:hAnsi="仿宋" w:eastAsia="仿宋"/>
          <w:color w:val="FF0000"/>
        </w:rPr>
      </w:pPr>
      <w:r>
        <w:rPr>
          <w:rFonts w:ascii="仿宋" w:hAnsi="仿宋" w:eastAsia="仿宋"/>
          <w:color w:val="FF0000"/>
        </w:rPr>
        <w:t>4、保证设备和系统的实际运行状态符合设计要求；</w:t>
      </w:r>
    </w:p>
    <w:p>
      <w:pPr>
        <w:pStyle w:val="87"/>
        <w:spacing w:line="360" w:lineRule="auto"/>
        <w:ind w:firstLine="0" w:firstLineChars="0"/>
        <w:outlineLvl w:val="9"/>
        <w:rPr>
          <w:rFonts w:ascii="仿宋" w:hAnsi="仿宋" w:eastAsia="仿宋"/>
          <w:color w:val="FF0000"/>
        </w:rPr>
      </w:pPr>
      <w:r>
        <w:rPr>
          <w:rFonts w:ascii="仿宋" w:hAnsi="仿宋" w:eastAsia="仿宋"/>
          <w:color w:val="FF0000"/>
        </w:rPr>
        <w:t>5、保证设备和系统运行的安全性、可靠性和高效性；</w:t>
      </w:r>
    </w:p>
    <w:p>
      <w:pPr>
        <w:pStyle w:val="87"/>
        <w:spacing w:line="360" w:lineRule="auto"/>
        <w:ind w:firstLine="0" w:firstLineChars="0"/>
        <w:outlineLvl w:val="9"/>
        <w:rPr>
          <w:rFonts w:ascii="仿宋" w:hAnsi="仿宋" w:eastAsia="仿宋"/>
          <w:color w:val="FF0000"/>
        </w:rPr>
      </w:pPr>
      <w:r>
        <w:rPr>
          <w:rFonts w:ascii="仿宋" w:hAnsi="仿宋" w:eastAsia="仿宋"/>
          <w:color w:val="FF0000"/>
        </w:rPr>
        <w:t>6、通过向业主的操作人员提供全面的质量培训及操作说明，优化操作及维护工作。</w:t>
      </w:r>
    </w:p>
    <w:p>
      <w:pPr>
        <w:pStyle w:val="87"/>
        <w:spacing w:line="360" w:lineRule="auto"/>
        <w:ind w:firstLine="0" w:firstLineChars="0"/>
        <w:outlineLvl w:val="9"/>
        <w:rPr>
          <w:rFonts w:ascii="仿宋" w:hAnsi="仿宋" w:eastAsia="仿宋"/>
          <w:color w:val="FF0000"/>
        </w:rPr>
      </w:pPr>
      <w:r>
        <w:rPr>
          <w:rFonts w:ascii="仿宋" w:hAnsi="仿宋" w:eastAsia="仿宋"/>
          <w:color w:val="FF0000"/>
        </w:rPr>
        <w:t>保持建筑物与居住区的公共设施设备系统运行正常，是绿色建筑实现各项目标的基础。机电设备系统的调适不仅限于新建建筑的试运行和竣工验收，而应是一项持续性、长期性的工作。建筑在使用过程中的使用性质、情况、功能等可能发生一些改变，而且建筑系统本身也是一个不断寻优的过程，因此，建筑绿色运行也是一个不断调适与再调适过程，在后期运行中需制定相关的再调适计划。</w:t>
      </w:r>
    </w:p>
    <w:p>
      <w:pPr>
        <w:pStyle w:val="87"/>
        <w:spacing w:line="360" w:lineRule="auto"/>
        <w:ind w:firstLine="0" w:firstLineChars="0"/>
        <w:outlineLvl w:val="9"/>
        <w:rPr>
          <w:rFonts w:ascii="仿宋" w:hAnsi="仿宋" w:eastAsia="仿宋"/>
          <w:color w:val="FF0000"/>
        </w:rPr>
      </w:pPr>
      <w:r>
        <w:rPr>
          <w:rFonts w:ascii="仿宋" w:hAnsi="仿宋" w:eastAsia="仿宋"/>
          <w:color w:val="FF0000"/>
        </w:rPr>
        <w:t>本条的评价方法为：查阅综合效能调适报告，再调适计划，并现场核实。</w:t>
      </w:r>
    </w:p>
    <w:p>
      <w:pPr>
        <w:pStyle w:val="87"/>
        <w:spacing w:line="360" w:lineRule="auto"/>
        <w:ind w:firstLine="0" w:firstLineChars="0"/>
        <w:outlineLvl w:val="9"/>
        <w:rPr>
          <w:color w:val="FF0000"/>
          <w:sz w:val="22"/>
          <w:szCs w:val="21"/>
        </w:rPr>
      </w:pPr>
    </w:p>
    <w:p/>
    <w:p>
      <w:pPr>
        <w:snapToGrid w:val="0"/>
        <w:spacing w:line="360" w:lineRule="auto"/>
        <w:rPr>
          <w:bCs/>
          <w:sz w:val="24"/>
        </w:rPr>
      </w:pPr>
      <w:r>
        <w:rPr>
          <w:b/>
          <w:sz w:val="24"/>
        </w:rPr>
        <w:t>1</w:t>
      </w:r>
      <w:r>
        <w:rPr>
          <w:rFonts w:hint="eastAsia"/>
          <w:b/>
          <w:sz w:val="24"/>
        </w:rPr>
        <w:t>2</w:t>
      </w:r>
      <w:r>
        <w:rPr>
          <w:b/>
          <w:sz w:val="24"/>
        </w:rPr>
        <w:t>.2.</w:t>
      </w:r>
      <w:r>
        <w:rPr>
          <w:rFonts w:hint="eastAsia"/>
          <w:b/>
          <w:sz w:val="24"/>
        </w:rPr>
        <w:t>7</w:t>
      </w:r>
      <w:r>
        <w:rPr>
          <w:rFonts w:hAnsi="宋体"/>
          <w:sz w:val="24"/>
        </w:rPr>
        <w:t>　</w:t>
      </w:r>
      <w:r>
        <w:rPr>
          <w:rFonts w:hint="eastAsia" w:hAnsi="宋体"/>
          <w:sz w:val="24"/>
        </w:rPr>
        <w:t>对空调通风系统进行定期检查和清洗，评价总分值为5分</w:t>
      </w:r>
      <w:r>
        <w:rPr>
          <w:rFonts w:hAnsi="宋体"/>
          <w:bCs/>
          <w:sz w:val="24"/>
        </w:rPr>
        <w:t>，并按下列规则</w:t>
      </w:r>
      <w:r>
        <w:rPr>
          <w:rFonts w:hint="eastAsia" w:hAnsi="宋体"/>
          <w:bCs/>
          <w:sz w:val="24"/>
        </w:rPr>
        <w:t>分别</w:t>
      </w:r>
      <w:r>
        <w:rPr>
          <w:rFonts w:hAnsi="宋体"/>
          <w:bCs/>
          <w:sz w:val="24"/>
        </w:rPr>
        <w:t>评分</w:t>
      </w:r>
      <w:r>
        <w:rPr>
          <w:rFonts w:hint="eastAsia" w:hAnsi="宋体"/>
          <w:bCs/>
          <w:sz w:val="24"/>
        </w:rPr>
        <w:t>并累计：</w:t>
      </w:r>
    </w:p>
    <w:p>
      <w:pPr>
        <w:snapToGrid w:val="0"/>
        <w:spacing w:line="360" w:lineRule="auto"/>
        <w:ind w:firstLine="481" w:firstLineChars="200"/>
        <w:rPr>
          <w:sz w:val="24"/>
        </w:rPr>
      </w:pPr>
      <w:r>
        <w:rPr>
          <w:b/>
          <w:sz w:val="24"/>
        </w:rPr>
        <w:t>1</w:t>
      </w:r>
      <w:r>
        <w:rPr>
          <w:rFonts w:hAnsi="宋体"/>
          <w:sz w:val="24"/>
        </w:rPr>
        <w:t>　制定空调通风设备和风管的检查和清洗计划，得</w:t>
      </w:r>
      <w:r>
        <w:rPr>
          <w:sz w:val="24"/>
        </w:rPr>
        <w:t>2</w:t>
      </w:r>
      <w:r>
        <w:rPr>
          <w:rFonts w:hAnsi="宋体"/>
          <w:sz w:val="24"/>
        </w:rPr>
        <w:t>分；</w:t>
      </w:r>
    </w:p>
    <w:p>
      <w:pPr>
        <w:snapToGrid w:val="0"/>
        <w:spacing w:line="360" w:lineRule="auto"/>
        <w:ind w:firstLine="481" w:firstLineChars="200"/>
        <w:rPr>
          <w:rFonts w:hAnsi="宋体"/>
          <w:sz w:val="24"/>
        </w:rPr>
      </w:pPr>
      <w:r>
        <w:rPr>
          <w:b/>
          <w:sz w:val="24"/>
        </w:rPr>
        <w:t>2</w:t>
      </w:r>
      <w:r>
        <w:rPr>
          <w:rFonts w:hAnsi="宋体"/>
          <w:sz w:val="24"/>
        </w:rPr>
        <w:t>　实施第</w:t>
      </w:r>
      <w:r>
        <w:rPr>
          <w:sz w:val="24"/>
        </w:rPr>
        <w:t>1</w:t>
      </w:r>
      <w:r>
        <w:rPr>
          <w:rFonts w:hAnsi="宋体"/>
          <w:sz w:val="24"/>
        </w:rPr>
        <w:t>款中的检查和清洗计划，且记录保存完整，得</w:t>
      </w:r>
      <w:r>
        <w:rPr>
          <w:sz w:val="24"/>
        </w:rPr>
        <w:t>3</w:t>
      </w:r>
      <w:r>
        <w:rPr>
          <w:rFonts w:hAnsi="宋体"/>
          <w:sz w:val="24"/>
        </w:rPr>
        <w:t>分。</w:t>
      </w:r>
    </w:p>
    <w:p>
      <w:pPr>
        <w:pStyle w:val="87"/>
        <w:spacing w:line="360" w:lineRule="auto"/>
        <w:ind w:firstLine="0" w:firstLineChars="0"/>
        <w:outlineLvl w:val="9"/>
        <w:rPr>
          <w:rFonts w:ascii="仿宋" w:hAnsi="仿宋" w:eastAsia="仿宋"/>
          <w:color w:val="FF0000"/>
        </w:rPr>
      </w:pPr>
      <w:r>
        <w:rPr>
          <w:rFonts w:hint="eastAsia" w:ascii="仿宋" w:hAnsi="仿宋" w:eastAsia="仿宋"/>
          <w:color w:val="FF0000"/>
        </w:rPr>
        <w:t>【条文说明】</w:t>
      </w:r>
    </w:p>
    <w:p>
      <w:pPr>
        <w:pStyle w:val="87"/>
        <w:spacing w:line="360" w:lineRule="auto"/>
        <w:ind w:firstLine="0" w:firstLineChars="0"/>
        <w:outlineLvl w:val="9"/>
        <w:rPr>
          <w:rFonts w:ascii="仿宋" w:hAnsi="仿宋" w:eastAsia="仿宋"/>
          <w:color w:val="FF0000"/>
        </w:rPr>
      </w:pPr>
      <w:r>
        <w:rPr>
          <w:rFonts w:hint="eastAsia" w:ascii="仿宋" w:hAnsi="仿宋" w:eastAsia="仿宋"/>
          <w:color w:val="FF0000"/>
        </w:rPr>
        <w:t>本条适用于采用集中空调通风系统的各类民用建筑的运行评价。无集中空调通风系统的项目不参评。</w:t>
      </w:r>
    </w:p>
    <w:p>
      <w:pPr>
        <w:pStyle w:val="87"/>
        <w:spacing w:line="360" w:lineRule="auto"/>
        <w:ind w:firstLine="0" w:firstLineChars="0"/>
        <w:outlineLvl w:val="9"/>
        <w:rPr>
          <w:rFonts w:ascii="仿宋" w:hAnsi="仿宋" w:eastAsia="仿宋"/>
          <w:color w:val="FF0000"/>
        </w:rPr>
      </w:pPr>
      <w:r>
        <w:rPr>
          <w:rFonts w:hint="eastAsia" w:ascii="仿宋" w:hAnsi="仿宋" w:eastAsia="仿宋"/>
          <w:color w:val="FF0000"/>
        </w:rPr>
        <w:t>本条沿用自本规范《绿色建筑评价规范》SZJG30-2009得分项第6.6.6条，有修改。随着国民经济的发展和人民生活水平的提高，中央空调与通风系统已成为许多建筑中的一项重要设施。对于使用空调可能会造成疾病转播（如军团菌、非典等）的认识也不断提高，从而深刻意识到了清洗空调系统，不仅可节省系统运行能耗、延长系统的使用寿命，还可保证室内空气品质，降低疾病产生和传播的可能性。空调系统开启前，应对系统的过滤器、表冷器、加热器、加湿器、冷凝水盘进行全面检查、清洗或更换，保证空调送风品质符合《室内空气中细菌总数卫生标准》GB 17093的要求。空调系统清洗的具体方法和要求应符合《空调通风系统清洗规范》GB 19210的相关规定。</w:t>
      </w:r>
    </w:p>
    <w:p>
      <w:pPr>
        <w:pStyle w:val="87"/>
        <w:spacing w:line="360" w:lineRule="auto"/>
        <w:ind w:firstLine="0" w:firstLineChars="0"/>
        <w:outlineLvl w:val="9"/>
        <w:rPr>
          <w:rFonts w:ascii="仿宋" w:hAnsi="仿宋" w:eastAsia="仿宋"/>
          <w:color w:val="FF0000"/>
        </w:rPr>
      </w:pPr>
      <w:r>
        <w:rPr>
          <w:rFonts w:hint="eastAsia" w:ascii="仿宋" w:hAnsi="仿宋" w:eastAsia="仿宋"/>
          <w:color w:val="FF0000"/>
        </w:rPr>
        <w:t>盘管和过滤网的维护尤为关键，因为它们是建筑物机械系统与其所影响的环境最直接的交互点，定期清除集中空调通风系统，尤其是过滤网和加热/制冷盘管上的灰尘和污渍，对于最大程度地提高加热/制冷效率来说至关重要。</w:t>
      </w:r>
    </w:p>
    <w:p>
      <w:pPr>
        <w:pStyle w:val="87"/>
        <w:spacing w:line="360" w:lineRule="auto"/>
        <w:ind w:firstLine="0" w:firstLineChars="0"/>
        <w:outlineLvl w:val="9"/>
        <w:rPr>
          <w:rFonts w:ascii="仿宋" w:hAnsi="仿宋" w:eastAsia="仿宋"/>
          <w:color w:val="FF0000"/>
        </w:rPr>
      </w:pPr>
      <w:r>
        <w:rPr>
          <w:rFonts w:hint="eastAsia" w:ascii="仿宋" w:hAnsi="仿宋" w:eastAsia="仿宋"/>
          <w:color w:val="FF0000"/>
        </w:rPr>
        <w:t>本条的评价方法为：查阅运行管理措施、清洗计划和工作记录。</w:t>
      </w:r>
    </w:p>
    <w:p>
      <w:pPr>
        <w:pStyle w:val="87"/>
        <w:spacing w:line="360" w:lineRule="auto"/>
        <w:ind w:firstLine="0" w:firstLineChars="0"/>
        <w:outlineLvl w:val="9"/>
        <w:rPr>
          <w:rFonts w:ascii="仿宋" w:hAnsi="仿宋" w:eastAsia="仿宋"/>
          <w:color w:val="FF0000"/>
        </w:rPr>
      </w:pPr>
    </w:p>
    <w:p>
      <w:pPr>
        <w:snapToGrid w:val="0"/>
        <w:spacing w:line="360" w:lineRule="auto"/>
        <w:rPr>
          <w:bCs/>
          <w:sz w:val="24"/>
        </w:rPr>
      </w:pPr>
    </w:p>
    <w:p>
      <w:pPr>
        <w:snapToGrid w:val="0"/>
        <w:spacing w:line="360" w:lineRule="auto"/>
        <w:rPr>
          <w:bCs/>
          <w:sz w:val="24"/>
        </w:rPr>
      </w:pPr>
      <w:r>
        <w:rPr>
          <w:b/>
          <w:sz w:val="24"/>
        </w:rPr>
        <w:t>1</w:t>
      </w:r>
      <w:r>
        <w:rPr>
          <w:rFonts w:hint="eastAsia"/>
          <w:b/>
          <w:sz w:val="24"/>
        </w:rPr>
        <w:t>2</w:t>
      </w:r>
      <w:r>
        <w:rPr>
          <w:b/>
          <w:sz w:val="24"/>
        </w:rPr>
        <w:t>.2.</w:t>
      </w:r>
      <w:r>
        <w:rPr>
          <w:rFonts w:hint="eastAsia"/>
          <w:b/>
          <w:sz w:val="24"/>
        </w:rPr>
        <w:t>8</w:t>
      </w:r>
      <w:r>
        <w:rPr>
          <w:rFonts w:hAnsi="宋体"/>
          <w:sz w:val="24"/>
        </w:rPr>
        <w:t>　非传统水源及空调冷却水的</w:t>
      </w:r>
      <w:r>
        <w:rPr>
          <w:rFonts w:hAnsi="宋体"/>
          <w:bCs/>
          <w:sz w:val="24"/>
        </w:rPr>
        <w:t>水质检测和用水量记录完整、准确，评价总分值为</w:t>
      </w:r>
      <w:r>
        <w:rPr>
          <w:rFonts w:hint="eastAsia"/>
          <w:bCs/>
          <w:sz w:val="24"/>
        </w:rPr>
        <w:t>5</w:t>
      </w:r>
      <w:r>
        <w:rPr>
          <w:rFonts w:hAnsi="宋体"/>
          <w:bCs/>
          <w:sz w:val="24"/>
        </w:rPr>
        <w:t>分，并按下列规则</w:t>
      </w:r>
      <w:r>
        <w:rPr>
          <w:rFonts w:hint="eastAsia" w:hAnsi="宋体"/>
          <w:bCs/>
          <w:sz w:val="24"/>
        </w:rPr>
        <w:t>分别</w:t>
      </w:r>
      <w:r>
        <w:rPr>
          <w:rFonts w:hAnsi="宋体"/>
          <w:bCs/>
          <w:sz w:val="24"/>
        </w:rPr>
        <w:t>评分</w:t>
      </w:r>
      <w:r>
        <w:rPr>
          <w:rFonts w:hint="eastAsia" w:hAnsi="宋体"/>
          <w:bCs/>
          <w:sz w:val="24"/>
        </w:rPr>
        <w:t>并累计：</w:t>
      </w:r>
    </w:p>
    <w:p>
      <w:pPr>
        <w:snapToGrid w:val="0"/>
        <w:spacing w:line="360" w:lineRule="auto"/>
        <w:ind w:firstLine="481" w:firstLineChars="200"/>
        <w:rPr>
          <w:rFonts w:hAnsi="宋体"/>
          <w:sz w:val="24"/>
        </w:rPr>
      </w:pPr>
      <w:r>
        <w:rPr>
          <w:b/>
          <w:sz w:val="24"/>
        </w:rPr>
        <w:t>1</w:t>
      </w:r>
      <w:r>
        <w:rPr>
          <w:rFonts w:hAnsi="宋体"/>
          <w:sz w:val="24"/>
        </w:rPr>
        <w:t>　定期进行</w:t>
      </w:r>
      <w:r>
        <w:rPr>
          <w:rFonts w:hint="eastAsia" w:hAnsi="宋体"/>
          <w:sz w:val="24"/>
        </w:rPr>
        <w:t>非传统水源</w:t>
      </w:r>
      <w:r>
        <w:rPr>
          <w:rFonts w:hAnsi="宋体"/>
          <w:sz w:val="24"/>
        </w:rPr>
        <w:t>水质检测</w:t>
      </w:r>
      <w:r>
        <w:rPr>
          <w:rFonts w:hint="eastAsia" w:hAnsi="宋体"/>
          <w:sz w:val="24"/>
        </w:rPr>
        <w:t>，</w:t>
      </w:r>
      <w:r>
        <w:rPr>
          <w:rFonts w:hAnsi="宋体"/>
          <w:sz w:val="24"/>
        </w:rPr>
        <w:t>得</w:t>
      </w:r>
      <w:r>
        <w:rPr>
          <w:rFonts w:hint="eastAsia"/>
          <w:sz w:val="24"/>
        </w:rPr>
        <w:t>2</w:t>
      </w:r>
      <w:r>
        <w:rPr>
          <w:rFonts w:hAnsi="宋体"/>
          <w:sz w:val="24"/>
        </w:rPr>
        <w:t>分；</w:t>
      </w:r>
    </w:p>
    <w:p>
      <w:pPr>
        <w:snapToGrid w:val="0"/>
        <w:spacing w:line="360" w:lineRule="auto"/>
        <w:ind w:firstLine="480" w:firstLineChars="200"/>
        <w:rPr>
          <w:sz w:val="24"/>
        </w:rPr>
      </w:pPr>
      <w:r>
        <w:rPr>
          <w:rFonts w:hint="eastAsia" w:hAnsi="宋体"/>
          <w:sz w:val="24"/>
        </w:rPr>
        <w:t xml:space="preserve">2  </w:t>
      </w:r>
      <w:r>
        <w:rPr>
          <w:rFonts w:hAnsi="宋体"/>
          <w:sz w:val="24"/>
        </w:rPr>
        <w:t>定期进行空调冷却水检测</w:t>
      </w:r>
      <w:r>
        <w:rPr>
          <w:rFonts w:hint="eastAsia" w:hAnsi="宋体"/>
          <w:sz w:val="24"/>
        </w:rPr>
        <w:t>，</w:t>
      </w:r>
      <w:r>
        <w:rPr>
          <w:rFonts w:hAnsi="宋体"/>
          <w:sz w:val="24"/>
        </w:rPr>
        <w:t>得</w:t>
      </w:r>
      <w:r>
        <w:rPr>
          <w:rFonts w:hint="eastAsia"/>
          <w:sz w:val="24"/>
        </w:rPr>
        <w:t>2</w:t>
      </w:r>
      <w:r>
        <w:rPr>
          <w:rFonts w:hAnsi="宋体"/>
          <w:sz w:val="24"/>
        </w:rPr>
        <w:t>分；</w:t>
      </w:r>
    </w:p>
    <w:p>
      <w:pPr>
        <w:snapToGrid w:val="0"/>
        <w:spacing w:line="360" w:lineRule="auto"/>
        <w:ind w:firstLine="481" w:firstLineChars="200"/>
        <w:rPr>
          <w:rFonts w:hAnsi="宋体"/>
          <w:sz w:val="24"/>
        </w:rPr>
      </w:pPr>
      <w:r>
        <w:rPr>
          <w:rFonts w:hint="eastAsia"/>
          <w:b/>
          <w:sz w:val="24"/>
        </w:rPr>
        <w:t>3</w:t>
      </w:r>
      <w:r>
        <w:rPr>
          <w:rFonts w:hAnsi="宋体"/>
          <w:sz w:val="24"/>
        </w:rPr>
        <w:t>　用水量记录完整、准确，得</w:t>
      </w:r>
      <w:r>
        <w:rPr>
          <w:rFonts w:hint="eastAsia"/>
          <w:sz w:val="24"/>
        </w:rPr>
        <w:t>1</w:t>
      </w:r>
      <w:r>
        <w:rPr>
          <w:rFonts w:hAnsi="宋体"/>
          <w:sz w:val="24"/>
        </w:rPr>
        <w:t>分。</w:t>
      </w:r>
    </w:p>
    <w:p>
      <w:pPr>
        <w:pStyle w:val="87"/>
        <w:spacing w:line="360" w:lineRule="auto"/>
        <w:ind w:firstLine="0" w:firstLineChars="0"/>
        <w:outlineLvl w:val="9"/>
        <w:rPr>
          <w:rFonts w:ascii="仿宋" w:hAnsi="仿宋" w:eastAsia="仿宋"/>
          <w:color w:val="FF0000"/>
        </w:rPr>
      </w:pPr>
      <w:r>
        <w:rPr>
          <w:rFonts w:hint="eastAsia" w:ascii="仿宋" w:hAnsi="仿宋" w:eastAsia="仿宋"/>
          <w:color w:val="FF0000"/>
        </w:rPr>
        <w:t>【条文说明】</w:t>
      </w:r>
    </w:p>
    <w:p>
      <w:pPr>
        <w:pStyle w:val="87"/>
        <w:spacing w:line="360" w:lineRule="auto"/>
        <w:ind w:firstLine="0" w:firstLineChars="0"/>
        <w:outlineLvl w:val="9"/>
        <w:rPr>
          <w:rFonts w:ascii="仿宋" w:hAnsi="仿宋" w:eastAsia="仿宋"/>
          <w:color w:val="FF0000"/>
        </w:rPr>
      </w:pPr>
      <w:r>
        <w:rPr>
          <w:rFonts w:hint="eastAsia" w:ascii="仿宋" w:hAnsi="仿宋" w:eastAsia="仿宋"/>
          <w:color w:val="FF0000"/>
        </w:rPr>
        <w:t>本条适用于设置非传统水源利用设施及空调系统的各类民用建筑的运行评价。也可在设计评价中进行预审。无非传统水源利用设施及集中空调系统的项目不参评。</w:t>
      </w:r>
    </w:p>
    <w:p>
      <w:pPr>
        <w:pStyle w:val="87"/>
        <w:spacing w:line="360" w:lineRule="auto"/>
        <w:ind w:firstLine="0" w:firstLineChars="0"/>
        <w:outlineLvl w:val="9"/>
        <w:rPr>
          <w:rFonts w:ascii="仿宋" w:hAnsi="仿宋" w:eastAsia="仿宋"/>
          <w:color w:val="FF0000"/>
        </w:rPr>
      </w:pPr>
      <w:r>
        <w:rPr>
          <w:rFonts w:hint="eastAsia" w:ascii="仿宋" w:hAnsi="仿宋" w:eastAsia="仿宋"/>
          <w:color w:val="FF0000"/>
        </w:rPr>
        <w:t>本条为新增条文，是在本规范控制项第12.1.3条的基础上所提出的更高要求。使用非传统水源、空调冷却水的场合，水质的安全性十分重要。为保证合理使用水源，实现节水目标，必须定期对使用的非传统水源、空调冷却水的水质进行检测，并对其水质和用水量进行准确记录。非传统水源应满足《城市污水再生利用_城市杂用水水质》GB/T 18920的要求。机械压缩式水冷冷水机组的冷却水水质，应符合《工业循环冷却水处理设计规范》GB 50050的要求。溴化锂吸收式冷水机组和直燃型溴化锂吸收式冷、热水机组的冷却水水质，应符合《溴化锂吸收式冷水机组》JB/T 7247的要求，水质检测间隔不应大于1个月。</w:t>
      </w:r>
    </w:p>
    <w:p>
      <w:pPr>
        <w:pStyle w:val="87"/>
        <w:spacing w:line="360" w:lineRule="auto"/>
        <w:ind w:firstLine="0" w:firstLineChars="0"/>
        <w:outlineLvl w:val="9"/>
        <w:rPr>
          <w:rFonts w:ascii="仿宋" w:hAnsi="仿宋" w:eastAsia="仿宋"/>
          <w:color w:val="FF0000"/>
        </w:rPr>
      </w:pPr>
      <w:r>
        <w:rPr>
          <w:rFonts w:hint="eastAsia" w:ascii="仿宋" w:hAnsi="仿宋" w:eastAsia="仿宋"/>
          <w:color w:val="FF0000"/>
        </w:rPr>
        <w:t>本条的评价方法为：查阅水质的检测报告、用水量计量记录及分析报告。设计评价预审时，查阅非传统水源、空调冷却水的水表设计文件。</w:t>
      </w:r>
    </w:p>
    <w:p>
      <w:pPr>
        <w:pStyle w:val="87"/>
        <w:spacing w:line="360" w:lineRule="auto"/>
        <w:ind w:firstLine="0" w:firstLineChars="0"/>
        <w:outlineLvl w:val="9"/>
        <w:rPr>
          <w:rFonts w:ascii="仿宋" w:hAnsi="仿宋" w:eastAsia="仿宋"/>
          <w:color w:val="FF0000"/>
        </w:rPr>
      </w:pPr>
    </w:p>
    <w:p>
      <w:pPr>
        <w:snapToGrid w:val="0"/>
        <w:spacing w:line="360" w:lineRule="auto"/>
        <w:ind w:firstLine="480" w:firstLineChars="200"/>
        <w:rPr>
          <w:bCs/>
          <w:sz w:val="24"/>
        </w:rPr>
      </w:pPr>
    </w:p>
    <w:p>
      <w:pPr>
        <w:spacing w:line="360" w:lineRule="auto"/>
        <w:rPr>
          <w:sz w:val="24"/>
        </w:rPr>
      </w:pPr>
    </w:p>
    <w:p>
      <w:pPr>
        <w:snapToGrid w:val="0"/>
        <w:spacing w:line="360" w:lineRule="auto"/>
        <w:rPr>
          <w:bCs/>
          <w:sz w:val="24"/>
        </w:rPr>
      </w:pPr>
      <w:r>
        <w:rPr>
          <w:b/>
          <w:sz w:val="24"/>
        </w:rPr>
        <w:t>1</w:t>
      </w:r>
      <w:r>
        <w:rPr>
          <w:rFonts w:hint="eastAsia"/>
          <w:b/>
          <w:sz w:val="24"/>
        </w:rPr>
        <w:t>2</w:t>
      </w:r>
      <w:r>
        <w:rPr>
          <w:b/>
          <w:sz w:val="24"/>
        </w:rPr>
        <w:t>.2.</w:t>
      </w:r>
      <w:r>
        <w:rPr>
          <w:rFonts w:hint="eastAsia"/>
          <w:b/>
          <w:sz w:val="24"/>
        </w:rPr>
        <w:t>9</w:t>
      </w:r>
      <w:r>
        <w:rPr>
          <w:rFonts w:hAnsi="宋体"/>
          <w:sz w:val="24"/>
        </w:rPr>
        <w:t>　</w:t>
      </w:r>
      <w:r>
        <w:rPr>
          <w:rFonts w:hAnsi="宋体"/>
          <w:bCs/>
          <w:sz w:val="24"/>
        </w:rPr>
        <w:t>应用信息化手段进行物业管理，建筑工程、设施、设备、部品、能耗等档案及记录齐全，评价总分值为</w:t>
      </w:r>
      <w:r>
        <w:rPr>
          <w:rFonts w:hint="eastAsia"/>
          <w:bCs/>
          <w:sz w:val="24"/>
        </w:rPr>
        <w:t>6</w:t>
      </w:r>
      <w:r>
        <w:rPr>
          <w:rFonts w:hAnsi="宋体"/>
          <w:bCs/>
          <w:sz w:val="24"/>
        </w:rPr>
        <w:t>分，并按下列规则</w:t>
      </w:r>
      <w:r>
        <w:rPr>
          <w:rFonts w:hint="eastAsia" w:hAnsi="宋体"/>
          <w:bCs/>
          <w:sz w:val="24"/>
        </w:rPr>
        <w:t>分别</w:t>
      </w:r>
      <w:r>
        <w:rPr>
          <w:rFonts w:hAnsi="宋体"/>
          <w:bCs/>
          <w:sz w:val="24"/>
        </w:rPr>
        <w:t>评分</w:t>
      </w:r>
      <w:r>
        <w:rPr>
          <w:rFonts w:hint="eastAsia" w:hAnsi="宋体"/>
          <w:bCs/>
          <w:sz w:val="24"/>
        </w:rPr>
        <w:t>并累计：</w:t>
      </w:r>
    </w:p>
    <w:p>
      <w:pPr>
        <w:snapToGrid w:val="0"/>
        <w:spacing w:line="360" w:lineRule="auto"/>
        <w:ind w:firstLine="481" w:firstLineChars="200"/>
        <w:rPr>
          <w:sz w:val="24"/>
        </w:rPr>
      </w:pPr>
      <w:r>
        <w:rPr>
          <w:b/>
          <w:sz w:val="24"/>
        </w:rPr>
        <w:t>1</w:t>
      </w:r>
      <w:r>
        <w:rPr>
          <w:rFonts w:hAnsi="宋体"/>
          <w:sz w:val="24"/>
        </w:rPr>
        <w:t>　设置物业管理信息系统，得</w:t>
      </w:r>
      <w:r>
        <w:rPr>
          <w:rFonts w:hint="eastAsia"/>
          <w:sz w:val="24"/>
        </w:rPr>
        <w:t>2</w:t>
      </w:r>
      <w:r>
        <w:rPr>
          <w:rFonts w:hAnsi="宋体"/>
          <w:sz w:val="24"/>
        </w:rPr>
        <w:t>分；</w:t>
      </w:r>
    </w:p>
    <w:p>
      <w:pPr>
        <w:snapToGrid w:val="0"/>
        <w:spacing w:line="360" w:lineRule="auto"/>
        <w:ind w:firstLine="481" w:firstLineChars="200"/>
        <w:rPr>
          <w:sz w:val="24"/>
        </w:rPr>
      </w:pPr>
      <w:r>
        <w:rPr>
          <w:b/>
          <w:sz w:val="24"/>
        </w:rPr>
        <w:t>2</w:t>
      </w:r>
      <w:r>
        <w:rPr>
          <w:rFonts w:hAnsi="宋体"/>
          <w:sz w:val="24"/>
        </w:rPr>
        <w:t>　物业管理信息系统功能完备，得</w:t>
      </w:r>
      <w:r>
        <w:rPr>
          <w:rFonts w:hint="eastAsia"/>
          <w:sz w:val="24"/>
        </w:rPr>
        <w:t>2</w:t>
      </w:r>
      <w:r>
        <w:rPr>
          <w:rFonts w:hAnsi="宋体"/>
          <w:sz w:val="24"/>
        </w:rPr>
        <w:t>分；</w:t>
      </w:r>
    </w:p>
    <w:p>
      <w:pPr>
        <w:snapToGrid w:val="0"/>
        <w:spacing w:line="360" w:lineRule="auto"/>
        <w:ind w:firstLine="481" w:firstLineChars="200"/>
        <w:rPr>
          <w:rFonts w:hAnsi="宋体"/>
          <w:sz w:val="24"/>
        </w:rPr>
      </w:pPr>
      <w:r>
        <w:rPr>
          <w:b/>
          <w:sz w:val="24"/>
        </w:rPr>
        <w:t>3</w:t>
      </w:r>
      <w:r>
        <w:rPr>
          <w:rFonts w:hAnsi="宋体"/>
          <w:sz w:val="24"/>
        </w:rPr>
        <w:t>　记录数据完整，得</w:t>
      </w:r>
      <w:r>
        <w:rPr>
          <w:sz w:val="24"/>
        </w:rPr>
        <w:t>2</w:t>
      </w:r>
      <w:r>
        <w:rPr>
          <w:rFonts w:hAnsi="宋体"/>
          <w:sz w:val="24"/>
        </w:rPr>
        <w:t>分。</w:t>
      </w:r>
    </w:p>
    <w:p>
      <w:pPr>
        <w:pStyle w:val="87"/>
        <w:spacing w:line="360" w:lineRule="auto"/>
        <w:ind w:firstLine="0" w:firstLineChars="0"/>
        <w:outlineLvl w:val="9"/>
        <w:rPr>
          <w:rFonts w:ascii="仿宋" w:hAnsi="仿宋" w:eastAsia="仿宋"/>
          <w:color w:val="FF0000"/>
        </w:rPr>
      </w:pPr>
      <w:r>
        <w:rPr>
          <w:rFonts w:hint="eastAsia" w:ascii="仿宋" w:hAnsi="仿宋" w:eastAsia="仿宋"/>
          <w:color w:val="FF0000"/>
        </w:rPr>
        <w:t>【条文说明】</w:t>
      </w:r>
    </w:p>
    <w:p>
      <w:pPr>
        <w:pStyle w:val="87"/>
        <w:spacing w:line="360" w:lineRule="auto"/>
        <w:ind w:firstLine="0" w:firstLineChars="0"/>
        <w:outlineLvl w:val="9"/>
        <w:rPr>
          <w:rFonts w:ascii="仿宋" w:hAnsi="仿宋" w:eastAsia="仿宋"/>
          <w:color w:val="FF0000"/>
        </w:rPr>
      </w:pPr>
      <w:r>
        <w:rPr>
          <w:rFonts w:hint="eastAsia" w:ascii="仿宋" w:hAnsi="仿宋" w:eastAsia="仿宋"/>
          <w:color w:val="FF0000"/>
        </w:rPr>
        <w:t>本条适用于各类民用建筑的运行评价。</w:t>
      </w:r>
    </w:p>
    <w:p>
      <w:pPr>
        <w:pStyle w:val="87"/>
        <w:spacing w:line="360" w:lineRule="auto"/>
        <w:ind w:firstLine="0" w:firstLineChars="0"/>
        <w:outlineLvl w:val="9"/>
        <w:rPr>
          <w:rFonts w:ascii="仿宋" w:hAnsi="仿宋" w:eastAsia="仿宋"/>
          <w:color w:val="FF0000"/>
        </w:rPr>
      </w:pPr>
      <w:r>
        <w:rPr>
          <w:rFonts w:hint="eastAsia" w:ascii="仿宋" w:hAnsi="仿宋" w:eastAsia="仿宋"/>
          <w:color w:val="FF0000"/>
        </w:rPr>
        <w:t>本条为新增条文。信息化管理是实现绿色建筑物业管理定量化、精细化的重要手段，对保障建筑的安全、舒适、高效及节能环保的运行效果，提高物业管理水平和效率，具有重要作用。采用信息化手段建立完善的建筑工程及设备、能耗监管、配件档案及维修记录是极为重要的。本条要求相关的运行记录数据均为智能化系统输出的电子文档。应提供至少1年的用水量、用电量、用气量、用冷热量的数据，作为评价的依据。</w:t>
      </w:r>
    </w:p>
    <w:p>
      <w:pPr>
        <w:pStyle w:val="87"/>
        <w:spacing w:line="360" w:lineRule="auto"/>
        <w:ind w:firstLine="0" w:firstLineChars="0"/>
        <w:outlineLvl w:val="9"/>
        <w:rPr>
          <w:rFonts w:ascii="仿宋" w:hAnsi="仿宋" w:eastAsia="仿宋"/>
          <w:color w:val="FF0000"/>
        </w:rPr>
      </w:pPr>
      <w:r>
        <w:rPr>
          <w:rFonts w:hint="eastAsia" w:ascii="仿宋" w:hAnsi="仿宋" w:eastAsia="仿宋"/>
          <w:color w:val="FF0000"/>
        </w:rPr>
        <w:t>本条的评价方法为：查阅针对建筑物及设备的配件档案和维修的信息记录，能耗分项计量和监管的数据，并现场核查物业信息管理系统。</w:t>
      </w:r>
    </w:p>
    <w:p>
      <w:pPr>
        <w:pStyle w:val="87"/>
        <w:spacing w:line="360" w:lineRule="auto"/>
        <w:ind w:firstLine="0" w:firstLineChars="0"/>
        <w:outlineLvl w:val="9"/>
        <w:rPr>
          <w:rFonts w:ascii="仿宋" w:hAnsi="仿宋" w:eastAsia="仿宋"/>
          <w:color w:val="FF0000"/>
        </w:rPr>
      </w:pPr>
    </w:p>
    <w:p>
      <w:pPr>
        <w:snapToGrid w:val="0"/>
        <w:spacing w:line="360" w:lineRule="auto"/>
        <w:rPr>
          <w:rFonts w:hAnsi="宋体"/>
          <w:sz w:val="24"/>
        </w:rPr>
      </w:pPr>
    </w:p>
    <w:p>
      <w:pPr>
        <w:snapToGrid w:val="0"/>
        <w:spacing w:line="360" w:lineRule="auto"/>
        <w:rPr>
          <w:bCs/>
          <w:sz w:val="24"/>
        </w:rPr>
      </w:pPr>
      <w:r>
        <w:rPr>
          <w:b/>
          <w:sz w:val="24"/>
        </w:rPr>
        <w:t>1</w:t>
      </w:r>
      <w:r>
        <w:rPr>
          <w:rFonts w:hint="eastAsia"/>
          <w:b/>
          <w:sz w:val="24"/>
        </w:rPr>
        <w:t>2</w:t>
      </w:r>
      <w:r>
        <w:rPr>
          <w:b/>
          <w:sz w:val="24"/>
        </w:rPr>
        <w:t>.2.</w:t>
      </w:r>
      <w:r>
        <w:rPr>
          <w:rFonts w:hint="eastAsia"/>
          <w:b/>
          <w:sz w:val="24"/>
        </w:rPr>
        <w:t>10</w:t>
      </w:r>
      <w:r>
        <w:rPr>
          <w:rFonts w:hAnsi="宋体"/>
          <w:sz w:val="24"/>
        </w:rPr>
        <w:t>　</w:t>
      </w:r>
      <w:r>
        <w:rPr>
          <w:rFonts w:hint="eastAsia" w:hAnsi="宋体"/>
          <w:sz w:val="24"/>
        </w:rPr>
        <w:t>公共建筑定期进行能源审计，进行能耗限额对标管理，组织实施改造和提升</w:t>
      </w:r>
      <w:r>
        <w:rPr>
          <w:rFonts w:hAnsi="宋体"/>
          <w:sz w:val="24"/>
        </w:rPr>
        <w:t>，评价分值为</w:t>
      </w:r>
      <w:r>
        <w:rPr>
          <w:rFonts w:hint="eastAsia"/>
          <w:sz w:val="24"/>
        </w:rPr>
        <w:t>5</w:t>
      </w:r>
      <w:r>
        <w:rPr>
          <w:rFonts w:hAnsi="宋体"/>
          <w:sz w:val="24"/>
        </w:rPr>
        <w:t>分。</w:t>
      </w:r>
    </w:p>
    <w:p>
      <w:pPr>
        <w:pStyle w:val="87"/>
        <w:spacing w:line="360" w:lineRule="auto"/>
        <w:ind w:firstLine="0" w:firstLineChars="0"/>
        <w:outlineLvl w:val="9"/>
        <w:rPr>
          <w:rFonts w:ascii="仿宋" w:hAnsi="仿宋" w:eastAsia="仿宋"/>
          <w:color w:val="FF0000"/>
        </w:rPr>
      </w:pPr>
      <w:r>
        <w:rPr>
          <w:rFonts w:hint="eastAsia" w:ascii="仿宋" w:hAnsi="仿宋" w:eastAsia="仿宋"/>
          <w:color w:val="FF0000"/>
        </w:rPr>
        <w:t>【条文说明】</w:t>
      </w:r>
    </w:p>
    <w:p>
      <w:pPr>
        <w:pStyle w:val="87"/>
        <w:spacing w:line="360" w:lineRule="auto"/>
        <w:ind w:firstLine="0" w:firstLineChars="0"/>
        <w:outlineLvl w:val="9"/>
        <w:rPr>
          <w:rFonts w:ascii="仿宋" w:hAnsi="仿宋" w:eastAsia="仿宋"/>
          <w:color w:val="FF0000"/>
        </w:rPr>
      </w:pPr>
      <w:r>
        <w:rPr>
          <w:rFonts w:hint="eastAsia" w:ascii="仿宋" w:hAnsi="仿宋" w:eastAsia="仿宋"/>
          <w:color w:val="FF0000"/>
        </w:rPr>
        <w:t>本条适用于公共建筑和采用集中冷热源的居住建筑的运行评价；也可在设计评价中进行预审。</w:t>
      </w:r>
    </w:p>
    <w:p>
      <w:pPr>
        <w:pStyle w:val="87"/>
        <w:spacing w:line="360" w:lineRule="auto"/>
        <w:ind w:firstLine="0" w:firstLineChars="0"/>
        <w:outlineLvl w:val="9"/>
        <w:rPr>
          <w:rFonts w:ascii="仿宋" w:hAnsi="仿宋" w:eastAsia="仿宋"/>
          <w:color w:val="FF0000"/>
        </w:rPr>
      </w:pPr>
      <w:r>
        <w:rPr>
          <w:rFonts w:hint="eastAsia" w:ascii="仿宋" w:hAnsi="仿宋" w:eastAsia="仿宋"/>
          <w:color w:val="FF0000"/>
        </w:rPr>
        <w:t>本条为新增条文。公共建筑和采用集中冷热源的居住建筑，能源消耗情况较复杂，主要包括空调系统、照明系统、其他动力系统等。建筑内各能耗环节如冷热源、输配系统、照明、办公设备和热水能耗等都能实现独立分项计量，有助于分析建筑各项能耗水平和能耗结构是否合理，发现问题并提出改进措施，从而有效地实施建筑节能。</w:t>
      </w:r>
    </w:p>
    <w:p>
      <w:pPr>
        <w:pStyle w:val="87"/>
        <w:spacing w:line="360" w:lineRule="auto"/>
        <w:ind w:firstLine="0" w:firstLineChars="0"/>
        <w:outlineLvl w:val="9"/>
        <w:rPr>
          <w:rFonts w:ascii="仿宋" w:hAnsi="仿宋" w:eastAsia="仿宋"/>
          <w:color w:val="FF0000"/>
        </w:rPr>
      </w:pPr>
      <w:r>
        <w:rPr>
          <w:rFonts w:hint="eastAsia" w:ascii="仿宋" w:hAnsi="仿宋" w:eastAsia="仿宋"/>
          <w:color w:val="FF0000"/>
        </w:rPr>
        <w:t>定期进行能源审计可以调查各部分能耗分布状况和分析节能潜力，提出节能运行和改造建议。分析节能潜力时，关注所用配电变压器满足现行国家标准《三相配电变压器能效限定值及节能评价值》GB 20052规定的节能评价值；水泵、风机（及其电机）等功率较大的用电设备满足相应的能效限定值及能源效率等级国家标准所规定的节能评价值。</w:t>
      </w:r>
    </w:p>
    <w:p>
      <w:pPr>
        <w:pStyle w:val="87"/>
        <w:spacing w:line="360" w:lineRule="auto"/>
        <w:ind w:firstLine="0" w:firstLineChars="0"/>
        <w:outlineLvl w:val="9"/>
        <w:rPr>
          <w:rFonts w:ascii="仿宋" w:hAnsi="仿宋" w:eastAsia="仿宋"/>
          <w:color w:val="FF0000"/>
        </w:rPr>
      </w:pPr>
      <w:r>
        <w:rPr>
          <w:rFonts w:hint="eastAsia" w:ascii="仿宋" w:hAnsi="仿宋" w:eastAsia="仿宋"/>
          <w:color w:val="FF0000"/>
        </w:rPr>
        <w:t>深圳市近年来发布了《深圳市办公建筑能耗限额标准》、《深圳市商场建筑能耗限额标准》、《深圳市宾馆建筑能耗限额标准》等标准，其主要目标是：以降低公共建筑能耗为目的，以节能目标考核和价格杠杆调节为手段，在公共建筑中实行能耗限额制度，建立以信息化平台、节能目标考核、能耗公示为支撑的公共建筑能耗限额管理体系，促进行为节能和管理节能。</w:t>
      </w:r>
    </w:p>
    <w:p>
      <w:pPr>
        <w:pStyle w:val="87"/>
        <w:spacing w:line="360" w:lineRule="auto"/>
        <w:ind w:firstLine="0" w:firstLineChars="0"/>
        <w:outlineLvl w:val="9"/>
        <w:rPr>
          <w:rFonts w:ascii="仿宋" w:hAnsi="仿宋" w:eastAsia="仿宋"/>
          <w:color w:val="FF0000"/>
        </w:rPr>
      </w:pPr>
      <w:r>
        <w:rPr>
          <w:rFonts w:hint="eastAsia" w:ascii="仿宋" w:hAnsi="仿宋" w:eastAsia="仿宋"/>
          <w:color w:val="FF0000"/>
        </w:rPr>
        <w:t>本条的评价方法为：查阅能耗审计报告，能耗定额指标制定材料，并现场核查。</w:t>
      </w:r>
    </w:p>
    <w:p>
      <w:pPr>
        <w:pStyle w:val="87"/>
        <w:spacing w:line="360" w:lineRule="auto"/>
        <w:ind w:firstLine="0" w:firstLineChars="0"/>
        <w:outlineLvl w:val="9"/>
        <w:rPr>
          <w:rFonts w:ascii="仿宋" w:hAnsi="仿宋" w:eastAsia="仿宋"/>
          <w:color w:val="FF0000"/>
        </w:rPr>
      </w:pPr>
    </w:p>
    <w:p>
      <w:pPr>
        <w:snapToGrid w:val="0"/>
        <w:spacing w:line="360" w:lineRule="auto"/>
        <w:rPr>
          <w:bCs/>
          <w:sz w:val="24"/>
        </w:rPr>
      </w:pPr>
    </w:p>
    <w:p>
      <w:pPr>
        <w:snapToGrid w:val="0"/>
        <w:spacing w:line="360" w:lineRule="auto"/>
        <w:rPr>
          <w:bCs/>
          <w:sz w:val="24"/>
        </w:rPr>
      </w:pPr>
      <w:r>
        <w:rPr>
          <w:b/>
          <w:sz w:val="24"/>
        </w:rPr>
        <w:t>1</w:t>
      </w:r>
      <w:r>
        <w:rPr>
          <w:rFonts w:hint="eastAsia"/>
          <w:b/>
          <w:sz w:val="24"/>
        </w:rPr>
        <w:t>2</w:t>
      </w:r>
      <w:r>
        <w:rPr>
          <w:b/>
          <w:sz w:val="24"/>
        </w:rPr>
        <w:t>.2.11</w:t>
      </w:r>
      <w:r>
        <w:rPr>
          <w:sz w:val="24"/>
        </w:rPr>
        <w:t xml:space="preserve">  </w:t>
      </w:r>
      <w:r>
        <w:rPr>
          <w:rFonts w:hAnsi="宋体"/>
          <w:bCs/>
          <w:sz w:val="24"/>
        </w:rPr>
        <w:t>采用能源管理系统，监测建筑能耗，进行数据挖掘和分析管理，评价总分值为</w:t>
      </w:r>
      <w:r>
        <w:rPr>
          <w:rFonts w:hint="eastAsia"/>
          <w:bCs/>
          <w:sz w:val="24"/>
        </w:rPr>
        <w:t>5</w:t>
      </w:r>
      <w:r>
        <w:rPr>
          <w:rFonts w:hAnsi="宋体"/>
          <w:bCs/>
          <w:sz w:val="24"/>
        </w:rPr>
        <w:t>分，并按下列规则</w:t>
      </w:r>
      <w:r>
        <w:rPr>
          <w:rFonts w:hint="eastAsia" w:hAnsi="宋体"/>
          <w:bCs/>
          <w:sz w:val="24"/>
        </w:rPr>
        <w:t>分别</w:t>
      </w:r>
      <w:r>
        <w:rPr>
          <w:rFonts w:hAnsi="宋体"/>
          <w:bCs/>
          <w:sz w:val="24"/>
        </w:rPr>
        <w:t>评分</w:t>
      </w:r>
      <w:r>
        <w:rPr>
          <w:rFonts w:hint="eastAsia" w:hAnsi="宋体"/>
          <w:bCs/>
          <w:sz w:val="24"/>
        </w:rPr>
        <w:t>并累计：</w:t>
      </w:r>
    </w:p>
    <w:p>
      <w:pPr>
        <w:snapToGrid w:val="0"/>
        <w:spacing w:line="360" w:lineRule="auto"/>
        <w:ind w:firstLine="481" w:firstLineChars="200"/>
        <w:rPr>
          <w:sz w:val="24"/>
        </w:rPr>
      </w:pPr>
      <w:r>
        <w:rPr>
          <w:b/>
          <w:sz w:val="24"/>
        </w:rPr>
        <w:t>1</w:t>
      </w:r>
      <w:r>
        <w:rPr>
          <w:sz w:val="24"/>
        </w:rPr>
        <w:t xml:space="preserve">  </w:t>
      </w:r>
      <w:r>
        <w:rPr>
          <w:rFonts w:hAnsi="宋体"/>
          <w:sz w:val="24"/>
        </w:rPr>
        <w:t>能源监测数据</w:t>
      </w:r>
      <w:r>
        <w:rPr>
          <w:rFonts w:hint="eastAsia" w:hAnsi="宋体"/>
          <w:sz w:val="24"/>
        </w:rPr>
        <w:t>齐全，</w:t>
      </w:r>
      <w:r>
        <w:rPr>
          <w:rFonts w:hAnsi="宋体"/>
          <w:sz w:val="24"/>
        </w:rPr>
        <w:t>记录完整，得</w:t>
      </w:r>
      <w:r>
        <w:rPr>
          <w:rFonts w:hint="eastAsia"/>
          <w:sz w:val="24"/>
        </w:rPr>
        <w:t>2</w:t>
      </w:r>
      <w:r>
        <w:rPr>
          <w:rFonts w:hAnsi="宋体"/>
          <w:sz w:val="24"/>
        </w:rPr>
        <w:t>分；</w:t>
      </w:r>
    </w:p>
    <w:p>
      <w:pPr>
        <w:snapToGrid w:val="0"/>
        <w:spacing w:line="360" w:lineRule="auto"/>
        <w:ind w:firstLine="481" w:firstLineChars="200"/>
        <w:rPr>
          <w:sz w:val="24"/>
        </w:rPr>
      </w:pPr>
      <w:r>
        <w:rPr>
          <w:b/>
          <w:sz w:val="24"/>
        </w:rPr>
        <w:t>2</w:t>
      </w:r>
      <w:r>
        <w:rPr>
          <w:sz w:val="24"/>
        </w:rPr>
        <w:t xml:space="preserve">  </w:t>
      </w:r>
      <w:r>
        <w:rPr>
          <w:rFonts w:hAnsi="宋体"/>
          <w:sz w:val="24"/>
        </w:rPr>
        <w:t>具备数据挖掘和分析管理能力，得</w:t>
      </w:r>
      <w:r>
        <w:rPr>
          <w:rFonts w:hint="eastAsia"/>
          <w:sz w:val="24"/>
        </w:rPr>
        <w:t>3</w:t>
      </w:r>
      <w:r>
        <w:rPr>
          <w:rFonts w:hAnsi="宋体"/>
          <w:sz w:val="24"/>
        </w:rPr>
        <w:t>分。</w:t>
      </w:r>
    </w:p>
    <w:p>
      <w:pPr>
        <w:pStyle w:val="87"/>
        <w:spacing w:line="360" w:lineRule="auto"/>
        <w:ind w:firstLine="0" w:firstLineChars="0"/>
        <w:outlineLvl w:val="9"/>
        <w:rPr>
          <w:rFonts w:ascii="仿宋" w:hAnsi="仿宋" w:eastAsia="仿宋"/>
          <w:color w:val="FF0000"/>
        </w:rPr>
      </w:pPr>
      <w:r>
        <w:rPr>
          <w:rFonts w:hint="eastAsia" w:ascii="仿宋" w:hAnsi="仿宋" w:eastAsia="仿宋"/>
          <w:color w:val="FF0000"/>
        </w:rPr>
        <w:t>【条文说明】</w:t>
      </w:r>
    </w:p>
    <w:p>
      <w:pPr>
        <w:pStyle w:val="87"/>
        <w:spacing w:line="360" w:lineRule="auto"/>
        <w:ind w:firstLine="0" w:firstLineChars="0"/>
        <w:outlineLvl w:val="9"/>
        <w:rPr>
          <w:rFonts w:ascii="仿宋" w:hAnsi="仿宋" w:eastAsia="仿宋"/>
          <w:color w:val="FF0000"/>
        </w:rPr>
      </w:pPr>
      <w:r>
        <w:rPr>
          <w:rFonts w:hint="eastAsia" w:ascii="仿宋" w:hAnsi="仿宋" w:eastAsia="仿宋"/>
          <w:color w:val="FF0000"/>
        </w:rPr>
        <w:t>本条适用于公共建筑和采用集中冷热源的居住建筑的运行评价；也可在设计评价中进行预审。</w:t>
      </w:r>
    </w:p>
    <w:p>
      <w:pPr>
        <w:pStyle w:val="87"/>
        <w:spacing w:line="360" w:lineRule="auto"/>
        <w:ind w:firstLine="0" w:firstLineChars="0"/>
        <w:outlineLvl w:val="9"/>
        <w:rPr>
          <w:rFonts w:ascii="仿宋" w:hAnsi="仿宋" w:eastAsia="仿宋"/>
          <w:color w:val="FF0000"/>
        </w:rPr>
      </w:pPr>
      <w:r>
        <w:rPr>
          <w:rFonts w:hint="eastAsia" w:ascii="仿宋" w:hAnsi="仿宋" w:eastAsia="仿宋"/>
          <w:color w:val="FF0000"/>
        </w:rPr>
        <w:t>本条为新增条文。能源计量及数据挖掘的前提条件是计量的数据需要准确，这就要求计量器具能够进行准确计量，故此建立完整的计量器具管理制度、计量器具周期检定及溯源管理是保证数据质量的基础条件。其中计量器具建档制度中应包括新增、更换、报废、使用、维护、保养及考核制度。</w:t>
      </w:r>
    </w:p>
    <w:p>
      <w:pPr>
        <w:pStyle w:val="87"/>
        <w:spacing w:line="360" w:lineRule="auto"/>
        <w:ind w:firstLine="0" w:firstLineChars="0"/>
        <w:outlineLvl w:val="9"/>
        <w:rPr>
          <w:rFonts w:ascii="仿宋" w:hAnsi="仿宋" w:eastAsia="仿宋"/>
          <w:color w:val="FF0000"/>
        </w:rPr>
      </w:pPr>
      <w:r>
        <w:rPr>
          <w:rFonts w:hint="eastAsia" w:ascii="仿宋" w:hAnsi="仿宋" w:eastAsia="仿宋"/>
          <w:color w:val="FF0000"/>
        </w:rPr>
        <w:t>定期进行计量器具核准是保证数据质量的必要条件，绿色建筑能源系统运行维护过程中应对计量器具进行定期检定，保证计量数据的准确性。能源计量器具宜定期检定（校准），具体要求如下：</w:t>
      </w:r>
    </w:p>
    <w:p>
      <w:pPr>
        <w:pStyle w:val="87"/>
        <w:spacing w:line="360" w:lineRule="auto"/>
        <w:ind w:firstLine="0" w:firstLineChars="0"/>
        <w:outlineLvl w:val="9"/>
        <w:rPr>
          <w:rFonts w:ascii="仿宋" w:hAnsi="仿宋" w:eastAsia="仿宋"/>
          <w:color w:val="FF0000"/>
        </w:rPr>
      </w:pPr>
      <w:r>
        <w:rPr>
          <w:rFonts w:hint="eastAsia" w:ascii="仿宋" w:hAnsi="仿宋" w:eastAsia="仿宋"/>
          <w:color w:val="FF0000"/>
        </w:rPr>
        <w:t>1 应使用经核定（校准）符合要求的或不超过检定周期的计量器具；</w:t>
      </w:r>
    </w:p>
    <w:p>
      <w:pPr>
        <w:pStyle w:val="87"/>
        <w:spacing w:line="360" w:lineRule="auto"/>
        <w:ind w:firstLine="0" w:firstLineChars="0"/>
        <w:outlineLvl w:val="9"/>
        <w:rPr>
          <w:rFonts w:ascii="仿宋" w:hAnsi="仿宋" w:eastAsia="仿宋"/>
          <w:color w:val="FF0000"/>
        </w:rPr>
      </w:pPr>
      <w:r>
        <w:rPr>
          <w:rFonts w:hint="eastAsia" w:ascii="仿宋" w:hAnsi="仿宋" w:eastAsia="仿宋"/>
          <w:color w:val="FF0000"/>
        </w:rPr>
        <w:t>2 属强制检定的计量器具，其检定周期、检定当时应遵守有关计量法律法规的规定。</w:t>
      </w:r>
    </w:p>
    <w:p>
      <w:pPr>
        <w:pStyle w:val="87"/>
        <w:spacing w:line="360" w:lineRule="auto"/>
        <w:ind w:firstLine="0" w:firstLineChars="0"/>
        <w:outlineLvl w:val="9"/>
        <w:rPr>
          <w:rFonts w:ascii="仿宋" w:hAnsi="仿宋" w:eastAsia="仿宋"/>
          <w:color w:val="FF0000"/>
        </w:rPr>
      </w:pPr>
      <w:r>
        <w:rPr>
          <w:rFonts w:hint="eastAsia" w:ascii="仿宋" w:hAnsi="仿宋" w:eastAsia="仿宋"/>
          <w:color w:val="FF0000"/>
        </w:rPr>
        <w:t>3 非强制检定的计量器具，其鉴定周期可根据不同建筑用能情况自行安排，但不宜超过5年。</w:t>
      </w:r>
    </w:p>
    <w:p>
      <w:pPr>
        <w:pStyle w:val="87"/>
        <w:spacing w:line="360" w:lineRule="auto"/>
        <w:ind w:firstLine="0" w:firstLineChars="0"/>
        <w:outlineLvl w:val="9"/>
        <w:rPr>
          <w:rFonts w:ascii="仿宋" w:hAnsi="仿宋" w:eastAsia="仿宋"/>
          <w:color w:val="FF0000"/>
        </w:rPr>
      </w:pPr>
      <w:r>
        <w:rPr>
          <w:rFonts w:hint="eastAsia" w:ascii="仿宋" w:hAnsi="仿宋" w:eastAsia="仿宋"/>
          <w:color w:val="FF0000"/>
        </w:rPr>
        <w:t>绿色建筑系统维护中应建立能源计量台账，具体要求如下：</w:t>
      </w:r>
    </w:p>
    <w:p>
      <w:pPr>
        <w:pStyle w:val="87"/>
        <w:spacing w:line="360" w:lineRule="auto"/>
        <w:ind w:firstLine="0" w:firstLineChars="0"/>
        <w:outlineLvl w:val="9"/>
        <w:rPr>
          <w:rFonts w:ascii="仿宋" w:hAnsi="仿宋" w:eastAsia="仿宋"/>
          <w:color w:val="FF0000"/>
        </w:rPr>
      </w:pPr>
      <w:r>
        <w:rPr>
          <w:rFonts w:hint="eastAsia" w:ascii="仿宋" w:hAnsi="仿宋" w:eastAsia="仿宋"/>
          <w:color w:val="FF0000"/>
        </w:rPr>
        <w:t>1 保证计量数据真实、完整、规范。</w:t>
      </w:r>
    </w:p>
    <w:p>
      <w:pPr>
        <w:pStyle w:val="87"/>
        <w:spacing w:line="360" w:lineRule="auto"/>
        <w:ind w:firstLine="0" w:firstLineChars="0"/>
        <w:outlineLvl w:val="9"/>
        <w:rPr>
          <w:rFonts w:ascii="仿宋" w:hAnsi="仿宋" w:eastAsia="仿宋"/>
          <w:color w:val="FF0000"/>
        </w:rPr>
      </w:pPr>
      <w:r>
        <w:rPr>
          <w:rFonts w:hint="eastAsia" w:ascii="仿宋" w:hAnsi="仿宋" w:eastAsia="仿宋"/>
          <w:color w:val="FF0000"/>
        </w:rPr>
        <w:t>2 建立能源计量台账，保证不同能源品种的计量均有原始记录进行查询，保证计量数据真实、完整、规范，为能源系统数据挖掘及数据分析提供基础数据支持。</w:t>
      </w:r>
    </w:p>
    <w:p>
      <w:pPr>
        <w:pStyle w:val="87"/>
        <w:spacing w:line="360" w:lineRule="auto"/>
        <w:ind w:firstLine="0" w:firstLineChars="0"/>
        <w:outlineLvl w:val="9"/>
        <w:rPr>
          <w:rFonts w:ascii="仿宋" w:hAnsi="仿宋" w:eastAsia="仿宋"/>
          <w:color w:val="FF0000"/>
        </w:rPr>
      </w:pPr>
      <w:r>
        <w:rPr>
          <w:rFonts w:hint="eastAsia" w:ascii="仿宋" w:hAnsi="仿宋" w:eastAsia="仿宋"/>
          <w:color w:val="FF0000"/>
        </w:rPr>
        <w:t>本条的评价方法为：查阅针对建筑物及设备的能源管理系统，能耗监测数据，数据挖掘和分析记录，并现场核查。</w:t>
      </w:r>
    </w:p>
    <w:p>
      <w:pPr>
        <w:spacing w:line="360" w:lineRule="auto"/>
        <w:rPr>
          <w:sz w:val="24"/>
        </w:rPr>
      </w:pPr>
    </w:p>
    <w:p>
      <w:pPr>
        <w:autoSpaceDE w:val="0"/>
        <w:autoSpaceDN w:val="0"/>
        <w:adjustRightInd w:val="0"/>
        <w:spacing w:line="360" w:lineRule="auto"/>
        <w:jc w:val="left"/>
        <w:rPr>
          <w:kern w:val="0"/>
          <w:sz w:val="24"/>
        </w:rPr>
      </w:pPr>
      <w:r>
        <w:rPr>
          <w:rFonts w:hint="eastAsia"/>
          <w:b/>
          <w:bCs/>
          <w:kern w:val="0"/>
          <w:sz w:val="24"/>
        </w:rPr>
        <w:t>12</w:t>
      </w:r>
      <w:r>
        <w:rPr>
          <w:b/>
          <w:bCs/>
          <w:kern w:val="0"/>
          <w:sz w:val="24"/>
        </w:rPr>
        <w:t>.2.1</w:t>
      </w:r>
      <w:r>
        <w:rPr>
          <w:rFonts w:hint="eastAsia"/>
          <w:b/>
          <w:bCs/>
          <w:kern w:val="0"/>
          <w:sz w:val="24"/>
        </w:rPr>
        <w:t>2</w:t>
      </w:r>
      <w:r>
        <w:rPr>
          <w:rFonts w:hAnsi="宋体"/>
          <w:bCs/>
          <w:kern w:val="0"/>
          <w:sz w:val="24"/>
        </w:rPr>
        <w:t>　</w:t>
      </w:r>
      <w:r>
        <w:rPr>
          <w:rFonts w:hint="eastAsia" w:hAnsi="宋体"/>
          <w:bCs/>
          <w:kern w:val="0"/>
          <w:sz w:val="24"/>
        </w:rPr>
        <w:t>获得深圳市绿色物业管理试点的项目或</w:t>
      </w:r>
      <w:r>
        <w:rPr>
          <w:rFonts w:hint="eastAsia" w:hAnsi="宋体"/>
          <w:kern w:val="0"/>
          <w:sz w:val="24"/>
        </w:rPr>
        <w:t>选用深圳市现行有效推广使用的绿色物业管理技术及产品。</w:t>
      </w:r>
      <w:r>
        <w:rPr>
          <w:rFonts w:hAnsi="宋体"/>
          <w:bCs/>
          <w:sz w:val="24"/>
        </w:rPr>
        <w:t>评价总分值为</w:t>
      </w:r>
      <w:r>
        <w:rPr>
          <w:rFonts w:hint="eastAsia"/>
          <w:bCs/>
          <w:sz w:val="24"/>
        </w:rPr>
        <w:t>8</w:t>
      </w:r>
      <w:r>
        <w:rPr>
          <w:rFonts w:hAnsi="宋体"/>
          <w:bCs/>
          <w:sz w:val="24"/>
        </w:rPr>
        <w:t>分，并按下列规则评分</w:t>
      </w:r>
      <w:r>
        <w:rPr>
          <w:rFonts w:hAnsi="宋体"/>
          <w:kern w:val="0"/>
          <w:sz w:val="24"/>
        </w:rPr>
        <w:t>：</w:t>
      </w:r>
    </w:p>
    <w:p>
      <w:pPr>
        <w:autoSpaceDE w:val="0"/>
        <w:autoSpaceDN w:val="0"/>
        <w:adjustRightInd w:val="0"/>
        <w:spacing w:line="360" w:lineRule="auto"/>
        <w:ind w:firstLine="420"/>
        <w:jc w:val="left"/>
        <w:rPr>
          <w:rFonts w:hAnsi="宋体"/>
          <w:kern w:val="0"/>
          <w:sz w:val="24"/>
        </w:rPr>
      </w:pPr>
      <w:r>
        <w:rPr>
          <w:rFonts w:hint="eastAsia"/>
          <w:b/>
          <w:kern w:val="0"/>
          <w:sz w:val="24"/>
        </w:rPr>
        <w:t>1</w:t>
      </w:r>
      <w:r>
        <w:rPr>
          <w:rFonts w:hint="eastAsia" w:hAnsi="宋体"/>
          <w:kern w:val="0"/>
          <w:sz w:val="24"/>
        </w:rPr>
        <w:t>　获得深圳市绿色物业管理试点项目</w:t>
      </w:r>
      <w:r>
        <w:rPr>
          <w:rFonts w:hint="eastAsia" w:hAnsi="宋体"/>
          <w:bCs/>
          <w:sz w:val="24"/>
        </w:rPr>
        <w:t>，得4分</w:t>
      </w:r>
      <w:r>
        <w:rPr>
          <w:rFonts w:hint="eastAsia" w:hAnsi="宋体"/>
          <w:kern w:val="0"/>
          <w:sz w:val="24"/>
        </w:rPr>
        <w:t>。</w:t>
      </w:r>
    </w:p>
    <w:p>
      <w:pPr>
        <w:autoSpaceDE w:val="0"/>
        <w:autoSpaceDN w:val="0"/>
        <w:adjustRightInd w:val="0"/>
        <w:spacing w:line="360" w:lineRule="auto"/>
        <w:ind w:firstLine="420"/>
        <w:jc w:val="left"/>
        <w:rPr>
          <w:rFonts w:hAnsi="宋体"/>
          <w:kern w:val="0"/>
          <w:sz w:val="24"/>
        </w:rPr>
      </w:pPr>
      <w:r>
        <w:rPr>
          <w:rFonts w:hint="eastAsia"/>
          <w:b/>
          <w:kern w:val="0"/>
          <w:sz w:val="24"/>
        </w:rPr>
        <w:t>2</w:t>
      </w:r>
      <w:r>
        <w:rPr>
          <w:rFonts w:hAnsi="宋体"/>
          <w:kern w:val="0"/>
          <w:sz w:val="24"/>
        </w:rPr>
        <w:t>　</w:t>
      </w:r>
      <w:r>
        <w:rPr>
          <w:rFonts w:hint="eastAsia" w:hAnsi="宋体"/>
          <w:kern w:val="0"/>
          <w:sz w:val="24"/>
        </w:rPr>
        <w:t>采用其他推广的绿色物业技术与产品，满足下列要求中2项</w:t>
      </w:r>
      <w:r>
        <w:rPr>
          <w:rFonts w:hint="eastAsia" w:hAnsi="宋体"/>
          <w:bCs/>
          <w:sz w:val="24"/>
        </w:rPr>
        <w:t>，得4分</w:t>
      </w:r>
      <w:r>
        <w:rPr>
          <w:rFonts w:hint="eastAsia" w:hAnsi="宋体"/>
          <w:kern w:val="0"/>
          <w:sz w:val="24"/>
        </w:rPr>
        <w:t>。</w:t>
      </w:r>
    </w:p>
    <w:p>
      <w:pPr>
        <w:pStyle w:val="78"/>
        <w:numPr>
          <w:ilvl w:val="0"/>
          <w:numId w:val="7"/>
        </w:numPr>
        <w:autoSpaceDE w:val="0"/>
        <w:autoSpaceDN w:val="0"/>
        <w:adjustRightInd w:val="0"/>
        <w:spacing w:line="360" w:lineRule="auto"/>
        <w:ind w:firstLineChars="0"/>
        <w:jc w:val="left"/>
        <w:rPr>
          <w:rFonts w:hAnsi="宋体"/>
          <w:kern w:val="0"/>
          <w:sz w:val="24"/>
        </w:rPr>
      </w:pPr>
      <w:r>
        <w:rPr>
          <w:rFonts w:hint="eastAsia" w:hAnsi="宋体"/>
          <w:kern w:val="0"/>
          <w:sz w:val="24"/>
        </w:rPr>
        <w:t>机器人进行保安巡逻；</w:t>
      </w:r>
    </w:p>
    <w:p>
      <w:pPr>
        <w:pStyle w:val="78"/>
        <w:numPr>
          <w:ilvl w:val="0"/>
          <w:numId w:val="7"/>
        </w:numPr>
        <w:autoSpaceDE w:val="0"/>
        <w:autoSpaceDN w:val="0"/>
        <w:adjustRightInd w:val="0"/>
        <w:spacing w:line="360" w:lineRule="auto"/>
        <w:ind w:firstLineChars="0"/>
        <w:jc w:val="left"/>
        <w:rPr>
          <w:rFonts w:hAnsi="宋体"/>
          <w:kern w:val="0"/>
          <w:sz w:val="24"/>
        </w:rPr>
      </w:pPr>
      <w:r>
        <w:rPr>
          <w:rFonts w:hint="eastAsia" w:hAnsi="宋体"/>
          <w:kern w:val="0"/>
          <w:sz w:val="24"/>
        </w:rPr>
        <w:t>微生物技术处理餐厨垃圾；</w:t>
      </w:r>
    </w:p>
    <w:p>
      <w:pPr>
        <w:pStyle w:val="78"/>
        <w:numPr>
          <w:ilvl w:val="0"/>
          <w:numId w:val="7"/>
        </w:numPr>
        <w:autoSpaceDE w:val="0"/>
        <w:autoSpaceDN w:val="0"/>
        <w:adjustRightInd w:val="0"/>
        <w:spacing w:line="360" w:lineRule="auto"/>
        <w:ind w:firstLineChars="0"/>
        <w:jc w:val="left"/>
        <w:rPr>
          <w:rFonts w:hAnsi="宋体"/>
          <w:kern w:val="0"/>
          <w:sz w:val="24"/>
        </w:rPr>
      </w:pPr>
      <w:r>
        <w:rPr>
          <w:rFonts w:hint="eastAsia" w:hAnsi="宋体"/>
          <w:kern w:val="0"/>
          <w:sz w:val="24"/>
        </w:rPr>
        <w:t>夜间巡逻的无人驾驶汽车；</w:t>
      </w:r>
    </w:p>
    <w:p>
      <w:pPr>
        <w:pStyle w:val="78"/>
        <w:numPr>
          <w:ilvl w:val="0"/>
          <w:numId w:val="7"/>
        </w:numPr>
        <w:autoSpaceDE w:val="0"/>
        <w:autoSpaceDN w:val="0"/>
        <w:adjustRightInd w:val="0"/>
        <w:spacing w:line="360" w:lineRule="auto"/>
        <w:ind w:firstLineChars="0"/>
        <w:jc w:val="left"/>
        <w:rPr>
          <w:rFonts w:hAnsi="宋体"/>
          <w:kern w:val="0"/>
          <w:sz w:val="24"/>
        </w:rPr>
      </w:pPr>
      <w:r>
        <w:rPr>
          <w:rFonts w:hint="eastAsia" w:hAnsi="宋体"/>
          <w:kern w:val="0"/>
          <w:sz w:val="24"/>
        </w:rPr>
        <w:t>其他推广的绿色物业技术与产品。</w:t>
      </w:r>
    </w:p>
    <w:p>
      <w:pPr>
        <w:pStyle w:val="87"/>
        <w:spacing w:line="360" w:lineRule="auto"/>
        <w:ind w:firstLine="0" w:firstLineChars="0"/>
        <w:outlineLvl w:val="9"/>
        <w:rPr>
          <w:rFonts w:ascii="仿宋" w:hAnsi="仿宋" w:eastAsia="仿宋"/>
          <w:color w:val="FF0000"/>
        </w:rPr>
      </w:pPr>
      <w:r>
        <w:rPr>
          <w:rFonts w:hint="eastAsia" w:ascii="仿宋" w:hAnsi="仿宋" w:eastAsia="仿宋"/>
          <w:color w:val="FF0000"/>
        </w:rPr>
        <w:t>【条文说明】</w:t>
      </w:r>
    </w:p>
    <w:p>
      <w:pPr>
        <w:pStyle w:val="87"/>
        <w:spacing w:line="360" w:lineRule="auto"/>
        <w:ind w:firstLine="0" w:firstLineChars="0"/>
        <w:outlineLvl w:val="9"/>
        <w:rPr>
          <w:rFonts w:ascii="仿宋" w:hAnsi="仿宋" w:eastAsia="仿宋"/>
          <w:color w:val="FF0000"/>
        </w:rPr>
      </w:pPr>
      <w:r>
        <w:rPr>
          <w:rFonts w:hint="eastAsia" w:ascii="仿宋" w:hAnsi="仿宋" w:eastAsia="仿宋"/>
          <w:color w:val="FF0000"/>
        </w:rPr>
        <w:t>本条适用于各类民用建筑的运行评价；也可在设计评价中进行预审。</w:t>
      </w:r>
    </w:p>
    <w:p>
      <w:pPr>
        <w:pStyle w:val="87"/>
        <w:spacing w:line="360" w:lineRule="auto"/>
        <w:ind w:firstLine="0" w:firstLineChars="0"/>
        <w:outlineLvl w:val="9"/>
        <w:rPr>
          <w:rFonts w:ascii="仿宋" w:hAnsi="仿宋" w:eastAsia="仿宋"/>
          <w:color w:val="FF0000"/>
        </w:rPr>
      </w:pPr>
      <w:r>
        <w:rPr>
          <w:rFonts w:hint="eastAsia" w:ascii="仿宋" w:hAnsi="仿宋" w:eastAsia="仿宋"/>
          <w:color w:val="FF0000"/>
        </w:rPr>
        <w:t>本条为新增条文。绿色物业不仅是绿色建筑发展的有力承载，也是当前物业发展的一种必然趋势。绿色物业是绿色建筑发展的有效延续，是确保绿色建筑在日常管理中充分发挥作用的关键环节。为提高物业管理的科技含量和服务水平，在物业管理中全面导入资源节约、环境保护理念。</w:t>
      </w:r>
    </w:p>
    <w:p>
      <w:pPr>
        <w:pStyle w:val="87"/>
        <w:spacing w:line="360" w:lineRule="auto"/>
        <w:ind w:firstLine="0" w:firstLineChars="0"/>
        <w:outlineLvl w:val="9"/>
        <w:rPr>
          <w:rFonts w:ascii="仿宋" w:hAnsi="仿宋" w:eastAsia="仿宋"/>
          <w:color w:val="FF0000"/>
        </w:rPr>
      </w:pPr>
      <w:r>
        <w:rPr>
          <w:rFonts w:hint="eastAsia" w:ascii="仿宋" w:hAnsi="仿宋" w:eastAsia="仿宋"/>
          <w:color w:val="FF0000"/>
        </w:rPr>
        <w:t>本条的评价方法为：查阅绿色物业管理试点单位文件，物业管理记录，建筑图、结构竣工图、工程材料用量决算清单、预制构件用量比例计算书，审查用量比例及其计算。</w:t>
      </w:r>
    </w:p>
    <w:p>
      <w:pPr>
        <w:pStyle w:val="87"/>
        <w:spacing w:line="360" w:lineRule="auto"/>
        <w:ind w:firstLine="0" w:firstLineChars="0"/>
        <w:outlineLvl w:val="9"/>
        <w:rPr>
          <w:rFonts w:ascii="仿宋" w:hAnsi="仿宋" w:eastAsia="仿宋"/>
          <w:color w:val="FF0000"/>
        </w:rPr>
      </w:pPr>
    </w:p>
    <w:p/>
    <w:p>
      <w:pPr>
        <w:pStyle w:val="87"/>
        <w:ind w:firstLine="0" w:firstLineChars="0"/>
        <w:jc w:val="center"/>
        <w:rPr>
          <w:rFonts w:ascii="宋体" w:hAnsi="宋体"/>
        </w:rPr>
      </w:pPr>
      <w:bookmarkStart w:id="131" w:name="_Toc449111700"/>
      <w:r>
        <w:rPr>
          <w:rFonts w:ascii="宋体" w:hAnsi="宋体"/>
        </w:rPr>
        <w:t>Ⅲ</w:t>
      </w:r>
      <w:r>
        <w:rPr>
          <w:rFonts w:hint="eastAsia" w:ascii="宋体" w:hAnsi="宋体"/>
        </w:rPr>
        <w:t xml:space="preserve"> </w:t>
      </w:r>
      <w:r>
        <w:rPr>
          <w:rFonts w:ascii="宋体" w:hAnsi="宋体"/>
        </w:rPr>
        <w:t>环境管理</w:t>
      </w:r>
      <w:r>
        <w:rPr>
          <w:rFonts w:hint="eastAsia" w:ascii="宋体" w:hAnsi="宋体"/>
        </w:rPr>
        <w:t>（25）</w:t>
      </w:r>
      <w:bookmarkEnd w:id="131"/>
    </w:p>
    <w:p>
      <w:pPr>
        <w:snapToGrid w:val="0"/>
        <w:spacing w:line="360" w:lineRule="auto"/>
        <w:ind w:firstLine="480" w:firstLineChars="200"/>
        <w:rPr>
          <w:bCs/>
          <w:sz w:val="24"/>
        </w:rPr>
      </w:pPr>
    </w:p>
    <w:p>
      <w:pPr>
        <w:snapToGrid w:val="0"/>
        <w:spacing w:line="360" w:lineRule="auto"/>
        <w:rPr>
          <w:bCs/>
          <w:sz w:val="24"/>
        </w:rPr>
      </w:pPr>
      <w:r>
        <w:rPr>
          <w:b/>
          <w:sz w:val="24"/>
        </w:rPr>
        <w:t>1</w:t>
      </w:r>
      <w:r>
        <w:rPr>
          <w:rFonts w:hint="eastAsia"/>
          <w:b/>
          <w:sz w:val="24"/>
        </w:rPr>
        <w:t>2</w:t>
      </w:r>
      <w:r>
        <w:rPr>
          <w:b/>
          <w:sz w:val="24"/>
        </w:rPr>
        <w:t>.2.1</w:t>
      </w:r>
      <w:r>
        <w:rPr>
          <w:rFonts w:hint="eastAsia"/>
          <w:b/>
          <w:sz w:val="24"/>
        </w:rPr>
        <w:t>3</w:t>
      </w:r>
      <w:r>
        <w:rPr>
          <w:rFonts w:hAnsi="宋体"/>
          <w:sz w:val="24"/>
        </w:rPr>
        <w:t>　</w:t>
      </w:r>
      <w:r>
        <w:rPr>
          <w:rFonts w:hAnsi="宋体"/>
          <w:bCs/>
          <w:sz w:val="24"/>
        </w:rPr>
        <w:t>采用无公害病虫害防治技术，规范杀虫剂、除草剂、化肥、农药等化学药品的使用，有效避免对土壤和地下水环境的损害，评价总分值为</w:t>
      </w:r>
      <w:r>
        <w:rPr>
          <w:rFonts w:hint="eastAsia"/>
          <w:bCs/>
          <w:sz w:val="24"/>
        </w:rPr>
        <w:t>5</w:t>
      </w:r>
      <w:r>
        <w:rPr>
          <w:rFonts w:hAnsi="宋体"/>
          <w:bCs/>
          <w:sz w:val="24"/>
        </w:rPr>
        <w:t>分，并按下列规则</w:t>
      </w:r>
      <w:r>
        <w:rPr>
          <w:rFonts w:hint="eastAsia" w:hAnsi="宋体"/>
          <w:bCs/>
          <w:sz w:val="24"/>
        </w:rPr>
        <w:t>分别</w:t>
      </w:r>
      <w:r>
        <w:rPr>
          <w:rFonts w:hAnsi="宋体"/>
          <w:bCs/>
          <w:sz w:val="24"/>
        </w:rPr>
        <w:t>评分</w:t>
      </w:r>
      <w:r>
        <w:rPr>
          <w:rFonts w:hint="eastAsia" w:hAnsi="宋体"/>
          <w:bCs/>
          <w:sz w:val="24"/>
        </w:rPr>
        <w:t>并累计：</w:t>
      </w:r>
    </w:p>
    <w:p>
      <w:pPr>
        <w:snapToGrid w:val="0"/>
        <w:spacing w:line="360" w:lineRule="auto"/>
        <w:ind w:firstLine="481" w:firstLineChars="200"/>
        <w:rPr>
          <w:sz w:val="24"/>
        </w:rPr>
      </w:pPr>
      <w:r>
        <w:rPr>
          <w:b/>
          <w:sz w:val="24"/>
        </w:rPr>
        <w:t>1</w:t>
      </w:r>
      <w:r>
        <w:rPr>
          <w:rFonts w:hAnsi="宋体"/>
          <w:sz w:val="24"/>
        </w:rPr>
        <w:t>　建立和实施化学药品管理责任制，得</w:t>
      </w:r>
      <w:r>
        <w:rPr>
          <w:rFonts w:hint="eastAsia"/>
          <w:sz w:val="24"/>
        </w:rPr>
        <w:t>1</w:t>
      </w:r>
      <w:r>
        <w:rPr>
          <w:rFonts w:hAnsi="宋体"/>
          <w:sz w:val="24"/>
        </w:rPr>
        <w:t>分；</w:t>
      </w:r>
    </w:p>
    <w:p>
      <w:pPr>
        <w:snapToGrid w:val="0"/>
        <w:spacing w:line="360" w:lineRule="auto"/>
        <w:ind w:firstLine="481" w:firstLineChars="200"/>
        <w:rPr>
          <w:sz w:val="24"/>
        </w:rPr>
      </w:pPr>
      <w:r>
        <w:rPr>
          <w:b/>
          <w:sz w:val="24"/>
        </w:rPr>
        <w:t>2</w:t>
      </w:r>
      <w:r>
        <w:rPr>
          <w:rFonts w:hAnsi="宋体"/>
          <w:sz w:val="24"/>
        </w:rPr>
        <w:t>　病虫害防治用品使用记录完整，得</w:t>
      </w:r>
      <w:r>
        <w:rPr>
          <w:sz w:val="24"/>
        </w:rPr>
        <w:t>2</w:t>
      </w:r>
      <w:r>
        <w:rPr>
          <w:rFonts w:hAnsi="宋体"/>
          <w:sz w:val="24"/>
        </w:rPr>
        <w:t>分；</w:t>
      </w:r>
    </w:p>
    <w:p>
      <w:pPr>
        <w:snapToGrid w:val="0"/>
        <w:spacing w:line="360" w:lineRule="auto"/>
        <w:ind w:firstLine="481" w:firstLineChars="200"/>
        <w:rPr>
          <w:rFonts w:hAnsi="宋体"/>
          <w:sz w:val="24"/>
        </w:rPr>
      </w:pPr>
      <w:r>
        <w:rPr>
          <w:b/>
          <w:sz w:val="24"/>
        </w:rPr>
        <w:t>3</w:t>
      </w:r>
      <w:r>
        <w:rPr>
          <w:rFonts w:hAnsi="宋体"/>
          <w:sz w:val="24"/>
        </w:rPr>
        <w:t>　采用生物制剂、仿生制剂等无公害防治技术，得</w:t>
      </w:r>
      <w:r>
        <w:rPr>
          <w:sz w:val="24"/>
        </w:rPr>
        <w:t>2</w:t>
      </w:r>
      <w:r>
        <w:rPr>
          <w:rFonts w:hAnsi="宋体"/>
          <w:sz w:val="24"/>
        </w:rPr>
        <w:t>分。</w:t>
      </w:r>
    </w:p>
    <w:p>
      <w:pPr>
        <w:pStyle w:val="87"/>
        <w:spacing w:line="360" w:lineRule="auto"/>
        <w:ind w:firstLine="0" w:firstLineChars="0"/>
        <w:outlineLvl w:val="9"/>
        <w:rPr>
          <w:rFonts w:ascii="仿宋" w:hAnsi="仿宋" w:eastAsia="仿宋"/>
          <w:color w:val="FF0000"/>
        </w:rPr>
      </w:pPr>
      <w:r>
        <w:rPr>
          <w:rFonts w:hint="eastAsia" w:ascii="仿宋" w:hAnsi="仿宋" w:eastAsia="仿宋"/>
          <w:color w:val="FF0000"/>
        </w:rPr>
        <w:t>【条文说明】</w:t>
      </w:r>
    </w:p>
    <w:p>
      <w:pPr>
        <w:pStyle w:val="87"/>
        <w:spacing w:line="360" w:lineRule="auto"/>
        <w:ind w:firstLine="0" w:firstLineChars="0"/>
        <w:outlineLvl w:val="9"/>
        <w:rPr>
          <w:rFonts w:ascii="仿宋" w:hAnsi="仿宋" w:eastAsia="仿宋"/>
          <w:color w:val="FF0000"/>
        </w:rPr>
      </w:pPr>
      <w:r>
        <w:rPr>
          <w:rFonts w:hint="eastAsia" w:ascii="仿宋" w:hAnsi="仿宋" w:eastAsia="仿宋"/>
          <w:color w:val="FF0000"/>
        </w:rPr>
        <w:t>本条适用于各类民用建筑的运行评价。</w:t>
      </w:r>
    </w:p>
    <w:p>
      <w:pPr>
        <w:pStyle w:val="87"/>
        <w:spacing w:line="360" w:lineRule="auto"/>
        <w:ind w:firstLine="0" w:firstLineChars="0"/>
        <w:outlineLvl w:val="9"/>
        <w:rPr>
          <w:rFonts w:ascii="仿宋" w:hAnsi="仿宋" w:eastAsia="仿宋"/>
          <w:color w:val="FF0000"/>
        </w:rPr>
      </w:pPr>
      <w:r>
        <w:rPr>
          <w:rFonts w:hint="eastAsia" w:ascii="仿宋" w:hAnsi="仿宋" w:eastAsia="仿宋"/>
          <w:color w:val="FF0000"/>
        </w:rPr>
        <w:t>本条沿用自本规范《绿色建筑评价规范》SZJG30-2009得分项第5.6.9条，同时也是在本规范控制项第10.1.1条的基础上所提出的更高要求。无公害病虫害防治是降低城市及社区环境污染、维护城市及社区生态平衡的一项重要举措。对于病虫害，应坚持以物理防治、生物防治为主，化学防治为辅，并加强预测预报。因此，一方面提倡采用生物制剂、仿生制剂等无公害防治技术，另一方面规范杀虫剂、除草剂、化肥、农药等化学药品的使用，防止环境污染，促进生态可持续发展。</w:t>
      </w:r>
    </w:p>
    <w:p>
      <w:pPr>
        <w:pStyle w:val="87"/>
        <w:spacing w:line="360" w:lineRule="auto"/>
        <w:ind w:firstLine="0" w:firstLineChars="0"/>
        <w:outlineLvl w:val="9"/>
        <w:rPr>
          <w:rFonts w:ascii="仿宋" w:hAnsi="仿宋" w:eastAsia="仿宋"/>
          <w:color w:val="FF0000"/>
        </w:rPr>
      </w:pPr>
      <w:r>
        <w:rPr>
          <w:rFonts w:hint="eastAsia" w:ascii="仿宋" w:hAnsi="仿宋" w:eastAsia="仿宋"/>
          <w:color w:val="FF0000"/>
        </w:rPr>
        <w:t>本条的评价方法为：查阅病虫害防治用品的进货清单与使用记录，并现场核查。</w:t>
      </w:r>
    </w:p>
    <w:p>
      <w:pPr>
        <w:pStyle w:val="87"/>
        <w:spacing w:line="360" w:lineRule="auto"/>
        <w:ind w:firstLine="0" w:firstLineChars="0"/>
        <w:outlineLvl w:val="9"/>
        <w:rPr>
          <w:rFonts w:ascii="仿宋" w:hAnsi="仿宋" w:eastAsia="仿宋"/>
          <w:color w:val="FF0000"/>
        </w:rPr>
      </w:pPr>
    </w:p>
    <w:p>
      <w:pPr>
        <w:snapToGrid w:val="0"/>
        <w:spacing w:line="360" w:lineRule="auto"/>
        <w:rPr>
          <w:bCs/>
          <w:sz w:val="24"/>
        </w:rPr>
      </w:pPr>
    </w:p>
    <w:p>
      <w:pPr>
        <w:snapToGrid w:val="0"/>
        <w:spacing w:line="360" w:lineRule="auto"/>
        <w:rPr>
          <w:bCs/>
          <w:sz w:val="24"/>
        </w:rPr>
      </w:pPr>
      <w:r>
        <w:rPr>
          <w:b/>
          <w:sz w:val="24"/>
        </w:rPr>
        <w:t>1</w:t>
      </w:r>
      <w:r>
        <w:rPr>
          <w:rFonts w:hint="eastAsia"/>
          <w:b/>
          <w:sz w:val="24"/>
        </w:rPr>
        <w:t>2</w:t>
      </w:r>
      <w:r>
        <w:rPr>
          <w:b/>
          <w:sz w:val="24"/>
        </w:rPr>
        <w:t>.2.1</w:t>
      </w:r>
      <w:r>
        <w:rPr>
          <w:rFonts w:hint="eastAsia"/>
          <w:b/>
          <w:sz w:val="24"/>
        </w:rPr>
        <w:t>4</w:t>
      </w:r>
      <w:r>
        <w:rPr>
          <w:rFonts w:hAnsi="宋体"/>
          <w:sz w:val="24"/>
        </w:rPr>
        <w:t>　</w:t>
      </w:r>
      <w:r>
        <w:rPr>
          <w:rFonts w:hAnsi="宋体"/>
          <w:bCs/>
          <w:sz w:val="24"/>
        </w:rPr>
        <w:t>栽种和移植的树木一次成活率大于</w:t>
      </w:r>
      <w:r>
        <w:rPr>
          <w:bCs/>
          <w:sz w:val="24"/>
        </w:rPr>
        <w:t>95</w:t>
      </w:r>
      <w:r>
        <w:rPr>
          <w:rFonts w:hAnsi="宋体"/>
          <w:bCs/>
          <w:sz w:val="24"/>
        </w:rPr>
        <w:t>％，植物生长状态良好，评价总分值为</w:t>
      </w:r>
      <w:r>
        <w:rPr>
          <w:bCs/>
          <w:sz w:val="24"/>
        </w:rPr>
        <w:t>4</w:t>
      </w:r>
      <w:r>
        <w:rPr>
          <w:rFonts w:hAnsi="宋体"/>
          <w:bCs/>
          <w:sz w:val="24"/>
        </w:rPr>
        <w:t>分，并按下列规则</w:t>
      </w:r>
      <w:r>
        <w:rPr>
          <w:rFonts w:hint="eastAsia" w:hAnsi="宋体"/>
          <w:bCs/>
          <w:sz w:val="24"/>
        </w:rPr>
        <w:t>分别</w:t>
      </w:r>
      <w:r>
        <w:rPr>
          <w:rFonts w:hAnsi="宋体"/>
          <w:bCs/>
          <w:sz w:val="24"/>
        </w:rPr>
        <w:t>评分</w:t>
      </w:r>
      <w:r>
        <w:rPr>
          <w:rFonts w:hint="eastAsia" w:hAnsi="宋体"/>
          <w:bCs/>
          <w:sz w:val="24"/>
        </w:rPr>
        <w:t>并累计：</w:t>
      </w:r>
    </w:p>
    <w:p>
      <w:pPr>
        <w:snapToGrid w:val="0"/>
        <w:spacing w:line="360" w:lineRule="auto"/>
        <w:ind w:firstLine="481" w:firstLineChars="200"/>
        <w:rPr>
          <w:sz w:val="24"/>
        </w:rPr>
      </w:pPr>
      <w:r>
        <w:rPr>
          <w:b/>
          <w:sz w:val="24"/>
        </w:rPr>
        <w:t>1</w:t>
      </w:r>
      <w:r>
        <w:rPr>
          <w:rFonts w:hAnsi="宋体"/>
          <w:sz w:val="24"/>
        </w:rPr>
        <w:t>　工作记录完整，得</w:t>
      </w:r>
      <w:r>
        <w:rPr>
          <w:sz w:val="24"/>
        </w:rPr>
        <w:t>2</w:t>
      </w:r>
      <w:r>
        <w:rPr>
          <w:rFonts w:hAnsi="宋体"/>
          <w:sz w:val="24"/>
        </w:rPr>
        <w:t>分；</w:t>
      </w:r>
    </w:p>
    <w:p>
      <w:pPr>
        <w:snapToGrid w:val="0"/>
        <w:spacing w:line="360" w:lineRule="auto"/>
        <w:ind w:firstLine="481" w:firstLineChars="200"/>
        <w:rPr>
          <w:rFonts w:hAnsi="宋体"/>
          <w:sz w:val="24"/>
        </w:rPr>
      </w:pPr>
      <w:r>
        <w:rPr>
          <w:b/>
          <w:sz w:val="24"/>
        </w:rPr>
        <w:t>2</w:t>
      </w:r>
      <w:r>
        <w:rPr>
          <w:rFonts w:hAnsi="宋体"/>
          <w:sz w:val="24"/>
        </w:rPr>
        <w:t>　现场观感良好，得</w:t>
      </w:r>
      <w:r>
        <w:rPr>
          <w:sz w:val="24"/>
        </w:rPr>
        <w:t>2</w:t>
      </w:r>
      <w:r>
        <w:rPr>
          <w:rFonts w:hAnsi="宋体"/>
          <w:sz w:val="24"/>
        </w:rPr>
        <w:t>分。</w:t>
      </w:r>
    </w:p>
    <w:p>
      <w:pPr>
        <w:pStyle w:val="87"/>
        <w:spacing w:line="360" w:lineRule="auto"/>
        <w:ind w:firstLine="0" w:firstLineChars="0"/>
        <w:outlineLvl w:val="9"/>
        <w:rPr>
          <w:rFonts w:ascii="仿宋" w:hAnsi="仿宋" w:eastAsia="仿宋"/>
          <w:color w:val="FF0000"/>
        </w:rPr>
      </w:pPr>
      <w:r>
        <w:rPr>
          <w:rFonts w:hint="eastAsia" w:ascii="仿宋" w:hAnsi="仿宋" w:eastAsia="仿宋"/>
          <w:color w:val="FF0000"/>
        </w:rPr>
        <w:t>【条文说明】</w:t>
      </w:r>
    </w:p>
    <w:p>
      <w:pPr>
        <w:pStyle w:val="87"/>
        <w:spacing w:line="360" w:lineRule="auto"/>
        <w:ind w:firstLine="0" w:firstLineChars="0"/>
        <w:outlineLvl w:val="9"/>
        <w:rPr>
          <w:rFonts w:ascii="仿宋" w:hAnsi="仿宋" w:eastAsia="仿宋"/>
          <w:color w:val="FF0000"/>
        </w:rPr>
      </w:pPr>
      <w:r>
        <w:rPr>
          <w:rFonts w:hint="eastAsia" w:ascii="仿宋" w:hAnsi="仿宋" w:eastAsia="仿宋"/>
          <w:color w:val="FF0000"/>
        </w:rPr>
        <w:t>本条适用于各类民用建筑的运行评价。</w:t>
      </w:r>
    </w:p>
    <w:p>
      <w:pPr>
        <w:pStyle w:val="87"/>
        <w:spacing w:line="360" w:lineRule="auto"/>
        <w:ind w:firstLine="0" w:firstLineChars="0"/>
        <w:outlineLvl w:val="9"/>
        <w:rPr>
          <w:rFonts w:ascii="仿宋" w:hAnsi="仿宋" w:eastAsia="仿宋"/>
          <w:color w:val="FF0000"/>
        </w:rPr>
      </w:pPr>
      <w:r>
        <w:rPr>
          <w:rFonts w:hint="eastAsia" w:ascii="仿宋" w:hAnsi="仿宋" w:eastAsia="仿宋"/>
          <w:color w:val="FF0000"/>
        </w:rPr>
        <w:t>本条沿用自本规范《绿色建筑评价规范》SZJG30-2009得分项第5.6.10 条。对绿化区做好日常养护，保证新栽种和移植的树木有较高的一次成活率。如适宜季节植树成活率高、采取树木生长期移植技术、采用耐候性强的乡土植物、建立并完善栽植树木后期管护工作等。发现危树、枯死树木应及时处理。及时做好树木病虫害预测、防治工作，做到树木无暴发性病虫害，保持草坪、地被的完整。</w:t>
      </w:r>
    </w:p>
    <w:p>
      <w:pPr>
        <w:pStyle w:val="87"/>
        <w:spacing w:line="360" w:lineRule="auto"/>
        <w:ind w:firstLine="0" w:firstLineChars="0"/>
        <w:outlineLvl w:val="9"/>
        <w:rPr>
          <w:rFonts w:ascii="仿宋" w:hAnsi="仿宋" w:eastAsia="仿宋"/>
          <w:color w:val="FF0000"/>
        </w:rPr>
      </w:pPr>
      <w:r>
        <w:rPr>
          <w:rFonts w:hint="eastAsia" w:ascii="仿宋" w:hAnsi="仿宋" w:eastAsia="仿宋"/>
          <w:color w:val="FF0000"/>
        </w:rPr>
        <w:t>本条的评价方法为：查阅绿化管理报告，并现场核实和用户调查。</w:t>
      </w:r>
    </w:p>
    <w:p>
      <w:pPr>
        <w:pStyle w:val="87"/>
        <w:spacing w:line="360" w:lineRule="auto"/>
        <w:ind w:firstLine="0" w:firstLineChars="0"/>
        <w:outlineLvl w:val="9"/>
        <w:rPr>
          <w:rFonts w:ascii="仿宋" w:hAnsi="仿宋" w:eastAsia="仿宋"/>
          <w:color w:val="FF0000"/>
        </w:rPr>
      </w:pPr>
    </w:p>
    <w:p>
      <w:pPr>
        <w:snapToGrid w:val="0"/>
        <w:spacing w:line="360" w:lineRule="auto"/>
        <w:rPr>
          <w:bCs/>
          <w:sz w:val="24"/>
        </w:rPr>
      </w:pPr>
    </w:p>
    <w:p>
      <w:pPr>
        <w:snapToGrid w:val="0"/>
        <w:spacing w:line="360" w:lineRule="auto"/>
        <w:rPr>
          <w:bCs/>
          <w:sz w:val="24"/>
        </w:rPr>
      </w:pPr>
      <w:r>
        <w:rPr>
          <w:b/>
          <w:sz w:val="24"/>
        </w:rPr>
        <w:t>1</w:t>
      </w:r>
      <w:r>
        <w:rPr>
          <w:rFonts w:hint="eastAsia"/>
          <w:b/>
          <w:sz w:val="24"/>
        </w:rPr>
        <w:t>2</w:t>
      </w:r>
      <w:r>
        <w:rPr>
          <w:b/>
          <w:sz w:val="24"/>
        </w:rPr>
        <w:t>.2.1</w:t>
      </w:r>
      <w:r>
        <w:rPr>
          <w:rFonts w:hint="eastAsia"/>
          <w:b/>
          <w:sz w:val="24"/>
        </w:rPr>
        <w:t>5</w:t>
      </w:r>
      <w:r>
        <w:rPr>
          <w:rFonts w:hAnsi="宋体"/>
          <w:sz w:val="24"/>
        </w:rPr>
        <w:t>　</w:t>
      </w:r>
      <w:r>
        <w:rPr>
          <w:rFonts w:hAnsi="宋体"/>
          <w:bCs/>
          <w:sz w:val="24"/>
        </w:rPr>
        <w:t>垃圾站</w:t>
      </w:r>
      <w:r>
        <w:rPr>
          <w:bCs/>
          <w:sz w:val="24"/>
        </w:rPr>
        <w:t>(</w:t>
      </w:r>
      <w:r>
        <w:rPr>
          <w:rFonts w:hAnsi="宋体"/>
          <w:bCs/>
          <w:sz w:val="24"/>
        </w:rPr>
        <w:t>间</w:t>
      </w:r>
      <w:r>
        <w:rPr>
          <w:bCs/>
          <w:sz w:val="24"/>
        </w:rPr>
        <w:t>)</w:t>
      </w:r>
      <w:r>
        <w:rPr>
          <w:rFonts w:hAnsi="宋体"/>
          <w:bCs/>
          <w:sz w:val="24"/>
        </w:rPr>
        <w:t>设冲洗和排水设施。存放垃圾每日及时清运，不污染环境，不散发臭味，评价总分值为</w:t>
      </w:r>
      <w:r>
        <w:rPr>
          <w:rFonts w:hint="eastAsia"/>
          <w:bCs/>
          <w:sz w:val="24"/>
        </w:rPr>
        <w:t>7</w:t>
      </w:r>
      <w:r>
        <w:rPr>
          <w:rFonts w:hAnsi="宋体"/>
          <w:bCs/>
          <w:sz w:val="24"/>
        </w:rPr>
        <w:t>分，并按下列规则</w:t>
      </w:r>
      <w:r>
        <w:rPr>
          <w:rFonts w:hint="eastAsia" w:hAnsi="宋体"/>
          <w:bCs/>
          <w:sz w:val="24"/>
        </w:rPr>
        <w:t>分别</w:t>
      </w:r>
      <w:r>
        <w:rPr>
          <w:rFonts w:hAnsi="宋体"/>
          <w:bCs/>
          <w:sz w:val="24"/>
        </w:rPr>
        <w:t>评分</w:t>
      </w:r>
      <w:r>
        <w:rPr>
          <w:rFonts w:hint="eastAsia" w:hAnsi="宋体"/>
          <w:bCs/>
          <w:sz w:val="24"/>
        </w:rPr>
        <w:t>并累计：</w:t>
      </w:r>
    </w:p>
    <w:p>
      <w:pPr>
        <w:snapToGrid w:val="0"/>
        <w:spacing w:line="360" w:lineRule="auto"/>
        <w:ind w:firstLine="481" w:firstLineChars="200"/>
        <w:rPr>
          <w:rFonts w:hAnsi="宋体"/>
          <w:sz w:val="24"/>
        </w:rPr>
      </w:pPr>
      <w:r>
        <w:rPr>
          <w:b/>
          <w:sz w:val="24"/>
        </w:rPr>
        <w:t>1</w:t>
      </w:r>
      <w:r>
        <w:rPr>
          <w:rFonts w:hAnsi="宋体"/>
          <w:sz w:val="24"/>
        </w:rPr>
        <w:t>　垃圾站</w:t>
      </w:r>
      <w:r>
        <w:rPr>
          <w:sz w:val="24"/>
        </w:rPr>
        <w:t>(</w:t>
      </w:r>
      <w:r>
        <w:rPr>
          <w:rFonts w:hAnsi="宋体"/>
          <w:sz w:val="24"/>
        </w:rPr>
        <w:t>间</w:t>
      </w:r>
      <w:r>
        <w:rPr>
          <w:sz w:val="24"/>
        </w:rPr>
        <w:t>)</w:t>
      </w:r>
      <w:r>
        <w:rPr>
          <w:rFonts w:hint="eastAsia"/>
          <w:sz w:val="24"/>
        </w:rPr>
        <w:t>设有冲洗和排放设施，</w:t>
      </w:r>
      <w:r>
        <w:rPr>
          <w:rFonts w:hAnsi="宋体"/>
          <w:sz w:val="24"/>
        </w:rPr>
        <w:t>定期冲洗，得</w:t>
      </w:r>
      <w:r>
        <w:rPr>
          <w:rFonts w:hint="eastAsia"/>
          <w:sz w:val="24"/>
        </w:rPr>
        <w:t>1</w:t>
      </w:r>
      <w:r>
        <w:rPr>
          <w:rFonts w:hAnsi="宋体"/>
          <w:sz w:val="24"/>
        </w:rPr>
        <w:t>分；</w:t>
      </w:r>
    </w:p>
    <w:p>
      <w:pPr>
        <w:snapToGrid w:val="0"/>
        <w:spacing w:line="360" w:lineRule="auto"/>
        <w:ind w:firstLine="481" w:firstLineChars="200"/>
        <w:rPr>
          <w:rFonts w:hAnsi="宋体"/>
          <w:sz w:val="24"/>
        </w:rPr>
      </w:pPr>
      <w:r>
        <w:rPr>
          <w:rFonts w:hint="eastAsia"/>
          <w:b/>
          <w:sz w:val="24"/>
        </w:rPr>
        <w:t>2</w:t>
      </w:r>
      <w:r>
        <w:rPr>
          <w:rFonts w:hint="eastAsia" w:hAnsi="宋体"/>
          <w:sz w:val="24"/>
        </w:rPr>
        <w:t xml:space="preserve">  垃圾站（间）设有通风设施，并定期通风，得1分；</w:t>
      </w:r>
    </w:p>
    <w:p>
      <w:pPr>
        <w:snapToGrid w:val="0"/>
        <w:spacing w:line="360" w:lineRule="auto"/>
        <w:ind w:firstLine="481" w:firstLineChars="200"/>
        <w:rPr>
          <w:rFonts w:hAnsi="宋体"/>
          <w:sz w:val="24"/>
        </w:rPr>
      </w:pPr>
      <w:r>
        <w:rPr>
          <w:rFonts w:hint="eastAsia"/>
          <w:b/>
          <w:sz w:val="24"/>
        </w:rPr>
        <w:t xml:space="preserve">3  </w:t>
      </w:r>
      <w:r>
        <w:rPr>
          <w:rFonts w:hAnsi="宋体"/>
          <w:sz w:val="24"/>
        </w:rPr>
        <w:t>垃圾及时清运、处置，得</w:t>
      </w:r>
      <w:r>
        <w:rPr>
          <w:rFonts w:hint="eastAsia"/>
          <w:sz w:val="24"/>
        </w:rPr>
        <w:t>1</w:t>
      </w:r>
      <w:r>
        <w:rPr>
          <w:rFonts w:hAnsi="宋体"/>
          <w:sz w:val="24"/>
        </w:rPr>
        <w:t>分；</w:t>
      </w:r>
    </w:p>
    <w:p>
      <w:pPr>
        <w:snapToGrid w:val="0"/>
        <w:spacing w:line="360" w:lineRule="auto"/>
        <w:ind w:firstLine="481" w:firstLineChars="200"/>
        <w:rPr>
          <w:sz w:val="24"/>
        </w:rPr>
      </w:pPr>
      <w:r>
        <w:rPr>
          <w:rFonts w:hint="eastAsia"/>
          <w:b/>
          <w:sz w:val="24"/>
        </w:rPr>
        <w:t>4</w:t>
      </w:r>
      <w:r>
        <w:rPr>
          <w:rFonts w:hAnsi="宋体"/>
          <w:sz w:val="24"/>
        </w:rPr>
        <w:t>　</w:t>
      </w:r>
      <w:r>
        <w:rPr>
          <w:rFonts w:hint="eastAsia" w:hAnsi="宋体"/>
          <w:sz w:val="24"/>
        </w:rPr>
        <w:t>垃圾站（间）设有除臭设施，并运行良好，得2分；</w:t>
      </w:r>
    </w:p>
    <w:p>
      <w:pPr>
        <w:snapToGrid w:val="0"/>
        <w:spacing w:line="360" w:lineRule="auto"/>
        <w:ind w:firstLine="481" w:firstLineChars="200"/>
        <w:rPr>
          <w:rFonts w:hAnsi="宋体"/>
          <w:sz w:val="24"/>
        </w:rPr>
      </w:pPr>
      <w:r>
        <w:rPr>
          <w:rFonts w:hint="eastAsia"/>
          <w:b/>
          <w:sz w:val="24"/>
        </w:rPr>
        <w:t>5</w:t>
      </w:r>
      <w:r>
        <w:rPr>
          <w:rFonts w:hAnsi="宋体"/>
          <w:sz w:val="24"/>
        </w:rPr>
        <w:t>　</w:t>
      </w:r>
      <w:r>
        <w:rPr>
          <w:rFonts w:hint="eastAsia" w:hAnsi="宋体"/>
          <w:sz w:val="24"/>
        </w:rPr>
        <w:t>周边</w:t>
      </w:r>
      <w:r>
        <w:rPr>
          <w:rFonts w:hAnsi="宋体"/>
          <w:sz w:val="24"/>
        </w:rPr>
        <w:t>用户反映良好，得</w:t>
      </w:r>
      <w:r>
        <w:rPr>
          <w:sz w:val="24"/>
        </w:rPr>
        <w:t>2</w:t>
      </w:r>
      <w:r>
        <w:rPr>
          <w:rFonts w:hAnsi="宋体"/>
          <w:sz w:val="24"/>
        </w:rPr>
        <w:t>分。</w:t>
      </w:r>
    </w:p>
    <w:p>
      <w:pPr>
        <w:pStyle w:val="87"/>
        <w:spacing w:line="360" w:lineRule="auto"/>
        <w:ind w:firstLine="0" w:firstLineChars="0"/>
        <w:outlineLvl w:val="9"/>
        <w:rPr>
          <w:rFonts w:ascii="仿宋" w:hAnsi="仿宋" w:eastAsia="仿宋"/>
          <w:color w:val="FF0000"/>
        </w:rPr>
      </w:pPr>
      <w:r>
        <w:rPr>
          <w:rFonts w:hint="eastAsia" w:ascii="仿宋" w:hAnsi="仿宋" w:eastAsia="仿宋"/>
          <w:color w:val="FF0000"/>
        </w:rPr>
        <w:t>【条文说明】</w:t>
      </w:r>
    </w:p>
    <w:p>
      <w:pPr>
        <w:pStyle w:val="87"/>
        <w:spacing w:line="360" w:lineRule="auto"/>
        <w:ind w:firstLine="0" w:firstLineChars="0"/>
        <w:outlineLvl w:val="9"/>
        <w:rPr>
          <w:rFonts w:ascii="仿宋" w:hAnsi="仿宋" w:eastAsia="仿宋"/>
          <w:color w:val="FF0000"/>
        </w:rPr>
      </w:pPr>
      <w:r>
        <w:rPr>
          <w:rFonts w:hint="eastAsia" w:ascii="仿宋" w:hAnsi="仿宋" w:eastAsia="仿宋"/>
          <w:color w:val="FF0000"/>
        </w:rPr>
        <w:t>本条适用于各类民用建筑的运行评价；也可在设计评价中进行预审。</w:t>
      </w:r>
    </w:p>
    <w:p>
      <w:pPr>
        <w:pStyle w:val="87"/>
        <w:spacing w:line="360" w:lineRule="auto"/>
        <w:ind w:firstLine="0" w:firstLineChars="0"/>
        <w:outlineLvl w:val="9"/>
        <w:rPr>
          <w:rFonts w:ascii="仿宋" w:hAnsi="仿宋" w:eastAsia="仿宋"/>
          <w:color w:val="FF0000"/>
        </w:rPr>
      </w:pPr>
      <w:r>
        <w:rPr>
          <w:rFonts w:hint="eastAsia" w:ascii="仿宋" w:hAnsi="仿宋" w:eastAsia="仿宋"/>
          <w:color w:val="FF0000"/>
        </w:rPr>
        <w:t>本条沿用自本规范《绿色建筑评价规范》SZJG30-2009得分项第5.6.5条，有修改。重视垃圾收集站点与垃圾间的景观美化及环境卫生问题，用以提升生活环境的品质。垃圾站(间)设冲洗和排水设施，并定期进行冲洗、消杀；存放垃圾能及时清运、并做到垃圾不散落、不污染环境、不散发臭味。本条所指的垃圾站(间)，还应包括生物降解垃圾处理房等类似功能间。</w:t>
      </w:r>
    </w:p>
    <w:p>
      <w:pPr>
        <w:pStyle w:val="87"/>
        <w:spacing w:line="360" w:lineRule="auto"/>
        <w:ind w:firstLine="0" w:firstLineChars="0"/>
        <w:outlineLvl w:val="9"/>
        <w:rPr>
          <w:rFonts w:ascii="仿宋" w:hAnsi="仿宋" w:eastAsia="仿宋"/>
          <w:color w:val="FF0000"/>
        </w:rPr>
      </w:pPr>
      <w:r>
        <w:rPr>
          <w:rFonts w:hint="eastAsia" w:ascii="仿宋" w:hAnsi="仿宋" w:eastAsia="仿宋"/>
          <w:color w:val="FF0000"/>
        </w:rPr>
        <w:t>本条的评价方法为：现场考察和用户抽样调查。设计阶段评审时，查阅垃圾收集站点、垃圾间等冲洗、排水设施设计文件。</w:t>
      </w:r>
    </w:p>
    <w:p>
      <w:pPr>
        <w:pStyle w:val="87"/>
        <w:spacing w:line="360" w:lineRule="auto"/>
        <w:ind w:firstLine="0" w:firstLineChars="0"/>
        <w:outlineLvl w:val="9"/>
        <w:rPr>
          <w:rFonts w:ascii="仿宋" w:hAnsi="仿宋" w:eastAsia="仿宋"/>
          <w:color w:val="FF0000"/>
        </w:rPr>
      </w:pPr>
    </w:p>
    <w:p>
      <w:pPr>
        <w:snapToGrid w:val="0"/>
        <w:spacing w:line="360" w:lineRule="auto"/>
        <w:rPr>
          <w:bCs/>
          <w:sz w:val="24"/>
        </w:rPr>
      </w:pPr>
    </w:p>
    <w:p>
      <w:pPr>
        <w:snapToGrid w:val="0"/>
        <w:spacing w:line="360" w:lineRule="auto"/>
        <w:rPr>
          <w:bCs/>
          <w:sz w:val="24"/>
        </w:rPr>
      </w:pPr>
      <w:r>
        <w:rPr>
          <w:b/>
          <w:sz w:val="24"/>
        </w:rPr>
        <w:t>1</w:t>
      </w:r>
      <w:r>
        <w:rPr>
          <w:rFonts w:hint="eastAsia"/>
          <w:b/>
          <w:sz w:val="24"/>
        </w:rPr>
        <w:t>2</w:t>
      </w:r>
      <w:r>
        <w:rPr>
          <w:b/>
          <w:sz w:val="24"/>
        </w:rPr>
        <w:t>.2.1</w:t>
      </w:r>
      <w:r>
        <w:rPr>
          <w:rFonts w:hint="eastAsia"/>
          <w:b/>
          <w:sz w:val="24"/>
        </w:rPr>
        <w:t>6</w:t>
      </w:r>
      <w:r>
        <w:rPr>
          <w:rFonts w:hAnsi="宋体"/>
          <w:sz w:val="24"/>
        </w:rPr>
        <w:t>　</w:t>
      </w:r>
      <w:r>
        <w:rPr>
          <w:rFonts w:hAnsi="宋体"/>
          <w:bCs/>
          <w:sz w:val="24"/>
        </w:rPr>
        <w:t>实行垃圾分类收集和处理，评价总分值为</w:t>
      </w:r>
      <w:r>
        <w:rPr>
          <w:rFonts w:hint="eastAsia"/>
          <w:bCs/>
          <w:sz w:val="24"/>
        </w:rPr>
        <w:t>9</w:t>
      </w:r>
      <w:r>
        <w:rPr>
          <w:rFonts w:hAnsi="宋体"/>
          <w:bCs/>
          <w:sz w:val="24"/>
        </w:rPr>
        <w:t>分，并按下列规则</w:t>
      </w:r>
      <w:r>
        <w:rPr>
          <w:rFonts w:hint="eastAsia" w:hAnsi="宋体"/>
          <w:bCs/>
          <w:sz w:val="24"/>
        </w:rPr>
        <w:t>分别</w:t>
      </w:r>
      <w:r>
        <w:rPr>
          <w:rFonts w:hAnsi="宋体"/>
          <w:bCs/>
          <w:sz w:val="24"/>
        </w:rPr>
        <w:t>评分</w:t>
      </w:r>
      <w:r>
        <w:rPr>
          <w:rFonts w:hint="eastAsia" w:hAnsi="宋体"/>
          <w:bCs/>
          <w:sz w:val="24"/>
        </w:rPr>
        <w:t>并累计：</w:t>
      </w:r>
    </w:p>
    <w:p>
      <w:pPr>
        <w:snapToGrid w:val="0"/>
        <w:spacing w:line="360" w:lineRule="auto"/>
        <w:ind w:firstLine="481" w:firstLineChars="200"/>
        <w:rPr>
          <w:sz w:val="24"/>
        </w:rPr>
      </w:pPr>
      <w:r>
        <w:rPr>
          <w:b/>
          <w:sz w:val="24"/>
        </w:rPr>
        <w:t>1</w:t>
      </w:r>
      <w:r>
        <w:rPr>
          <w:rFonts w:hAnsi="宋体"/>
          <w:sz w:val="24"/>
        </w:rPr>
        <w:t>　垃圾分类收集率达到</w:t>
      </w:r>
      <w:r>
        <w:rPr>
          <w:sz w:val="24"/>
        </w:rPr>
        <w:t>90</w:t>
      </w:r>
      <w:r>
        <w:rPr>
          <w:rFonts w:hAnsi="宋体"/>
          <w:sz w:val="24"/>
        </w:rPr>
        <w:t>％，得</w:t>
      </w:r>
      <w:r>
        <w:rPr>
          <w:rFonts w:hint="eastAsia"/>
          <w:sz w:val="24"/>
        </w:rPr>
        <w:t>2</w:t>
      </w:r>
      <w:r>
        <w:rPr>
          <w:rFonts w:hAnsi="宋体"/>
          <w:sz w:val="24"/>
        </w:rPr>
        <w:t>分；</w:t>
      </w:r>
    </w:p>
    <w:p>
      <w:pPr>
        <w:snapToGrid w:val="0"/>
        <w:spacing w:line="360" w:lineRule="auto"/>
        <w:ind w:firstLine="481" w:firstLineChars="200"/>
        <w:rPr>
          <w:sz w:val="24"/>
        </w:rPr>
      </w:pPr>
      <w:r>
        <w:rPr>
          <w:b/>
          <w:sz w:val="24"/>
        </w:rPr>
        <w:t>2</w:t>
      </w:r>
      <w:r>
        <w:rPr>
          <w:rFonts w:hAnsi="宋体"/>
          <w:sz w:val="24"/>
        </w:rPr>
        <w:t>　可回收垃圾的回收比例达到</w:t>
      </w:r>
      <w:r>
        <w:rPr>
          <w:sz w:val="24"/>
        </w:rPr>
        <w:t>90%</w:t>
      </w:r>
      <w:r>
        <w:rPr>
          <w:rFonts w:hAnsi="宋体"/>
          <w:sz w:val="24"/>
        </w:rPr>
        <w:t>，得</w:t>
      </w:r>
      <w:r>
        <w:rPr>
          <w:sz w:val="24"/>
        </w:rPr>
        <w:t>2</w:t>
      </w:r>
      <w:r>
        <w:rPr>
          <w:rFonts w:hAnsi="宋体"/>
          <w:sz w:val="24"/>
        </w:rPr>
        <w:t>分；</w:t>
      </w:r>
    </w:p>
    <w:p>
      <w:pPr>
        <w:snapToGrid w:val="0"/>
        <w:spacing w:line="360" w:lineRule="auto"/>
        <w:ind w:firstLine="481" w:firstLineChars="200"/>
        <w:rPr>
          <w:sz w:val="24"/>
        </w:rPr>
      </w:pPr>
      <w:r>
        <w:rPr>
          <w:b/>
          <w:sz w:val="24"/>
        </w:rPr>
        <w:t>3</w:t>
      </w:r>
      <w:r>
        <w:rPr>
          <w:rFonts w:hAnsi="宋体"/>
          <w:sz w:val="24"/>
        </w:rPr>
        <w:t>　对有害垃圾进行单独收集和合理处置，得</w:t>
      </w:r>
      <w:r>
        <w:rPr>
          <w:rFonts w:hint="eastAsia"/>
          <w:sz w:val="24"/>
        </w:rPr>
        <w:t>2</w:t>
      </w:r>
      <w:r>
        <w:rPr>
          <w:rFonts w:hAnsi="宋体"/>
          <w:sz w:val="24"/>
        </w:rPr>
        <w:t>分；</w:t>
      </w:r>
    </w:p>
    <w:p>
      <w:pPr>
        <w:snapToGrid w:val="0"/>
        <w:spacing w:line="360" w:lineRule="auto"/>
        <w:ind w:firstLine="481" w:firstLineChars="200"/>
        <w:rPr>
          <w:bCs/>
          <w:sz w:val="24"/>
        </w:rPr>
      </w:pPr>
      <w:r>
        <w:rPr>
          <w:b/>
          <w:sz w:val="24"/>
        </w:rPr>
        <w:t>4</w:t>
      </w:r>
      <w:r>
        <w:rPr>
          <w:rFonts w:hAnsi="宋体"/>
          <w:sz w:val="24"/>
        </w:rPr>
        <w:t>　对可生物降解垃圾进行单独收集和合理处置，得</w:t>
      </w:r>
      <w:r>
        <w:rPr>
          <w:rFonts w:hint="eastAsia"/>
          <w:sz w:val="24"/>
        </w:rPr>
        <w:t>3</w:t>
      </w:r>
      <w:r>
        <w:rPr>
          <w:rFonts w:hAnsi="宋体"/>
          <w:sz w:val="24"/>
        </w:rPr>
        <w:t>分。</w:t>
      </w:r>
    </w:p>
    <w:p>
      <w:pPr>
        <w:pStyle w:val="87"/>
        <w:spacing w:line="360" w:lineRule="auto"/>
        <w:ind w:firstLine="0" w:firstLineChars="0"/>
        <w:outlineLvl w:val="9"/>
        <w:rPr>
          <w:rFonts w:ascii="仿宋" w:hAnsi="仿宋" w:eastAsia="仿宋"/>
          <w:color w:val="FF0000"/>
        </w:rPr>
      </w:pPr>
      <w:r>
        <w:rPr>
          <w:rFonts w:hint="eastAsia" w:ascii="仿宋" w:hAnsi="仿宋" w:eastAsia="仿宋"/>
          <w:color w:val="FF0000"/>
        </w:rPr>
        <w:t>【条文说明】</w:t>
      </w:r>
    </w:p>
    <w:p>
      <w:pPr>
        <w:pStyle w:val="87"/>
        <w:spacing w:line="360" w:lineRule="auto"/>
        <w:ind w:firstLine="0" w:firstLineChars="0"/>
        <w:outlineLvl w:val="9"/>
        <w:rPr>
          <w:rFonts w:ascii="仿宋" w:hAnsi="仿宋" w:eastAsia="仿宋"/>
          <w:color w:val="FF0000"/>
        </w:rPr>
      </w:pPr>
      <w:r>
        <w:rPr>
          <w:rFonts w:hint="eastAsia" w:ascii="仿宋" w:hAnsi="仿宋" w:eastAsia="仿宋"/>
          <w:color w:val="FF0000"/>
        </w:rPr>
        <w:t>本条适用于各类民用建筑的运行评价。</w:t>
      </w:r>
    </w:p>
    <w:p>
      <w:pPr>
        <w:pStyle w:val="87"/>
        <w:spacing w:line="360" w:lineRule="auto"/>
        <w:ind w:firstLine="0" w:firstLineChars="0"/>
        <w:outlineLvl w:val="9"/>
        <w:rPr>
          <w:rFonts w:ascii="仿宋" w:hAnsi="仿宋" w:eastAsia="仿宋"/>
          <w:color w:val="FF0000"/>
        </w:rPr>
      </w:pPr>
      <w:r>
        <w:rPr>
          <w:rFonts w:hint="eastAsia" w:ascii="仿宋" w:hAnsi="仿宋" w:eastAsia="仿宋"/>
          <w:color w:val="FF0000"/>
        </w:rPr>
        <w:t>本条沿用自本规范《绿色建筑评价规范》SZJG30-2009得分项第5.6.6条，有修改。按照《深圳市生活垃圾分类和减量管理办法》（深圳市人民政府令第277号）的规定，生活垃圾可分为可回收物、有害垃圾、其他垃圾三类，鼓励有处理条件的住宅区等场所将生活垃圾分为四类：可回收物、有害垃圾、厨余垃圾和其他垃圾。</w:t>
      </w:r>
      <w:r>
        <w:rPr>
          <w:rFonts w:ascii="仿宋" w:hAnsi="仿宋" w:eastAsia="仿宋"/>
          <w:color w:val="FF0000"/>
        </w:rPr>
        <w:t>垃圾分类收集就是在源头将垃圾分类投放，并通过分类的清运和回收使之分类处理或重新变成资源，减少垃圾的处理量，减少运输和处理过程中的成本。除要求垃圾分类收集率外，还分别对可回收垃圾、可生物降解垃圾（有机厨余垃圾）提出了明确要求。需要说明的是，对有害垃圾必须单独收集、单独运输、单独处理，这是《城镇环境卫生设施设置标准》CJJ 27-2005的强制性要求。</w:t>
      </w:r>
    </w:p>
    <w:p>
      <w:pPr>
        <w:spacing w:line="360" w:lineRule="auto"/>
        <w:ind w:firstLine="420" w:firstLineChars="200"/>
        <w:rPr>
          <w:szCs w:val="21"/>
        </w:rPr>
      </w:pPr>
      <w:r>
        <w:rPr>
          <w:rFonts w:hint="eastAsia" w:cs="宋体"/>
          <w:szCs w:val="21"/>
        </w:rPr>
        <w:t>1  垃圾分类收集</w:t>
      </w:r>
    </w:p>
    <w:p>
      <w:pPr>
        <w:spacing w:line="360" w:lineRule="auto"/>
        <w:ind w:firstLine="420" w:firstLineChars="200"/>
        <w:rPr>
          <w:szCs w:val="21"/>
        </w:rPr>
      </w:pPr>
      <w:r>
        <w:rPr>
          <w:rFonts w:hint="eastAsia" w:cs="宋体"/>
          <w:szCs w:val="21"/>
        </w:rPr>
        <w:t>垃圾分类收集率的计算公式为：</w:t>
      </w:r>
    </w:p>
    <w:p>
      <w:pPr>
        <w:spacing w:line="360" w:lineRule="auto"/>
        <w:ind w:firstLine="420" w:firstLineChars="200"/>
        <w:jc w:val="center"/>
        <w:rPr>
          <w:szCs w:val="21"/>
        </w:rPr>
      </w:pPr>
      <w:r>
        <w:rPr>
          <w:rFonts w:ascii="Times New Roman" w:hAnsi="Times New Roman" w:eastAsia="宋体" w:cs="Times New Roman"/>
          <w:kern w:val="2"/>
          <w:position w:val="-24"/>
          <w:sz w:val="21"/>
          <w:szCs w:val="21"/>
          <w:lang w:val="en-US" w:eastAsia="zh-CN" w:bidi="ar-SA"/>
        </w:rPr>
        <w:pict>
          <v:shape id="_x0000_i1029" o:spt="75" type="#_x0000_t75" style="height:31.7pt;width:87pt;" fillcolor="#FFFFFF" filled="f" o:preferrelative="t" stroked="f" coordsize="21600,21600">
            <v:path/>
            <v:fill on="f" color2="#FFFFFF" focussize="0,0"/>
            <v:stroke on="f"/>
            <v:imagedata r:id="rId13" gain="65536f" blacklevel="0f" gamma="0" o:title=""/>
            <o:lock v:ext="edit" position="f" selection="f" grouping="f" rotation="f" cropping="f" text="f" aspectratio="t"/>
            <w10:wrap type="none"/>
            <w10:anchorlock/>
          </v:shape>
        </w:pict>
      </w:r>
    </w:p>
    <w:p>
      <w:pPr>
        <w:spacing w:line="360" w:lineRule="auto"/>
        <w:ind w:firstLine="420" w:firstLineChars="200"/>
        <w:rPr>
          <w:szCs w:val="21"/>
        </w:rPr>
      </w:pPr>
      <w:r>
        <w:rPr>
          <w:rFonts w:hint="eastAsia" w:cs="宋体"/>
          <w:szCs w:val="21"/>
        </w:rPr>
        <w:t>式中：</w:t>
      </w:r>
      <w:r>
        <w:rPr>
          <w:rFonts w:ascii="Times New Roman" w:hAnsi="Times New Roman" w:eastAsia="宋体" w:cs="宋体"/>
          <w:kern w:val="2"/>
          <w:position w:val="-10"/>
          <w:sz w:val="21"/>
          <w:szCs w:val="21"/>
          <w:lang w:val="en-US" w:eastAsia="zh-CN" w:bidi="ar-SA"/>
        </w:rPr>
        <w:pict>
          <v:shape id="_x0000_i1030" o:spt="75" type="#_x0000_t75" style="height:17.85pt;width:13.8pt;" fillcolor="#FFFFFF" filled="f" o:preferrelative="t" stroked="f" coordsize="21600,21600">
            <v:path/>
            <v:fill on="f" color2="#FFFFFF" focussize="0,0"/>
            <v:stroke on="f"/>
            <v:imagedata r:id="rId14" gain="65536f" blacklevel="0f" gamma="0" o:title=""/>
            <o:lock v:ext="edit" position="f" selection="f" grouping="f" rotation="f" cropping="f" text="f" aspectratio="t"/>
            <w10:wrap type="none"/>
            <w10:anchorlock/>
          </v:shape>
        </w:pict>
      </w:r>
      <w:r>
        <w:rPr>
          <w:szCs w:val="21"/>
        </w:rPr>
        <w:t>—</w:t>
      </w:r>
      <w:r>
        <w:rPr>
          <w:rFonts w:hint="eastAsia" w:cs="宋体"/>
          <w:szCs w:val="21"/>
        </w:rPr>
        <w:t>垃圾分类收集率（</w:t>
      </w:r>
      <w:r>
        <w:rPr>
          <w:szCs w:val="21"/>
        </w:rPr>
        <w:t>%</w:t>
      </w:r>
      <w:r>
        <w:rPr>
          <w:rFonts w:hint="eastAsia" w:cs="宋体"/>
          <w:szCs w:val="21"/>
        </w:rPr>
        <w:t>）；</w:t>
      </w:r>
    </w:p>
    <w:p>
      <w:pPr>
        <w:spacing w:line="360" w:lineRule="auto"/>
        <w:ind w:firstLine="1050" w:firstLineChars="500"/>
        <w:rPr>
          <w:szCs w:val="21"/>
        </w:rPr>
      </w:pPr>
      <w:r>
        <w:rPr>
          <w:rFonts w:ascii="Times New Roman" w:hAnsi="Times New Roman" w:eastAsia="宋体" w:cs="宋体"/>
          <w:kern w:val="2"/>
          <w:position w:val="-10"/>
          <w:sz w:val="21"/>
          <w:szCs w:val="21"/>
          <w:lang w:val="en-US" w:eastAsia="zh-CN" w:bidi="ar-SA"/>
        </w:rPr>
        <w:object>
          <v:shape id="_x0000_i1031" o:spt="75" type="#_x0000_t75" style="height:17.85pt;width:15pt;" o:ole="t" fillcolor="#FFFFFF" filled="f" o:preferrelative="t" stroked="f" coordsize="21600,21600">
            <v:path/>
            <v:fill on="f" color2="#FFFFFF" focussize="0,0"/>
            <v:stroke on="f"/>
            <v:imagedata r:id="rId16" gain="65536f" blacklevel="0f" gamma="0" o:title=""/>
            <o:lock v:ext="edit" position="f" selection="f" grouping="f" rotation="f" cropping="f" text="f" aspectratio="t"/>
            <w10:wrap type="none"/>
            <w10:anchorlock/>
          </v:shape>
          <o:OLEObject Type="Embed" ProgID="" ShapeID="_x0000_i1031" DrawAspect="Content" ObjectID="_1468075727" r:id="rId15">
            <o:LockedField>false</o:LockedField>
          </o:OLEObject>
        </w:object>
      </w:r>
      <w:r>
        <w:rPr>
          <w:szCs w:val="21"/>
        </w:rPr>
        <w:t>—</w:t>
      </w:r>
      <w:r>
        <w:rPr>
          <w:rFonts w:hint="eastAsia" w:cs="宋体"/>
          <w:szCs w:val="21"/>
        </w:rPr>
        <w:t>分类收集的垃圾质量（</w:t>
      </w:r>
      <w:r>
        <w:rPr>
          <w:szCs w:val="21"/>
        </w:rPr>
        <w:t>t</w:t>
      </w:r>
      <w:r>
        <w:rPr>
          <w:rFonts w:hint="eastAsia" w:cs="宋体"/>
          <w:szCs w:val="21"/>
        </w:rPr>
        <w:t>）</w:t>
      </w:r>
    </w:p>
    <w:p>
      <w:pPr>
        <w:spacing w:line="360" w:lineRule="auto"/>
        <w:ind w:firstLine="1050" w:firstLineChars="500"/>
        <w:rPr>
          <w:szCs w:val="21"/>
        </w:rPr>
      </w:pPr>
      <w:r>
        <w:rPr>
          <w:rFonts w:ascii="Times New Roman" w:hAnsi="Times New Roman" w:eastAsia="宋体" w:cs="Times New Roman"/>
          <w:kern w:val="2"/>
          <w:position w:val="-4"/>
          <w:sz w:val="21"/>
          <w:szCs w:val="21"/>
          <w:lang w:val="en-US" w:eastAsia="zh-CN" w:bidi="ar-SA"/>
        </w:rPr>
        <w:object>
          <v:shape id="_x0000_i1032" o:spt="75" type="#_x0000_t75" style="height:13.8pt;width:12.65pt;" o:ole="t" fillcolor="#FFFFFF" filled="f" o:preferrelative="t" stroked="f" coordsize="21600,21600">
            <v:path/>
            <v:fill on="f" color2="#FFFFFF" focussize="0,0"/>
            <v:stroke on="f"/>
            <v:imagedata r:id="rId18" gain="65536f" blacklevel="0f" gamma="0" o:title=""/>
            <o:lock v:ext="edit" position="f" selection="f" grouping="f" rotation="f" cropping="f" text="f" aspectratio="t"/>
            <w10:wrap type="none"/>
            <w10:anchorlock/>
          </v:shape>
          <o:OLEObject Type="Embed" ProgID="" ShapeID="_x0000_i1032" DrawAspect="Content" ObjectID="_1468075728" r:id="rId17">
            <o:LockedField>false</o:LockedField>
          </o:OLEObject>
        </w:object>
      </w:r>
      <w:r>
        <w:rPr>
          <w:szCs w:val="21"/>
        </w:rPr>
        <w:t>—</w:t>
      </w:r>
      <w:r>
        <w:rPr>
          <w:rFonts w:hint="eastAsia" w:cs="宋体"/>
          <w:szCs w:val="21"/>
        </w:rPr>
        <w:t>垃圾排放总质量（</w:t>
      </w:r>
      <w:r>
        <w:rPr>
          <w:szCs w:val="21"/>
        </w:rPr>
        <w:t>t</w:t>
      </w:r>
      <w:r>
        <w:rPr>
          <w:rFonts w:hint="eastAsia" w:cs="宋体"/>
          <w:szCs w:val="21"/>
        </w:rPr>
        <w:t>）。</w:t>
      </w:r>
    </w:p>
    <w:p>
      <w:pPr>
        <w:spacing w:line="360" w:lineRule="auto"/>
        <w:ind w:firstLine="420" w:firstLineChars="200"/>
        <w:rPr>
          <w:szCs w:val="21"/>
        </w:rPr>
      </w:pPr>
      <w:r>
        <w:rPr>
          <w:rFonts w:hint="eastAsia" w:cs="宋体"/>
          <w:szCs w:val="21"/>
        </w:rPr>
        <w:t>2  可回收垃圾的回收比例</w:t>
      </w:r>
    </w:p>
    <w:p>
      <w:pPr>
        <w:spacing w:line="360" w:lineRule="auto"/>
        <w:ind w:firstLine="420" w:firstLineChars="200"/>
        <w:rPr>
          <w:szCs w:val="21"/>
        </w:rPr>
      </w:pPr>
      <w:r>
        <w:rPr>
          <w:rFonts w:hint="eastAsia" w:cs="宋体"/>
          <w:szCs w:val="21"/>
        </w:rPr>
        <w:t>可回收垃圾的回收比例的计算公式为：</w:t>
      </w:r>
    </w:p>
    <w:p>
      <w:pPr>
        <w:spacing w:line="360" w:lineRule="auto"/>
        <w:ind w:firstLine="420" w:firstLineChars="200"/>
        <w:jc w:val="center"/>
        <w:rPr>
          <w:szCs w:val="21"/>
        </w:rPr>
      </w:pPr>
      <w:r>
        <w:rPr>
          <w:rFonts w:ascii="Times New Roman" w:hAnsi="Times New Roman" w:eastAsia="宋体" w:cs="Times New Roman"/>
          <w:kern w:val="2"/>
          <w:position w:val="-30"/>
          <w:sz w:val="21"/>
          <w:szCs w:val="21"/>
          <w:lang w:val="en-US" w:eastAsia="zh-CN" w:bidi="ar-SA"/>
        </w:rPr>
        <w:object>
          <v:shape id="_x0000_i1033" o:spt="75" type="#_x0000_t75" style="height:35.15pt;width:47.8pt;" o:ole="t" fillcolor="#FFFFFF" filled="f" o:preferrelative="t" stroked="f" coordsize="21600,21600">
            <v:path/>
            <v:fill on="f" color2="#FFFFFF" focussize="0,0"/>
            <v:stroke on="f"/>
            <v:imagedata r:id="rId20" gain="65536f" blacklevel="0f" gamma="0" o:title=""/>
            <o:lock v:ext="edit" position="f" selection="f" grouping="f" rotation="f" cropping="f" text="f" aspectratio="t"/>
            <w10:wrap type="none"/>
            <w10:anchorlock/>
          </v:shape>
          <o:OLEObject Type="Embed" ProgID="" ShapeID="_x0000_i1033" DrawAspect="Content" ObjectID="_1468075729" r:id="rId19">
            <o:LockedField>false</o:LockedField>
          </o:OLEObject>
        </w:object>
      </w:r>
    </w:p>
    <w:p>
      <w:pPr>
        <w:spacing w:line="360" w:lineRule="auto"/>
        <w:ind w:firstLine="420" w:firstLineChars="200"/>
        <w:rPr>
          <w:szCs w:val="21"/>
        </w:rPr>
      </w:pPr>
      <w:r>
        <w:rPr>
          <w:rFonts w:hint="eastAsia" w:cs="宋体"/>
          <w:szCs w:val="21"/>
        </w:rPr>
        <w:t>式中：</w:t>
      </w:r>
      <w:r>
        <w:rPr>
          <w:rFonts w:ascii="Times New Roman" w:hAnsi="Times New Roman" w:eastAsia="宋体" w:cs="宋体"/>
          <w:kern w:val="2"/>
          <w:position w:val="-10"/>
          <w:sz w:val="21"/>
          <w:szCs w:val="21"/>
          <w:lang w:val="en-US" w:eastAsia="zh-CN" w:bidi="ar-SA"/>
        </w:rPr>
        <w:object>
          <v:shape id="_x0000_i1034" o:spt="75" type="#_x0000_t75" style="height:17.85pt;width:13.8pt;" o:ole="t" fillcolor="#FFFFFF" filled="f" o:preferrelative="t" stroked="f" coordsize="21600,21600">
            <v:path/>
            <v:fill on="f" color2="#FFFFFF" focussize="0,0"/>
            <v:stroke on="f"/>
            <v:imagedata r:id="rId22" gain="65536f" blacklevel="0f" gamma="0" o:title=""/>
            <o:lock v:ext="edit" position="f" selection="f" grouping="f" rotation="f" cropping="f" text="f" aspectratio="t"/>
            <w10:wrap type="none"/>
            <w10:anchorlock/>
          </v:shape>
          <o:OLEObject Type="Embed" ProgID="" ShapeID="_x0000_i1034" DrawAspect="Content" ObjectID="_1468075730" r:id="rId21">
            <o:LockedField>false</o:LockedField>
          </o:OLEObject>
        </w:object>
      </w:r>
      <w:r>
        <w:rPr>
          <w:szCs w:val="21"/>
        </w:rPr>
        <w:t>—</w:t>
      </w:r>
      <w:r>
        <w:rPr>
          <w:rFonts w:hint="eastAsia" w:cs="宋体"/>
          <w:szCs w:val="21"/>
        </w:rPr>
        <w:t>可回收垃圾的回收比例（</w:t>
      </w:r>
      <w:r>
        <w:rPr>
          <w:szCs w:val="21"/>
        </w:rPr>
        <w:t>%</w:t>
      </w:r>
      <w:r>
        <w:rPr>
          <w:rFonts w:hint="eastAsia" w:cs="宋体"/>
          <w:szCs w:val="21"/>
        </w:rPr>
        <w:t>）；</w:t>
      </w:r>
    </w:p>
    <w:p>
      <w:pPr>
        <w:spacing w:line="360" w:lineRule="auto"/>
        <w:ind w:firstLine="1050" w:firstLineChars="500"/>
        <w:rPr>
          <w:szCs w:val="21"/>
        </w:rPr>
      </w:pPr>
      <w:r>
        <w:rPr>
          <w:rFonts w:ascii="Times New Roman" w:hAnsi="Times New Roman" w:eastAsia="宋体" w:cs="宋体"/>
          <w:kern w:val="2"/>
          <w:position w:val="-10"/>
          <w:sz w:val="21"/>
          <w:szCs w:val="21"/>
          <w:lang w:val="en-US" w:eastAsia="zh-CN" w:bidi="ar-SA"/>
        </w:rPr>
        <w:object>
          <v:shape id="_x0000_i1035" o:spt="75" type="#_x0000_t75" style="height:17.85pt;width:13.8pt;" o:ole="t" fillcolor="#FFFFFF" filled="f" o:preferrelative="t" stroked="f" coordsize="21600,21600">
            <v:path/>
            <v:fill on="f" color2="#FFFFFF" focussize="0,0"/>
            <v:stroke on="f"/>
            <v:imagedata r:id="rId24" gain="65536f" blacklevel="0f" gamma="0" o:title=""/>
            <o:lock v:ext="edit" position="f" selection="f" grouping="f" rotation="f" cropping="f" text="f" aspectratio="t"/>
            <w10:wrap type="none"/>
            <w10:anchorlock/>
          </v:shape>
          <o:OLEObject Type="Embed" ProgID="" ShapeID="_x0000_i1035" DrawAspect="Content" ObjectID="_1468075731" r:id="rId23">
            <o:LockedField>false</o:LockedField>
          </o:OLEObject>
        </w:object>
      </w:r>
      <w:r>
        <w:rPr>
          <w:szCs w:val="21"/>
        </w:rPr>
        <w:t>—</w:t>
      </w:r>
      <w:r>
        <w:rPr>
          <w:rFonts w:hint="eastAsia" w:cs="宋体"/>
          <w:szCs w:val="21"/>
        </w:rPr>
        <w:t>已回收的可回收物质量（</w:t>
      </w:r>
      <w:r>
        <w:rPr>
          <w:szCs w:val="21"/>
        </w:rPr>
        <w:t>t</w:t>
      </w:r>
      <w:r>
        <w:rPr>
          <w:rFonts w:hint="eastAsia" w:cs="宋体"/>
          <w:szCs w:val="21"/>
        </w:rPr>
        <w:t>）；</w:t>
      </w:r>
    </w:p>
    <w:p>
      <w:pPr>
        <w:spacing w:line="360" w:lineRule="auto"/>
        <w:ind w:firstLine="1050" w:firstLineChars="500"/>
        <w:rPr>
          <w:szCs w:val="21"/>
        </w:rPr>
      </w:pPr>
      <w:r>
        <w:rPr>
          <w:rFonts w:ascii="Times New Roman" w:hAnsi="Times New Roman" w:eastAsia="宋体" w:cs="Times New Roman"/>
          <w:kern w:val="2"/>
          <w:position w:val="-10"/>
          <w:sz w:val="21"/>
          <w:szCs w:val="21"/>
          <w:lang w:val="en-US" w:eastAsia="zh-CN" w:bidi="ar-SA"/>
        </w:rPr>
        <w:object>
          <v:shape id="_x0000_i1036" o:spt="75" type="#_x0000_t75" style="height:17.85pt;width:13.8pt;" o:ole="t" fillcolor="#FFFFFF" filled="f" o:preferrelative="t" stroked="f" coordsize="21600,21600">
            <v:path/>
            <v:fill on="f" color2="#FFFFFF" focussize="0,0"/>
            <v:stroke on="f"/>
            <v:imagedata r:id="rId26" gain="65536f" blacklevel="0f" gamma="0" o:title=""/>
            <o:lock v:ext="edit" position="f" selection="f" grouping="f" rotation="f" cropping="f" text="f" aspectratio="t"/>
            <w10:wrap type="none"/>
            <w10:anchorlock/>
          </v:shape>
          <o:OLEObject Type="Embed" ProgID="" ShapeID="_x0000_i1036" DrawAspect="Content" ObjectID="_1468075732" r:id="rId25">
            <o:LockedField>false</o:LockedField>
          </o:OLEObject>
        </w:object>
      </w:r>
      <w:r>
        <w:rPr>
          <w:szCs w:val="21"/>
        </w:rPr>
        <w:t>—</w:t>
      </w:r>
      <w:r>
        <w:rPr>
          <w:rFonts w:hint="eastAsia" w:cs="宋体"/>
          <w:szCs w:val="21"/>
        </w:rPr>
        <w:t>可回收物总质量（</w:t>
      </w:r>
      <w:r>
        <w:rPr>
          <w:szCs w:val="21"/>
        </w:rPr>
        <w:t>t</w:t>
      </w:r>
      <w:r>
        <w:rPr>
          <w:rFonts w:hint="eastAsia" w:cs="宋体"/>
          <w:szCs w:val="21"/>
        </w:rPr>
        <w:t>）。</w:t>
      </w:r>
    </w:p>
    <w:p>
      <w:pPr>
        <w:spacing w:line="360" w:lineRule="auto"/>
        <w:ind w:firstLine="420" w:firstLineChars="200"/>
        <w:rPr>
          <w:szCs w:val="21"/>
        </w:rPr>
      </w:pPr>
      <w:r>
        <w:rPr>
          <w:rFonts w:hint="eastAsia" w:cs="宋体"/>
          <w:szCs w:val="21"/>
        </w:rPr>
        <w:t>采用上述公式计算时，应选择同一时间段，保证各参数取值在时间段上的一致性。评价时间段宜大于一年。</w:t>
      </w:r>
    </w:p>
    <w:p>
      <w:pPr>
        <w:snapToGrid w:val="0"/>
        <w:spacing w:line="360" w:lineRule="auto"/>
        <w:ind w:firstLine="420" w:firstLineChars="200"/>
        <w:rPr>
          <w:rFonts w:ascii="宋体" w:hAnsi="宋体"/>
        </w:rPr>
      </w:pPr>
      <w:r>
        <w:rPr>
          <w:rFonts w:ascii="宋体" w:hAnsi="宋体"/>
        </w:rPr>
        <w:t>本条的评价方法为：查阅垃圾管理制度文件、各类垃圾收集和处理的工作记录，</w:t>
      </w:r>
      <w:r>
        <w:rPr>
          <w:rFonts w:hint="eastAsia" w:ascii="宋体" w:hAnsi="宋体"/>
        </w:rPr>
        <w:t>垃圾分类收集率、可回收垃圾的回收比例计算书，</w:t>
      </w:r>
      <w:r>
        <w:rPr>
          <w:rFonts w:ascii="宋体" w:hAnsi="宋体"/>
        </w:rPr>
        <w:t>并进行现场核查和用户抽样调查。</w:t>
      </w:r>
    </w:p>
    <w:p>
      <w:pPr>
        <w:pStyle w:val="2"/>
        <w:spacing w:before="240" w:after="240" w:line="360" w:lineRule="auto"/>
        <w:jc w:val="center"/>
        <w:rPr>
          <w:rFonts w:eastAsia="黑体"/>
          <w:sz w:val="28"/>
          <w:szCs w:val="24"/>
        </w:rPr>
      </w:pPr>
      <w:r>
        <w:rPr>
          <w:rFonts w:eastAsia="黑体"/>
          <w:sz w:val="28"/>
          <w:szCs w:val="24"/>
        </w:rPr>
        <w:br w:type="page"/>
      </w:r>
      <w:bookmarkStart w:id="132" w:name="_Toc449111701"/>
      <w:r>
        <w:rPr>
          <w:rFonts w:eastAsia="黑体"/>
          <w:sz w:val="28"/>
          <w:szCs w:val="24"/>
        </w:rPr>
        <w:t xml:space="preserve">13 </w:t>
      </w:r>
      <w:r>
        <w:rPr>
          <w:rFonts w:hint="eastAsia" w:eastAsia="黑体"/>
          <w:sz w:val="28"/>
          <w:szCs w:val="24"/>
        </w:rPr>
        <w:t>提高与创新</w:t>
      </w:r>
      <w:bookmarkEnd w:id="132"/>
    </w:p>
    <w:p/>
    <w:p>
      <w:pPr>
        <w:pStyle w:val="3"/>
        <w:numPr>
          <w:ilvl w:val="0"/>
          <w:numId w:val="0"/>
        </w:numPr>
        <w:spacing w:before="120" w:after="120" w:line="240" w:lineRule="auto"/>
        <w:ind w:left="482" w:hanging="481" w:hangingChars="200"/>
        <w:jc w:val="center"/>
        <w:rPr>
          <w:rFonts w:ascii="Times New Roman" w:hAnsi="Times New Roman"/>
        </w:rPr>
      </w:pPr>
      <w:bookmarkStart w:id="133" w:name="_Toc449111702"/>
      <w:r>
        <w:rPr>
          <w:rFonts w:ascii="Times New Roman" w:hAnsi="Times New Roman"/>
        </w:rPr>
        <w:t xml:space="preserve">13.1 </w:t>
      </w:r>
      <w:r>
        <w:rPr>
          <w:rFonts w:hint="eastAsia" w:ascii="Times New Roman" w:hAnsi="Times New Roman"/>
        </w:rPr>
        <w:t>一般规定</w:t>
      </w:r>
      <w:bookmarkEnd w:id="133"/>
    </w:p>
    <w:p>
      <w:pPr>
        <w:pStyle w:val="87"/>
        <w:spacing w:line="360" w:lineRule="auto"/>
        <w:ind w:firstLine="0" w:firstLineChars="0"/>
        <w:outlineLvl w:val="9"/>
        <w:rPr>
          <w:rFonts w:hAnsi="宋体"/>
          <w:bCs/>
        </w:rPr>
      </w:pPr>
      <w:r>
        <w:rPr>
          <w:rFonts w:hint="eastAsia"/>
          <w:b/>
          <w:bCs/>
        </w:rPr>
        <w:t>13</w:t>
      </w:r>
      <w:r>
        <w:rPr>
          <w:b/>
          <w:bCs/>
        </w:rPr>
        <w:t>.1.1</w:t>
      </w:r>
      <w:r>
        <w:rPr>
          <w:rFonts w:hAnsi="宋体"/>
          <w:bCs/>
        </w:rPr>
        <w:t>　绿色建筑评价时，应按本章规定对加分项进行评价。加分项包括性能提高和创新两部分。</w:t>
      </w:r>
    </w:p>
    <w:p>
      <w:pPr>
        <w:pStyle w:val="87"/>
        <w:spacing w:line="360" w:lineRule="auto"/>
        <w:ind w:firstLine="0" w:firstLineChars="0"/>
        <w:outlineLvl w:val="9"/>
        <w:rPr>
          <w:rFonts w:ascii="仿宋" w:hAnsi="仿宋" w:eastAsia="仿宋"/>
          <w:color w:val="FF0000"/>
        </w:rPr>
      </w:pPr>
      <w:r>
        <w:rPr>
          <w:rFonts w:ascii="仿宋" w:hAnsi="仿宋" w:eastAsia="仿宋"/>
          <w:color w:val="FF0000"/>
        </w:rPr>
        <w:t>【条文说明】</w:t>
      </w:r>
      <w:r>
        <w:rPr>
          <w:rFonts w:hint="eastAsia" w:ascii="仿宋" w:hAnsi="仿宋" w:eastAsia="仿宋"/>
          <w:color w:val="FF0000"/>
        </w:rPr>
        <w:t>与国家标准基本一致。绿色建筑全寿命期内各环节和阶段，都有可能在技术、产品选用和管理方式上进行性能提高和创新。为鼓励性能提高和创新，在各环节和阶段采用先进、适用、经济的技术、产品和管理方式，本次修订增设了相应的评价项目。《绿色建筑评价规范》SZJG30-2009规范已有创新项，但是分数只有5分，鼓励方向为节能、节水、工业化等方面，此次单列章节，鼓励方向更加全面。</w:t>
      </w:r>
    </w:p>
    <w:p>
      <w:pPr>
        <w:pStyle w:val="87"/>
        <w:spacing w:line="360" w:lineRule="auto"/>
        <w:ind w:firstLine="0" w:firstLineChars="0"/>
        <w:outlineLvl w:val="9"/>
        <w:rPr>
          <w:bCs/>
        </w:rPr>
      </w:pPr>
    </w:p>
    <w:p>
      <w:pPr>
        <w:pStyle w:val="87"/>
        <w:spacing w:line="360" w:lineRule="auto"/>
        <w:ind w:firstLine="0" w:firstLineChars="0"/>
        <w:outlineLvl w:val="9"/>
        <w:rPr>
          <w:bCs/>
        </w:rPr>
      </w:pPr>
      <w:r>
        <w:rPr>
          <w:rFonts w:hint="eastAsia"/>
          <w:b/>
          <w:bCs/>
        </w:rPr>
        <w:t>13</w:t>
      </w:r>
      <w:r>
        <w:rPr>
          <w:b/>
          <w:bCs/>
        </w:rPr>
        <w:t>.1.2</w:t>
      </w:r>
      <w:r>
        <w:rPr>
          <w:rFonts w:hAnsi="宋体"/>
          <w:bCs/>
        </w:rPr>
        <w:t>　加分项的附加得分为各加分项得分之和。当附加得分大于</w:t>
      </w:r>
      <w:r>
        <w:rPr>
          <w:rFonts w:hint="eastAsia"/>
          <w:bCs/>
        </w:rPr>
        <w:t>20</w:t>
      </w:r>
      <w:r>
        <w:rPr>
          <w:rFonts w:hAnsi="宋体"/>
          <w:bCs/>
        </w:rPr>
        <w:t>分时，应取为</w:t>
      </w:r>
      <w:r>
        <w:rPr>
          <w:rFonts w:hint="eastAsia"/>
          <w:bCs/>
        </w:rPr>
        <w:t>20</w:t>
      </w:r>
      <w:r>
        <w:rPr>
          <w:rFonts w:hAnsi="宋体"/>
          <w:bCs/>
        </w:rPr>
        <w:t>分。</w:t>
      </w:r>
    </w:p>
    <w:p>
      <w:pPr>
        <w:pStyle w:val="87"/>
        <w:spacing w:line="360" w:lineRule="auto"/>
        <w:ind w:firstLine="0" w:firstLineChars="0"/>
        <w:outlineLvl w:val="9"/>
        <w:rPr>
          <w:rFonts w:ascii="仿宋" w:hAnsi="仿宋" w:eastAsia="仿宋"/>
          <w:color w:val="FF0000"/>
        </w:rPr>
      </w:pPr>
      <w:r>
        <w:rPr>
          <w:rFonts w:ascii="仿宋" w:hAnsi="仿宋" w:eastAsia="仿宋"/>
          <w:color w:val="FF0000"/>
        </w:rPr>
        <w:t>【条文说明】</w:t>
      </w:r>
      <w:r>
        <w:rPr>
          <w:rFonts w:hint="eastAsia" w:ascii="仿宋" w:hAnsi="仿宋" w:eastAsia="仿宋"/>
          <w:color w:val="FF0000"/>
        </w:rPr>
        <w:t>与国家标准基本一致。将附加得分从10分调整为20分。主要考虑此次修订大幅度扩大提高和创新项权重，将建筑工业化、绿色建材应用等作为加分项。综合考虑与绿色建筑总得分要求的平衡，本标准对加分项附加得分作了不大于20分的限制。</w:t>
      </w:r>
    </w:p>
    <w:p>
      <w:pPr>
        <w:pStyle w:val="87"/>
        <w:spacing w:line="360" w:lineRule="auto"/>
        <w:ind w:firstLine="0" w:firstLineChars="0"/>
        <w:outlineLvl w:val="9"/>
        <w:rPr>
          <w:color w:val="FF0000"/>
          <w:sz w:val="22"/>
          <w:szCs w:val="21"/>
        </w:rPr>
      </w:pPr>
    </w:p>
    <w:p>
      <w:pPr>
        <w:spacing w:line="360" w:lineRule="auto"/>
        <w:rPr>
          <w:sz w:val="24"/>
        </w:rPr>
      </w:pPr>
    </w:p>
    <w:p>
      <w:pPr>
        <w:pStyle w:val="3"/>
        <w:numPr>
          <w:ilvl w:val="0"/>
          <w:numId w:val="0"/>
        </w:numPr>
        <w:spacing w:before="120" w:after="120" w:line="240" w:lineRule="auto"/>
        <w:ind w:left="482" w:hanging="481" w:hangingChars="200"/>
        <w:jc w:val="center"/>
        <w:rPr>
          <w:rFonts w:ascii="Times New Roman" w:hAnsi="Times New Roman"/>
        </w:rPr>
      </w:pPr>
      <w:bookmarkStart w:id="134" w:name="_Toc449111703"/>
      <w:r>
        <w:rPr>
          <w:rFonts w:ascii="Times New Roman" w:hAnsi="Times New Roman"/>
        </w:rPr>
        <w:t xml:space="preserve">13.2 </w:t>
      </w:r>
      <w:r>
        <w:rPr>
          <w:rFonts w:hint="eastAsia" w:ascii="Times New Roman" w:hAnsi="Times New Roman"/>
        </w:rPr>
        <w:t>加分项</w:t>
      </w:r>
      <w:bookmarkEnd w:id="134"/>
    </w:p>
    <w:p>
      <w:pPr>
        <w:pStyle w:val="87"/>
        <w:ind w:firstLine="0" w:firstLineChars="0"/>
        <w:jc w:val="center"/>
      </w:pPr>
      <w:bookmarkStart w:id="135" w:name="_Toc449111704"/>
      <w:r>
        <w:rPr>
          <w:rFonts w:ascii="宋体" w:hAnsi="宋体"/>
        </w:rPr>
        <w:t>Ⅰ</w:t>
      </w:r>
      <w:r>
        <w:rPr>
          <w:rFonts w:hint="eastAsia"/>
        </w:rPr>
        <w:t xml:space="preserve"> </w:t>
      </w:r>
      <w:r>
        <w:rPr>
          <w:rFonts w:hAnsi="宋体"/>
        </w:rPr>
        <w:t>性能提高</w:t>
      </w:r>
      <w:r>
        <w:rPr>
          <w:rFonts w:hint="eastAsia" w:hAnsi="宋体"/>
        </w:rPr>
        <w:t>（27）</w:t>
      </w:r>
      <w:bookmarkEnd w:id="135"/>
    </w:p>
    <w:p>
      <w:pPr>
        <w:pStyle w:val="87"/>
        <w:spacing w:line="360" w:lineRule="auto"/>
        <w:ind w:firstLine="0" w:firstLineChars="0"/>
        <w:outlineLvl w:val="9"/>
        <w:rPr>
          <w:rFonts w:hAnsi="宋体"/>
          <w:bCs/>
        </w:rPr>
      </w:pPr>
      <w:r>
        <w:rPr>
          <w:b/>
          <w:bCs/>
        </w:rPr>
        <w:t>1</w:t>
      </w:r>
      <w:r>
        <w:rPr>
          <w:rFonts w:hint="eastAsia"/>
          <w:b/>
          <w:bCs/>
        </w:rPr>
        <w:t>3</w:t>
      </w:r>
      <w:r>
        <w:rPr>
          <w:b/>
          <w:bCs/>
        </w:rPr>
        <w:t>.2.1</w:t>
      </w:r>
      <w:r>
        <w:rPr>
          <w:rFonts w:hAnsi="宋体"/>
          <w:bCs/>
        </w:rPr>
        <w:t>　</w:t>
      </w:r>
      <w:r>
        <w:rPr>
          <w:rFonts w:hint="eastAsia" w:hAnsi="宋体"/>
          <w:bCs/>
        </w:rPr>
        <w:t>建筑能耗指标比现行有关国家、广东省和深圳市能效限定值提高的幅度满足以下要求，评价分值为5分：</w:t>
      </w:r>
    </w:p>
    <w:p>
      <w:pPr>
        <w:pStyle w:val="87"/>
        <w:spacing w:line="360" w:lineRule="auto"/>
        <w:ind w:left="420" w:leftChars="200" w:firstLine="0" w:firstLineChars="0"/>
        <w:outlineLvl w:val="9"/>
        <w:rPr>
          <w:rFonts w:hAnsi="宋体"/>
          <w:bCs/>
        </w:rPr>
      </w:pPr>
      <w:r>
        <w:rPr>
          <w:rFonts w:hint="eastAsia" w:hAnsi="宋体"/>
          <w:b/>
          <w:bCs/>
        </w:rPr>
        <w:t>1</w:t>
      </w:r>
      <w:r>
        <w:rPr>
          <w:rFonts w:hint="eastAsia" w:hAnsi="宋体"/>
          <w:bCs/>
        </w:rPr>
        <w:t xml:space="preserve"> 居住建筑提高32%，得1分，每提高2%增加1分，最高得分为5分。</w:t>
      </w:r>
    </w:p>
    <w:p>
      <w:pPr>
        <w:pStyle w:val="87"/>
        <w:spacing w:line="360" w:lineRule="auto"/>
        <w:ind w:left="420" w:leftChars="200" w:firstLine="0" w:firstLineChars="0"/>
        <w:outlineLvl w:val="9"/>
        <w:rPr>
          <w:rFonts w:hAnsi="宋体"/>
          <w:bCs/>
        </w:rPr>
      </w:pPr>
      <w:r>
        <w:rPr>
          <w:rFonts w:hint="eastAsia" w:hAnsi="宋体"/>
          <w:b/>
          <w:bCs/>
        </w:rPr>
        <w:t>2</w:t>
      </w:r>
      <w:r>
        <w:rPr>
          <w:rFonts w:hint="eastAsia" w:hAnsi="宋体"/>
          <w:bCs/>
        </w:rPr>
        <w:t xml:space="preserve"> 公共建筑提高22%，得1分，每提高2%增加1分，最高得分为5分。</w:t>
      </w:r>
    </w:p>
    <w:p>
      <w:pPr>
        <w:pStyle w:val="87"/>
        <w:spacing w:line="360" w:lineRule="auto"/>
        <w:ind w:firstLine="0" w:firstLineChars="0"/>
        <w:outlineLvl w:val="9"/>
        <w:rPr>
          <w:rFonts w:ascii="仿宋" w:hAnsi="仿宋" w:eastAsia="仿宋"/>
          <w:color w:val="FF0000"/>
        </w:rPr>
      </w:pPr>
      <w:r>
        <w:rPr>
          <w:rFonts w:ascii="仿宋" w:hAnsi="仿宋" w:eastAsia="仿宋"/>
          <w:color w:val="FF0000"/>
        </w:rPr>
        <w:t>【条文说明】</w:t>
      </w:r>
      <w:r>
        <w:rPr>
          <w:rFonts w:hint="eastAsia" w:ascii="仿宋" w:hAnsi="仿宋" w:eastAsia="仿宋"/>
          <w:color w:val="FF0000"/>
        </w:rPr>
        <w:t>新增条文，将国标11.2.1（围护结构）、11.2.2（空调冷热源设备）合并，并与节能章节综合能耗指标要求延续一致。</w:t>
      </w:r>
    </w:p>
    <w:p>
      <w:pPr>
        <w:pStyle w:val="87"/>
        <w:spacing w:line="360" w:lineRule="auto"/>
        <w:ind w:firstLine="0" w:firstLineChars="0"/>
        <w:outlineLvl w:val="9"/>
        <w:rPr>
          <w:rFonts w:hAnsi="宋体"/>
          <w:b/>
          <w:bCs/>
        </w:rPr>
      </w:pPr>
    </w:p>
    <w:p>
      <w:pPr>
        <w:pStyle w:val="87"/>
        <w:spacing w:line="360" w:lineRule="auto"/>
        <w:ind w:firstLine="0" w:firstLineChars="0"/>
        <w:outlineLvl w:val="9"/>
        <w:rPr>
          <w:rFonts w:hAnsi="宋体"/>
          <w:bCs/>
        </w:rPr>
      </w:pPr>
      <w:r>
        <w:rPr>
          <w:b/>
          <w:bCs/>
        </w:rPr>
        <w:t>1</w:t>
      </w:r>
      <w:r>
        <w:rPr>
          <w:rFonts w:hint="eastAsia"/>
          <w:b/>
          <w:bCs/>
        </w:rPr>
        <w:t>3</w:t>
      </w:r>
      <w:r>
        <w:rPr>
          <w:b/>
          <w:bCs/>
        </w:rPr>
        <w:t>.2.</w:t>
      </w:r>
      <w:r>
        <w:rPr>
          <w:rFonts w:hint="eastAsia"/>
          <w:b/>
          <w:bCs/>
        </w:rPr>
        <w:t>2</w:t>
      </w:r>
      <w:r>
        <w:rPr>
          <w:rFonts w:hAnsi="宋体"/>
          <w:bCs/>
        </w:rPr>
        <w:t>　</w:t>
      </w:r>
      <w:r>
        <w:rPr>
          <w:rFonts w:hint="eastAsia" w:hAnsi="宋体"/>
          <w:bCs/>
        </w:rPr>
        <w:t>建筑水耗指标比现行有关国家、广东省和深圳市能效限定值提高的幅度满足以下要求，评价分值为2分：</w:t>
      </w:r>
    </w:p>
    <w:p>
      <w:pPr>
        <w:pStyle w:val="87"/>
        <w:spacing w:line="360" w:lineRule="auto"/>
        <w:ind w:left="420" w:leftChars="200" w:firstLine="0" w:firstLineChars="0"/>
        <w:outlineLvl w:val="9"/>
        <w:rPr>
          <w:rFonts w:hAnsi="宋体"/>
          <w:bCs/>
        </w:rPr>
      </w:pPr>
      <w:r>
        <w:rPr>
          <w:rFonts w:hint="eastAsia" w:hAnsi="宋体"/>
          <w:b/>
          <w:bCs/>
        </w:rPr>
        <w:t>1</w:t>
      </w:r>
      <w:r>
        <w:rPr>
          <w:rFonts w:hint="eastAsia" w:hAnsi="宋体"/>
          <w:bCs/>
        </w:rPr>
        <w:t xml:space="preserve"> 居住建筑提高45%，得1分，每提高5%增加1分，最高得分为2分。</w:t>
      </w:r>
    </w:p>
    <w:p>
      <w:pPr>
        <w:pStyle w:val="87"/>
        <w:spacing w:line="360" w:lineRule="auto"/>
        <w:ind w:left="420" w:leftChars="200" w:firstLine="0" w:firstLineChars="0"/>
        <w:outlineLvl w:val="9"/>
        <w:rPr>
          <w:rFonts w:hAnsi="宋体"/>
          <w:bCs/>
        </w:rPr>
      </w:pPr>
      <w:r>
        <w:rPr>
          <w:rFonts w:hint="eastAsia" w:hAnsi="宋体"/>
          <w:b/>
          <w:bCs/>
        </w:rPr>
        <w:t>2</w:t>
      </w:r>
      <w:r>
        <w:rPr>
          <w:rFonts w:hint="eastAsia" w:hAnsi="宋体"/>
          <w:bCs/>
        </w:rPr>
        <w:t xml:space="preserve"> 公共建筑提高55%，得1分，每提高5%增加1分，最高得分为2分。</w:t>
      </w:r>
    </w:p>
    <w:p>
      <w:pPr>
        <w:pStyle w:val="87"/>
        <w:spacing w:line="360" w:lineRule="auto"/>
        <w:ind w:firstLine="0" w:firstLineChars="0"/>
        <w:outlineLvl w:val="9"/>
        <w:rPr>
          <w:rFonts w:ascii="仿宋" w:hAnsi="仿宋" w:eastAsia="仿宋"/>
          <w:color w:val="FF0000"/>
        </w:rPr>
      </w:pPr>
      <w:r>
        <w:rPr>
          <w:rFonts w:ascii="仿宋" w:hAnsi="仿宋" w:eastAsia="仿宋"/>
          <w:color w:val="FF0000"/>
        </w:rPr>
        <w:t>【条文说明】</w:t>
      </w:r>
      <w:r>
        <w:rPr>
          <w:rFonts w:hint="eastAsia" w:ascii="仿宋" w:hAnsi="仿宋" w:eastAsia="仿宋"/>
          <w:color w:val="FF0000"/>
        </w:rPr>
        <w:t>新增条文，主要参照国标11.2.4（节水器具），并与节水章节综合用水指标要求延续一致。</w:t>
      </w:r>
    </w:p>
    <w:p>
      <w:pPr>
        <w:pStyle w:val="87"/>
        <w:spacing w:line="360" w:lineRule="auto"/>
        <w:ind w:firstLine="0" w:firstLineChars="0"/>
        <w:outlineLvl w:val="9"/>
        <w:rPr>
          <w:bCs/>
        </w:rPr>
      </w:pPr>
    </w:p>
    <w:p>
      <w:pPr>
        <w:pStyle w:val="87"/>
        <w:spacing w:line="360" w:lineRule="auto"/>
        <w:ind w:firstLine="0" w:firstLineChars="0"/>
        <w:outlineLvl w:val="9"/>
        <w:rPr>
          <w:bCs/>
        </w:rPr>
      </w:pPr>
    </w:p>
    <w:p>
      <w:pPr>
        <w:pStyle w:val="87"/>
        <w:spacing w:line="360" w:lineRule="auto"/>
        <w:ind w:firstLine="0" w:firstLineChars="0"/>
        <w:outlineLvl w:val="9"/>
        <w:rPr>
          <w:bCs/>
        </w:rPr>
      </w:pPr>
      <w:r>
        <w:rPr>
          <w:rFonts w:hint="eastAsia"/>
          <w:b/>
          <w:bCs/>
        </w:rPr>
        <w:t>13</w:t>
      </w:r>
      <w:r>
        <w:rPr>
          <w:b/>
          <w:bCs/>
        </w:rPr>
        <w:t>.2.</w:t>
      </w:r>
      <w:r>
        <w:rPr>
          <w:rFonts w:hint="eastAsia"/>
          <w:b/>
          <w:bCs/>
        </w:rPr>
        <w:t>3</w:t>
      </w:r>
      <w:r>
        <w:rPr>
          <w:rFonts w:hAnsi="宋体"/>
          <w:bCs/>
        </w:rPr>
        <w:t>　采用资源消耗少和环境影响小的建筑结构体系，评价分值为</w:t>
      </w:r>
      <w:r>
        <w:rPr>
          <w:bCs/>
        </w:rPr>
        <w:t>1</w:t>
      </w:r>
      <w:r>
        <w:rPr>
          <w:rFonts w:hAnsi="宋体"/>
          <w:bCs/>
        </w:rPr>
        <w:t>分。</w:t>
      </w:r>
    </w:p>
    <w:p>
      <w:pPr>
        <w:pStyle w:val="87"/>
        <w:spacing w:line="360" w:lineRule="auto"/>
        <w:ind w:firstLine="0" w:firstLineChars="0"/>
        <w:outlineLvl w:val="9"/>
        <w:rPr>
          <w:rFonts w:ascii="仿宋" w:hAnsi="仿宋" w:eastAsia="仿宋"/>
          <w:color w:val="FF0000"/>
        </w:rPr>
      </w:pPr>
      <w:r>
        <w:rPr>
          <w:rFonts w:ascii="仿宋" w:hAnsi="仿宋" w:eastAsia="仿宋"/>
          <w:color w:val="FF0000"/>
        </w:rPr>
        <w:t>【条文说明】</w:t>
      </w:r>
      <w:r>
        <w:rPr>
          <w:rFonts w:hint="eastAsia" w:ascii="仿宋" w:hAnsi="仿宋" w:eastAsia="仿宋"/>
          <w:color w:val="FF0000"/>
        </w:rPr>
        <w:t>与国家标准一致。当主体结构采用钢结构、木结构、或预制构件用量比例不小于60%时，本条可得分。对其他情况，尚需经充分论证后得分。</w:t>
      </w:r>
    </w:p>
    <w:p>
      <w:pPr>
        <w:pStyle w:val="87"/>
        <w:spacing w:line="360" w:lineRule="auto"/>
        <w:ind w:firstLine="0" w:firstLineChars="0"/>
        <w:outlineLvl w:val="9"/>
        <w:rPr>
          <w:rFonts w:hint="eastAsia"/>
          <w:color w:val="FF0000"/>
          <w:sz w:val="22"/>
          <w:szCs w:val="21"/>
        </w:rPr>
      </w:pPr>
    </w:p>
    <w:p>
      <w:pPr>
        <w:pStyle w:val="87"/>
        <w:spacing w:line="360" w:lineRule="auto"/>
        <w:ind w:firstLine="0" w:firstLineChars="0"/>
        <w:outlineLvl w:val="9"/>
        <w:rPr>
          <w:bCs/>
        </w:rPr>
      </w:pPr>
      <w:r>
        <w:rPr>
          <w:b/>
          <w:bCs/>
        </w:rPr>
        <w:t>1</w:t>
      </w:r>
      <w:r>
        <w:rPr>
          <w:rFonts w:hint="eastAsia"/>
          <w:b/>
          <w:bCs/>
        </w:rPr>
        <w:t>3</w:t>
      </w:r>
      <w:r>
        <w:rPr>
          <w:b/>
          <w:bCs/>
        </w:rPr>
        <w:t>.2.</w:t>
      </w:r>
      <w:r>
        <w:rPr>
          <w:rFonts w:hint="eastAsia"/>
          <w:b/>
          <w:bCs/>
        </w:rPr>
        <w:t>4</w:t>
      </w:r>
      <w:r>
        <w:rPr>
          <w:rFonts w:hAnsi="宋体"/>
          <w:bCs/>
        </w:rPr>
        <w:t>　</w:t>
      </w:r>
      <w:r>
        <w:rPr>
          <w:rFonts w:hint="eastAsia" w:hAnsi="宋体"/>
        </w:rPr>
        <w:t>采用通过认证的绿色建材</w:t>
      </w:r>
      <w:r>
        <w:rPr>
          <w:rFonts w:hAnsi="宋体"/>
          <w:bCs/>
        </w:rPr>
        <w:t>，评价分值为</w:t>
      </w:r>
      <w:r>
        <w:rPr>
          <w:rFonts w:hint="eastAsia"/>
          <w:bCs/>
        </w:rPr>
        <w:t>5</w:t>
      </w:r>
      <w:r>
        <w:rPr>
          <w:rFonts w:hAnsi="宋体"/>
          <w:bCs/>
        </w:rPr>
        <w:t>分，</w:t>
      </w:r>
      <w:r>
        <w:rPr>
          <w:rFonts w:hAnsi="宋体"/>
        </w:rPr>
        <w:t>并按以下规则评分：</w:t>
      </w:r>
    </w:p>
    <w:p>
      <w:pPr>
        <w:pStyle w:val="87"/>
        <w:spacing w:line="360" w:lineRule="auto"/>
        <w:ind w:left="210" w:leftChars="100" w:firstLine="482"/>
        <w:outlineLvl w:val="9"/>
        <w:rPr>
          <w:rFonts w:hint="eastAsia"/>
          <w:bCs/>
        </w:rPr>
      </w:pPr>
      <w:r>
        <w:rPr>
          <w:b/>
          <w:bCs/>
        </w:rPr>
        <w:t>1</w:t>
      </w:r>
      <w:r>
        <w:rPr>
          <w:bCs/>
        </w:rPr>
        <w:t xml:space="preserve">  </w:t>
      </w:r>
      <w:r>
        <w:rPr>
          <w:rFonts w:hint="eastAsia" w:hAnsi="宋体"/>
          <w:bCs/>
        </w:rPr>
        <w:t>通过认证的绿色建材重量占建筑材料总重量的比例不小于30%，得1分</w:t>
      </w:r>
      <w:r>
        <w:rPr>
          <w:rFonts w:hAnsi="宋体"/>
          <w:bCs/>
        </w:rPr>
        <w:t>；</w:t>
      </w:r>
    </w:p>
    <w:p>
      <w:pPr>
        <w:pStyle w:val="87"/>
        <w:spacing w:line="360" w:lineRule="auto"/>
        <w:ind w:left="210" w:leftChars="100" w:firstLine="482"/>
        <w:outlineLvl w:val="9"/>
        <w:rPr>
          <w:rFonts w:hint="eastAsia" w:hAnsi="宋体"/>
          <w:bCs/>
        </w:rPr>
      </w:pPr>
      <w:r>
        <w:rPr>
          <w:b/>
          <w:bCs/>
        </w:rPr>
        <w:t>2</w:t>
      </w:r>
      <w:r>
        <w:rPr>
          <w:bCs/>
        </w:rPr>
        <w:t xml:space="preserve">  </w:t>
      </w:r>
      <w:r>
        <w:rPr>
          <w:rFonts w:hint="eastAsia" w:hAnsi="宋体"/>
          <w:bCs/>
        </w:rPr>
        <w:t>通过认证的绿色建材重量占建筑材料总重量的比例不小于50%，得2分</w:t>
      </w:r>
      <w:r>
        <w:rPr>
          <w:rFonts w:hAnsi="宋体"/>
          <w:bCs/>
        </w:rPr>
        <w:t>；</w:t>
      </w:r>
    </w:p>
    <w:p>
      <w:pPr>
        <w:pStyle w:val="87"/>
        <w:spacing w:line="360" w:lineRule="auto"/>
        <w:ind w:left="210" w:leftChars="100" w:firstLine="482"/>
        <w:outlineLvl w:val="9"/>
        <w:rPr>
          <w:rFonts w:hint="eastAsia" w:hAnsi="宋体"/>
          <w:bCs/>
        </w:rPr>
      </w:pPr>
      <w:r>
        <w:rPr>
          <w:rFonts w:hint="eastAsia"/>
          <w:b/>
          <w:bCs/>
        </w:rPr>
        <w:t>3</w:t>
      </w:r>
      <w:r>
        <w:rPr>
          <w:bCs/>
        </w:rPr>
        <w:t xml:space="preserve">  </w:t>
      </w:r>
      <w:r>
        <w:rPr>
          <w:rFonts w:hint="eastAsia" w:hAnsi="宋体"/>
          <w:bCs/>
        </w:rPr>
        <w:t>通过认证的绿色建材重量占建筑材料总重量的比例不小于70%，得3分</w:t>
      </w:r>
      <w:r>
        <w:rPr>
          <w:rFonts w:hAnsi="宋体"/>
          <w:bCs/>
        </w:rPr>
        <w:t>；</w:t>
      </w:r>
    </w:p>
    <w:p>
      <w:pPr>
        <w:pStyle w:val="87"/>
        <w:spacing w:line="360" w:lineRule="auto"/>
        <w:ind w:left="210" w:leftChars="100" w:firstLine="482"/>
        <w:outlineLvl w:val="9"/>
        <w:rPr>
          <w:rFonts w:hint="eastAsia" w:hAnsi="宋体"/>
          <w:bCs/>
        </w:rPr>
      </w:pPr>
      <w:r>
        <w:rPr>
          <w:rFonts w:hint="eastAsia"/>
          <w:b/>
          <w:bCs/>
        </w:rPr>
        <w:t xml:space="preserve">4  </w:t>
      </w:r>
      <w:r>
        <w:rPr>
          <w:rFonts w:hint="eastAsia" w:hAnsi="宋体"/>
          <w:bCs/>
        </w:rPr>
        <w:t>绿色建材等级达到《绿色建材评价技术导则》（试行第1版）的“★★”，得1分，达到“★★★”得2分</w:t>
      </w:r>
      <w:r>
        <w:rPr>
          <w:rFonts w:hAnsi="宋体"/>
          <w:bCs/>
        </w:rPr>
        <w:t>；</w:t>
      </w:r>
    </w:p>
    <w:p>
      <w:pPr>
        <w:pStyle w:val="87"/>
        <w:spacing w:line="360" w:lineRule="auto"/>
        <w:ind w:left="210" w:leftChars="100" w:firstLine="480"/>
        <w:outlineLvl w:val="9"/>
        <w:rPr>
          <w:rFonts w:hint="eastAsia"/>
          <w:bCs/>
        </w:rPr>
      </w:pPr>
    </w:p>
    <w:p>
      <w:pPr>
        <w:pStyle w:val="87"/>
        <w:spacing w:line="360" w:lineRule="auto"/>
        <w:ind w:firstLine="0" w:firstLineChars="0"/>
        <w:outlineLvl w:val="9"/>
        <w:rPr>
          <w:rFonts w:hint="eastAsia"/>
          <w:color w:val="FF0000"/>
          <w:sz w:val="22"/>
          <w:szCs w:val="21"/>
        </w:rPr>
      </w:pPr>
      <w:r>
        <w:rPr>
          <w:rFonts w:ascii="仿宋" w:hAnsi="仿宋" w:eastAsia="仿宋"/>
          <w:color w:val="FF0000"/>
        </w:rPr>
        <w:t>【条文说明】</w:t>
      </w:r>
      <w:r>
        <w:rPr>
          <w:rFonts w:hint="eastAsia" w:ascii="仿宋" w:hAnsi="仿宋" w:eastAsia="仿宋"/>
          <w:color w:val="FF0000"/>
        </w:rPr>
        <w:t>新增条文。本条文在评分项鼓励绿色建材应用的基础上，提高绿色建材在绿色建筑中的应用比例，并采用高星级（“★★”和“★★★”）的绿色建材。</w:t>
      </w:r>
    </w:p>
    <w:p>
      <w:pPr>
        <w:pStyle w:val="87"/>
        <w:spacing w:line="360" w:lineRule="auto"/>
        <w:ind w:firstLine="0" w:firstLineChars="0"/>
        <w:outlineLvl w:val="9"/>
        <w:rPr>
          <w:color w:val="FF0000"/>
          <w:sz w:val="22"/>
          <w:szCs w:val="21"/>
        </w:rPr>
      </w:pPr>
    </w:p>
    <w:p>
      <w:pPr>
        <w:pStyle w:val="87"/>
        <w:spacing w:line="360" w:lineRule="auto"/>
        <w:ind w:firstLine="0" w:firstLineChars="0"/>
        <w:outlineLvl w:val="9"/>
        <w:rPr>
          <w:bCs/>
        </w:rPr>
      </w:pPr>
      <w:r>
        <w:rPr>
          <w:b/>
          <w:bCs/>
        </w:rPr>
        <w:t>1</w:t>
      </w:r>
      <w:r>
        <w:rPr>
          <w:rFonts w:hint="eastAsia"/>
          <w:b/>
          <w:bCs/>
        </w:rPr>
        <w:t>3</w:t>
      </w:r>
      <w:r>
        <w:rPr>
          <w:b/>
          <w:bCs/>
        </w:rPr>
        <w:t>.2.</w:t>
      </w:r>
      <w:r>
        <w:rPr>
          <w:rFonts w:hint="eastAsia"/>
          <w:b/>
          <w:bCs/>
        </w:rPr>
        <w:t>5</w:t>
      </w:r>
      <w:r>
        <w:rPr>
          <w:rFonts w:hAnsi="宋体"/>
          <w:bCs/>
        </w:rPr>
        <w:t>　</w:t>
      </w:r>
      <w:r>
        <w:rPr>
          <w:rFonts w:hAnsi="宋体"/>
        </w:rPr>
        <w:t>采取有效措施，控制运行过程中</w:t>
      </w:r>
      <w:r>
        <w:rPr>
          <w:rFonts w:hAnsi="宋体"/>
          <w:bCs/>
        </w:rPr>
        <w:t>主要功能房间的空气质量，评价分值为</w:t>
      </w:r>
      <w:r>
        <w:rPr>
          <w:rFonts w:hint="eastAsia"/>
          <w:bCs/>
        </w:rPr>
        <w:t>1</w:t>
      </w:r>
      <w:r>
        <w:rPr>
          <w:rFonts w:hAnsi="宋体"/>
          <w:bCs/>
        </w:rPr>
        <w:t>分，</w:t>
      </w:r>
      <w:r>
        <w:rPr>
          <w:rFonts w:hAnsi="宋体"/>
        </w:rPr>
        <w:t>并按以下规则评分：</w:t>
      </w:r>
    </w:p>
    <w:p>
      <w:pPr>
        <w:pStyle w:val="87"/>
        <w:spacing w:line="360" w:lineRule="auto"/>
        <w:ind w:left="210" w:leftChars="100" w:firstLine="482"/>
        <w:outlineLvl w:val="9"/>
        <w:rPr>
          <w:bCs/>
        </w:rPr>
      </w:pPr>
      <w:r>
        <w:rPr>
          <w:b/>
          <w:bCs/>
        </w:rPr>
        <w:t>1</w:t>
      </w:r>
      <w:r>
        <w:rPr>
          <w:bCs/>
        </w:rPr>
        <w:t xml:space="preserve">  </w:t>
      </w:r>
      <w:r>
        <w:rPr>
          <w:rFonts w:hAnsi="宋体"/>
          <w:bCs/>
        </w:rPr>
        <w:t>公共建筑</w:t>
      </w:r>
      <w:r>
        <w:rPr>
          <w:rFonts w:hAnsi="宋体"/>
        </w:rPr>
        <w:t>采取在主要功能房间</w:t>
      </w:r>
      <w:r>
        <w:rPr>
          <w:rFonts w:hAnsi="宋体"/>
          <w:bCs/>
        </w:rPr>
        <w:t>设置空气净化装置等措施，降低室内</w:t>
      </w:r>
      <w:r>
        <w:rPr>
          <w:bCs/>
        </w:rPr>
        <w:t>PM2.5</w:t>
      </w:r>
      <w:r>
        <w:rPr>
          <w:rFonts w:hAnsi="宋体"/>
          <w:bCs/>
        </w:rPr>
        <w:t>的浓度，提高室内空气质量；</w:t>
      </w:r>
    </w:p>
    <w:p>
      <w:pPr>
        <w:pStyle w:val="87"/>
        <w:spacing w:line="360" w:lineRule="auto"/>
        <w:ind w:left="210" w:leftChars="100" w:firstLine="482"/>
        <w:outlineLvl w:val="9"/>
        <w:rPr>
          <w:bCs/>
        </w:rPr>
      </w:pPr>
      <w:r>
        <w:rPr>
          <w:b/>
          <w:bCs/>
        </w:rPr>
        <w:t>2</w:t>
      </w:r>
      <w:r>
        <w:rPr>
          <w:bCs/>
        </w:rPr>
        <w:t xml:space="preserve">  </w:t>
      </w:r>
      <w:r>
        <w:rPr>
          <w:rFonts w:hAnsi="宋体"/>
          <w:bCs/>
        </w:rPr>
        <w:t>居住建筑</w:t>
      </w:r>
      <w:r>
        <w:rPr>
          <w:rFonts w:hAnsi="宋体"/>
        </w:rPr>
        <w:t>设置了具备新风</w:t>
      </w:r>
      <w:r>
        <w:t>PM2.5</w:t>
      </w:r>
      <w:r>
        <w:rPr>
          <w:rFonts w:hAnsi="宋体"/>
        </w:rPr>
        <w:t>处理功能的通风换气装置或对主要功能房间</w:t>
      </w:r>
      <w:r>
        <w:rPr>
          <w:rFonts w:hAnsi="宋体"/>
          <w:bCs/>
        </w:rPr>
        <w:t>设置空气净化装置等措施，提高室内空气质量。</w:t>
      </w:r>
    </w:p>
    <w:p>
      <w:pPr>
        <w:pStyle w:val="87"/>
        <w:spacing w:line="360" w:lineRule="auto"/>
        <w:ind w:firstLine="0" w:firstLineChars="0"/>
        <w:outlineLvl w:val="9"/>
        <w:rPr>
          <w:rFonts w:ascii="仿宋" w:hAnsi="仿宋" w:eastAsia="仿宋"/>
          <w:color w:val="FF0000"/>
        </w:rPr>
      </w:pPr>
      <w:r>
        <w:rPr>
          <w:rFonts w:ascii="仿宋" w:hAnsi="仿宋" w:eastAsia="仿宋"/>
          <w:color w:val="FF0000"/>
        </w:rPr>
        <w:t>【条文说明】</w:t>
      </w:r>
      <w:r>
        <w:rPr>
          <w:rFonts w:hint="eastAsia" w:ascii="仿宋" w:hAnsi="仿宋" w:eastAsia="仿宋"/>
          <w:color w:val="FF0000"/>
        </w:rPr>
        <w:t>与国家标准一致，细化了公共建筑和居住建筑的相关要求。主要功能房间主要包括间歇性人员密度较高的空间或区域（如会议室），以及人员经常停留空间或区域（如办公室的等）。空气处理措施包括在空气处理机组中设置中小过滤段、在主要功能房间设置空气净化装置等。</w:t>
      </w:r>
    </w:p>
    <w:p>
      <w:pPr>
        <w:pStyle w:val="87"/>
        <w:spacing w:line="360" w:lineRule="auto"/>
        <w:ind w:firstLine="0" w:firstLineChars="0"/>
        <w:outlineLvl w:val="9"/>
        <w:rPr>
          <w:rFonts w:ascii="仿宋" w:hAnsi="仿宋" w:eastAsia="仿宋"/>
          <w:color w:val="FF0000"/>
        </w:rPr>
      </w:pPr>
    </w:p>
    <w:p>
      <w:pPr>
        <w:snapToGrid w:val="0"/>
        <w:spacing w:line="360" w:lineRule="auto"/>
        <w:rPr>
          <w:rFonts w:hAnsi="宋体"/>
          <w:bCs/>
          <w:sz w:val="24"/>
        </w:rPr>
      </w:pPr>
      <w:r>
        <w:rPr>
          <w:b/>
          <w:sz w:val="24"/>
        </w:rPr>
        <w:t>1</w:t>
      </w:r>
      <w:r>
        <w:rPr>
          <w:rFonts w:hint="eastAsia"/>
          <w:b/>
          <w:sz w:val="24"/>
        </w:rPr>
        <w:t>3</w:t>
      </w:r>
      <w:r>
        <w:rPr>
          <w:b/>
          <w:sz w:val="24"/>
        </w:rPr>
        <w:t>.2.</w:t>
      </w:r>
      <w:r>
        <w:rPr>
          <w:rFonts w:hint="eastAsia"/>
          <w:b/>
          <w:sz w:val="24"/>
        </w:rPr>
        <w:t>6</w:t>
      </w:r>
      <w:r>
        <w:rPr>
          <w:rFonts w:hAnsi="宋体"/>
          <w:bCs/>
          <w:sz w:val="24"/>
        </w:rPr>
        <w:t>　</w:t>
      </w:r>
      <w:bookmarkStart w:id="136" w:name="OLE_LINK49"/>
      <w:bookmarkStart w:id="137" w:name="OLE_LINK48"/>
      <w:bookmarkStart w:id="138" w:name="OLE_LINK46"/>
      <w:bookmarkStart w:id="139" w:name="OLE_LINK47"/>
      <w:r>
        <w:rPr>
          <w:rFonts w:hint="eastAsia" w:hAnsi="宋体"/>
          <w:bCs/>
          <w:sz w:val="24"/>
        </w:rPr>
        <w:t>项目综合采取“渗、滞、蓄、净、用、排”等措施，最大限度地减少开发建设对生态环境的影响</w:t>
      </w:r>
      <w:bookmarkEnd w:id="136"/>
      <w:bookmarkEnd w:id="137"/>
      <w:r>
        <w:rPr>
          <w:rFonts w:hint="eastAsia" w:hAnsi="宋体"/>
          <w:bCs/>
          <w:sz w:val="24"/>
        </w:rPr>
        <w:t>，</w:t>
      </w:r>
      <w:bookmarkStart w:id="140" w:name="OLE_LINK51"/>
      <w:bookmarkStart w:id="141" w:name="OLE_LINK50"/>
      <w:r>
        <w:rPr>
          <w:rFonts w:hint="eastAsia" w:hAnsi="宋体"/>
          <w:bCs/>
          <w:sz w:val="24"/>
        </w:rPr>
        <w:t>将70%的降雨就地消纳和利用</w:t>
      </w:r>
      <w:bookmarkEnd w:id="140"/>
      <w:bookmarkEnd w:id="141"/>
      <w:r>
        <w:rPr>
          <w:rFonts w:hint="eastAsia" w:hAnsi="宋体"/>
          <w:bCs/>
          <w:sz w:val="24"/>
        </w:rPr>
        <w:t>，得1分，将85%的降雨就地消纳和利用，得2分。</w:t>
      </w:r>
      <w:bookmarkEnd w:id="138"/>
      <w:bookmarkEnd w:id="139"/>
    </w:p>
    <w:p>
      <w:pPr>
        <w:pStyle w:val="87"/>
        <w:spacing w:line="360" w:lineRule="auto"/>
        <w:ind w:firstLine="0" w:firstLineChars="0"/>
        <w:outlineLvl w:val="9"/>
        <w:rPr>
          <w:rFonts w:ascii="仿宋" w:hAnsi="仿宋" w:eastAsia="仿宋"/>
          <w:color w:val="FF0000"/>
        </w:rPr>
      </w:pPr>
      <w:r>
        <w:rPr>
          <w:rFonts w:ascii="仿宋" w:hAnsi="仿宋" w:eastAsia="仿宋"/>
          <w:color w:val="FF0000"/>
        </w:rPr>
        <w:t>【条文说明】</w:t>
      </w:r>
      <w:r>
        <w:rPr>
          <w:rFonts w:hint="eastAsia" w:ascii="仿宋" w:hAnsi="仿宋" w:eastAsia="仿宋"/>
          <w:color w:val="FF0000"/>
        </w:rPr>
        <w:t>新增条文。鼓励项目按照海绵城市进行建设。海绵城市是指通过加强城市规划建设管理，充分发挥建筑、道路和绿地、水系等生态系统对雨水的吸纳、蓄渗和缓释作用，有效控制雨水径流，实现自然积存、自然渗透、自然净化的城市发展方式。</w:t>
      </w:r>
    </w:p>
    <w:p>
      <w:pPr>
        <w:pStyle w:val="87"/>
        <w:spacing w:line="360" w:lineRule="auto"/>
        <w:ind w:firstLine="0" w:firstLineChars="0"/>
        <w:outlineLvl w:val="9"/>
        <w:rPr>
          <w:bCs/>
        </w:rPr>
      </w:pPr>
    </w:p>
    <w:p>
      <w:pPr>
        <w:pStyle w:val="87"/>
        <w:spacing w:line="360" w:lineRule="auto"/>
        <w:ind w:firstLine="0" w:firstLineChars="0"/>
        <w:outlineLvl w:val="9"/>
        <w:rPr>
          <w:rFonts w:hAnsi="宋体"/>
          <w:bCs/>
        </w:rPr>
      </w:pPr>
      <w:r>
        <w:rPr>
          <w:rFonts w:hint="eastAsia"/>
          <w:b/>
          <w:bCs/>
        </w:rPr>
        <w:t>13</w:t>
      </w:r>
      <w:r>
        <w:rPr>
          <w:b/>
          <w:bCs/>
        </w:rPr>
        <w:t>.2.</w:t>
      </w:r>
      <w:r>
        <w:rPr>
          <w:rFonts w:hint="eastAsia"/>
          <w:b/>
          <w:bCs/>
        </w:rPr>
        <w:t>7</w:t>
      </w:r>
      <w:r>
        <w:rPr>
          <w:rFonts w:hAnsi="宋体"/>
          <w:bCs/>
        </w:rPr>
        <w:t>　采用</w:t>
      </w:r>
      <w:r>
        <w:rPr>
          <w:rFonts w:hint="eastAsia" w:hAnsi="宋体"/>
          <w:bCs/>
        </w:rPr>
        <w:t>工业化建造方式</w:t>
      </w:r>
      <w:r>
        <w:rPr>
          <w:rFonts w:hAnsi="宋体"/>
          <w:bCs/>
        </w:rPr>
        <w:t>，评价</w:t>
      </w:r>
      <w:r>
        <w:rPr>
          <w:rFonts w:hint="eastAsia" w:hAnsi="宋体"/>
          <w:bCs/>
        </w:rPr>
        <w:t>总</w:t>
      </w:r>
      <w:r>
        <w:rPr>
          <w:rFonts w:hAnsi="宋体"/>
          <w:bCs/>
        </w:rPr>
        <w:t>分值为</w:t>
      </w:r>
      <w:r>
        <w:rPr>
          <w:rFonts w:hint="eastAsia"/>
          <w:bCs/>
        </w:rPr>
        <w:t>9</w:t>
      </w:r>
      <w:r>
        <w:rPr>
          <w:rFonts w:hAnsi="宋体"/>
          <w:bCs/>
        </w:rPr>
        <w:t>分</w:t>
      </w:r>
      <w:r>
        <w:rPr>
          <w:rFonts w:hint="eastAsia" w:hAnsi="宋体"/>
          <w:bCs/>
        </w:rPr>
        <w:t>，并按下列规则分别评分并累计：</w:t>
      </w:r>
    </w:p>
    <w:p>
      <w:pPr>
        <w:pStyle w:val="87"/>
        <w:spacing w:line="360" w:lineRule="auto"/>
        <w:ind w:left="210" w:leftChars="100" w:firstLine="0" w:firstLineChars="0"/>
        <w:outlineLvl w:val="9"/>
        <w:rPr>
          <w:rFonts w:hAnsi="宋体"/>
          <w:bCs/>
        </w:rPr>
      </w:pPr>
      <w:r>
        <w:rPr>
          <w:rFonts w:hint="eastAsia" w:hAnsi="宋体"/>
          <w:b/>
          <w:bCs/>
        </w:rPr>
        <w:t>1</w:t>
      </w:r>
      <w:r>
        <w:rPr>
          <w:rFonts w:hint="eastAsia" w:hAnsi="宋体"/>
          <w:bCs/>
        </w:rPr>
        <w:t>装配率达到30%，得1分；</w:t>
      </w:r>
    </w:p>
    <w:p>
      <w:pPr>
        <w:pStyle w:val="87"/>
        <w:spacing w:line="360" w:lineRule="auto"/>
        <w:ind w:left="210" w:leftChars="100" w:firstLine="0" w:firstLineChars="0"/>
        <w:outlineLvl w:val="9"/>
        <w:rPr>
          <w:rFonts w:hAnsi="宋体"/>
          <w:bCs/>
        </w:rPr>
      </w:pPr>
      <w:r>
        <w:rPr>
          <w:rFonts w:hint="eastAsia" w:hAnsi="宋体"/>
          <w:b/>
          <w:bCs/>
        </w:rPr>
        <w:t>2</w:t>
      </w:r>
      <w:r>
        <w:rPr>
          <w:rFonts w:hint="eastAsia" w:hAnsi="宋体"/>
          <w:bCs/>
        </w:rPr>
        <w:t>装配率达到50%，得2分；</w:t>
      </w:r>
    </w:p>
    <w:p>
      <w:pPr>
        <w:pStyle w:val="87"/>
        <w:spacing w:line="360" w:lineRule="auto"/>
        <w:ind w:left="210" w:leftChars="100" w:firstLine="0" w:firstLineChars="0"/>
        <w:outlineLvl w:val="9"/>
        <w:rPr>
          <w:rFonts w:hAnsi="宋体"/>
          <w:bCs/>
        </w:rPr>
      </w:pPr>
      <w:r>
        <w:rPr>
          <w:rFonts w:hint="eastAsia" w:hAnsi="宋体"/>
          <w:b/>
          <w:bCs/>
        </w:rPr>
        <w:t>3</w:t>
      </w:r>
      <w:r>
        <w:rPr>
          <w:rFonts w:hint="eastAsia" w:hAnsi="宋体"/>
          <w:bCs/>
        </w:rPr>
        <w:t>装配率达到50%且预制率达到10%，得3分；</w:t>
      </w:r>
    </w:p>
    <w:p>
      <w:pPr>
        <w:pStyle w:val="87"/>
        <w:spacing w:line="360" w:lineRule="auto"/>
        <w:ind w:left="210" w:leftChars="100" w:firstLine="0" w:firstLineChars="0"/>
        <w:outlineLvl w:val="9"/>
        <w:rPr>
          <w:rFonts w:hAnsi="宋体"/>
          <w:bCs/>
        </w:rPr>
      </w:pPr>
      <w:r>
        <w:rPr>
          <w:rFonts w:hint="eastAsia" w:hAnsi="宋体"/>
          <w:b/>
          <w:bCs/>
        </w:rPr>
        <w:t>4</w:t>
      </w:r>
      <w:r>
        <w:rPr>
          <w:rFonts w:hint="eastAsia" w:hAnsi="宋体"/>
          <w:bCs/>
        </w:rPr>
        <w:t>装配率达到50%且预制率达到15%，得5分；</w:t>
      </w:r>
    </w:p>
    <w:p>
      <w:pPr>
        <w:pStyle w:val="87"/>
        <w:spacing w:line="360" w:lineRule="auto"/>
        <w:ind w:left="210" w:leftChars="100" w:firstLine="0" w:firstLineChars="0"/>
        <w:outlineLvl w:val="9"/>
        <w:rPr>
          <w:rFonts w:hAnsi="宋体"/>
          <w:bCs/>
        </w:rPr>
      </w:pPr>
      <w:r>
        <w:rPr>
          <w:rFonts w:hint="eastAsia" w:hAnsi="宋体"/>
          <w:b/>
          <w:bCs/>
        </w:rPr>
        <w:t>5</w:t>
      </w:r>
      <w:r>
        <w:rPr>
          <w:rFonts w:hint="eastAsia" w:hAnsi="宋体"/>
          <w:bCs/>
        </w:rPr>
        <w:t>装配率达到50%且预制率达到20%，得7分；</w:t>
      </w:r>
    </w:p>
    <w:p>
      <w:pPr>
        <w:pStyle w:val="87"/>
        <w:spacing w:line="360" w:lineRule="auto"/>
        <w:ind w:left="210" w:leftChars="100" w:firstLine="0" w:firstLineChars="0"/>
        <w:outlineLvl w:val="9"/>
        <w:rPr>
          <w:bCs/>
        </w:rPr>
      </w:pPr>
      <w:r>
        <w:rPr>
          <w:rFonts w:hint="eastAsia" w:hAnsi="宋体"/>
          <w:b/>
          <w:bCs/>
        </w:rPr>
        <w:t>6</w:t>
      </w:r>
      <w:r>
        <w:rPr>
          <w:rFonts w:hint="eastAsia" w:hAnsi="宋体"/>
          <w:bCs/>
        </w:rPr>
        <w:t>装配率达到70%且预制率达到30%，得9分。</w:t>
      </w:r>
    </w:p>
    <w:p>
      <w:pPr>
        <w:pStyle w:val="87"/>
        <w:spacing w:line="360" w:lineRule="auto"/>
        <w:ind w:firstLine="0" w:firstLineChars="0"/>
        <w:outlineLvl w:val="9"/>
        <w:rPr>
          <w:rFonts w:ascii="仿宋" w:hAnsi="仿宋" w:eastAsia="仿宋"/>
          <w:color w:val="FF0000"/>
        </w:rPr>
      </w:pPr>
      <w:r>
        <w:rPr>
          <w:rFonts w:ascii="仿宋" w:hAnsi="仿宋" w:eastAsia="仿宋"/>
          <w:color w:val="FF0000"/>
        </w:rPr>
        <w:t>【条文说明】</w:t>
      </w:r>
      <w:r>
        <w:rPr>
          <w:rFonts w:hint="eastAsia" w:ascii="仿宋" w:hAnsi="仿宋" w:eastAsia="仿宋"/>
          <w:color w:val="FF0000"/>
        </w:rPr>
        <w:t>新增条文，鼓励绿色建筑中实施建筑工业化。对钢结构建筑，装配率达到30%，得1分；装配率达到50%，得3分；装配率达到60%，得5分；装配率达到70%，得7分；装配达到80%，得9分。</w:t>
      </w:r>
    </w:p>
    <w:p>
      <w:pPr>
        <w:pStyle w:val="87"/>
        <w:spacing w:line="360" w:lineRule="auto"/>
        <w:ind w:firstLine="0" w:firstLineChars="0"/>
        <w:outlineLvl w:val="9"/>
        <w:rPr>
          <w:bCs/>
        </w:rPr>
      </w:pPr>
    </w:p>
    <w:p>
      <w:pPr>
        <w:snapToGrid w:val="0"/>
        <w:spacing w:line="360" w:lineRule="auto"/>
        <w:rPr>
          <w:rFonts w:hAnsi="宋体"/>
          <w:bCs/>
          <w:sz w:val="24"/>
        </w:rPr>
      </w:pPr>
      <w:r>
        <w:rPr>
          <w:b/>
          <w:sz w:val="24"/>
        </w:rPr>
        <w:t>1</w:t>
      </w:r>
      <w:r>
        <w:rPr>
          <w:rFonts w:hint="eastAsia"/>
          <w:b/>
          <w:sz w:val="24"/>
        </w:rPr>
        <w:t>3</w:t>
      </w:r>
      <w:r>
        <w:rPr>
          <w:b/>
          <w:sz w:val="24"/>
        </w:rPr>
        <w:t>.2.</w:t>
      </w:r>
      <w:r>
        <w:rPr>
          <w:rFonts w:hint="eastAsia"/>
          <w:b/>
          <w:sz w:val="24"/>
        </w:rPr>
        <w:t>8</w:t>
      </w:r>
      <w:r>
        <w:rPr>
          <w:rFonts w:hAnsi="宋体"/>
          <w:bCs/>
          <w:sz w:val="24"/>
        </w:rPr>
        <w:t>　</w:t>
      </w:r>
      <w:r>
        <w:rPr>
          <w:rFonts w:hint="eastAsia" w:hAnsi="宋体"/>
          <w:sz w:val="24"/>
        </w:rPr>
        <w:t>项目绿色施工达到国家现行标准《建筑工程绿色施工评价标准》GB/T50640中的优良等级，</w:t>
      </w:r>
      <w:r>
        <w:rPr>
          <w:rFonts w:hAnsi="宋体"/>
          <w:bCs/>
          <w:sz w:val="24"/>
        </w:rPr>
        <w:t>评价分值为</w:t>
      </w:r>
      <w:r>
        <w:rPr>
          <w:bCs/>
          <w:sz w:val="24"/>
        </w:rPr>
        <w:t>1</w:t>
      </w:r>
      <w:r>
        <w:rPr>
          <w:rFonts w:hAnsi="宋体"/>
          <w:bCs/>
          <w:sz w:val="24"/>
        </w:rPr>
        <w:t>分。</w:t>
      </w:r>
    </w:p>
    <w:p>
      <w:pPr>
        <w:pStyle w:val="87"/>
        <w:spacing w:line="360" w:lineRule="auto"/>
        <w:ind w:firstLine="0" w:firstLineChars="0"/>
        <w:outlineLvl w:val="9"/>
        <w:rPr>
          <w:rFonts w:ascii="仿宋" w:hAnsi="仿宋" w:eastAsia="仿宋"/>
          <w:color w:val="FF0000"/>
        </w:rPr>
      </w:pPr>
      <w:r>
        <w:rPr>
          <w:rFonts w:ascii="仿宋" w:hAnsi="仿宋" w:eastAsia="仿宋"/>
          <w:color w:val="FF0000"/>
        </w:rPr>
        <w:t>【条文说明】</w:t>
      </w:r>
      <w:r>
        <w:rPr>
          <w:rFonts w:hint="eastAsia" w:ascii="仿宋" w:hAnsi="仿宋" w:eastAsia="仿宋"/>
          <w:color w:val="FF0000"/>
        </w:rPr>
        <w:t>新增条文，鼓励项目单独申请绿色施工评价标识。</w:t>
      </w:r>
    </w:p>
    <w:p>
      <w:pPr>
        <w:pStyle w:val="87"/>
        <w:spacing w:line="360" w:lineRule="auto"/>
        <w:ind w:firstLine="0" w:firstLineChars="0"/>
        <w:outlineLvl w:val="9"/>
        <w:rPr>
          <w:bCs/>
        </w:rPr>
      </w:pPr>
    </w:p>
    <w:p>
      <w:pPr>
        <w:snapToGrid w:val="0"/>
        <w:spacing w:line="360" w:lineRule="auto"/>
        <w:rPr>
          <w:rFonts w:hAnsi="宋体"/>
          <w:bCs/>
          <w:sz w:val="24"/>
        </w:rPr>
      </w:pPr>
      <w:r>
        <w:rPr>
          <w:b/>
          <w:sz w:val="24"/>
        </w:rPr>
        <w:t>1</w:t>
      </w:r>
      <w:r>
        <w:rPr>
          <w:rFonts w:hint="eastAsia"/>
          <w:b/>
          <w:sz w:val="24"/>
        </w:rPr>
        <w:t>3</w:t>
      </w:r>
      <w:r>
        <w:rPr>
          <w:b/>
          <w:sz w:val="24"/>
        </w:rPr>
        <w:t>.2.</w:t>
      </w:r>
      <w:r>
        <w:rPr>
          <w:rFonts w:hint="eastAsia"/>
          <w:b/>
          <w:sz w:val="24"/>
        </w:rPr>
        <w:t>9</w:t>
      </w:r>
      <w:r>
        <w:rPr>
          <w:rFonts w:hAnsi="宋体"/>
          <w:bCs/>
          <w:sz w:val="24"/>
        </w:rPr>
        <w:t>　</w:t>
      </w:r>
      <w:r>
        <w:rPr>
          <w:rFonts w:hint="eastAsia" w:hAnsi="宋体"/>
          <w:sz w:val="24"/>
        </w:rPr>
        <w:t>项目建筑工业化达到国家现行标准《工业化建筑评价标准》</w:t>
      </w:r>
      <w:r>
        <w:rPr>
          <w:rFonts w:hAnsi="宋体"/>
          <w:sz w:val="24"/>
        </w:rPr>
        <w:t>GB/T51129</w:t>
      </w:r>
      <w:r>
        <w:rPr>
          <w:rFonts w:hint="eastAsia" w:hAnsi="宋体"/>
          <w:sz w:val="24"/>
        </w:rPr>
        <w:t>中的A级，得1分，达到AA级，得2分，达到AAA级，得3分</w:t>
      </w:r>
      <w:r>
        <w:rPr>
          <w:rFonts w:hAnsi="宋体"/>
          <w:bCs/>
          <w:sz w:val="24"/>
        </w:rPr>
        <w:t>。评价总分值为</w:t>
      </w:r>
      <w:r>
        <w:rPr>
          <w:rFonts w:hint="eastAsia"/>
          <w:bCs/>
          <w:sz w:val="24"/>
        </w:rPr>
        <w:t>3</w:t>
      </w:r>
      <w:r>
        <w:rPr>
          <w:rFonts w:hAnsi="宋体"/>
          <w:bCs/>
          <w:sz w:val="24"/>
        </w:rPr>
        <w:t>分。</w:t>
      </w:r>
    </w:p>
    <w:p>
      <w:pPr>
        <w:pStyle w:val="87"/>
        <w:spacing w:line="360" w:lineRule="auto"/>
        <w:ind w:firstLine="0" w:firstLineChars="0"/>
        <w:outlineLvl w:val="9"/>
        <w:rPr>
          <w:rFonts w:ascii="仿宋" w:hAnsi="仿宋" w:eastAsia="仿宋"/>
          <w:color w:val="FF0000"/>
        </w:rPr>
      </w:pPr>
      <w:r>
        <w:rPr>
          <w:rFonts w:ascii="仿宋" w:hAnsi="仿宋" w:eastAsia="仿宋"/>
          <w:color w:val="FF0000"/>
        </w:rPr>
        <w:t>【条文说明】</w:t>
      </w:r>
      <w:r>
        <w:rPr>
          <w:rFonts w:hint="eastAsia" w:ascii="仿宋" w:hAnsi="仿宋" w:eastAsia="仿宋"/>
          <w:color w:val="FF0000"/>
        </w:rPr>
        <w:t>新增条文，鼓励实施建筑工业化的项目申请《工业化建筑评价标准》</w:t>
      </w:r>
      <w:r>
        <w:rPr>
          <w:rFonts w:ascii="仿宋" w:hAnsi="仿宋" w:eastAsia="仿宋"/>
          <w:color w:val="FF0000"/>
        </w:rPr>
        <w:t>GB/T51129</w:t>
      </w:r>
      <w:r>
        <w:rPr>
          <w:rFonts w:hint="eastAsia" w:ascii="仿宋" w:hAnsi="仿宋" w:eastAsia="仿宋"/>
          <w:color w:val="FF0000"/>
        </w:rPr>
        <w:t>的评级。</w:t>
      </w:r>
    </w:p>
    <w:p>
      <w:pPr>
        <w:pStyle w:val="87"/>
        <w:spacing w:line="360" w:lineRule="auto"/>
        <w:ind w:firstLine="0" w:firstLineChars="0"/>
        <w:outlineLvl w:val="9"/>
        <w:rPr>
          <w:rFonts w:ascii="仿宋" w:hAnsi="仿宋" w:eastAsia="仿宋"/>
          <w:color w:val="FF0000"/>
        </w:rPr>
      </w:pPr>
    </w:p>
    <w:p>
      <w:pPr>
        <w:pStyle w:val="87"/>
        <w:ind w:firstLine="0" w:firstLineChars="0"/>
        <w:outlineLvl w:val="9"/>
      </w:pPr>
      <w:r>
        <w:rPr>
          <w:b/>
        </w:rPr>
        <w:t>13.2.</w:t>
      </w:r>
      <w:r>
        <w:rPr>
          <w:rFonts w:hint="eastAsia"/>
          <w:b/>
        </w:rPr>
        <w:t>10</w:t>
      </w:r>
      <w:r>
        <w:rPr>
          <w:b/>
        </w:rPr>
        <w:t>　</w:t>
      </w:r>
      <w:r>
        <w:t>项目物业管理达到《深圳市绿色物业管理导则（试行）》、《深圳市绿色物业管理项目评价办法（试行）》和《深圳市绿色物业管理评价细则（试行）》中的三星级，评价分值为1分</w:t>
      </w:r>
      <w:r>
        <w:rPr>
          <w:rFonts w:hint="eastAsia"/>
        </w:rPr>
        <w:t>。</w:t>
      </w:r>
    </w:p>
    <w:p>
      <w:pPr>
        <w:pStyle w:val="87"/>
        <w:spacing w:line="360" w:lineRule="auto"/>
        <w:ind w:firstLine="0" w:firstLineChars="0"/>
        <w:outlineLvl w:val="9"/>
        <w:rPr>
          <w:rFonts w:ascii="仿宋" w:hAnsi="仿宋" w:eastAsia="仿宋"/>
          <w:color w:val="FF0000"/>
        </w:rPr>
      </w:pPr>
      <w:r>
        <w:rPr>
          <w:rFonts w:ascii="仿宋" w:hAnsi="仿宋" w:eastAsia="仿宋"/>
          <w:color w:val="FF0000"/>
        </w:rPr>
        <w:t>【条文说明】</w:t>
      </w:r>
      <w:r>
        <w:rPr>
          <w:rFonts w:hint="eastAsia" w:ascii="仿宋" w:hAnsi="仿宋" w:eastAsia="仿宋"/>
          <w:color w:val="FF0000"/>
        </w:rPr>
        <w:t>新增条文</w:t>
      </w:r>
      <w:r>
        <w:rPr>
          <w:rFonts w:hint="eastAsia" w:ascii="仿宋" w:hAnsi="仿宋" w:eastAsia="仿宋"/>
          <w:color w:val="FF0000"/>
          <w:lang w:eastAsia="zh-CN"/>
        </w:rPr>
        <w:t>，鼓励项目开展绿色物业建设</w:t>
      </w:r>
      <w:r>
        <w:rPr>
          <w:rFonts w:hint="eastAsia" w:ascii="仿宋" w:hAnsi="仿宋" w:eastAsia="仿宋"/>
          <w:color w:val="FF0000"/>
        </w:rPr>
        <w:t>。</w:t>
      </w:r>
    </w:p>
    <w:p>
      <w:pPr>
        <w:pStyle w:val="87"/>
        <w:ind w:firstLine="0" w:firstLineChars="0"/>
        <w:outlineLvl w:val="9"/>
        <w:rPr>
          <w:bCs/>
          <w:sz w:val="21"/>
          <w:szCs w:val="21"/>
        </w:rPr>
      </w:pPr>
    </w:p>
    <w:p>
      <w:pPr>
        <w:pStyle w:val="87"/>
        <w:ind w:firstLine="0" w:firstLineChars="0"/>
        <w:jc w:val="center"/>
      </w:pPr>
      <w:bookmarkStart w:id="142" w:name="_Toc449111705"/>
      <w:r>
        <w:rPr>
          <w:rFonts w:ascii="宋体" w:hAnsi="宋体"/>
        </w:rPr>
        <w:t>Ⅱ</w:t>
      </w:r>
      <w:r>
        <w:rPr>
          <w:rFonts w:hint="eastAsia"/>
        </w:rPr>
        <w:t xml:space="preserve"> </w:t>
      </w:r>
      <w:r>
        <w:rPr>
          <w:rFonts w:hAnsi="宋体"/>
        </w:rPr>
        <w:t>创新</w:t>
      </w:r>
      <w:r>
        <w:rPr>
          <w:rFonts w:hint="eastAsia" w:hAnsi="宋体"/>
        </w:rPr>
        <w:t>（15）</w:t>
      </w:r>
      <w:bookmarkEnd w:id="142"/>
    </w:p>
    <w:p>
      <w:pPr>
        <w:pStyle w:val="87"/>
        <w:spacing w:line="360" w:lineRule="auto"/>
        <w:ind w:firstLine="0" w:firstLineChars="0"/>
        <w:outlineLvl w:val="9"/>
        <w:rPr>
          <w:rFonts w:hAnsi="宋体"/>
          <w:bCs/>
        </w:rPr>
      </w:pPr>
      <w:r>
        <w:rPr>
          <w:b/>
          <w:bCs/>
        </w:rPr>
        <w:t>1</w:t>
      </w:r>
      <w:r>
        <w:rPr>
          <w:rFonts w:hint="eastAsia"/>
          <w:b/>
          <w:bCs/>
        </w:rPr>
        <w:t>3</w:t>
      </w:r>
      <w:r>
        <w:rPr>
          <w:b/>
          <w:bCs/>
        </w:rPr>
        <w:t>.2.</w:t>
      </w:r>
      <w:r>
        <w:rPr>
          <w:rFonts w:hint="eastAsia"/>
          <w:b/>
          <w:bCs/>
        </w:rPr>
        <w:t>11</w:t>
      </w:r>
      <w:r>
        <w:rPr>
          <w:rFonts w:hAnsi="宋体"/>
          <w:bCs/>
        </w:rPr>
        <w:t>　建筑方案充分考虑建筑所在地域的气候、环境、资源，结合场地特征和建筑功能，进行技术经济分析，显著提高能源资源利用效率和建筑性能，评价分值为</w:t>
      </w:r>
      <w:r>
        <w:rPr>
          <w:bCs/>
        </w:rPr>
        <w:t>2</w:t>
      </w:r>
      <w:r>
        <w:rPr>
          <w:rFonts w:hAnsi="宋体"/>
          <w:bCs/>
        </w:rPr>
        <w:t>分。</w:t>
      </w:r>
    </w:p>
    <w:p>
      <w:pPr>
        <w:pStyle w:val="87"/>
        <w:spacing w:line="360" w:lineRule="auto"/>
        <w:ind w:firstLine="0" w:firstLineChars="0"/>
        <w:outlineLvl w:val="9"/>
        <w:rPr>
          <w:rFonts w:ascii="仿宋" w:hAnsi="仿宋" w:eastAsia="仿宋"/>
          <w:color w:val="FF0000"/>
        </w:rPr>
      </w:pPr>
      <w:r>
        <w:rPr>
          <w:rFonts w:ascii="仿宋" w:hAnsi="仿宋" w:eastAsia="仿宋"/>
          <w:color w:val="FF0000"/>
        </w:rPr>
        <w:t>【条文说明】</w:t>
      </w:r>
      <w:r>
        <w:rPr>
          <w:rFonts w:hint="eastAsia" w:ascii="仿宋" w:hAnsi="仿宋" w:eastAsia="仿宋"/>
          <w:color w:val="FF0000"/>
        </w:rPr>
        <w:t>与国家标准一致。本条主要目的是为了鼓励设计创新，通过对建筑设计方案的优化，降低建筑建造和运营成本，提高绿色建筑性能水平。例如，建筑设计充分体现深圳气候区对自然通风、遮阳和隔热等节能特征的不同需求，建筑形体设计等于场地微气候结合紧密，应用自然采光、遮阳等被动式技术优先的理念，设计策略明显有利于降低空调、供暖、照明、生活热水、通风、电梯等的负荷需求、提高室内环境质量、减少建筑用能时间或促进运行阶段的行为节能，等等。</w:t>
      </w:r>
    </w:p>
    <w:p>
      <w:pPr>
        <w:pStyle w:val="87"/>
        <w:spacing w:line="360" w:lineRule="auto"/>
        <w:ind w:firstLine="0" w:firstLineChars="0"/>
        <w:outlineLvl w:val="9"/>
        <w:rPr>
          <w:bCs/>
        </w:rPr>
      </w:pPr>
    </w:p>
    <w:p>
      <w:pPr>
        <w:pStyle w:val="87"/>
        <w:spacing w:line="360" w:lineRule="auto"/>
        <w:ind w:firstLine="0" w:firstLineChars="0"/>
        <w:outlineLvl w:val="9"/>
        <w:rPr>
          <w:rFonts w:hAnsi="宋体"/>
          <w:bCs/>
        </w:rPr>
      </w:pPr>
      <w:r>
        <w:rPr>
          <w:b/>
          <w:bCs/>
        </w:rPr>
        <w:t>1</w:t>
      </w:r>
      <w:r>
        <w:rPr>
          <w:rFonts w:hint="eastAsia"/>
          <w:b/>
          <w:bCs/>
        </w:rPr>
        <w:t>3</w:t>
      </w:r>
      <w:r>
        <w:rPr>
          <w:b/>
          <w:bCs/>
        </w:rPr>
        <w:t>.2.1</w:t>
      </w:r>
      <w:r>
        <w:rPr>
          <w:rFonts w:hint="eastAsia"/>
          <w:b/>
          <w:bCs/>
        </w:rPr>
        <w:t>2</w:t>
      </w:r>
      <w:r>
        <w:rPr>
          <w:rFonts w:hAnsi="宋体"/>
          <w:bCs/>
        </w:rPr>
        <w:t>　应用被动式超低能耗绿色建筑技术进行建筑设计，评价分值为</w:t>
      </w:r>
      <w:r>
        <w:rPr>
          <w:bCs/>
        </w:rPr>
        <w:t>2</w:t>
      </w:r>
      <w:r>
        <w:rPr>
          <w:rFonts w:hAnsi="宋体"/>
          <w:bCs/>
        </w:rPr>
        <w:t>分。</w:t>
      </w:r>
    </w:p>
    <w:p>
      <w:pPr>
        <w:pStyle w:val="87"/>
        <w:spacing w:line="360" w:lineRule="auto"/>
        <w:ind w:firstLine="0" w:firstLineChars="0"/>
        <w:outlineLvl w:val="9"/>
        <w:rPr>
          <w:rFonts w:ascii="仿宋" w:hAnsi="仿宋" w:eastAsia="仿宋"/>
          <w:color w:val="FF0000"/>
        </w:rPr>
      </w:pPr>
      <w:r>
        <w:rPr>
          <w:rFonts w:ascii="仿宋" w:hAnsi="仿宋" w:eastAsia="仿宋"/>
          <w:color w:val="FF0000"/>
        </w:rPr>
        <w:t>【条文说明】</w:t>
      </w:r>
      <w:r>
        <w:rPr>
          <w:rFonts w:hint="eastAsia" w:ascii="仿宋" w:hAnsi="仿宋" w:eastAsia="仿宋"/>
          <w:color w:val="FF0000"/>
        </w:rPr>
        <w:t>新增条文，强调采用被动式技术进行建筑设计。</w:t>
      </w:r>
    </w:p>
    <w:p>
      <w:pPr>
        <w:pStyle w:val="87"/>
        <w:spacing w:line="360" w:lineRule="auto"/>
        <w:ind w:firstLine="0" w:firstLineChars="0"/>
        <w:outlineLvl w:val="9"/>
        <w:rPr>
          <w:bCs/>
        </w:rPr>
      </w:pPr>
    </w:p>
    <w:p>
      <w:pPr>
        <w:pStyle w:val="87"/>
        <w:spacing w:line="360" w:lineRule="auto"/>
        <w:ind w:firstLine="0" w:firstLineChars="0"/>
        <w:outlineLvl w:val="9"/>
        <w:rPr>
          <w:rFonts w:hAnsi="宋体"/>
          <w:bCs/>
        </w:rPr>
      </w:pPr>
      <w:r>
        <w:rPr>
          <w:b/>
          <w:bCs/>
        </w:rPr>
        <w:t>1</w:t>
      </w:r>
      <w:r>
        <w:rPr>
          <w:rFonts w:hint="eastAsia"/>
          <w:b/>
          <w:bCs/>
        </w:rPr>
        <w:t>3</w:t>
      </w:r>
      <w:r>
        <w:rPr>
          <w:b/>
          <w:bCs/>
        </w:rPr>
        <w:t>.2.1</w:t>
      </w:r>
      <w:r>
        <w:rPr>
          <w:rFonts w:hint="eastAsia"/>
          <w:b/>
          <w:bCs/>
        </w:rPr>
        <w:t>3</w:t>
      </w:r>
      <w:r>
        <w:rPr>
          <w:rFonts w:hAnsi="宋体"/>
          <w:bCs/>
        </w:rPr>
        <w:t>　合理选用废弃场地进行建设，或充分利用尚可使用的旧建筑，评价分值为</w:t>
      </w:r>
      <w:r>
        <w:rPr>
          <w:bCs/>
        </w:rPr>
        <w:t>1</w:t>
      </w:r>
      <w:r>
        <w:rPr>
          <w:rFonts w:hAnsi="宋体"/>
          <w:bCs/>
        </w:rPr>
        <w:t>分。</w:t>
      </w:r>
    </w:p>
    <w:p>
      <w:pPr>
        <w:pStyle w:val="87"/>
        <w:spacing w:line="360" w:lineRule="auto"/>
        <w:ind w:firstLine="0" w:firstLineChars="0"/>
        <w:outlineLvl w:val="9"/>
        <w:rPr>
          <w:rFonts w:ascii="仿宋" w:hAnsi="仿宋" w:eastAsia="仿宋"/>
          <w:color w:val="FF0000"/>
        </w:rPr>
      </w:pPr>
      <w:r>
        <w:rPr>
          <w:rFonts w:ascii="仿宋" w:hAnsi="仿宋" w:eastAsia="仿宋"/>
          <w:color w:val="FF0000"/>
        </w:rPr>
        <w:t>【条文说明】</w:t>
      </w:r>
      <w:r>
        <w:rPr>
          <w:rFonts w:hint="eastAsia" w:ascii="仿宋" w:hAnsi="仿宋" w:eastAsia="仿宋"/>
          <w:color w:val="FF0000"/>
        </w:rPr>
        <w:t>与国家标准一致。本条所指的废弃场地主要包括裸岩、石砾地、盐碱地、沙荒地、废窑坑、废旧仓库或工厂弃置地等。绿色建筑优先考虑合理利用废弃场地，采取改造或改良等治理措施，对土壤中是否含有有毒物质进行检测与再利用评估，确保场地利用不存在安全隐患、符合国家相关标准的要求。</w:t>
      </w:r>
    </w:p>
    <w:p>
      <w:pPr>
        <w:pStyle w:val="87"/>
        <w:spacing w:line="360" w:lineRule="auto"/>
        <w:ind w:firstLine="0" w:firstLineChars="0"/>
        <w:outlineLvl w:val="9"/>
        <w:rPr>
          <w:rFonts w:ascii="仿宋" w:hAnsi="仿宋" w:eastAsia="仿宋"/>
          <w:color w:val="FF0000"/>
        </w:rPr>
      </w:pPr>
      <w:r>
        <w:rPr>
          <w:rFonts w:hint="eastAsia" w:ascii="仿宋" w:hAnsi="仿宋" w:eastAsia="仿宋"/>
          <w:color w:val="FF0000"/>
        </w:rPr>
        <w:t>本条所指的尚可使用的旧建筑系指建筑质量能保证只用安全的旧建筑，或通过少量改造加固后能保证使用安全的旧建筑。</w:t>
      </w:r>
    </w:p>
    <w:p>
      <w:pPr>
        <w:pStyle w:val="87"/>
        <w:spacing w:line="360" w:lineRule="auto"/>
        <w:ind w:firstLine="0" w:firstLineChars="0"/>
        <w:outlineLvl w:val="9"/>
        <w:rPr>
          <w:bCs/>
        </w:rPr>
      </w:pPr>
    </w:p>
    <w:p>
      <w:pPr>
        <w:pStyle w:val="87"/>
        <w:spacing w:line="360" w:lineRule="auto"/>
        <w:ind w:firstLine="0" w:firstLineChars="0"/>
        <w:outlineLvl w:val="9"/>
        <w:rPr>
          <w:rFonts w:hAnsi="宋体"/>
          <w:bCs/>
        </w:rPr>
      </w:pPr>
      <w:r>
        <w:rPr>
          <w:b/>
          <w:bCs/>
        </w:rPr>
        <w:t>1</w:t>
      </w:r>
      <w:r>
        <w:rPr>
          <w:rFonts w:hint="eastAsia"/>
          <w:b/>
          <w:bCs/>
        </w:rPr>
        <w:t>3</w:t>
      </w:r>
      <w:r>
        <w:rPr>
          <w:b/>
          <w:bCs/>
        </w:rPr>
        <w:t>.2.1</w:t>
      </w:r>
      <w:r>
        <w:rPr>
          <w:rFonts w:hint="eastAsia"/>
          <w:b/>
          <w:bCs/>
        </w:rPr>
        <w:t>4</w:t>
      </w:r>
      <w:r>
        <w:rPr>
          <w:rFonts w:hAnsi="宋体"/>
          <w:bCs/>
        </w:rPr>
        <w:t>　</w:t>
      </w:r>
      <w:r>
        <w:rPr>
          <w:rFonts w:hint="eastAsia" w:hAnsi="宋体"/>
          <w:bCs/>
        </w:rPr>
        <w:t>在不污染海水的情况下，</w:t>
      </w:r>
      <w:r>
        <w:rPr>
          <w:rFonts w:hAnsi="宋体"/>
          <w:bCs/>
        </w:rPr>
        <w:t>合理</w:t>
      </w:r>
      <w:r>
        <w:rPr>
          <w:rFonts w:hint="eastAsia" w:hAnsi="宋体"/>
          <w:bCs/>
        </w:rPr>
        <w:t>利用海水作为非传统水源或空调冷热源</w:t>
      </w:r>
      <w:r>
        <w:rPr>
          <w:rFonts w:hAnsi="宋体"/>
          <w:bCs/>
        </w:rPr>
        <w:t>，评价分值为</w:t>
      </w:r>
      <w:r>
        <w:rPr>
          <w:bCs/>
        </w:rPr>
        <w:t>1</w:t>
      </w:r>
      <w:r>
        <w:rPr>
          <w:rFonts w:hAnsi="宋体"/>
          <w:bCs/>
        </w:rPr>
        <w:t>分。</w:t>
      </w:r>
    </w:p>
    <w:p>
      <w:pPr>
        <w:pStyle w:val="87"/>
        <w:spacing w:line="360" w:lineRule="auto"/>
        <w:ind w:firstLine="0" w:firstLineChars="0"/>
        <w:outlineLvl w:val="9"/>
        <w:rPr>
          <w:bCs/>
        </w:rPr>
      </w:pPr>
      <w:r>
        <w:rPr>
          <w:rFonts w:ascii="仿宋" w:hAnsi="仿宋" w:eastAsia="仿宋"/>
          <w:color w:val="FF0000"/>
        </w:rPr>
        <w:t>【条文说明】</w:t>
      </w:r>
      <w:r>
        <w:rPr>
          <w:rFonts w:hint="eastAsia" w:ascii="仿宋" w:hAnsi="仿宋" w:eastAsia="仿宋"/>
          <w:color w:val="FF0000"/>
        </w:rPr>
        <w:t>保留《绿色建筑评价规范》SZJG30-2009创新项6.7.1条文的第三款。深圳海域面积1145平方公里，海岸线257公里，具备海洋产业发展的资源条件。深圳市水资源的供需矛盾长期存在，深圳将向香港学习，在海水利用便利的滨海地区建立海水冲厕示范工程，在有条件的傍海新建住宅区、度假区、酒店宾馆及工业企业内建立海水冲厕系统。</w:t>
      </w:r>
    </w:p>
    <w:p>
      <w:pPr>
        <w:pStyle w:val="87"/>
        <w:spacing w:line="360" w:lineRule="auto"/>
        <w:ind w:firstLine="0" w:firstLineChars="0"/>
        <w:outlineLvl w:val="9"/>
        <w:rPr>
          <w:rFonts w:hAnsi="宋体"/>
          <w:bCs/>
        </w:rPr>
      </w:pPr>
      <w:r>
        <w:rPr>
          <w:b/>
          <w:bCs/>
        </w:rPr>
        <w:t>1</w:t>
      </w:r>
      <w:r>
        <w:rPr>
          <w:rFonts w:hint="eastAsia"/>
          <w:b/>
          <w:bCs/>
        </w:rPr>
        <w:t>3</w:t>
      </w:r>
      <w:r>
        <w:rPr>
          <w:b/>
          <w:bCs/>
        </w:rPr>
        <w:t>.2.1</w:t>
      </w:r>
      <w:r>
        <w:rPr>
          <w:rFonts w:hint="eastAsia"/>
          <w:b/>
          <w:bCs/>
        </w:rPr>
        <w:t>5</w:t>
      </w:r>
      <w:r>
        <w:rPr>
          <w:rFonts w:hAnsi="宋体"/>
          <w:bCs/>
        </w:rPr>
        <w:t>　应用</w:t>
      </w:r>
      <w:r>
        <w:rPr>
          <w:rFonts w:hint="eastAsia" w:hAnsi="宋体"/>
          <w:bCs/>
        </w:rPr>
        <w:t>集成、协同设计</w:t>
      </w:r>
      <w:r>
        <w:rPr>
          <w:rFonts w:hAnsi="宋体"/>
          <w:bCs/>
        </w:rPr>
        <w:t>技术</w:t>
      </w:r>
      <w:r>
        <w:rPr>
          <w:rFonts w:hint="eastAsia" w:hAnsi="宋体"/>
          <w:bCs/>
        </w:rPr>
        <w:t>，项目建造单位或者使用者参与前期设计中</w:t>
      </w:r>
      <w:r>
        <w:rPr>
          <w:rFonts w:hAnsi="宋体"/>
          <w:bCs/>
        </w:rPr>
        <w:t>，</w:t>
      </w:r>
      <w:r>
        <w:rPr>
          <w:rFonts w:hint="eastAsia" w:hAnsi="宋体"/>
          <w:bCs/>
        </w:rPr>
        <w:t>并按下列规则分别评分并累计</w:t>
      </w:r>
      <w:r>
        <w:rPr>
          <w:rFonts w:hAnsi="宋体"/>
          <w:bCs/>
        </w:rPr>
        <w:t>。评价总分值为</w:t>
      </w:r>
      <w:r>
        <w:rPr>
          <w:rFonts w:hint="eastAsia"/>
          <w:bCs/>
        </w:rPr>
        <w:t>4</w:t>
      </w:r>
      <w:r>
        <w:rPr>
          <w:rFonts w:hAnsi="宋体"/>
          <w:bCs/>
        </w:rPr>
        <w:t>分。</w:t>
      </w:r>
    </w:p>
    <w:p>
      <w:pPr>
        <w:pStyle w:val="87"/>
        <w:spacing w:line="360" w:lineRule="auto"/>
        <w:ind w:left="420" w:leftChars="200" w:firstLine="0" w:firstLineChars="0"/>
        <w:outlineLvl w:val="9"/>
        <w:rPr>
          <w:rFonts w:hAnsi="宋体"/>
          <w:bCs/>
        </w:rPr>
      </w:pPr>
      <w:r>
        <w:rPr>
          <w:rFonts w:hint="eastAsia" w:hAnsi="宋体"/>
          <w:b/>
          <w:bCs/>
        </w:rPr>
        <w:t>1</w:t>
      </w:r>
      <w:r>
        <w:rPr>
          <w:rFonts w:hAnsi="宋体"/>
          <w:bCs/>
        </w:rPr>
        <w:t>应用建筑信息模型（</w:t>
      </w:r>
      <w:r>
        <w:rPr>
          <w:bCs/>
        </w:rPr>
        <w:t>BIM</w:t>
      </w:r>
      <w:r>
        <w:rPr>
          <w:rFonts w:hAnsi="宋体"/>
          <w:bCs/>
        </w:rPr>
        <w:t>）技术，在建筑的规划设计、施工建造和运行维护阶段中的一个阶段应用得</w:t>
      </w:r>
      <w:r>
        <w:rPr>
          <w:bCs/>
        </w:rPr>
        <w:t>1</w:t>
      </w:r>
      <w:r>
        <w:rPr>
          <w:rFonts w:hAnsi="宋体"/>
          <w:bCs/>
        </w:rPr>
        <w:t>分，在两个或两个以上阶段应用得</w:t>
      </w:r>
      <w:r>
        <w:rPr>
          <w:bCs/>
        </w:rPr>
        <w:t>2</w:t>
      </w:r>
      <w:r>
        <w:rPr>
          <w:rFonts w:hAnsi="宋体"/>
          <w:bCs/>
        </w:rPr>
        <w:t>分</w:t>
      </w:r>
      <w:r>
        <w:rPr>
          <w:rFonts w:hint="eastAsia" w:hAnsi="宋体"/>
          <w:bCs/>
        </w:rPr>
        <w:t>；</w:t>
      </w:r>
    </w:p>
    <w:p>
      <w:pPr>
        <w:pStyle w:val="87"/>
        <w:spacing w:line="360" w:lineRule="auto"/>
        <w:ind w:left="420" w:leftChars="200" w:firstLine="0" w:firstLineChars="0"/>
        <w:outlineLvl w:val="9"/>
        <w:rPr>
          <w:rFonts w:hAnsi="宋体"/>
          <w:bCs/>
        </w:rPr>
      </w:pPr>
      <w:r>
        <w:rPr>
          <w:rFonts w:hint="eastAsia" w:hAnsi="宋体"/>
          <w:b/>
          <w:bCs/>
        </w:rPr>
        <w:t xml:space="preserve">2 </w:t>
      </w:r>
      <w:r>
        <w:rPr>
          <w:rFonts w:hint="eastAsia" w:hAnsi="宋体"/>
          <w:bCs/>
        </w:rPr>
        <w:t>采用集成和协同设计技术，并建立协同工作机制，包括外围护结构、机电设备、室内装饰等技术，得1分；</w:t>
      </w:r>
    </w:p>
    <w:p>
      <w:pPr>
        <w:pStyle w:val="87"/>
        <w:spacing w:line="360" w:lineRule="auto"/>
        <w:ind w:left="420" w:leftChars="200" w:firstLine="0" w:firstLineChars="0"/>
        <w:outlineLvl w:val="9"/>
        <w:rPr>
          <w:rFonts w:hAnsi="宋体"/>
          <w:bCs/>
        </w:rPr>
      </w:pPr>
      <w:r>
        <w:rPr>
          <w:rFonts w:hint="eastAsia" w:hAnsi="宋体"/>
          <w:b/>
          <w:bCs/>
        </w:rPr>
        <w:t>3</w:t>
      </w:r>
      <w:r>
        <w:rPr>
          <w:rFonts w:hint="eastAsia" w:hAnsi="宋体"/>
          <w:bCs/>
        </w:rPr>
        <w:t xml:space="preserve"> 建造单位或者使用者参与前期设计中，从建造角度、运营管理和使用角度提前介入设计中，得1分。</w:t>
      </w:r>
    </w:p>
    <w:p>
      <w:pPr>
        <w:pStyle w:val="87"/>
        <w:spacing w:line="360" w:lineRule="auto"/>
        <w:ind w:firstLine="0" w:firstLineChars="0"/>
        <w:outlineLvl w:val="9"/>
        <w:rPr>
          <w:rFonts w:ascii="仿宋" w:hAnsi="仿宋" w:eastAsia="仿宋"/>
          <w:color w:val="FF0000"/>
        </w:rPr>
      </w:pPr>
      <w:r>
        <w:rPr>
          <w:rFonts w:ascii="仿宋" w:hAnsi="仿宋" w:eastAsia="仿宋"/>
          <w:color w:val="FF0000"/>
        </w:rPr>
        <w:t>【条文说明】</w:t>
      </w:r>
      <w:r>
        <w:rPr>
          <w:rFonts w:hint="eastAsia" w:ascii="仿宋" w:hAnsi="仿宋" w:eastAsia="仿宋"/>
          <w:color w:val="FF0000"/>
        </w:rPr>
        <w:t>新增条文，条款1鼓励应用建筑信息模型（BIM）；条款2鼓励应用集成和协同设计技术；条款3鼓励建造和使用维护前置，提前明确设计要求。</w:t>
      </w:r>
    </w:p>
    <w:p>
      <w:pPr>
        <w:pStyle w:val="87"/>
        <w:spacing w:line="360" w:lineRule="auto"/>
        <w:ind w:firstLine="0" w:firstLineChars="0"/>
        <w:outlineLvl w:val="9"/>
        <w:rPr>
          <w:bCs/>
        </w:rPr>
      </w:pPr>
    </w:p>
    <w:p>
      <w:pPr>
        <w:pStyle w:val="87"/>
        <w:spacing w:line="360" w:lineRule="auto"/>
        <w:ind w:firstLine="0" w:firstLineChars="0"/>
        <w:outlineLvl w:val="9"/>
        <w:rPr>
          <w:rFonts w:hAnsi="宋体"/>
          <w:bCs/>
        </w:rPr>
      </w:pPr>
      <w:r>
        <w:rPr>
          <w:b/>
          <w:bCs/>
        </w:rPr>
        <w:t>1</w:t>
      </w:r>
      <w:r>
        <w:rPr>
          <w:rFonts w:hint="eastAsia"/>
          <w:b/>
          <w:bCs/>
        </w:rPr>
        <w:t>3</w:t>
      </w:r>
      <w:r>
        <w:rPr>
          <w:b/>
          <w:bCs/>
        </w:rPr>
        <w:t>.2.1</w:t>
      </w:r>
      <w:r>
        <w:rPr>
          <w:rFonts w:hint="eastAsia"/>
          <w:b/>
          <w:bCs/>
        </w:rPr>
        <w:t>6</w:t>
      </w:r>
      <w:r>
        <w:rPr>
          <w:rFonts w:hAnsi="宋体"/>
          <w:bCs/>
        </w:rPr>
        <w:t>　</w:t>
      </w:r>
      <w:r>
        <w:rPr>
          <w:rFonts w:hint="eastAsia" w:hAnsi="宋体"/>
          <w:bCs/>
        </w:rPr>
        <w:t>推广建筑物碳排放制度，</w:t>
      </w:r>
      <w:r>
        <w:rPr>
          <w:rFonts w:hAnsi="宋体"/>
          <w:bCs/>
        </w:rPr>
        <w:t>评价总分值为</w:t>
      </w:r>
      <w:r>
        <w:rPr>
          <w:rFonts w:hint="eastAsia"/>
          <w:bCs/>
        </w:rPr>
        <w:t>3</w:t>
      </w:r>
      <w:r>
        <w:rPr>
          <w:rFonts w:hAnsi="宋体"/>
          <w:bCs/>
        </w:rPr>
        <w:t>分</w:t>
      </w:r>
      <w:r>
        <w:rPr>
          <w:rFonts w:hint="eastAsia" w:hAnsi="宋体"/>
          <w:bCs/>
        </w:rPr>
        <w:t>，并按下列规则分别评分并累计：</w:t>
      </w:r>
    </w:p>
    <w:p>
      <w:pPr>
        <w:pStyle w:val="87"/>
        <w:spacing w:line="360" w:lineRule="auto"/>
        <w:ind w:left="420" w:leftChars="200" w:firstLine="0" w:firstLineChars="0"/>
        <w:outlineLvl w:val="9"/>
        <w:rPr>
          <w:rFonts w:hAnsi="宋体"/>
          <w:bCs/>
        </w:rPr>
      </w:pPr>
      <w:r>
        <w:rPr>
          <w:rFonts w:hint="eastAsia" w:hAnsi="宋体"/>
          <w:b/>
          <w:bCs/>
        </w:rPr>
        <w:t>1</w:t>
      </w:r>
      <w:r>
        <w:rPr>
          <w:rFonts w:hint="eastAsia" w:hAnsi="宋体"/>
          <w:bCs/>
        </w:rPr>
        <w:t xml:space="preserve"> 设计阶段</w:t>
      </w:r>
      <w:r>
        <w:rPr>
          <w:rFonts w:hAnsi="宋体"/>
          <w:bCs/>
        </w:rPr>
        <w:t>进行建筑</w:t>
      </w:r>
      <w:r>
        <w:rPr>
          <w:rFonts w:hint="eastAsia" w:hAnsi="宋体"/>
          <w:bCs/>
        </w:rPr>
        <w:t>二氧化碳</w:t>
      </w:r>
      <w:r>
        <w:rPr>
          <w:rFonts w:hAnsi="宋体"/>
          <w:bCs/>
        </w:rPr>
        <w:t>排放计算分析，采取措施降低单位建筑面积</w:t>
      </w:r>
      <w:r>
        <w:rPr>
          <w:rFonts w:hint="eastAsia" w:hAnsi="宋体"/>
          <w:bCs/>
        </w:rPr>
        <w:t>二氧化</w:t>
      </w:r>
      <w:r>
        <w:rPr>
          <w:rFonts w:hAnsi="宋体"/>
          <w:bCs/>
        </w:rPr>
        <w:t>碳排放</w:t>
      </w:r>
      <w:r>
        <w:rPr>
          <w:rFonts w:hint="eastAsia" w:hAnsi="宋体"/>
          <w:bCs/>
        </w:rPr>
        <w:t>强度</w:t>
      </w:r>
      <w:r>
        <w:rPr>
          <w:rFonts w:hAnsi="宋体"/>
          <w:bCs/>
        </w:rPr>
        <w:t>，</w:t>
      </w:r>
      <w:r>
        <w:rPr>
          <w:rFonts w:hint="eastAsia" w:hAnsi="宋体"/>
          <w:bCs/>
        </w:rPr>
        <w:t>得</w:t>
      </w:r>
      <w:r>
        <w:rPr>
          <w:bCs/>
        </w:rPr>
        <w:t>1</w:t>
      </w:r>
      <w:r>
        <w:rPr>
          <w:rFonts w:hAnsi="宋体"/>
          <w:bCs/>
        </w:rPr>
        <w:t>分</w:t>
      </w:r>
      <w:r>
        <w:rPr>
          <w:rFonts w:hint="eastAsia" w:hAnsi="宋体"/>
          <w:bCs/>
        </w:rPr>
        <w:t>；</w:t>
      </w:r>
    </w:p>
    <w:p>
      <w:pPr>
        <w:pStyle w:val="87"/>
        <w:spacing w:line="360" w:lineRule="auto"/>
        <w:ind w:left="420" w:leftChars="200" w:firstLine="0" w:firstLineChars="0"/>
        <w:outlineLvl w:val="9"/>
        <w:rPr>
          <w:rFonts w:hAnsi="宋体"/>
          <w:bCs/>
        </w:rPr>
      </w:pPr>
      <w:r>
        <w:rPr>
          <w:rFonts w:hint="eastAsia" w:hAnsi="宋体"/>
          <w:b/>
          <w:bCs/>
        </w:rPr>
        <w:t>2</w:t>
      </w:r>
      <w:r>
        <w:rPr>
          <w:rFonts w:hint="eastAsia" w:hAnsi="宋体"/>
          <w:bCs/>
        </w:rPr>
        <w:t xml:space="preserve"> 投入运行后，持续开展建筑碳排放核查，并采取措施降低运行阶段的单位</w:t>
      </w:r>
      <w:r>
        <w:rPr>
          <w:rFonts w:hAnsi="宋体"/>
          <w:bCs/>
        </w:rPr>
        <w:t>建筑面积</w:t>
      </w:r>
      <w:r>
        <w:rPr>
          <w:rFonts w:hint="eastAsia" w:hAnsi="宋体"/>
          <w:bCs/>
        </w:rPr>
        <w:t>二氧化</w:t>
      </w:r>
      <w:r>
        <w:rPr>
          <w:rFonts w:hAnsi="宋体"/>
          <w:bCs/>
        </w:rPr>
        <w:t>碳排放</w:t>
      </w:r>
      <w:r>
        <w:rPr>
          <w:rFonts w:hint="eastAsia" w:hAnsi="宋体"/>
          <w:bCs/>
        </w:rPr>
        <w:t>强度</w:t>
      </w:r>
      <w:r>
        <w:rPr>
          <w:rFonts w:hAnsi="宋体"/>
          <w:bCs/>
        </w:rPr>
        <w:t>，</w:t>
      </w:r>
      <w:r>
        <w:rPr>
          <w:rFonts w:hint="eastAsia" w:hAnsi="宋体"/>
          <w:bCs/>
        </w:rPr>
        <w:t>得</w:t>
      </w:r>
      <w:r>
        <w:rPr>
          <w:bCs/>
        </w:rPr>
        <w:t>1</w:t>
      </w:r>
      <w:r>
        <w:rPr>
          <w:rFonts w:hAnsi="宋体"/>
          <w:bCs/>
        </w:rPr>
        <w:t>分</w:t>
      </w:r>
      <w:r>
        <w:rPr>
          <w:rFonts w:hint="eastAsia" w:hAnsi="宋体"/>
          <w:bCs/>
        </w:rPr>
        <w:t>；</w:t>
      </w:r>
    </w:p>
    <w:p>
      <w:pPr>
        <w:pStyle w:val="87"/>
        <w:spacing w:line="360" w:lineRule="auto"/>
        <w:ind w:left="420" w:leftChars="200" w:firstLine="0" w:firstLineChars="0"/>
        <w:outlineLvl w:val="9"/>
        <w:rPr>
          <w:rFonts w:hAnsi="宋体"/>
          <w:bCs/>
        </w:rPr>
      </w:pPr>
      <w:r>
        <w:rPr>
          <w:rFonts w:hint="eastAsia" w:hAnsi="宋体"/>
          <w:b/>
          <w:bCs/>
        </w:rPr>
        <w:t>3</w:t>
      </w:r>
      <w:r>
        <w:rPr>
          <w:rFonts w:hint="eastAsia" w:hAnsi="宋体"/>
          <w:bCs/>
        </w:rPr>
        <w:t xml:space="preserve"> 开展建筑碳排放权交易，得1分。</w:t>
      </w:r>
    </w:p>
    <w:p>
      <w:pPr>
        <w:pStyle w:val="87"/>
        <w:spacing w:line="360" w:lineRule="auto"/>
        <w:ind w:firstLine="0" w:firstLineChars="0"/>
        <w:outlineLvl w:val="9"/>
        <w:rPr>
          <w:bCs/>
        </w:rPr>
      </w:pPr>
      <w:r>
        <w:rPr>
          <w:rFonts w:ascii="仿宋" w:hAnsi="仿宋" w:eastAsia="仿宋"/>
          <w:color w:val="FF0000"/>
        </w:rPr>
        <w:t>【条文说明】</w:t>
      </w:r>
      <w:r>
        <w:rPr>
          <w:rFonts w:hint="eastAsia" w:ascii="仿宋" w:hAnsi="仿宋" w:eastAsia="仿宋"/>
          <w:color w:val="FF0000"/>
        </w:rPr>
        <w:t>与国家标准相比，增加建筑碳排放的分数，从1分调整为3分，增加运行阶段建筑碳排放核查和交易的得分途径。</w:t>
      </w:r>
    </w:p>
    <w:p>
      <w:pPr>
        <w:snapToGrid w:val="0"/>
        <w:spacing w:line="360" w:lineRule="auto"/>
        <w:rPr>
          <w:rFonts w:hAnsi="宋体"/>
          <w:bCs/>
          <w:sz w:val="24"/>
        </w:rPr>
      </w:pPr>
      <w:r>
        <w:rPr>
          <w:b/>
          <w:sz w:val="24"/>
        </w:rPr>
        <w:t>1</w:t>
      </w:r>
      <w:r>
        <w:rPr>
          <w:rFonts w:hint="eastAsia"/>
          <w:b/>
          <w:sz w:val="24"/>
        </w:rPr>
        <w:t>3</w:t>
      </w:r>
      <w:r>
        <w:rPr>
          <w:b/>
          <w:sz w:val="24"/>
        </w:rPr>
        <w:t>.2.1</w:t>
      </w:r>
      <w:r>
        <w:rPr>
          <w:rFonts w:hint="eastAsia"/>
          <w:b/>
          <w:sz w:val="24"/>
        </w:rPr>
        <w:t>7</w:t>
      </w:r>
      <w:r>
        <w:rPr>
          <w:rFonts w:hAnsi="宋体"/>
          <w:bCs/>
          <w:sz w:val="24"/>
        </w:rPr>
        <w:t>　</w:t>
      </w:r>
      <w:r>
        <w:rPr>
          <w:rFonts w:hAnsi="宋体"/>
          <w:sz w:val="24"/>
        </w:rPr>
        <w:t>建筑室内装饰装修设计时采用合理的预评估方法预测室内污染物组成，</w:t>
      </w:r>
      <w:r>
        <w:rPr>
          <w:rFonts w:hAnsi="宋体"/>
          <w:bCs/>
          <w:sz w:val="24"/>
        </w:rPr>
        <w:t>评价分值为</w:t>
      </w:r>
      <w:r>
        <w:rPr>
          <w:bCs/>
          <w:sz w:val="24"/>
        </w:rPr>
        <w:t>1</w:t>
      </w:r>
      <w:r>
        <w:rPr>
          <w:rFonts w:hAnsi="宋体"/>
          <w:bCs/>
          <w:sz w:val="24"/>
        </w:rPr>
        <w:t>分。</w:t>
      </w:r>
    </w:p>
    <w:p>
      <w:pPr>
        <w:pStyle w:val="87"/>
        <w:spacing w:line="360" w:lineRule="auto"/>
        <w:ind w:firstLine="0" w:firstLineChars="0"/>
        <w:outlineLvl w:val="9"/>
        <w:rPr>
          <w:rFonts w:ascii="仿宋" w:hAnsi="仿宋" w:eastAsia="仿宋"/>
          <w:color w:val="FF0000"/>
        </w:rPr>
      </w:pPr>
      <w:r>
        <w:rPr>
          <w:rFonts w:ascii="仿宋" w:hAnsi="仿宋" w:eastAsia="仿宋"/>
          <w:color w:val="FF0000"/>
        </w:rPr>
        <w:t>【条文说明】</w:t>
      </w:r>
      <w:r>
        <w:rPr>
          <w:rFonts w:hint="eastAsia" w:ascii="仿宋" w:hAnsi="仿宋" w:eastAsia="仿宋"/>
          <w:color w:val="FF0000"/>
        </w:rPr>
        <w:t>新增条文，鼓励在室内装修设计阶段进行预测评估。</w:t>
      </w:r>
    </w:p>
    <w:p>
      <w:pPr>
        <w:snapToGrid w:val="0"/>
        <w:spacing w:line="360" w:lineRule="auto"/>
        <w:rPr>
          <w:bCs/>
          <w:sz w:val="24"/>
        </w:rPr>
      </w:pPr>
    </w:p>
    <w:p>
      <w:pPr>
        <w:snapToGrid w:val="0"/>
        <w:spacing w:line="360" w:lineRule="auto"/>
        <w:rPr>
          <w:bCs/>
          <w:sz w:val="24"/>
        </w:rPr>
      </w:pPr>
      <w:r>
        <w:rPr>
          <w:b/>
          <w:sz w:val="24"/>
        </w:rPr>
        <w:t>1</w:t>
      </w:r>
      <w:r>
        <w:rPr>
          <w:rFonts w:hint="eastAsia"/>
          <w:b/>
          <w:sz w:val="24"/>
        </w:rPr>
        <w:t>3</w:t>
      </w:r>
      <w:r>
        <w:rPr>
          <w:b/>
          <w:sz w:val="24"/>
        </w:rPr>
        <w:t>.2.1</w:t>
      </w:r>
      <w:r>
        <w:rPr>
          <w:rFonts w:hint="eastAsia"/>
          <w:b/>
          <w:sz w:val="24"/>
        </w:rPr>
        <w:t>8</w:t>
      </w:r>
      <w:r>
        <w:rPr>
          <w:rFonts w:hAnsi="宋体"/>
          <w:bCs/>
          <w:sz w:val="24"/>
        </w:rPr>
        <w:t>　</w:t>
      </w:r>
      <w:r>
        <w:rPr>
          <w:rFonts w:hAnsi="宋体"/>
          <w:sz w:val="24"/>
        </w:rPr>
        <w:t>采取节约能源资源、保护生态环境、保障安全健康的其他创新，并有明显效益，评价总分值为</w:t>
      </w:r>
      <w:r>
        <w:rPr>
          <w:sz w:val="24"/>
        </w:rPr>
        <w:t>2</w:t>
      </w:r>
      <w:r>
        <w:rPr>
          <w:rFonts w:hAnsi="宋体"/>
          <w:sz w:val="24"/>
        </w:rPr>
        <w:t>分。采取一项，得</w:t>
      </w:r>
      <w:r>
        <w:rPr>
          <w:sz w:val="24"/>
        </w:rPr>
        <w:t>1</w:t>
      </w:r>
      <w:r>
        <w:rPr>
          <w:rFonts w:hAnsi="宋体"/>
          <w:sz w:val="24"/>
        </w:rPr>
        <w:t>分；采取两项及以上，得</w:t>
      </w:r>
      <w:r>
        <w:rPr>
          <w:sz w:val="24"/>
        </w:rPr>
        <w:t>2</w:t>
      </w:r>
      <w:r>
        <w:rPr>
          <w:rFonts w:hAnsi="宋体"/>
          <w:sz w:val="24"/>
        </w:rPr>
        <w:t>分。</w:t>
      </w:r>
    </w:p>
    <w:p>
      <w:pPr>
        <w:pStyle w:val="87"/>
        <w:spacing w:line="360" w:lineRule="auto"/>
        <w:ind w:firstLine="0" w:firstLineChars="0"/>
        <w:outlineLvl w:val="9"/>
        <w:rPr>
          <w:rFonts w:ascii="仿宋" w:hAnsi="仿宋" w:eastAsia="仿宋"/>
          <w:color w:val="FF0000"/>
        </w:rPr>
      </w:pPr>
      <w:r>
        <w:rPr>
          <w:rFonts w:ascii="仿宋" w:hAnsi="仿宋" w:eastAsia="仿宋"/>
          <w:color w:val="FF0000"/>
        </w:rPr>
        <w:t>【条文说明】</w:t>
      </w:r>
      <w:r>
        <w:rPr>
          <w:rFonts w:hint="eastAsia" w:ascii="仿宋" w:hAnsi="仿宋" w:eastAsia="仿宋"/>
          <w:color w:val="FF0000"/>
        </w:rPr>
        <w:t>与国家标准一致。本条主要是对前面未提及的其他技术和管理创新予以鼓励。对于不在前面绿色建筑评价指标范围内，但在保护自然资源和生态环境、节能、节材、节水、节地、减少环境污染与智能化系统建设等方面实现良好性能的项目进行引导，通过各类项目对创新项的追求以提高绿色建筑技术水平。当项目采取了创新的技术措施，并提供了足够证据表明该技术措施可有效提高环境友好性，提高资源与能源利用效率，实现可持续发展或具有较大的社会效益时，可参与评审。项目的创新点应较大地超过相应指标的要求，或达到合理指标但具备显著降低成本或提高工效等优点。</w:t>
      </w:r>
    </w:p>
    <w:p/>
    <w:p>
      <w:pPr>
        <w:pStyle w:val="2"/>
        <w:spacing w:before="240" w:after="240" w:line="360" w:lineRule="auto"/>
        <w:jc w:val="center"/>
        <w:rPr>
          <w:rFonts w:eastAsia="黑体"/>
          <w:sz w:val="28"/>
          <w:szCs w:val="24"/>
        </w:rPr>
      </w:pPr>
      <w:r>
        <w:br w:type="page"/>
      </w:r>
      <w:bookmarkStart w:id="143" w:name="_Toc388023709"/>
      <w:bookmarkStart w:id="144" w:name="_Toc449111706"/>
      <w:r>
        <w:rPr>
          <w:rFonts w:eastAsia="黑体"/>
          <w:sz w:val="28"/>
          <w:szCs w:val="24"/>
        </w:rPr>
        <w:t>本</w:t>
      </w:r>
      <w:r>
        <w:rPr>
          <w:rFonts w:hint="eastAsia" w:eastAsia="黑体"/>
          <w:sz w:val="28"/>
          <w:szCs w:val="24"/>
        </w:rPr>
        <w:t>规范</w:t>
      </w:r>
      <w:r>
        <w:rPr>
          <w:rFonts w:eastAsia="黑体"/>
          <w:sz w:val="28"/>
          <w:szCs w:val="24"/>
        </w:rPr>
        <w:t>用词说明</w:t>
      </w:r>
      <w:bookmarkEnd w:id="143"/>
      <w:bookmarkEnd w:id="144"/>
    </w:p>
    <w:p>
      <w:pPr>
        <w:spacing w:line="360" w:lineRule="auto"/>
        <w:ind w:firstLine="480" w:firstLineChars="200"/>
        <w:jc w:val="left"/>
        <w:rPr>
          <w:sz w:val="24"/>
          <w:szCs w:val="21"/>
        </w:rPr>
      </w:pPr>
      <w:r>
        <w:rPr>
          <w:sz w:val="24"/>
          <w:szCs w:val="21"/>
        </w:rPr>
        <w:t>1 为便于在执行本</w:t>
      </w:r>
      <w:r>
        <w:rPr>
          <w:rFonts w:hint="eastAsia"/>
          <w:sz w:val="24"/>
          <w:szCs w:val="21"/>
        </w:rPr>
        <w:t>规范</w:t>
      </w:r>
      <w:r>
        <w:rPr>
          <w:sz w:val="24"/>
          <w:szCs w:val="21"/>
        </w:rPr>
        <w:t>条文时区别对待，对要求严格程度不同的用词说明如下：</w:t>
      </w:r>
    </w:p>
    <w:p>
      <w:pPr>
        <w:spacing w:line="360" w:lineRule="auto"/>
        <w:ind w:firstLine="480" w:firstLineChars="200"/>
        <w:jc w:val="left"/>
        <w:rPr>
          <w:sz w:val="24"/>
          <w:szCs w:val="21"/>
        </w:rPr>
      </w:pPr>
      <w:r>
        <w:rPr>
          <w:sz w:val="24"/>
          <w:szCs w:val="21"/>
        </w:rPr>
        <w:t>1）表示很严格，非这样做不可的用词：</w:t>
      </w:r>
    </w:p>
    <w:p>
      <w:pPr>
        <w:spacing w:line="360" w:lineRule="auto"/>
        <w:ind w:firstLine="480" w:firstLineChars="200"/>
        <w:jc w:val="left"/>
        <w:rPr>
          <w:sz w:val="24"/>
          <w:szCs w:val="21"/>
        </w:rPr>
      </w:pPr>
      <w:r>
        <w:rPr>
          <w:sz w:val="24"/>
          <w:szCs w:val="21"/>
        </w:rPr>
        <w:t>正面词采用</w:t>
      </w:r>
      <w:r>
        <w:rPr>
          <w:rFonts w:hint="eastAsia"/>
          <w:sz w:val="24"/>
          <w:szCs w:val="21"/>
        </w:rPr>
        <w:t>“</w:t>
      </w:r>
      <w:r>
        <w:rPr>
          <w:sz w:val="24"/>
          <w:szCs w:val="21"/>
        </w:rPr>
        <w:t>必须</w:t>
      </w:r>
      <w:r>
        <w:rPr>
          <w:rFonts w:hint="eastAsia"/>
          <w:sz w:val="24"/>
          <w:szCs w:val="21"/>
        </w:rPr>
        <w:t>”</w:t>
      </w:r>
      <w:r>
        <w:rPr>
          <w:sz w:val="24"/>
          <w:szCs w:val="21"/>
        </w:rPr>
        <w:t>，反面词采用</w:t>
      </w:r>
      <w:r>
        <w:rPr>
          <w:rFonts w:hint="eastAsia"/>
          <w:sz w:val="24"/>
          <w:szCs w:val="21"/>
        </w:rPr>
        <w:t>“</w:t>
      </w:r>
      <w:r>
        <w:rPr>
          <w:sz w:val="24"/>
          <w:szCs w:val="21"/>
        </w:rPr>
        <w:t>严禁</w:t>
      </w:r>
      <w:r>
        <w:rPr>
          <w:rFonts w:hint="eastAsia"/>
          <w:sz w:val="24"/>
          <w:szCs w:val="21"/>
        </w:rPr>
        <w:t>”</w:t>
      </w:r>
      <w:r>
        <w:rPr>
          <w:sz w:val="24"/>
          <w:szCs w:val="21"/>
        </w:rPr>
        <w:t>；</w:t>
      </w:r>
    </w:p>
    <w:p>
      <w:pPr>
        <w:spacing w:line="360" w:lineRule="auto"/>
        <w:ind w:firstLine="480" w:firstLineChars="200"/>
        <w:jc w:val="left"/>
        <w:rPr>
          <w:sz w:val="24"/>
          <w:szCs w:val="21"/>
        </w:rPr>
      </w:pPr>
      <w:r>
        <w:rPr>
          <w:sz w:val="24"/>
          <w:szCs w:val="21"/>
        </w:rPr>
        <w:t>2）表示严格，在正常情况下均应这样做的用词：</w:t>
      </w:r>
    </w:p>
    <w:p>
      <w:pPr>
        <w:spacing w:line="360" w:lineRule="auto"/>
        <w:ind w:firstLine="480" w:firstLineChars="200"/>
        <w:jc w:val="left"/>
        <w:rPr>
          <w:sz w:val="24"/>
          <w:szCs w:val="21"/>
        </w:rPr>
      </w:pPr>
      <w:r>
        <w:rPr>
          <w:sz w:val="24"/>
          <w:szCs w:val="21"/>
        </w:rPr>
        <w:t>正面词采用</w:t>
      </w:r>
      <w:r>
        <w:rPr>
          <w:rFonts w:hint="eastAsia"/>
          <w:sz w:val="24"/>
          <w:szCs w:val="21"/>
        </w:rPr>
        <w:t>“</w:t>
      </w:r>
      <w:r>
        <w:rPr>
          <w:sz w:val="24"/>
          <w:szCs w:val="21"/>
        </w:rPr>
        <w:t>应</w:t>
      </w:r>
      <w:r>
        <w:rPr>
          <w:rFonts w:hint="eastAsia"/>
          <w:sz w:val="24"/>
          <w:szCs w:val="21"/>
        </w:rPr>
        <w:t>”</w:t>
      </w:r>
      <w:r>
        <w:rPr>
          <w:sz w:val="24"/>
          <w:szCs w:val="21"/>
        </w:rPr>
        <w:t>，反面词采用</w:t>
      </w:r>
      <w:r>
        <w:rPr>
          <w:rFonts w:hint="eastAsia"/>
          <w:sz w:val="24"/>
          <w:szCs w:val="21"/>
        </w:rPr>
        <w:t>“</w:t>
      </w:r>
      <w:r>
        <w:rPr>
          <w:sz w:val="24"/>
          <w:szCs w:val="21"/>
        </w:rPr>
        <w:t>不应</w:t>
      </w:r>
      <w:r>
        <w:rPr>
          <w:rFonts w:hint="eastAsia"/>
          <w:sz w:val="24"/>
          <w:szCs w:val="21"/>
        </w:rPr>
        <w:t>”</w:t>
      </w:r>
      <w:r>
        <w:rPr>
          <w:sz w:val="24"/>
          <w:szCs w:val="21"/>
        </w:rPr>
        <w:t>或</w:t>
      </w:r>
      <w:r>
        <w:rPr>
          <w:rFonts w:hint="eastAsia"/>
          <w:sz w:val="24"/>
          <w:szCs w:val="21"/>
        </w:rPr>
        <w:t>“</w:t>
      </w:r>
      <w:r>
        <w:rPr>
          <w:sz w:val="24"/>
          <w:szCs w:val="21"/>
        </w:rPr>
        <w:t>不得</w:t>
      </w:r>
      <w:r>
        <w:rPr>
          <w:rFonts w:hint="eastAsia"/>
          <w:sz w:val="24"/>
          <w:szCs w:val="21"/>
        </w:rPr>
        <w:t>”</w:t>
      </w:r>
      <w:r>
        <w:rPr>
          <w:sz w:val="24"/>
          <w:szCs w:val="21"/>
        </w:rPr>
        <w:t>；</w:t>
      </w:r>
    </w:p>
    <w:p>
      <w:pPr>
        <w:spacing w:line="360" w:lineRule="auto"/>
        <w:ind w:firstLine="480" w:firstLineChars="200"/>
        <w:jc w:val="left"/>
        <w:rPr>
          <w:sz w:val="24"/>
          <w:szCs w:val="21"/>
        </w:rPr>
      </w:pPr>
      <w:r>
        <w:rPr>
          <w:sz w:val="24"/>
          <w:szCs w:val="21"/>
        </w:rPr>
        <w:t>3）表示允许稍有选择，在条件许可时首先应这样做的用词：</w:t>
      </w:r>
    </w:p>
    <w:p>
      <w:pPr>
        <w:spacing w:line="360" w:lineRule="auto"/>
        <w:ind w:firstLine="480" w:firstLineChars="200"/>
        <w:jc w:val="left"/>
        <w:rPr>
          <w:sz w:val="24"/>
          <w:szCs w:val="21"/>
        </w:rPr>
      </w:pPr>
      <w:r>
        <w:rPr>
          <w:sz w:val="24"/>
          <w:szCs w:val="21"/>
        </w:rPr>
        <w:t>正面词采用</w:t>
      </w:r>
      <w:r>
        <w:rPr>
          <w:rFonts w:hint="eastAsia"/>
          <w:sz w:val="24"/>
          <w:szCs w:val="21"/>
        </w:rPr>
        <w:t>“</w:t>
      </w:r>
      <w:r>
        <w:rPr>
          <w:sz w:val="24"/>
          <w:szCs w:val="21"/>
        </w:rPr>
        <w:t>宜</w:t>
      </w:r>
      <w:r>
        <w:rPr>
          <w:rFonts w:hint="eastAsia"/>
          <w:sz w:val="24"/>
          <w:szCs w:val="21"/>
        </w:rPr>
        <w:t>”</w:t>
      </w:r>
      <w:r>
        <w:rPr>
          <w:sz w:val="24"/>
          <w:szCs w:val="21"/>
        </w:rPr>
        <w:t>，反面词采用</w:t>
      </w:r>
      <w:r>
        <w:rPr>
          <w:rFonts w:hint="eastAsia"/>
          <w:sz w:val="24"/>
          <w:szCs w:val="21"/>
        </w:rPr>
        <w:t>“</w:t>
      </w:r>
      <w:r>
        <w:rPr>
          <w:sz w:val="24"/>
          <w:szCs w:val="21"/>
        </w:rPr>
        <w:t>不宜</w:t>
      </w:r>
      <w:r>
        <w:rPr>
          <w:rFonts w:hint="eastAsia"/>
          <w:sz w:val="24"/>
          <w:szCs w:val="21"/>
        </w:rPr>
        <w:t>”</w:t>
      </w:r>
      <w:r>
        <w:rPr>
          <w:sz w:val="24"/>
          <w:szCs w:val="21"/>
        </w:rPr>
        <w:t>；</w:t>
      </w:r>
    </w:p>
    <w:p>
      <w:pPr>
        <w:spacing w:line="360" w:lineRule="auto"/>
        <w:ind w:firstLine="480" w:firstLineChars="200"/>
        <w:jc w:val="left"/>
        <w:rPr>
          <w:sz w:val="24"/>
          <w:szCs w:val="21"/>
        </w:rPr>
      </w:pPr>
      <w:r>
        <w:rPr>
          <w:sz w:val="24"/>
          <w:szCs w:val="21"/>
        </w:rPr>
        <w:t>4）表示有选择，在一定条件下可以这样做的用词，采用</w:t>
      </w:r>
      <w:r>
        <w:rPr>
          <w:rFonts w:hint="eastAsia"/>
          <w:sz w:val="24"/>
          <w:szCs w:val="21"/>
        </w:rPr>
        <w:t>“</w:t>
      </w:r>
      <w:r>
        <w:rPr>
          <w:sz w:val="24"/>
          <w:szCs w:val="21"/>
        </w:rPr>
        <w:t>可</w:t>
      </w:r>
      <w:r>
        <w:rPr>
          <w:rFonts w:hint="eastAsia"/>
          <w:sz w:val="24"/>
          <w:szCs w:val="21"/>
        </w:rPr>
        <w:t>”</w:t>
      </w:r>
      <w:r>
        <w:rPr>
          <w:sz w:val="24"/>
          <w:szCs w:val="21"/>
        </w:rPr>
        <w:t>。</w:t>
      </w:r>
    </w:p>
    <w:p>
      <w:pPr>
        <w:spacing w:line="360" w:lineRule="auto"/>
        <w:ind w:firstLine="480" w:firstLineChars="200"/>
        <w:jc w:val="left"/>
        <w:rPr>
          <w:sz w:val="24"/>
          <w:szCs w:val="21"/>
        </w:rPr>
      </w:pPr>
      <w:r>
        <w:rPr>
          <w:sz w:val="24"/>
          <w:szCs w:val="21"/>
        </w:rPr>
        <w:t>2 标准中指明应按其他有关标准执行的写法为：</w:t>
      </w:r>
      <w:r>
        <w:rPr>
          <w:rFonts w:hint="eastAsia"/>
          <w:sz w:val="24"/>
          <w:szCs w:val="21"/>
        </w:rPr>
        <w:t>“</w:t>
      </w:r>
      <w:r>
        <w:rPr>
          <w:sz w:val="24"/>
          <w:szCs w:val="21"/>
        </w:rPr>
        <w:t>应符合……的规定</w:t>
      </w:r>
      <w:r>
        <w:rPr>
          <w:rFonts w:hint="eastAsia"/>
          <w:sz w:val="24"/>
          <w:szCs w:val="21"/>
        </w:rPr>
        <w:t>”</w:t>
      </w:r>
      <w:r>
        <w:rPr>
          <w:sz w:val="24"/>
          <w:szCs w:val="21"/>
        </w:rPr>
        <w:t>或</w:t>
      </w:r>
      <w:r>
        <w:rPr>
          <w:rFonts w:hint="eastAsia"/>
          <w:sz w:val="24"/>
          <w:szCs w:val="21"/>
        </w:rPr>
        <w:t>“</w:t>
      </w:r>
      <w:r>
        <w:rPr>
          <w:sz w:val="24"/>
          <w:szCs w:val="21"/>
        </w:rPr>
        <w:t>应按……执行</w:t>
      </w:r>
      <w:r>
        <w:rPr>
          <w:rFonts w:hint="eastAsia"/>
          <w:sz w:val="24"/>
          <w:szCs w:val="21"/>
        </w:rPr>
        <w:t>”</w:t>
      </w:r>
      <w:r>
        <w:rPr>
          <w:sz w:val="24"/>
          <w:szCs w:val="21"/>
        </w:rPr>
        <w:t>。</w:t>
      </w:r>
    </w:p>
    <w:p>
      <w:pPr>
        <w:pStyle w:val="57"/>
      </w:pPr>
    </w:p>
    <w:sectPr>
      <w:footerReference r:id="rId5" w:type="default"/>
      <w:pgSz w:w="11906" w:h="16838"/>
      <w:pgMar w:top="1440" w:right="1800" w:bottom="1440" w:left="1800" w:header="851" w:footer="992"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Cambria">
    <w:altName w:val="FreeSerif"/>
    <w:panose1 w:val="02040503050406030204"/>
    <w:charset w:val="00"/>
    <w:family w:val="auto"/>
    <w:pitch w:val="default"/>
    <w:sig w:usb0="00000000" w:usb1="00000000" w:usb2="00000000" w:usb3="00000000" w:csb0="2000019F" w:csb1="00000000"/>
  </w:font>
  <w:font w:name="Tahoma">
    <w:altName w:val="DejaVu Sans"/>
    <w:panose1 w:val="020B0604030504040204"/>
    <w:charset w:val="00"/>
    <w:family w:val="auto"/>
    <w:pitch w:val="default"/>
    <w:sig w:usb0="00000000" w:usb1="00000000" w:usb2="00000029" w:usb3="00000000" w:csb0="200101FF" w:csb1="20280000"/>
  </w:font>
  <w:font w:name="黑体e眠副浡渀.">
    <w:altName w:val="黑体"/>
    <w:panose1 w:val="00000000000000000000"/>
    <w:charset w:val="86"/>
    <w:family w:val="auto"/>
    <w:pitch w:val="default"/>
    <w:sig w:usb0="00000000" w:usb1="00000000" w:usb2="00000010" w:usb3="00000000" w:csb0="00040000" w:csb1="00000000"/>
  </w:font>
  <w:font w:name="仿宋">
    <w:altName w:val="方正仿宋_GBK"/>
    <w:panose1 w:val="02010609060101010101"/>
    <w:charset w:val="86"/>
    <w:family w:val="auto"/>
    <w:pitch w:val="default"/>
    <w:sig w:usb0="00000000" w:usb1="00000000"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仿宋_GBK">
    <w:panose1 w:val="02000000000000000000"/>
    <w:charset w:val="86"/>
    <w:family w:val="auto"/>
    <w:pitch w:val="default"/>
    <w:sig w:usb0="00000001" w:usb1="08000000" w:usb2="00000000" w:usb3="00000000" w:csb0="00040000" w:csb1="00000000"/>
  </w:font>
  <w:font w:name="方正宋体S-超大字符集">
    <w:panose1 w:val="02000000000000000000"/>
    <w:charset w:val="86"/>
    <w:family w:val="auto"/>
    <w:pitch w:val="default"/>
    <w:sig w:usb0="00000001" w:usb1="08000000" w:usb2="00000000" w:usb3="00000000" w:csb0="00040000" w:csb1="00000000"/>
  </w:font>
  <w:font w:name="FreeSerif">
    <w:panose1 w:val="02020603050405020304"/>
    <w:charset w:val="00"/>
    <w:family w:val="auto"/>
    <w:pitch w:val="default"/>
    <w:sig w:usb0="E59FAFFF" w:usb1="C200FDFF" w:usb2="43501B29" w:usb3="04000043" w:csb0="6001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framePr w:wrap="around" w:vAnchor="text" w:hAnchor="margin" w:xAlign="center" w:y="1"/>
      <w:rPr>
        <w:rStyle w:val="42"/>
      </w:rPr>
    </w:pPr>
    <w:r>
      <w:fldChar w:fldCharType="begin"/>
    </w:r>
    <w:r>
      <w:rPr>
        <w:rStyle w:val="42"/>
      </w:rPr>
      <w:instrText xml:space="preserve">PAGE  </w:instrText>
    </w:r>
    <w:r>
      <w:fldChar w:fldCharType="end"/>
    </w:r>
  </w:p>
  <w:p>
    <w:pPr>
      <w:pStyle w:val="2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jc w:val="right"/>
    </w:pPr>
    <w:r>
      <w:fldChar w:fldCharType="begin"/>
    </w:r>
    <w:r>
      <w:instrText xml:space="preserve"> PAGE   \* MERGEFORMAT </w:instrText>
    </w:r>
    <w:r>
      <w:fldChar w:fldCharType="separate"/>
    </w:r>
    <w:r>
      <w:rPr>
        <w:lang w:val="zh-CN"/>
      </w:rPr>
      <w:t>I</w:t>
    </w:r>
    <w:r>
      <w:fldChar w:fldCharType="end"/>
    </w:r>
  </w:p>
  <w:p>
    <w:pPr>
      <w:pStyle w:val="2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jc w:val="right"/>
    </w:pPr>
    <w:r>
      <w:fldChar w:fldCharType="begin"/>
    </w:r>
    <w:r>
      <w:instrText xml:space="preserve"> PAGE   \* MERGEFORMAT </w:instrText>
    </w:r>
    <w:r>
      <w:fldChar w:fldCharType="separate"/>
    </w:r>
    <w:r>
      <w:rPr>
        <w:lang w:val="zh-CN"/>
      </w:rPr>
      <w:t>90</w:t>
    </w:r>
    <w:r>
      <w:fldChar w:fldCharType="end"/>
    </w:r>
  </w:p>
  <w:p>
    <w:pPr>
      <w:pStyle w:val="24"/>
      <w:jc w:val="right"/>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6D33F9"/>
    <w:multiLevelType w:val="multilevel"/>
    <w:tmpl w:val="026D33F9"/>
    <w:lvl w:ilvl="0" w:tentative="0">
      <w:start w:val="1"/>
      <w:numFmt w:val="decimal"/>
      <w:lvlText w:val="%1）"/>
      <w:lvlJc w:val="left"/>
      <w:pPr>
        <w:ind w:left="887" w:hanging="360"/>
      </w:pPr>
      <w:rPr>
        <w:rFonts w:hint="default" w:hAnsi="Times New Roman"/>
        <w:b/>
      </w:rPr>
    </w:lvl>
    <w:lvl w:ilvl="1" w:tentative="0">
      <w:start w:val="1"/>
      <w:numFmt w:val="lowerLetter"/>
      <w:lvlText w:val="%2)"/>
      <w:lvlJc w:val="left"/>
      <w:pPr>
        <w:ind w:left="1367" w:hanging="420"/>
      </w:pPr>
    </w:lvl>
    <w:lvl w:ilvl="2" w:tentative="0">
      <w:start w:val="1"/>
      <w:numFmt w:val="lowerRoman"/>
      <w:lvlText w:val="%3."/>
      <w:lvlJc w:val="right"/>
      <w:pPr>
        <w:ind w:left="1787" w:hanging="420"/>
      </w:pPr>
    </w:lvl>
    <w:lvl w:ilvl="3" w:tentative="0">
      <w:start w:val="1"/>
      <w:numFmt w:val="decimal"/>
      <w:lvlText w:val="%4."/>
      <w:lvlJc w:val="left"/>
      <w:pPr>
        <w:ind w:left="2207" w:hanging="420"/>
      </w:pPr>
    </w:lvl>
    <w:lvl w:ilvl="4" w:tentative="0">
      <w:start w:val="1"/>
      <w:numFmt w:val="lowerLetter"/>
      <w:lvlText w:val="%5)"/>
      <w:lvlJc w:val="left"/>
      <w:pPr>
        <w:ind w:left="2627" w:hanging="420"/>
      </w:pPr>
    </w:lvl>
    <w:lvl w:ilvl="5" w:tentative="0">
      <w:start w:val="1"/>
      <w:numFmt w:val="lowerRoman"/>
      <w:lvlText w:val="%6."/>
      <w:lvlJc w:val="right"/>
      <w:pPr>
        <w:ind w:left="3047" w:hanging="420"/>
      </w:pPr>
    </w:lvl>
    <w:lvl w:ilvl="6" w:tentative="0">
      <w:start w:val="1"/>
      <w:numFmt w:val="decimal"/>
      <w:lvlText w:val="%7."/>
      <w:lvlJc w:val="left"/>
      <w:pPr>
        <w:ind w:left="3467" w:hanging="420"/>
      </w:pPr>
    </w:lvl>
    <w:lvl w:ilvl="7" w:tentative="0">
      <w:start w:val="1"/>
      <w:numFmt w:val="lowerLetter"/>
      <w:lvlText w:val="%8)"/>
      <w:lvlJc w:val="left"/>
      <w:pPr>
        <w:ind w:left="3887" w:hanging="420"/>
      </w:pPr>
    </w:lvl>
    <w:lvl w:ilvl="8" w:tentative="0">
      <w:start w:val="1"/>
      <w:numFmt w:val="lowerRoman"/>
      <w:lvlText w:val="%9."/>
      <w:lvlJc w:val="right"/>
      <w:pPr>
        <w:ind w:left="4307" w:hanging="420"/>
      </w:pPr>
    </w:lvl>
  </w:abstractNum>
  <w:abstractNum w:abstractNumId="1">
    <w:nsid w:val="13C068F5"/>
    <w:multiLevelType w:val="multilevel"/>
    <w:tmpl w:val="13C068F5"/>
    <w:lvl w:ilvl="0" w:tentative="0">
      <w:start w:val="1"/>
      <w:numFmt w:val="decimal"/>
      <w:lvlText w:val="%1）"/>
      <w:lvlJc w:val="left"/>
      <w:pPr>
        <w:ind w:left="992" w:hanging="360"/>
      </w:pPr>
      <w:rPr>
        <w:rFonts w:hint="default" w:hAnsi="Times New Roman"/>
        <w:b/>
      </w:rPr>
    </w:lvl>
    <w:lvl w:ilvl="1" w:tentative="0">
      <w:start w:val="1"/>
      <w:numFmt w:val="lowerLetter"/>
      <w:lvlText w:val="%2)"/>
      <w:lvlJc w:val="left"/>
      <w:pPr>
        <w:ind w:left="1472" w:hanging="420"/>
      </w:pPr>
    </w:lvl>
    <w:lvl w:ilvl="2" w:tentative="0">
      <w:start w:val="1"/>
      <w:numFmt w:val="lowerRoman"/>
      <w:lvlText w:val="%3."/>
      <w:lvlJc w:val="right"/>
      <w:pPr>
        <w:ind w:left="1892" w:hanging="420"/>
      </w:pPr>
    </w:lvl>
    <w:lvl w:ilvl="3" w:tentative="0">
      <w:start w:val="1"/>
      <w:numFmt w:val="decimal"/>
      <w:lvlText w:val="%4."/>
      <w:lvlJc w:val="left"/>
      <w:pPr>
        <w:ind w:left="2312" w:hanging="420"/>
      </w:pPr>
    </w:lvl>
    <w:lvl w:ilvl="4" w:tentative="0">
      <w:start w:val="1"/>
      <w:numFmt w:val="lowerLetter"/>
      <w:lvlText w:val="%5)"/>
      <w:lvlJc w:val="left"/>
      <w:pPr>
        <w:ind w:left="2732" w:hanging="420"/>
      </w:pPr>
    </w:lvl>
    <w:lvl w:ilvl="5" w:tentative="0">
      <w:start w:val="1"/>
      <w:numFmt w:val="lowerRoman"/>
      <w:lvlText w:val="%6."/>
      <w:lvlJc w:val="right"/>
      <w:pPr>
        <w:ind w:left="3152" w:hanging="420"/>
      </w:pPr>
    </w:lvl>
    <w:lvl w:ilvl="6" w:tentative="0">
      <w:start w:val="1"/>
      <w:numFmt w:val="decimal"/>
      <w:lvlText w:val="%7."/>
      <w:lvlJc w:val="left"/>
      <w:pPr>
        <w:ind w:left="3572" w:hanging="420"/>
      </w:pPr>
    </w:lvl>
    <w:lvl w:ilvl="7" w:tentative="0">
      <w:start w:val="1"/>
      <w:numFmt w:val="lowerLetter"/>
      <w:lvlText w:val="%8)"/>
      <w:lvlJc w:val="left"/>
      <w:pPr>
        <w:ind w:left="3992" w:hanging="420"/>
      </w:pPr>
    </w:lvl>
    <w:lvl w:ilvl="8" w:tentative="0">
      <w:start w:val="1"/>
      <w:numFmt w:val="lowerRoman"/>
      <w:lvlText w:val="%9."/>
      <w:lvlJc w:val="right"/>
      <w:pPr>
        <w:ind w:left="4412" w:hanging="420"/>
      </w:pPr>
    </w:lvl>
  </w:abstractNum>
  <w:abstractNum w:abstractNumId="2">
    <w:nsid w:val="357925A8"/>
    <w:multiLevelType w:val="multilevel"/>
    <w:tmpl w:val="357925A8"/>
    <w:lvl w:ilvl="0" w:tentative="0">
      <w:start w:val="1"/>
      <w:numFmt w:val="decimal"/>
      <w:lvlText w:val="%1）"/>
      <w:lvlJc w:val="left"/>
      <w:pPr>
        <w:ind w:left="780" w:hanging="360"/>
      </w:pPr>
      <w:rPr>
        <w:rFonts w:hint="default"/>
        <w:b/>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3">
    <w:nsid w:val="452274C7"/>
    <w:multiLevelType w:val="multilevel"/>
    <w:tmpl w:val="452274C7"/>
    <w:lvl w:ilvl="0" w:tentative="0">
      <w:start w:val="1"/>
      <w:numFmt w:val="decimal"/>
      <w:pStyle w:val="72"/>
      <w:suff w:val="nothing"/>
      <w:lvlText w:val="%1　"/>
      <w:lvlJc w:val="left"/>
      <w:pPr>
        <w:ind w:left="0" w:firstLine="0"/>
      </w:pPr>
      <w:rPr>
        <w:rFonts w:hint="eastAsia" w:ascii="黑体" w:eastAsia="黑体"/>
      </w:rPr>
    </w:lvl>
    <w:lvl w:ilvl="1" w:tentative="0">
      <w:start w:val="1"/>
      <w:numFmt w:val="decimal"/>
      <w:pStyle w:val="68"/>
      <w:suff w:val="nothing"/>
      <w:lvlText w:val="%1.%2　"/>
      <w:lvlJc w:val="left"/>
      <w:pPr>
        <w:ind w:left="0" w:firstLine="0"/>
      </w:pPr>
      <w:rPr>
        <w:rFonts w:hint="eastAsia" w:ascii="黑体" w:eastAsia="黑体"/>
        <w:b w:val="0"/>
      </w:rPr>
    </w:lvl>
    <w:lvl w:ilvl="2" w:tentative="0">
      <w:start w:val="1"/>
      <w:numFmt w:val="decimal"/>
      <w:pStyle w:val="83"/>
      <w:suff w:val="nothing"/>
      <w:lvlText w:val="%1.%2.%3　"/>
      <w:lvlJc w:val="left"/>
      <w:pPr>
        <w:ind w:left="0" w:firstLine="0"/>
      </w:pPr>
      <w:rPr>
        <w:rFonts w:hint="eastAsia" w:ascii="黑体" w:eastAsia="黑体"/>
      </w:rPr>
    </w:lvl>
    <w:lvl w:ilvl="3" w:tentative="0">
      <w:start w:val="1"/>
      <w:numFmt w:val="decimal"/>
      <w:pStyle w:val="47"/>
      <w:suff w:val="nothing"/>
      <w:lvlText w:val="%1.%2.%3.%4　"/>
      <w:lvlJc w:val="left"/>
      <w:pPr>
        <w:ind w:left="0" w:firstLine="0"/>
      </w:pPr>
      <w:rPr>
        <w:rFonts w:hint="eastAsia" w:ascii="黑体" w:eastAsia="黑体"/>
      </w:rPr>
    </w:lvl>
    <w:lvl w:ilvl="4" w:tentative="0">
      <w:start w:val="1"/>
      <w:numFmt w:val="decimal"/>
      <w:pStyle w:val="50"/>
      <w:suff w:val="nothing"/>
      <w:lvlText w:val="%1.%2.%3.%4.%5　"/>
      <w:lvlJc w:val="left"/>
      <w:pPr>
        <w:ind w:left="0" w:firstLine="0"/>
      </w:pPr>
      <w:rPr>
        <w:rFonts w:hint="eastAsia" w:ascii="黑体" w:eastAsia="黑体"/>
      </w:rPr>
    </w:lvl>
    <w:lvl w:ilvl="5" w:tentative="0">
      <w:start w:val="1"/>
      <w:numFmt w:val="decimal"/>
      <w:pStyle w:val="63"/>
      <w:suff w:val="nothing"/>
      <w:lvlText w:val="%1.%2.%3.%4.%5.%6　"/>
      <w:lvlJc w:val="left"/>
      <w:pPr>
        <w:ind w:left="0" w:firstLine="0"/>
      </w:pPr>
      <w:rPr>
        <w:rFonts w:hint="eastAsia" w:ascii="黑体" w:eastAsia="黑体"/>
      </w:rPr>
    </w:lvl>
    <w:lvl w:ilvl="6" w:tentative="0">
      <w:start w:val="1"/>
      <w:numFmt w:val="decimal"/>
      <w:lvlRestart w:val="0"/>
      <w:pStyle w:val="70"/>
      <w:suff w:val="nothing"/>
      <w:lvlText w:val="表%7　"/>
      <w:lvlJc w:val="left"/>
      <w:pPr>
        <w:ind w:left="0" w:firstLine="0"/>
      </w:pPr>
      <w:rPr>
        <w:rFonts w:hint="eastAsia" w:ascii="黑体" w:eastAsia="黑体"/>
      </w:rPr>
    </w:lvl>
    <w:lvl w:ilvl="7" w:tentative="0">
      <w:start w:val="1"/>
      <w:numFmt w:val="decimal"/>
      <w:lvlRestart w:val="0"/>
      <w:pStyle w:val="55"/>
      <w:suff w:val="nothing"/>
      <w:lvlText w:val="图%8　"/>
      <w:lvlJc w:val="left"/>
      <w:pPr>
        <w:ind w:left="0" w:firstLine="0"/>
      </w:pPr>
      <w:rPr>
        <w:rFonts w:hint="eastAsia" w:ascii="黑体" w:eastAsia="黑体"/>
      </w:rPr>
    </w:lvl>
    <w:lvl w:ilvl="8" w:tentative="0">
      <w:start w:val="1"/>
      <w:numFmt w:val="decimal"/>
      <w:lvlText w:val="%1.%2.%3.%4.%5.%6.%7.%8.%9"/>
      <w:lvlJc w:val="left"/>
      <w:pPr>
        <w:tabs>
          <w:tab w:val="left" w:pos="1584"/>
        </w:tabs>
        <w:ind w:left="1584" w:hanging="1584"/>
      </w:pPr>
      <w:rPr>
        <w:rFonts w:hint="eastAsia"/>
      </w:rPr>
    </w:lvl>
  </w:abstractNum>
  <w:abstractNum w:abstractNumId="4">
    <w:nsid w:val="4CE65D79"/>
    <w:multiLevelType w:val="multilevel"/>
    <w:tmpl w:val="4CE65D79"/>
    <w:lvl w:ilvl="0" w:tentative="0">
      <w:start w:val="1"/>
      <w:numFmt w:val="decimal"/>
      <w:lvlText w:val="%1）"/>
      <w:lvlJc w:val="left"/>
      <w:pPr>
        <w:ind w:left="1140" w:hanging="360"/>
      </w:pPr>
      <w:rPr>
        <w:rFonts w:hint="default"/>
      </w:rPr>
    </w:lvl>
    <w:lvl w:ilvl="1" w:tentative="0">
      <w:start w:val="1"/>
      <w:numFmt w:val="lowerLetter"/>
      <w:lvlText w:val="%2)"/>
      <w:lvlJc w:val="left"/>
      <w:pPr>
        <w:ind w:left="1620" w:hanging="420"/>
      </w:pPr>
    </w:lvl>
    <w:lvl w:ilvl="2" w:tentative="0">
      <w:start w:val="1"/>
      <w:numFmt w:val="lowerRoman"/>
      <w:lvlText w:val="%3."/>
      <w:lvlJc w:val="right"/>
      <w:pPr>
        <w:ind w:left="2040" w:hanging="420"/>
      </w:pPr>
    </w:lvl>
    <w:lvl w:ilvl="3" w:tentative="0">
      <w:start w:val="1"/>
      <w:numFmt w:val="decimal"/>
      <w:lvlText w:val="%4."/>
      <w:lvlJc w:val="left"/>
      <w:pPr>
        <w:ind w:left="2460" w:hanging="420"/>
      </w:pPr>
    </w:lvl>
    <w:lvl w:ilvl="4" w:tentative="0">
      <w:start w:val="1"/>
      <w:numFmt w:val="lowerLetter"/>
      <w:lvlText w:val="%5)"/>
      <w:lvlJc w:val="left"/>
      <w:pPr>
        <w:ind w:left="2880" w:hanging="420"/>
      </w:pPr>
    </w:lvl>
    <w:lvl w:ilvl="5" w:tentative="0">
      <w:start w:val="1"/>
      <w:numFmt w:val="lowerRoman"/>
      <w:lvlText w:val="%6."/>
      <w:lvlJc w:val="right"/>
      <w:pPr>
        <w:ind w:left="3300" w:hanging="420"/>
      </w:pPr>
    </w:lvl>
    <w:lvl w:ilvl="6" w:tentative="0">
      <w:start w:val="1"/>
      <w:numFmt w:val="decimal"/>
      <w:lvlText w:val="%7."/>
      <w:lvlJc w:val="left"/>
      <w:pPr>
        <w:ind w:left="3720" w:hanging="420"/>
      </w:pPr>
    </w:lvl>
    <w:lvl w:ilvl="7" w:tentative="0">
      <w:start w:val="1"/>
      <w:numFmt w:val="lowerLetter"/>
      <w:lvlText w:val="%8)"/>
      <w:lvlJc w:val="left"/>
      <w:pPr>
        <w:ind w:left="4140" w:hanging="420"/>
      </w:pPr>
    </w:lvl>
    <w:lvl w:ilvl="8" w:tentative="0">
      <w:start w:val="1"/>
      <w:numFmt w:val="lowerRoman"/>
      <w:lvlText w:val="%9."/>
      <w:lvlJc w:val="right"/>
      <w:pPr>
        <w:ind w:left="4560" w:hanging="420"/>
      </w:pPr>
    </w:lvl>
  </w:abstractNum>
  <w:abstractNum w:abstractNumId="5">
    <w:nsid w:val="5E715B32"/>
    <w:multiLevelType w:val="multilevel"/>
    <w:tmpl w:val="5E715B32"/>
    <w:lvl w:ilvl="0" w:tentative="0">
      <w:start w:val="1"/>
      <w:numFmt w:val="decimal"/>
      <w:pStyle w:val="3"/>
      <w:lvlText w:val="%1"/>
      <w:lvlJc w:val="left"/>
      <w:pPr>
        <w:ind w:left="420" w:hanging="420"/>
      </w:pPr>
      <w:rPr>
        <w:rFonts w:hint="default" w:ascii="Times New Roman" w:hAnsi="Times New Roman" w:eastAsia="宋体"/>
        <w:b w:val="0"/>
        <w:i w:val="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61695052"/>
    <w:multiLevelType w:val="multilevel"/>
    <w:tmpl w:val="61695052"/>
    <w:lvl w:ilvl="0" w:tentative="0">
      <w:start w:val="1"/>
      <w:numFmt w:val="decimal"/>
      <w:lvlText w:val="%1）"/>
      <w:lvlJc w:val="left"/>
      <w:pPr>
        <w:ind w:left="992" w:hanging="360"/>
      </w:pPr>
      <w:rPr>
        <w:rFonts w:hint="default" w:hAnsi="Times New Roman"/>
        <w:b/>
      </w:rPr>
    </w:lvl>
    <w:lvl w:ilvl="1" w:tentative="0">
      <w:start w:val="1"/>
      <w:numFmt w:val="lowerLetter"/>
      <w:lvlText w:val="%2)"/>
      <w:lvlJc w:val="left"/>
      <w:pPr>
        <w:ind w:left="1472" w:hanging="420"/>
      </w:pPr>
    </w:lvl>
    <w:lvl w:ilvl="2" w:tentative="0">
      <w:start w:val="1"/>
      <w:numFmt w:val="lowerRoman"/>
      <w:lvlText w:val="%3."/>
      <w:lvlJc w:val="right"/>
      <w:pPr>
        <w:ind w:left="1892" w:hanging="420"/>
      </w:pPr>
    </w:lvl>
    <w:lvl w:ilvl="3" w:tentative="0">
      <w:start w:val="1"/>
      <w:numFmt w:val="decimal"/>
      <w:lvlText w:val="%4."/>
      <w:lvlJc w:val="left"/>
      <w:pPr>
        <w:ind w:left="2312" w:hanging="420"/>
      </w:pPr>
    </w:lvl>
    <w:lvl w:ilvl="4" w:tentative="0">
      <w:start w:val="1"/>
      <w:numFmt w:val="lowerLetter"/>
      <w:lvlText w:val="%5)"/>
      <w:lvlJc w:val="left"/>
      <w:pPr>
        <w:ind w:left="2732" w:hanging="420"/>
      </w:pPr>
    </w:lvl>
    <w:lvl w:ilvl="5" w:tentative="0">
      <w:start w:val="1"/>
      <w:numFmt w:val="lowerRoman"/>
      <w:lvlText w:val="%6."/>
      <w:lvlJc w:val="right"/>
      <w:pPr>
        <w:ind w:left="3152" w:hanging="420"/>
      </w:pPr>
    </w:lvl>
    <w:lvl w:ilvl="6" w:tentative="0">
      <w:start w:val="1"/>
      <w:numFmt w:val="decimal"/>
      <w:lvlText w:val="%7."/>
      <w:lvlJc w:val="left"/>
      <w:pPr>
        <w:ind w:left="3572" w:hanging="420"/>
      </w:pPr>
    </w:lvl>
    <w:lvl w:ilvl="7" w:tentative="0">
      <w:start w:val="1"/>
      <w:numFmt w:val="lowerLetter"/>
      <w:lvlText w:val="%8)"/>
      <w:lvlJc w:val="left"/>
      <w:pPr>
        <w:ind w:left="3992" w:hanging="420"/>
      </w:pPr>
    </w:lvl>
    <w:lvl w:ilvl="8" w:tentative="0">
      <w:start w:val="1"/>
      <w:numFmt w:val="lowerRoman"/>
      <w:lvlText w:val="%9."/>
      <w:lvlJc w:val="right"/>
      <w:pPr>
        <w:ind w:left="4412" w:hanging="420"/>
      </w:pPr>
    </w:lvl>
  </w:abstractNum>
  <w:num w:numId="1">
    <w:abstractNumId w:val="5"/>
  </w:num>
  <w:num w:numId="2">
    <w:abstractNumId w:val="3"/>
  </w:num>
  <w:num w:numId="3">
    <w:abstractNumId w:val="2"/>
  </w:num>
  <w:num w:numId="4">
    <w:abstractNumId w:val="0"/>
  </w:num>
  <w:num w:numId="5">
    <w:abstractNumId w:val="1"/>
  </w:num>
  <w:num w:numId="6">
    <w:abstractNumId w:val="6"/>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5"/>
  <w:bordersDoNotSurroundHeader w:val="true"/>
  <w:bordersDoNotSurroundFooter w:val="true"/>
  <w:documentProtection w:enforcement="0"/>
  <w:defaultTabStop w:val="420"/>
  <w:drawingGridHorizontalSpacing w:val="2"/>
  <w:drawingGridVerticalSpacing w:val="3"/>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1"/>
  </w:compat>
  <w:rsids>
    <w:rsidRoot w:val="004B6D7B"/>
    <w:rsid w:val="000000B8"/>
    <w:rsid w:val="0000011C"/>
    <w:rsid w:val="00000269"/>
    <w:rsid w:val="000003CE"/>
    <w:rsid w:val="000005A4"/>
    <w:rsid w:val="00000856"/>
    <w:rsid w:val="000008B4"/>
    <w:rsid w:val="00000C40"/>
    <w:rsid w:val="00000F3D"/>
    <w:rsid w:val="00001042"/>
    <w:rsid w:val="00001144"/>
    <w:rsid w:val="0000164B"/>
    <w:rsid w:val="00001A77"/>
    <w:rsid w:val="00001E2F"/>
    <w:rsid w:val="00001F41"/>
    <w:rsid w:val="000022BD"/>
    <w:rsid w:val="00002348"/>
    <w:rsid w:val="0000247A"/>
    <w:rsid w:val="000025B8"/>
    <w:rsid w:val="000028D4"/>
    <w:rsid w:val="00002C7D"/>
    <w:rsid w:val="00002CA5"/>
    <w:rsid w:val="00002CCE"/>
    <w:rsid w:val="00003002"/>
    <w:rsid w:val="0000347B"/>
    <w:rsid w:val="000034F2"/>
    <w:rsid w:val="0000375F"/>
    <w:rsid w:val="000037EC"/>
    <w:rsid w:val="0000380A"/>
    <w:rsid w:val="00003F4E"/>
    <w:rsid w:val="00003FC4"/>
    <w:rsid w:val="0000409F"/>
    <w:rsid w:val="00004849"/>
    <w:rsid w:val="00004949"/>
    <w:rsid w:val="00004A13"/>
    <w:rsid w:val="00004B56"/>
    <w:rsid w:val="00004E59"/>
    <w:rsid w:val="00004FD4"/>
    <w:rsid w:val="0000503F"/>
    <w:rsid w:val="000053AD"/>
    <w:rsid w:val="000054F7"/>
    <w:rsid w:val="000055EF"/>
    <w:rsid w:val="0000584D"/>
    <w:rsid w:val="00005C3E"/>
    <w:rsid w:val="000063D3"/>
    <w:rsid w:val="00006432"/>
    <w:rsid w:val="000066AA"/>
    <w:rsid w:val="00006782"/>
    <w:rsid w:val="00006AF9"/>
    <w:rsid w:val="00006E52"/>
    <w:rsid w:val="00006FFB"/>
    <w:rsid w:val="00007110"/>
    <w:rsid w:val="0000716D"/>
    <w:rsid w:val="00007860"/>
    <w:rsid w:val="00007968"/>
    <w:rsid w:val="00007B53"/>
    <w:rsid w:val="00007B97"/>
    <w:rsid w:val="00007BD4"/>
    <w:rsid w:val="00007D5E"/>
    <w:rsid w:val="00007F9D"/>
    <w:rsid w:val="00007FE2"/>
    <w:rsid w:val="000103A3"/>
    <w:rsid w:val="000103F5"/>
    <w:rsid w:val="000106A8"/>
    <w:rsid w:val="00010A51"/>
    <w:rsid w:val="00010AC0"/>
    <w:rsid w:val="00010D86"/>
    <w:rsid w:val="00010F4A"/>
    <w:rsid w:val="000115AD"/>
    <w:rsid w:val="0001165F"/>
    <w:rsid w:val="00011858"/>
    <w:rsid w:val="00011A93"/>
    <w:rsid w:val="00011DE0"/>
    <w:rsid w:val="00011E7B"/>
    <w:rsid w:val="00012267"/>
    <w:rsid w:val="00012401"/>
    <w:rsid w:val="0001249A"/>
    <w:rsid w:val="0001284F"/>
    <w:rsid w:val="000129F4"/>
    <w:rsid w:val="00012AE5"/>
    <w:rsid w:val="00012BAE"/>
    <w:rsid w:val="00012C2A"/>
    <w:rsid w:val="00012F36"/>
    <w:rsid w:val="00012F66"/>
    <w:rsid w:val="00013429"/>
    <w:rsid w:val="00013966"/>
    <w:rsid w:val="00013D77"/>
    <w:rsid w:val="00013EAC"/>
    <w:rsid w:val="00013FA6"/>
    <w:rsid w:val="00014012"/>
    <w:rsid w:val="000140A7"/>
    <w:rsid w:val="0001413D"/>
    <w:rsid w:val="00014293"/>
    <w:rsid w:val="00014403"/>
    <w:rsid w:val="00014656"/>
    <w:rsid w:val="00014683"/>
    <w:rsid w:val="000147BC"/>
    <w:rsid w:val="0001487F"/>
    <w:rsid w:val="00014B8A"/>
    <w:rsid w:val="00014C2A"/>
    <w:rsid w:val="000150FE"/>
    <w:rsid w:val="00015152"/>
    <w:rsid w:val="0001519B"/>
    <w:rsid w:val="00015325"/>
    <w:rsid w:val="00015589"/>
    <w:rsid w:val="000155A8"/>
    <w:rsid w:val="00015682"/>
    <w:rsid w:val="00015B62"/>
    <w:rsid w:val="00015BB1"/>
    <w:rsid w:val="00015F33"/>
    <w:rsid w:val="0001600F"/>
    <w:rsid w:val="00016252"/>
    <w:rsid w:val="0001629A"/>
    <w:rsid w:val="00016AB4"/>
    <w:rsid w:val="00016C5D"/>
    <w:rsid w:val="00016CC7"/>
    <w:rsid w:val="00016E39"/>
    <w:rsid w:val="00016FD3"/>
    <w:rsid w:val="0001704D"/>
    <w:rsid w:val="00017262"/>
    <w:rsid w:val="000172C0"/>
    <w:rsid w:val="000172F0"/>
    <w:rsid w:val="00017380"/>
    <w:rsid w:val="0001744B"/>
    <w:rsid w:val="00017592"/>
    <w:rsid w:val="00017836"/>
    <w:rsid w:val="00017A24"/>
    <w:rsid w:val="00017BB5"/>
    <w:rsid w:val="00017E40"/>
    <w:rsid w:val="00020438"/>
    <w:rsid w:val="00020495"/>
    <w:rsid w:val="0002059A"/>
    <w:rsid w:val="000206F2"/>
    <w:rsid w:val="00020F57"/>
    <w:rsid w:val="0002136A"/>
    <w:rsid w:val="000214C1"/>
    <w:rsid w:val="00021775"/>
    <w:rsid w:val="000217B2"/>
    <w:rsid w:val="000219A4"/>
    <w:rsid w:val="00021C8A"/>
    <w:rsid w:val="000220C6"/>
    <w:rsid w:val="000221BE"/>
    <w:rsid w:val="000222DE"/>
    <w:rsid w:val="00022314"/>
    <w:rsid w:val="000224BC"/>
    <w:rsid w:val="00022676"/>
    <w:rsid w:val="000229FB"/>
    <w:rsid w:val="00022B50"/>
    <w:rsid w:val="00022D19"/>
    <w:rsid w:val="00022FFA"/>
    <w:rsid w:val="000230AD"/>
    <w:rsid w:val="000230B1"/>
    <w:rsid w:val="000231A2"/>
    <w:rsid w:val="0002335D"/>
    <w:rsid w:val="0002372B"/>
    <w:rsid w:val="00023842"/>
    <w:rsid w:val="00023C19"/>
    <w:rsid w:val="00023ECB"/>
    <w:rsid w:val="00023EE1"/>
    <w:rsid w:val="00024019"/>
    <w:rsid w:val="0002410C"/>
    <w:rsid w:val="000242B1"/>
    <w:rsid w:val="000245AA"/>
    <w:rsid w:val="0002469B"/>
    <w:rsid w:val="00024A2A"/>
    <w:rsid w:val="00024BAA"/>
    <w:rsid w:val="00024BC5"/>
    <w:rsid w:val="00025260"/>
    <w:rsid w:val="00025710"/>
    <w:rsid w:val="00025994"/>
    <w:rsid w:val="00025E81"/>
    <w:rsid w:val="00025F68"/>
    <w:rsid w:val="00026236"/>
    <w:rsid w:val="00026301"/>
    <w:rsid w:val="00026522"/>
    <w:rsid w:val="000267C1"/>
    <w:rsid w:val="000267F9"/>
    <w:rsid w:val="00026E5D"/>
    <w:rsid w:val="0002703F"/>
    <w:rsid w:val="000270C9"/>
    <w:rsid w:val="00027263"/>
    <w:rsid w:val="000275C5"/>
    <w:rsid w:val="00027914"/>
    <w:rsid w:val="00027962"/>
    <w:rsid w:val="00027A00"/>
    <w:rsid w:val="00030176"/>
    <w:rsid w:val="000302E3"/>
    <w:rsid w:val="000304C5"/>
    <w:rsid w:val="00030A25"/>
    <w:rsid w:val="00030AA8"/>
    <w:rsid w:val="00030B47"/>
    <w:rsid w:val="00030B4A"/>
    <w:rsid w:val="00030CBF"/>
    <w:rsid w:val="00030E77"/>
    <w:rsid w:val="00030F31"/>
    <w:rsid w:val="00030F32"/>
    <w:rsid w:val="00031002"/>
    <w:rsid w:val="0003145A"/>
    <w:rsid w:val="0003166C"/>
    <w:rsid w:val="000319E5"/>
    <w:rsid w:val="00031AB7"/>
    <w:rsid w:val="00031B36"/>
    <w:rsid w:val="00031C81"/>
    <w:rsid w:val="00031EFB"/>
    <w:rsid w:val="00031F0E"/>
    <w:rsid w:val="00031F24"/>
    <w:rsid w:val="000321AD"/>
    <w:rsid w:val="000325B6"/>
    <w:rsid w:val="000326B9"/>
    <w:rsid w:val="000326EE"/>
    <w:rsid w:val="000327AD"/>
    <w:rsid w:val="00032AB7"/>
    <w:rsid w:val="00032C69"/>
    <w:rsid w:val="0003300C"/>
    <w:rsid w:val="0003324F"/>
    <w:rsid w:val="00033293"/>
    <w:rsid w:val="000334D3"/>
    <w:rsid w:val="0003384E"/>
    <w:rsid w:val="0003389C"/>
    <w:rsid w:val="000338AB"/>
    <w:rsid w:val="000339B4"/>
    <w:rsid w:val="00033ABB"/>
    <w:rsid w:val="00033AF9"/>
    <w:rsid w:val="00033B02"/>
    <w:rsid w:val="00033C2E"/>
    <w:rsid w:val="00033D40"/>
    <w:rsid w:val="000344A5"/>
    <w:rsid w:val="000344DF"/>
    <w:rsid w:val="00034884"/>
    <w:rsid w:val="000349E2"/>
    <w:rsid w:val="00034A30"/>
    <w:rsid w:val="000351F7"/>
    <w:rsid w:val="00035277"/>
    <w:rsid w:val="000353B2"/>
    <w:rsid w:val="000357D0"/>
    <w:rsid w:val="000357FB"/>
    <w:rsid w:val="00035A0C"/>
    <w:rsid w:val="00035B32"/>
    <w:rsid w:val="00035C4B"/>
    <w:rsid w:val="00035F42"/>
    <w:rsid w:val="00036121"/>
    <w:rsid w:val="000361EC"/>
    <w:rsid w:val="00036260"/>
    <w:rsid w:val="0003644E"/>
    <w:rsid w:val="00036497"/>
    <w:rsid w:val="00036767"/>
    <w:rsid w:val="00036825"/>
    <w:rsid w:val="0003696E"/>
    <w:rsid w:val="00036B85"/>
    <w:rsid w:val="00036DFB"/>
    <w:rsid w:val="00037083"/>
    <w:rsid w:val="000371D2"/>
    <w:rsid w:val="0003737D"/>
    <w:rsid w:val="0003773F"/>
    <w:rsid w:val="00037853"/>
    <w:rsid w:val="00037ABD"/>
    <w:rsid w:val="00037F20"/>
    <w:rsid w:val="000400E2"/>
    <w:rsid w:val="000403EE"/>
    <w:rsid w:val="00040593"/>
    <w:rsid w:val="00040FDC"/>
    <w:rsid w:val="000411A5"/>
    <w:rsid w:val="00041264"/>
    <w:rsid w:val="00041294"/>
    <w:rsid w:val="0004147C"/>
    <w:rsid w:val="00041544"/>
    <w:rsid w:val="000416B9"/>
    <w:rsid w:val="00041782"/>
    <w:rsid w:val="00041868"/>
    <w:rsid w:val="000418A1"/>
    <w:rsid w:val="00041AB2"/>
    <w:rsid w:val="00041BCC"/>
    <w:rsid w:val="00041CE3"/>
    <w:rsid w:val="00041E81"/>
    <w:rsid w:val="00041E83"/>
    <w:rsid w:val="00041EA3"/>
    <w:rsid w:val="00041EAE"/>
    <w:rsid w:val="00041F76"/>
    <w:rsid w:val="00042688"/>
    <w:rsid w:val="00042C37"/>
    <w:rsid w:val="00042D21"/>
    <w:rsid w:val="00042EF2"/>
    <w:rsid w:val="000430A7"/>
    <w:rsid w:val="00043293"/>
    <w:rsid w:val="00043360"/>
    <w:rsid w:val="000436EC"/>
    <w:rsid w:val="00043716"/>
    <w:rsid w:val="00043D85"/>
    <w:rsid w:val="00043DAE"/>
    <w:rsid w:val="00043E24"/>
    <w:rsid w:val="00044002"/>
    <w:rsid w:val="00044681"/>
    <w:rsid w:val="000448E6"/>
    <w:rsid w:val="00044BEA"/>
    <w:rsid w:val="00044DB8"/>
    <w:rsid w:val="00045129"/>
    <w:rsid w:val="00045470"/>
    <w:rsid w:val="0004568E"/>
    <w:rsid w:val="000457A5"/>
    <w:rsid w:val="00045ABB"/>
    <w:rsid w:val="00045C4B"/>
    <w:rsid w:val="00045F2F"/>
    <w:rsid w:val="00046226"/>
    <w:rsid w:val="00046264"/>
    <w:rsid w:val="00046291"/>
    <w:rsid w:val="0004652D"/>
    <w:rsid w:val="000465CA"/>
    <w:rsid w:val="000465F9"/>
    <w:rsid w:val="000466A7"/>
    <w:rsid w:val="00046830"/>
    <w:rsid w:val="00046893"/>
    <w:rsid w:val="000468D1"/>
    <w:rsid w:val="00046B32"/>
    <w:rsid w:val="00046D1A"/>
    <w:rsid w:val="00046DB2"/>
    <w:rsid w:val="00046EAF"/>
    <w:rsid w:val="00046FB8"/>
    <w:rsid w:val="00047209"/>
    <w:rsid w:val="000472A9"/>
    <w:rsid w:val="0004738A"/>
    <w:rsid w:val="000474E4"/>
    <w:rsid w:val="00047827"/>
    <w:rsid w:val="00047A59"/>
    <w:rsid w:val="00047C7E"/>
    <w:rsid w:val="00047DF5"/>
    <w:rsid w:val="000504D7"/>
    <w:rsid w:val="00050560"/>
    <w:rsid w:val="000505C0"/>
    <w:rsid w:val="0005067E"/>
    <w:rsid w:val="000507F1"/>
    <w:rsid w:val="00050854"/>
    <w:rsid w:val="00050953"/>
    <w:rsid w:val="00050B19"/>
    <w:rsid w:val="00050C69"/>
    <w:rsid w:val="0005116E"/>
    <w:rsid w:val="00051375"/>
    <w:rsid w:val="0005151E"/>
    <w:rsid w:val="00051787"/>
    <w:rsid w:val="000517DF"/>
    <w:rsid w:val="00051AF2"/>
    <w:rsid w:val="00051D46"/>
    <w:rsid w:val="00052070"/>
    <w:rsid w:val="000520D7"/>
    <w:rsid w:val="00052317"/>
    <w:rsid w:val="000528B8"/>
    <w:rsid w:val="00052B14"/>
    <w:rsid w:val="00052E66"/>
    <w:rsid w:val="00052F71"/>
    <w:rsid w:val="00053122"/>
    <w:rsid w:val="00053589"/>
    <w:rsid w:val="0005379F"/>
    <w:rsid w:val="000537CA"/>
    <w:rsid w:val="00053BEF"/>
    <w:rsid w:val="00053C30"/>
    <w:rsid w:val="00053EFD"/>
    <w:rsid w:val="00053FF8"/>
    <w:rsid w:val="00054020"/>
    <w:rsid w:val="00054248"/>
    <w:rsid w:val="00054431"/>
    <w:rsid w:val="00054919"/>
    <w:rsid w:val="00054A82"/>
    <w:rsid w:val="00054AEA"/>
    <w:rsid w:val="00054C62"/>
    <w:rsid w:val="000550AE"/>
    <w:rsid w:val="0005536E"/>
    <w:rsid w:val="00055749"/>
    <w:rsid w:val="00055808"/>
    <w:rsid w:val="0005598C"/>
    <w:rsid w:val="00055B62"/>
    <w:rsid w:val="00055CB8"/>
    <w:rsid w:val="00055CEE"/>
    <w:rsid w:val="00055CF6"/>
    <w:rsid w:val="00056020"/>
    <w:rsid w:val="00056114"/>
    <w:rsid w:val="0005615D"/>
    <w:rsid w:val="000563A1"/>
    <w:rsid w:val="0005653D"/>
    <w:rsid w:val="0005681E"/>
    <w:rsid w:val="000568C1"/>
    <w:rsid w:val="000569B4"/>
    <w:rsid w:val="00056BD4"/>
    <w:rsid w:val="0005713A"/>
    <w:rsid w:val="000571EB"/>
    <w:rsid w:val="00057398"/>
    <w:rsid w:val="0005752C"/>
    <w:rsid w:val="0005774D"/>
    <w:rsid w:val="0005783C"/>
    <w:rsid w:val="00057C49"/>
    <w:rsid w:val="00060183"/>
    <w:rsid w:val="000602FD"/>
    <w:rsid w:val="00060585"/>
    <w:rsid w:val="00060A18"/>
    <w:rsid w:val="00060CD2"/>
    <w:rsid w:val="00060D06"/>
    <w:rsid w:val="00061179"/>
    <w:rsid w:val="00061223"/>
    <w:rsid w:val="00061240"/>
    <w:rsid w:val="000612BD"/>
    <w:rsid w:val="000616A3"/>
    <w:rsid w:val="0006172C"/>
    <w:rsid w:val="000619F7"/>
    <w:rsid w:val="00061EBC"/>
    <w:rsid w:val="00061EC7"/>
    <w:rsid w:val="0006247D"/>
    <w:rsid w:val="000624FE"/>
    <w:rsid w:val="00062554"/>
    <w:rsid w:val="00062841"/>
    <w:rsid w:val="00062AD9"/>
    <w:rsid w:val="00062CE3"/>
    <w:rsid w:val="00063069"/>
    <w:rsid w:val="000630C2"/>
    <w:rsid w:val="000639E5"/>
    <w:rsid w:val="00063E55"/>
    <w:rsid w:val="000644E3"/>
    <w:rsid w:val="00064820"/>
    <w:rsid w:val="00064981"/>
    <w:rsid w:val="00064BE5"/>
    <w:rsid w:val="00064E10"/>
    <w:rsid w:val="0006533C"/>
    <w:rsid w:val="00065362"/>
    <w:rsid w:val="000653D1"/>
    <w:rsid w:val="00065419"/>
    <w:rsid w:val="000654F4"/>
    <w:rsid w:val="0006552B"/>
    <w:rsid w:val="00065BC5"/>
    <w:rsid w:val="00065BEC"/>
    <w:rsid w:val="00065C7C"/>
    <w:rsid w:val="00065DE9"/>
    <w:rsid w:val="00065E14"/>
    <w:rsid w:val="00065F75"/>
    <w:rsid w:val="00065FF7"/>
    <w:rsid w:val="0006612D"/>
    <w:rsid w:val="000662DE"/>
    <w:rsid w:val="0006656C"/>
    <w:rsid w:val="000665F8"/>
    <w:rsid w:val="00066662"/>
    <w:rsid w:val="000667F6"/>
    <w:rsid w:val="00066931"/>
    <w:rsid w:val="00066D91"/>
    <w:rsid w:val="00066EEE"/>
    <w:rsid w:val="00066F6C"/>
    <w:rsid w:val="000674D4"/>
    <w:rsid w:val="0006751F"/>
    <w:rsid w:val="0006753B"/>
    <w:rsid w:val="000679ED"/>
    <w:rsid w:val="00067B94"/>
    <w:rsid w:val="00067E63"/>
    <w:rsid w:val="00067EF6"/>
    <w:rsid w:val="00067FD2"/>
    <w:rsid w:val="00070132"/>
    <w:rsid w:val="0007018C"/>
    <w:rsid w:val="000704A4"/>
    <w:rsid w:val="0007054C"/>
    <w:rsid w:val="000705F6"/>
    <w:rsid w:val="0007077B"/>
    <w:rsid w:val="00070D00"/>
    <w:rsid w:val="00070DD5"/>
    <w:rsid w:val="00070ED9"/>
    <w:rsid w:val="00070EF0"/>
    <w:rsid w:val="00071261"/>
    <w:rsid w:val="00071360"/>
    <w:rsid w:val="00071424"/>
    <w:rsid w:val="00071554"/>
    <w:rsid w:val="0007163E"/>
    <w:rsid w:val="0007167F"/>
    <w:rsid w:val="00071716"/>
    <w:rsid w:val="0007174B"/>
    <w:rsid w:val="0007185B"/>
    <w:rsid w:val="000718AF"/>
    <w:rsid w:val="00071A88"/>
    <w:rsid w:val="00071D8D"/>
    <w:rsid w:val="00071E26"/>
    <w:rsid w:val="000721CB"/>
    <w:rsid w:val="0007273D"/>
    <w:rsid w:val="00072D4D"/>
    <w:rsid w:val="00072E67"/>
    <w:rsid w:val="00073160"/>
    <w:rsid w:val="00073295"/>
    <w:rsid w:val="0007350A"/>
    <w:rsid w:val="00073526"/>
    <w:rsid w:val="000736B6"/>
    <w:rsid w:val="0007392E"/>
    <w:rsid w:val="00073E17"/>
    <w:rsid w:val="000740BD"/>
    <w:rsid w:val="000740DE"/>
    <w:rsid w:val="0007466F"/>
    <w:rsid w:val="00074AA3"/>
    <w:rsid w:val="00074C06"/>
    <w:rsid w:val="00074D50"/>
    <w:rsid w:val="00074EF4"/>
    <w:rsid w:val="00074FA0"/>
    <w:rsid w:val="0007514B"/>
    <w:rsid w:val="000757FE"/>
    <w:rsid w:val="0007584F"/>
    <w:rsid w:val="00075BE6"/>
    <w:rsid w:val="00075D7A"/>
    <w:rsid w:val="00075DD7"/>
    <w:rsid w:val="000767CA"/>
    <w:rsid w:val="00076EF5"/>
    <w:rsid w:val="00077228"/>
    <w:rsid w:val="00077510"/>
    <w:rsid w:val="00077866"/>
    <w:rsid w:val="0007793B"/>
    <w:rsid w:val="00077A1D"/>
    <w:rsid w:val="00077C79"/>
    <w:rsid w:val="00077F3E"/>
    <w:rsid w:val="000804E5"/>
    <w:rsid w:val="0008061F"/>
    <w:rsid w:val="00080661"/>
    <w:rsid w:val="00080AA0"/>
    <w:rsid w:val="00080E5D"/>
    <w:rsid w:val="0008125E"/>
    <w:rsid w:val="00081517"/>
    <w:rsid w:val="0008187E"/>
    <w:rsid w:val="00081993"/>
    <w:rsid w:val="00081B44"/>
    <w:rsid w:val="00081C46"/>
    <w:rsid w:val="00082037"/>
    <w:rsid w:val="000821F0"/>
    <w:rsid w:val="000823F4"/>
    <w:rsid w:val="00082781"/>
    <w:rsid w:val="0008280C"/>
    <w:rsid w:val="000828CF"/>
    <w:rsid w:val="0008296B"/>
    <w:rsid w:val="00082A8B"/>
    <w:rsid w:val="00082B2A"/>
    <w:rsid w:val="00082BC2"/>
    <w:rsid w:val="00082DBB"/>
    <w:rsid w:val="00082F85"/>
    <w:rsid w:val="00082F9E"/>
    <w:rsid w:val="00083165"/>
    <w:rsid w:val="0008319C"/>
    <w:rsid w:val="00083216"/>
    <w:rsid w:val="0008329E"/>
    <w:rsid w:val="000832F9"/>
    <w:rsid w:val="00083438"/>
    <w:rsid w:val="00083595"/>
    <w:rsid w:val="00083651"/>
    <w:rsid w:val="000836E6"/>
    <w:rsid w:val="00083A48"/>
    <w:rsid w:val="00083B94"/>
    <w:rsid w:val="00083BC4"/>
    <w:rsid w:val="00083CB9"/>
    <w:rsid w:val="00084269"/>
    <w:rsid w:val="0008435E"/>
    <w:rsid w:val="00084608"/>
    <w:rsid w:val="00084746"/>
    <w:rsid w:val="00084832"/>
    <w:rsid w:val="000848EA"/>
    <w:rsid w:val="00084AE6"/>
    <w:rsid w:val="00084BCA"/>
    <w:rsid w:val="00084CE2"/>
    <w:rsid w:val="00085090"/>
    <w:rsid w:val="000850E7"/>
    <w:rsid w:val="00085159"/>
    <w:rsid w:val="00085264"/>
    <w:rsid w:val="0008558E"/>
    <w:rsid w:val="00085D07"/>
    <w:rsid w:val="000861A3"/>
    <w:rsid w:val="00086507"/>
    <w:rsid w:val="00086A77"/>
    <w:rsid w:val="000874B7"/>
    <w:rsid w:val="00087D42"/>
    <w:rsid w:val="00087DFD"/>
    <w:rsid w:val="00087E73"/>
    <w:rsid w:val="00090085"/>
    <w:rsid w:val="0009021F"/>
    <w:rsid w:val="00090279"/>
    <w:rsid w:val="00090537"/>
    <w:rsid w:val="000906CE"/>
    <w:rsid w:val="0009077A"/>
    <w:rsid w:val="00090A82"/>
    <w:rsid w:val="00090BDC"/>
    <w:rsid w:val="00090D0F"/>
    <w:rsid w:val="00090D15"/>
    <w:rsid w:val="00091021"/>
    <w:rsid w:val="000911A9"/>
    <w:rsid w:val="000913E2"/>
    <w:rsid w:val="000914C5"/>
    <w:rsid w:val="0009159E"/>
    <w:rsid w:val="00091A74"/>
    <w:rsid w:val="00091B0F"/>
    <w:rsid w:val="00091C7C"/>
    <w:rsid w:val="000920A5"/>
    <w:rsid w:val="000921D6"/>
    <w:rsid w:val="0009228C"/>
    <w:rsid w:val="0009285B"/>
    <w:rsid w:val="000928E8"/>
    <w:rsid w:val="000929F7"/>
    <w:rsid w:val="00092FCC"/>
    <w:rsid w:val="00093000"/>
    <w:rsid w:val="00093110"/>
    <w:rsid w:val="000931E8"/>
    <w:rsid w:val="000933BA"/>
    <w:rsid w:val="000934B4"/>
    <w:rsid w:val="000935E1"/>
    <w:rsid w:val="0009366E"/>
    <w:rsid w:val="00093847"/>
    <w:rsid w:val="00093962"/>
    <w:rsid w:val="00093A64"/>
    <w:rsid w:val="00093B50"/>
    <w:rsid w:val="00094579"/>
    <w:rsid w:val="00094A3D"/>
    <w:rsid w:val="0009522A"/>
    <w:rsid w:val="000958C7"/>
    <w:rsid w:val="00095C54"/>
    <w:rsid w:val="00095C92"/>
    <w:rsid w:val="00095DB1"/>
    <w:rsid w:val="00095E66"/>
    <w:rsid w:val="00095E6A"/>
    <w:rsid w:val="00095ED8"/>
    <w:rsid w:val="00096286"/>
    <w:rsid w:val="000964BE"/>
    <w:rsid w:val="00096A9F"/>
    <w:rsid w:val="00096AD5"/>
    <w:rsid w:val="00096CE7"/>
    <w:rsid w:val="00097161"/>
    <w:rsid w:val="00097421"/>
    <w:rsid w:val="00097994"/>
    <w:rsid w:val="00097C00"/>
    <w:rsid w:val="00097CA7"/>
    <w:rsid w:val="00097F39"/>
    <w:rsid w:val="00097F4A"/>
    <w:rsid w:val="000A031F"/>
    <w:rsid w:val="000A0378"/>
    <w:rsid w:val="000A066F"/>
    <w:rsid w:val="000A0A61"/>
    <w:rsid w:val="000A0AF2"/>
    <w:rsid w:val="000A0C08"/>
    <w:rsid w:val="000A0FD5"/>
    <w:rsid w:val="000A1045"/>
    <w:rsid w:val="000A13EF"/>
    <w:rsid w:val="000A1584"/>
    <w:rsid w:val="000A1629"/>
    <w:rsid w:val="000A1BFA"/>
    <w:rsid w:val="000A2183"/>
    <w:rsid w:val="000A22A7"/>
    <w:rsid w:val="000A22BF"/>
    <w:rsid w:val="000A2443"/>
    <w:rsid w:val="000A26BB"/>
    <w:rsid w:val="000A27FE"/>
    <w:rsid w:val="000A2881"/>
    <w:rsid w:val="000A2DB4"/>
    <w:rsid w:val="000A2F1D"/>
    <w:rsid w:val="000A3098"/>
    <w:rsid w:val="000A32DF"/>
    <w:rsid w:val="000A3689"/>
    <w:rsid w:val="000A378C"/>
    <w:rsid w:val="000A379A"/>
    <w:rsid w:val="000A39E5"/>
    <w:rsid w:val="000A3E54"/>
    <w:rsid w:val="000A3EFA"/>
    <w:rsid w:val="000A4085"/>
    <w:rsid w:val="000A4151"/>
    <w:rsid w:val="000A4189"/>
    <w:rsid w:val="000A4A1D"/>
    <w:rsid w:val="000A4AB3"/>
    <w:rsid w:val="000A4BBD"/>
    <w:rsid w:val="000A4D24"/>
    <w:rsid w:val="000A4FB1"/>
    <w:rsid w:val="000A55CB"/>
    <w:rsid w:val="000A5866"/>
    <w:rsid w:val="000A59F2"/>
    <w:rsid w:val="000A5CCC"/>
    <w:rsid w:val="000A63D1"/>
    <w:rsid w:val="000A647B"/>
    <w:rsid w:val="000A688A"/>
    <w:rsid w:val="000A6895"/>
    <w:rsid w:val="000A699E"/>
    <w:rsid w:val="000A6B5B"/>
    <w:rsid w:val="000A6B9A"/>
    <w:rsid w:val="000A6BB4"/>
    <w:rsid w:val="000A6CF3"/>
    <w:rsid w:val="000A6EEC"/>
    <w:rsid w:val="000A6F86"/>
    <w:rsid w:val="000A6FD0"/>
    <w:rsid w:val="000A7117"/>
    <w:rsid w:val="000A7171"/>
    <w:rsid w:val="000A71F3"/>
    <w:rsid w:val="000A7205"/>
    <w:rsid w:val="000A7602"/>
    <w:rsid w:val="000A7732"/>
    <w:rsid w:val="000A7CC4"/>
    <w:rsid w:val="000A7D1F"/>
    <w:rsid w:val="000B0233"/>
    <w:rsid w:val="000B02AE"/>
    <w:rsid w:val="000B04D7"/>
    <w:rsid w:val="000B04E9"/>
    <w:rsid w:val="000B0D53"/>
    <w:rsid w:val="000B0F79"/>
    <w:rsid w:val="000B102A"/>
    <w:rsid w:val="000B1155"/>
    <w:rsid w:val="000B118A"/>
    <w:rsid w:val="000B1289"/>
    <w:rsid w:val="000B12ED"/>
    <w:rsid w:val="000B15C9"/>
    <w:rsid w:val="000B15EB"/>
    <w:rsid w:val="000B175F"/>
    <w:rsid w:val="000B19FD"/>
    <w:rsid w:val="000B1B5B"/>
    <w:rsid w:val="000B1BF3"/>
    <w:rsid w:val="000B1F11"/>
    <w:rsid w:val="000B1F2D"/>
    <w:rsid w:val="000B254E"/>
    <w:rsid w:val="000B25F1"/>
    <w:rsid w:val="000B2615"/>
    <w:rsid w:val="000B272C"/>
    <w:rsid w:val="000B2772"/>
    <w:rsid w:val="000B2859"/>
    <w:rsid w:val="000B2ADD"/>
    <w:rsid w:val="000B2C84"/>
    <w:rsid w:val="000B2D87"/>
    <w:rsid w:val="000B30BA"/>
    <w:rsid w:val="000B31DC"/>
    <w:rsid w:val="000B323E"/>
    <w:rsid w:val="000B3590"/>
    <w:rsid w:val="000B3757"/>
    <w:rsid w:val="000B3D8C"/>
    <w:rsid w:val="000B3FB5"/>
    <w:rsid w:val="000B4157"/>
    <w:rsid w:val="000B417A"/>
    <w:rsid w:val="000B4477"/>
    <w:rsid w:val="000B458C"/>
    <w:rsid w:val="000B4945"/>
    <w:rsid w:val="000B4A38"/>
    <w:rsid w:val="000B4CB2"/>
    <w:rsid w:val="000B4D04"/>
    <w:rsid w:val="000B4E18"/>
    <w:rsid w:val="000B5056"/>
    <w:rsid w:val="000B5195"/>
    <w:rsid w:val="000B5214"/>
    <w:rsid w:val="000B52C0"/>
    <w:rsid w:val="000B5847"/>
    <w:rsid w:val="000B59BF"/>
    <w:rsid w:val="000B60F5"/>
    <w:rsid w:val="000B6284"/>
    <w:rsid w:val="000B651A"/>
    <w:rsid w:val="000B661F"/>
    <w:rsid w:val="000B6710"/>
    <w:rsid w:val="000B6C6A"/>
    <w:rsid w:val="000B6DCB"/>
    <w:rsid w:val="000B737B"/>
    <w:rsid w:val="000B753E"/>
    <w:rsid w:val="000B7A3D"/>
    <w:rsid w:val="000B7B73"/>
    <w:rsid w:val="000B7D67"/>
    <w:rsid w:val="000B7FBE"/>
    <w:rsid w:val="000C006A"/>
    <w:rsid w:val="000C03D3"/>
    <w:rsid w:val="000C04F3"/>
    <w:rsid w:val="000C0578"/>
    <w:rsid w:val="000C0719"/>
    <w:rsid w:val="000C0902"/>
    <w:rsid w:val="000C09AA"/>
    <w:rsid w:val="000C0B84"/>
    <w:rsid w:val="000C0B85"/>
    <w:rsid w:val="000C0DE3"/>
    <w:rsid w:val="000C0E3C"/>
    <w:rsid w:val="000C0F2A"/>
    <w:rsid w:val="000C0F82"/>
    <w:rsid w:val="000C1033"/>
    <w:rsid w:val="000C11D6"/>
    <w:rsid w:val="000C11F1"/>
    <w:rsid w:val="000C171C"/>
    <w:rsid w:val="000C17A2"/>
    <w:rsid w:val="000C19A8"/>
    <w:rsid w:val="000C20AC"/>
    <w:rsid w:val="000C20AF"/>
    <w:rsid w:val="000C24DB"/>
    <w:rsid w:val="000C2878"/>
    <w:rsid w:val="000C2A8E"/>
    <w:rsid w:val="000C2DD8"/>
    <w:rsid w:val="000C3219"/>
    <w:rsid w:val="000C3853"/>
    <w:rsid w:val="000C39D6"/>
    <w:rsid w:val="000C39F2"/>
    <w:rsid w:val="000C3B28"/>
    <w:rsid w:val="000C3B83"/>
    <w:rsid w:val="000C3C62"/>
    <w:rsid w:val="000C4187"/>
    <w:rsid w:val="000C44C7"/>
    <w:rsid w:val="000C465E"/>
    <w:rsid w:val="000C4943"/>
    <w:rsid w:val="000C495D"/>
    <w:rsid w:val="000C4CB8"/>
    <w:rsid w:val="000C4CE4"/>
    <w:rsid w:val="000C4CFA"/>
    <w:rsid w:val="000C4D54"/>
    <w:rsid w:val="000C5161"/>
    <w:rsid w:val="000C535D"/>
    <w:rsid w:val="000C53B0"/>
    <w:rsid w:val="000C55C5"/>
    <w:rsid w:val="000C564B"/>
    <w:rsid w:val="000C5661"/>
    <w:rsid w:val="000C5AA7"/>
    <w:rsid w:val="000C5C30"/>
    <w:rsid w:val="000C5C46"/>
    <w:rsid w:val="000C5CE8"/>
    <w:rsid w:val="000C5E9C"/>
    <w:rsid w:val="000C6AE8"/>
    <w:rsid w:val="000C6C05"/>
    <w:rsid w:val="000C6CB4"/>
    <w:rsid w:val="000C6FC6"/>
    <w:rsid w:val="000C7555"/>
    <w:rsid w:val="000C7919"/>
    <w:rsid w:val="000C7A68"/>
    <w:rsid w:val="000C7AD6"/>
    <w:rsid w:val="000C7C6B"/>
    <w:rsid w:val="000C7DD0"/>
    <w:rsid w:val="000C7F41"/>
    <w:rsid w:val="000C7FBB"/>
    <w:rsid w:val="000D07F8"/>
    <w:rsid w:val="000D0974"/>
    <w:rsid w:val="000D0A0A"/>
    <w:rsid w:val="000D0CC0"/>
    <w:rsid w:val="000D0CF7"/>
    <w:rsid w:val="000D0FCA"/>
    <w:rsid w:val="000D11C8"/>
    <w:rsid w:val="000D19A8"/>
    <w:rsid w:val="000D1AA0"/>
    <w:rsid w:val="000D1D79"/>
    <w:rsid w:val="000D1E59"/>
    <w:rsid w:val="000D1EB7"/>
    <w:rsid w:val="000D214A"/>
    <w:rsid w:val="000D27EC"/>
    <w:rsid w:val="000D28F4"/>
    <w:rsid w:val="000D2B26"/>
    <w:rsid w:val="000D2DCD"/>
    <w:rsid w:val="000D32BF"/>
    <w:rsid w:val="000D338B"/>
    <w:rsid w:val="000D3874"/>
    <w:rsid w:val="000D3A01"/>
    <w:rsid w:val="000D3AB2"/>
    <w:rsid w:val="000D4072"/>
    <w:rsid w:val="000D40C9"/>
    <w:rsid w:val="000D41E3"/>
    <w:rsid w:val="000D4668"/>
    <w:rsid w:val="000D478A"/>
    <w:rsid w:val="000D4999"/>
    <w:rsid w:val="000D4AA7"/>
    <w:rsid w:val="000D4BB0"/>
    <w:rsid w:val="000D4CA5"/>
    <w:rsid w:val="000D4EA0"/>
    <w:rsid w:val="000D53BF"/>
    <w:rsid w:val="000D5641"/>
    <w:rsid w:val="000D575C"/>
    <w:rsid w:val="000D5B39"/>
    <w:rsid w:val="000D62FB"/>
    <w:rsid w:val="000D643D"/>
    <w:rsid w:val="000D6A6A"/>
    <w:rsid w:val="000D6E15"/>
    <w:rsid w:val="000D6FA9"/>
    <w:rsid w:val="000D7285"/>
    <w:rsid w:val="000D72A1"/>
    <w:rsid w:val="000D752F"/>
    <w:rsid w:val="000D75CC"/>
    <w:rsid w:val="000D7A3D"/>
    <w:rsid w:val="000D7BE8"/>
    <w:rsid w:val="000D7C1D"/>
    <w:rsid w:val="000D7D3C"/>
    <w:rsid w:val="000D7DC4"/>
    <w:rsid w:val="000E0006"/>
    <w:rsid w:val="000E0773"/>
    <w:rsid w:val="000E0866"/>
    <w:rsid w:val="000E092C"/>
    <w:rsid w:val="000E0A00"/>
    <w:rsid w:val="000E0A70"/>
    <w:rsid w:val="000E0EDA"/>
    <w:rsid w:val="000E0F7E"/>
    <w:rsid w:val="000E12D8"/>
    <w:rsid w:val="000E12E1"/>
    <w:rsid w:val="000E1375"/>
    <w:rsid w:val="000E14AC"/>
    <w:rsid w:val="000E16A1"/>
    <w:rsid w:val="000E170B"/>
    <w:rsid w:val="000E1AED"/>
    <w:rsid w:val="000E1B0C"/>
    <w:rsid w:val="000E1F35"/>
    <w:rsid w:val="000E2070"/>
    <w:rsid w:val="000E2089"/>
    <w:rsid w:val="000E2482"/>
    <w:rsid w:val="000E249A"/>
    <w:rsid w:val="000E25C8"/>
    <w:rsid w:val="000E2621"/>
    <w:rsid w:val="000E267B"/>
    <w:rsid w:val="000E2E8C"/>
    <w:rsid w:val="000E2FDE"/>
    <w:rsid w:val="000E32FC"/>
    <w:rsid w:val="000E3507"/>
    <w:rsid w:val="000E47F3"/>
    <w:rsid w:val="000E4847"/>
    <w:rsid w:val="000E48DC"/>
    <w:rsid w:val="000E4C30"/>
    <w:rsid w:val="000E4F1D"/>
    <w:rsid w:val="000E5252"/>
    <w:rsid w:val="000E52D1"/>
    <w:rsid w:val="000E5354"/>
    <w:rsid w:val="000E536D"/>
    <w:rsid w:val="000E5546"/>
    <w:rsid w:val="000E5858"/>
    <w:rsid w:val="000E5BE1"/>
    <w:rsid w:val="000E61FC"/>
    <w:rsid w:val="000E6369"/>
    <w:rsid w:val="000E6B30"/>
    <w:rsid w:val="000E6B49"/>
    <w:rsid w:val="000E6BE7"/>
    <w:rsid w:val="000E6E3A"/>
    <w:rsid w:val="000E71A3"/>
    <w:rsid w:val="000E756D"/>
    <w:rsid w:val="000E7711"/>
    <w:rsid w:val="000E7880"/>
    <w:rsid w:val="000E7A77"/>
    <w:rsid w:val="000E7C5B"/>
    <w:rsid w:val="000E7CA3"/>
    <w:rsid w:val="000E7CCD"/>
    <w:rsid w:val="000E7D99"/>
    <w:rsid w:val="000E7EDB"/>
    <w:rsid w:val="000E7F5B"/>
    <w:rsid w:val="000F02B0"/>
    <w:rsid w:val="000F04B0"/>
    <w:rsid w:val="000F07A7"/>
    <w:rsid w:val="000F08AA"/>
    <w:rsid w:val="000F08E9"/>
    <w:rsid w:val="000F0908"/>
    <w:rsid w:val="000F0CA9"/>
    <w:rsid w:val="000F0DEA"/>
    <w:rsid w:val="000F0E04"/>
    <w:rsid w:val="000F0EFE"/>
    <w:rsid w:val="000F12C3"/>
    <w:rsid w:val="000F1592"/>
    <w:rsid w:val="000F194D"/>
    <w:rsid w:val="000F1BE7"/>
    <w:rsid w:val="000F21C1"/>
    <w:rsid w:val="000F21F1"/>
    <w:rsid w:val="000F2324"/>
    <w:rsid w:val="000F247A"/>
    <w:rsid w:val="000F26B8"/>
    <w:rsid w:val="000F291A"/>
    <w:rsid w:val="000F2AB1"/>
    <w:rsid w:val="000F2F47"/>
    <w:rsid w:val="000F2F9F"/>
    <w:rsid w:val="000F3354"/>
    <w:rsid w:val="000F3720"/>
    <w:rsid w:val="000F3763"/>
    <w:rsid w:val="000F3821"/>
    <w:rsid w:val="000F38B3"/>
    <w:rsid w:val="000F3A79"/>
    <w:rsid w:val="000F415A"/>
    <w:rsid w:val="000F46ED"/>
    <w:rsid w:val="000F4B79"/>
    <w:rsid w:val="000F4BB6"/>
    <w:rsid w:val="000F50AB"/>
    <w:rsid w:val="000F5A25"/>
    <w:rsid w:val="000F5E0B"/>
    <w:rsid w:val="000F5F52"/>
    <w:rsid w:val="000F5F67"/>
    <w:rsid w:val="000F5FED"/>
    <w:rsid w:val="000F64E3"/>
    <w:rsid w:val="000F6505"/>
    <w:rsid w:val="000F6741"/>
    <w:rsid w:val="000F6919"/>
    <w:rsid w:val="000F6A2A"/>
    <w:rsid w:val="000F6FA9"/>
    <w:rsid w:val="000F71D9"/>
    <w:rsid w:val="000F7246"/>
    <w:rsid w:val="000F738E"/>
    <w:rsid w:val="000F7434"/>
    <w:rsid w:val="000F761C"/>
    <w:rsid w:val="000F7A03"/>
    <w:rsid w:val="000F7CC5"/>
    <w:rsid w:val="000F7D5B"/>
    <w:rsid w:val="00100357"/>
    <w:rsid w:val="00100505"/>
    <w:rsid w:val="00101031"/>
    <w:rsid w:val="0010107E"/>
    <w:rsid w:val="001012B3"/>
    <w:rsid w:val="0010140E"/>
    <w:rsid w:val="00101486"/>
    <w:rsid w:val="00101682"/>
    <w:rsid w:val="001017F7"/>
    <w:rsid w:val="00101E2C"/>
    <w:rsid w:val="00101E8F"/>
    <w:rsid w:val="0010202B"/>
    <w:rsid w:val="00102185"/>
    <w:rsid w:val="001023F1"/>
    <w:rsid w:val="001024DF"/>
    <w:rsid w:val="00102526"/>
    <w:rsid w:val="00102776"/>
    <w:rsid w:val="00102B8A"/>
    <w:rsid w:val="00102C25"/>
    <w:rsid w:val="00102FB2"/>
    <w:rsid w:val="001032B8"/>
    <w:rsid w:val="0010339F"/>
    <w:rsid w:val="0010341B"/>
    <w:rsid w:val="00103462"/>
    <w:rsid w:val="00103E27"/>
    <w:rsid w:val="001040F3"/>
    <w:rsid w:val="00104379"/>
    <w:rsid w:val="00104772"/>
    <w:rsid w:val="0010484F"/>
    <w:rsid w:val="00104AE1"/>
    <w:rsid w:val="00104B65"/>
    <w:rsid w:val="001050F1"/>
    <w:rsid w:val="00105205"/>
    <w:rsid w:val="001054D7"/>
    <w:rsid w:val="00105700"/>
    <w:rsid w:val="0010576B"/>
    <w:rsid w:val="00105A42"/>
    <w:rsid w:val="00106002"/>
    <w:rsid w:val="00106265"/>
    <w:rsid w:val="0010646D"/>
    <w:rsid w:val="0010682A"/>
    <w:rsid w:val="00106969"/>
    <w:rsid w:val="00106CCD"/>
    <w:rsid w:val="00106FBE"/>
    <w:rsid w:val="00107213"/>
    <w:rsid w:val="00107341"/>
    <w:rsid w:val="00107605"/>
    <w:rsid w:val="0010774E"/>
    <w:rsid w:val="00107850"/>
    <w:rsid w:val="00107B6F"/>
    <w:rsid w:val="00107D86"/>
    <w:rsid w:val="00107DA2"/>
    <w:rsid w:val="00107E8E"/>
    <w:rsid w:val="00107F3F"/>
    <w:rsid w:val="0011007A"/>
    <w:rsid w:val="0011015A"/>
    <w:rsid w:val="00110165"/>
    <w:rsid w:val="00110249"/>
    <w:rsid w:val="0011032A"/>
    <w:rsid w:val="00110539"/>
    <w:rsid w:val="00110638"/>
    <w:rsid w:val="0011083C"/>
    <w:rsid w:val="0011090D"/>
    <w:rsid w:val="00110EBD"/>
    <w:rsid w:val="00110F89"/>
    <w:rsid w:val="001110F5"/>
    <w:rsid w:val="001111DA"/>
    <w:rsid w:val="001115D8"/>
    <w:rsid w:val="00111AB7"/>
    <w:rsid w:val="00111AC5"/>
    <w:rsid w:val="00111B86"/>
    <w:rsid w:val="00111D68"/>
    <w:rsid w:val="00111DE5"/>
    <w:rsid w:val="001121C9"/>
    <w:rsid w:val="001122F2"/>
    <w:rsid w:val="00112433"/>
    <w:rsid w:val="00112743"/>
    <w:rsid w:val="00112A75"/>
    <w:rsid w:val="00112A78"/>
    <w:rsid w:val="00112F0E"/>
    <w:rsid w:val="0011334D"/>
    <w:rsid w:val="0011349D"/>
    <w:rsid w:val="0011356B"/>
    <w:rsid w:val="00113648"/>
    <w:rsid w:val="00113946"/>
    <w:rsid w:val="00113BA7"/>
    <w:rsid w:val="00113D3A"/>
    <w:rsid w:val="00113D6D"/>
    <w:rsid w:val="0011419C"/>
    <w:rsid w:val="0011454D"/>
    <w:rsid w:val="00114588"/>
    <w:rsid w:val="00114ABD"/>
    <w:rsid w:val="00114DA1"/>
    <w:rsid w:val="001152B4"/>
    <w:rsid w:val="001153FF"/>
    <w:rsid w:val="001156E9"/>
    <w:rsid w:val="001156FB"/>
    <w:rsid w:val="00115B2E"/>
    <w:rsid w:val="00115B49"/>
    <w:rsid w:val="00115D0F"/>
    <w:rsid w:val="00115E9D"/>
    <w:rsid w:val="00116208"/>
    <w:rsid w:val="00116215"/>
    <w:rsid w:val="0011637D"/>
    <w:rsid w:val="00116505"/>
    <w:rsid w:val="0011655C"/>
    <w:rsid w:val="0011677B"/>
    <w:rsid w:val="00116996"/>
    <w:rsid w:val="00116A4C"/>
    <w:rsid w:val="00116B68"/>
    <w:rsid w:val="00117026"/>
    <w:rsid w:val="00117083"/>
    <w:rsid w:val="00117431"/>
    <w:rsid w:val="00117550"/>
    <w:rsid w:val="001175ED"/>
    <w:rsid w:val="0012002A"/>
    <w:rsid w:val="00120248"/>
    <w:rsid w:val="001205B3"/>
    <w:rsid w:val="00120918"/>
    <w:rsid w:val="001209BC"/>
    <w:rsid w:val="00120ACA"/>
    <w:rsid w:val="00120EC1"/>
    <w:rsid w:val="00121158"/>
    <w:rsid w:val="0012122E"/>
    <w:rsid w:val="00121325"/>
    <w:rsid w:val="00121380"/>
    <w:rsid w:val="001214A9"/>
    <w:rsid w:val="001214E1"/>
    <w:rsid w:val="00121644"/>
    <w:rsid w:val="00121A51"/>
    <w:rsid w:val="00121A66"/>
    <w:rsid w:val="00121CA2"/>
    <w:rsid w:val="00121E6E"/>
    <w:rsid w:val="00121E7C"/>
    <w:rsid w:val="0012209C"/>
    <w:rsid w:val="001221C6"/>
    <w:rsid w:val="00122234"/>
    <w:rsid w:val="00122720"/>
    <w:rsid w:val="0012276C"/>
    <w:rsid w:val="0012277E"/>
    <w:rsid w:val="001228B2"/>
    <w:rsid w:val="00122B73"/>
    <w:rsid w:val="00122BDD"/>
    <w:rsid w:val="00122F6D"/>
    <w:rsid w:val="00123748"/>
    <w:rsid w:val="001238BE"/>
    <w:rsid w:val="00123B37"/>
    <w:rsid w:val="00123B42"/>
    <w:rsid w:val="00123D80"/>
    <w:rsid w:val="001241D3"/>
    <w:rsid w:val="0012438D"/>
    <w:rsid w:val="001245CC"/>
    <w:rsid w:val="00124728"/>
    <w:rsid w:val="00124786"/>
    <w:rsid w:val="001249F7"/>
    <w:rsid w:val="00124AF0"/>
    <w:rsid w:val="00124B5B"/>
    <w:rsid w:val="00124E33"/>
    <w:rsid w:val="00124F96"/>
    <w:rsid w:val="00125037"/>
    <w:rsid w:val="0012571B"/>
    <w:rsid w:val="00125832"/>
    <w:rsid w:val="00125E84"/>
    <w:rsid w:val="00126014"/>
    <w:rsid w:val="0012641D"/>
    <w:rsid w:val="0012644E"/>
    <w:rsid w:val="00126554"/>
    <w:rsid w:val="0012658D"/>
    <w:rsid w:val="00126621"/>
    <w:rsid w:val="0012671E"/>
    <w:rsid w:val="00126B74"/>
    <w:rsid w:val="00126C18"/>
    <w:rsid w:val="00126C6B"/>
    <w:rsid w:val="00126E1E"/>
    <w:rsid w:val="00126F19"/>
    <w:rsid w:val="001271C4"/>
    <w:rsid w:val="00127ABC"/>
    <w:rsid w:val="00127B1D"/>
    <w:rsid w:val="00127C55"/>
    <w:rsid w:val="00127E48"/>
    <w:rsid w:val="00127F92"/>
    <w:rsid w:val="00127FE9"/>
    <w:rsid w:val="00127FF7"/>
    <w:rsid w:val="001301D0"/>
    <w:rsid w:val="0013090B"/>
    <w:rsid w:val="00130C14"/>
    <w:rsid w:val="00130D92"/>
    <w:rsid w:val="00130DBD"/>
    <w:rsid w:val="00130EDB"/>
    <w:rsid w:val="00131780"/>
    <w:rsid w:val="0013195D"/>
    <w:rsid w:val="00131C84"/>
    <w:rsid w:val="00131E07"/>
    <w:rsid w:val="00131EA0"/>
    <w:rsid w:val="00131EDE"/>
    <w:rsid w:val="00132088"/>
    <w:rsid w:val="0013223B"/>
    <w:rsid w:val="0013286A"/>
    <w:rsid w:val="001332AF"/>
    <w:rsid w:val="00133309"/>
    <w:rsid w:val="0013345A"/>
    <w:rsid w:val="0013364C"/>
    <w:rsid w:val="001339B9"/>
    <w:rsid w:val="00133E7A"/>
    <w:rsid w:val="00133EFA"/>
    <w:rsid w:val="00133F89"/>
    <w:rsid w:val="00134108"/>
    <w:rsid w:val="001343BC"/>
    <w:rsid w:val="001343E1"/>
    <w:rsid w:val="001345CB"/>
    <w:rsid w:val="001345E9"/>
    <w:rsid w:val="0013472C"/>
    <w:rsid w:val="001347C5"/>
    <w:rsid w:val="001349E3"/>
    <w:rsid w:val="00134CBA"/>
    <w:rsid w:val="00134D69"/>
    <w:rsid w:val="0013501C"/>
    <w:rsid w:val="00135304"/>
    <w:rsid w:val="001353C9"/>
    <w:rsid w:val="001356F5"/>
    <w:rsid w:val="00135750"/>
    <w:rsid w:val="00135773"/>
    <w:rsid w:val="00135A81"/>
    <w:rsid w:val="00135C0D"/>
    <w:rsid w:val="00135E98"/>
    <w:rsid w:val="00135EA9"/>
    <w:rsid w:val="00136317"/>
    <w:rsid w:val="00136712"/>
    <w:rsid w:val="0013674F"/>
    <w:rsid w:val="00136BC4"/>
    <w:rsid w:val="00136E8B"/>
    <w:rsid w:val="00137356"/>
    <w:rsid w:val="00137467"/>
    <w:rsid w:val="001377ED"/>
    <w:rsid w:val="00137A53"/>
    <w:rsid w:val="00137B33"/>
    <w:rsid w:val="00137FDA"/>
    <w:rsid w:val="0014002A"/>
    <w:rsid w:val="00140129"/>
    <w:rsid w:val="00140273"/>
    <w:rsid w:val="00140325"/>
    <w:rsid w:val="00140468"/>
    <w:rsid w:val="001405DE"/>
    <w:rsid w:val="001409AF"/>
    <w:rsid w:val="00140AFD"/>
    <w:rsid w:val="00140F85"/>
    <w:rsid w:val="00141151"/>
    <w:rsid w:val="001415C5"/>
    <w:rsid w:val="00141974"/>
    <w:rsid w:val="001419ED"/>
    <w:rsid w:val="00141B9F"/>
    <w:rsid w:val="00141CDB"/>
    <w:rsid w:val="00141FD2"/>
    <w:rsid w:val="00142267"/>
    <w:rsid w:val="001424A7"/>
    <w:rsid w:val="00142719"/>
    <w:rsid w:val="0014277B"/>
    <w:rsid w:val="00142880"/>
    <w:rsid w:val="00142AB2"/>
    <w:rsid w:val="00142CCC"/>
    <w:rsid w:val="00142F72"/>
    <w:rsid w:val="0014335C"/>
    <w:rsid w:val="0014338C"/>
    <w:rsid w:val="001435DB"/>
    <w:rsid w:val="001436E5"/>
    <w:rsid w:val="001439F0"/>
    <w:rsid w:val="00143D46"/>
    <w:rsid w:val="00143E7F"/>
    <w:rsid w:val="0014468D"/>
    <w:rsid w:val="001446BD"/>
    <w:rsid w:val="001448B2"/>
    <w:rsid w:val="0014491F"/>
    <w:rsid w:val="0014498B"/>
    <w:rsid w:val="00144992"/>
    <w:rsid w:val="0014499B"/>
    <w:rsid w:val="001449F5"/>
    <w:rsid w:val="00144B97"/>
    <w:rsid w:val="00144E1C"/>
    <w:rsid w:val="00144EF2"/>
    <w:rsid w:val="00144EF8"/>
    <w:rsid w:val="0014525C"/>
    <w:rsid w:val="0014526C"/>
    <w:rsid w:val="00145660"/>
    <w:rsid w:val="0014571A"/>
    <w:rsid w:val="0014584B"/>
    <w:rsid w:val="00145AFF"/>
    <w:rsid w:val="00145B6E"/>
    <w:rsid w:val="00145B7F"/>
    <w:rsid w:val="00145E18"/>
    <w:rsid w:val="00146298"/>
    <w:rsid w:val="001463CE"/>
    <w:rsid w:val="00146467"/>
    <w:rsid w:val="001464FD"/>
    <w:rsid w:val="00146808"/>
    <w:rsid w:val="00146873"/>
    <w:rsid w:val="0014699C"/>
    <w:rsid w:val="00146B38"/>
    <w:rsid w:val="00146EAC"/>
    <w:rsid w:val="00146EE2"/>
    <w:rsid w:val="0014710A"/>
    <w:rsid w:val="001471CF"/>
    <w:rsid w:val="00147470"/>
    <w:rsid w:val="0014769D"/>
    <w:rsid w:val="001477F3"/>
    <w:rsid w:val="00147ACF"/>
    <w:rsid w:val="00147C87"/>
    <w:rsid w:val="001500F9"/>
    <w:rsid w:val="0015011A"/>
    <w:rsid w:val="00150183"/>
    <w:rsid w:val="001502B3"/>
    <w:rsid w:val="0015035D"/>
    <w:rsid w:val="00150427"/>
    <w:rsid w:val="001505C6"/>
    <w:rsid w:val="0015078E"/>
    <w:rsid w:val="001507C3"/>
    <w:rsid w:val="00150866"/>
    <w:rsid w:val="00150873"/>
    <w:rsid w:val="00150915"/>
    <w:rsid w:val="00150C97"/>
    <w:rsid w:val="00150D66"/>
    <w:rsid w:val="00150E5F"/>
    <w:rsid w:val="001511A8"/>
    <w:rsid w:val="00151393"/>
    <w:rsid w:val="0015157C"/>
    <w:rsid w:val="00151932"/>
    <w:rsid w:val="001519D4"/>
    <w:rsid w:val="00151A2D"/>
    <w:rsid w:val="00151E6E"/>
    <w:rsid w:val="00151F28"/>
    <w:rsid w:val="00151FFF"/>
    <w:rsid w:val="0015210E"/>
    <w:rsid w:val="00152764"/>
    <w:rsid w:val="00152A71"/>
    <w:rsid w:val="00152D74"/>
    <w:rsid w:val="00152FF2"/>
    <w:rsid w:val="0015338E"/>
    <w:rsid w:val="00153461"/>
    <w:rsid w:val="001534FB"/>
    <w:rsid w:val="00153637"/>
    <w:rsid w:val="00153960"/>
    <w:rsid w:val="00153A89"/>
    <w:rsid w:val="00153B4E"/>
    <w:rsid w:val="00153DA5"/>
    <w:rsid w:val="00153E89"/>
    <w:rsid w:val="00153F9E"/>
    <w:rsid w:val="00153FF3"/>
    <w:rsid w:val="00154162"/>
    <w:rsid w:val="00154B2D"/>
    <w:rsid w:val="00154B4C"/>
    <w:rsid w:val="00154DA6"/>
    <w:rsid w:val="00154E6C"/>
    <w:rsid w:val="001553F2"/>
    <w:rsid w:val="0015547C"/>
    <w:rsid w:val="0015567E"/>
    <w:rsid w:val="00155931"/>
    <w:rsid w:val="00155E13"/>
    <w:rsid w:val="00155FDA"/>
    <w:rsid w:val="00156062"/>
    <w:rsid w:val="00156346"/>
    <w:rsid w:val="00156867"/>
    <w:rsid w:val="001568F6"/>
    <w:rsid w:val="00156E4B"/>
    <w:rsid w:val="00157478"/>
    <w:rsid w:val="0015774A"/>
    <w:rsid w:val="00160055"/>
    <w:rsid w:val="00160069"/>
    <w:rsid w:val="001600F8"/>
    <w:rsid w:val="001603DB"/>
    <w:rsid w:val="00160F6F"/>
    <w:rsid w:val="0016123D"/>
    <w:rsid w:val="00161322"/>
    <w:rsid w:val="0016169A"/>
    <w:rsid w:val="00161A2E"/>
    <w:rsid w:val="00161C14"/>
    <w:rsid w:val="0016255F"/>
    <w:rsid w:val="001627FD"/>
    <w:rsid w:val="001629D1"/>
    <w:rsid w:val="00162DCD"/>
    <w:rsid w:val="00162EA3"/>
    <w:rsid w:val="00162F7D"/>
    <w:rsid w:val="00163013"/>
    <w:rsid w:val="0016313A"/>
    <w:rsid w:val="001633F0"/>
    <w:rsid w:val="001635C8"/>
    <w:rsid w:val="00163EFF"/>
    <w:rsid w:val="00163F74"/>
    <w:rsid w:val="00164053"/>
    <w:rsid w:val="00164561"/>
    <w:rsid w:val="001646B4"/>
    <w:rsid w:val="0016493F"/>
    <w:rsid w:val="001649F0"/>
    <w:rsid w:val="00164C87"/>
    <w:rsid w:val="00164C9E"/>
    <w:rsid w:val="00164E98"/>
    <w:rsid w:val="00165115"/>
    <w:rsid w:val="00165605"/>
    <w:rsid w:val="0016565D"/>
    <w:rsid w:val="001656DF"/>
    <w:rsid w:val="001658C9"/>
    <w:rsid w:val="00165A5C"/>
    <w:rsid w:val="00165AD1"/>
    <w:rsid w:val="00165EA1"/>
    <w:rsid w:val="001663C5"/>
    <w:rsid w:val="00166477"/>
    <w:rsid w:val="0016661B"/>
    <w:rsid w:val="001668B5"/>
    <w:rsid w:val="00166927"/>
    <w:rsid w:val="00166DD6"/>
    <w:rsid w:val="00166DEF"/>
    <w:rsid w:val="00166F35"/>
    <w:rsid w:val="001671C0"/>
    <w:rsid w:val="001672E6"/>
    <w:rsid w:val="0016782F"/>
    <w:rsid w:val="00167D50"/>
    <w:rsid w:val="00167F2A"/>
    <w:rsid w:val="00167F5B"/>
    <w:rsid w:val="00170016"/>
    <w:rsid w:val="001701E3"/>
    <w:rsid w:val="00170719"/>
    <w:rsid w:val="001707F9"/>
    <w:rsid w:val="00170D2D"/>
    <w:rsid w:val="00170D8A"/>
    <w:rsid w:val="00170E4E"/>
    <w:rsid w:val="00170E7B"/>
    <w:rsid w:val="0017100F"/>
    <w:rsid w:val="00171024"/>
    <w:rsid w:val="00171105"/>
    <w:rsid w:val="001712B4"/>
    <w:rsid w:val="0017145F"/>
    <w:rsid w:val="001714AD"/>
    <w:rsid w:val="00171761"/>
    <w:rsid w:val="001719DA"/>
    <w:rsid w:val="001719DF"/>
    <w:rsid w:val="00171B5A"/>
    <w:rsid w:val="00171BD4"/>
    <w:rsid w:val="00171C17"/>
    <w:rsid w:val="00171C1B"/>
    <w:rsid w:val="00171D00"/>
    <w:rsid w:val="00171F01"/>
    <w:rsid w:val="001720E4"/>
    <w:rsid w:val="0017233C"/>
    <w:rsid w:val="001726C3"/>
    <w:rsid w:val="00172729"/>
    <w:rsid w:val="00172B74"/>
    <w:rsid w:val="00172D58"/>
    <w:rsid w:val="00172FEE"/>
    <w:rsid w:val="00173096"/>
    <w:rsid w:val="001733CA"/>
    <w:rsid w:val="0017383C"/>
    <w:rsid w:val="001738B6"/>
    <w:rsid w:val="00173A74"/>
    <w:rsid w:val="00173B15"/>
    <w:rsid w:val="00173D69"/>
    <w:rsid w:val="00173F27"/>
    <w:rsid w:val="00173F6D"/>
    <w:rsid w:val="0017419A"/>
    <w:rsid w:val="0017424F"/>
    <w:rsid w:val="00174852"/>
    <w:rsid w:val="00174A72"/>
    <w:rsid w:val="00174C8C"/>
    <w:rsid w:val="00174FC6"/>
    <w:rsid w:val="00174FF6"/>
    <w:rsid w:val="0017523D"/>
    <w:rsid w:val="00175282"/>
    <w:rsid w:val="001752D3"/>
    <w:rsid w:val="0017533A"/>
    <w:rsid w:val="001756DB"/>
    <w:rsid w:val="00175E87"/>
    <w:rsid w:val="00176390"/>
    <w:rsid w:val="001763B6"/>
    <w:rsid w:val="001765A9"/>
    <w:rsid w:val="00176B9D"/>
    <w:rsid w:val="00176E02"/>
    <w:rsid w:val="00176F63"/>
    <w:rsid w:val="00177269"/>
    <w:rsid w:val="00177334"/>
    <w:rsid w:val="0017778A"/>
    <w:rsid w:val="00177B45"/>
    <w:rsid w:val="0018029B"/>
    <w:rsid w:val="00180623"/>
    <w:rsid w:val="001807A1"/>
    <w:rsid w:val="00180DC9"/>
    <w:rsid w:val="00180E3F"/>
    <w:rsid w:val="00180EDC"/>
    <w:rsid w:val="0018125A"/>
    <w:rsid w:val="00181294"/>
    <w:rsid w:val="0018134F"/>
    <w:rsid w:val="00181531"/>
    <w:rsid w:val="00181D7E"/>
    <w:rsid w:val="00181F75"/>
    <w:rsid w:val="001820F6"/>
    <w:rsid w:val="001822E7"/>
    <w:rsid w:val="001824DE"/>
    <w:rsid w:val="00182604"/>
    <w:rsid w:val="0018284B"/>
    <w:rsid w:val="00182B4A"/>
    <w:rsid w:val="00182C8D"/>
    <w:rsid w:val="00182F0F"/>
    <w:rsid w:val="001831A9"/>
    <w:rsid w:val="00183580"/>
    <w:rsid w:val="0018404B"/>
    <w:rsid w:val="0018409C"/>
    <w:rsid w:val="001842CC"/>
    <w:rsid w:val="001844D3"/>
    <w:rsid w:val="0018456E"/>
    <w:rsid w:val="001848A2"/>
    <w:rsid w:val="00184944"/>
    <w:rsid w:val="00184AD5"/>
    <w:rsid w:val="00184DA2"/>
    <w:rsid w:val="00184EAB"/>
    <w:rsid w:val="00184F4A"/>
    <w:rsid w:val="0018532F"/>
    <w:rsid w:val="0018567D"/>
    <w:rsid w:val="00185934"/>
    <w:rsid w:val="00185E48"/>
    <w:rsid w:val="00185FC5"/>
    <w:rsid w:val="00186599"/>
    <w:rsid w:val="00186C39"/>
    <w:rsid w:val="00186DB3"/>
    <w:rsid w:val="00186E81"/>
    <w:rsid w:val="00187319"/>
    <w:rsid w:val="001876EF"/>
    <w:rsid w:val="00187772"/>
    <w:rsid w:val="00187A1C"/>
    <w:rsid w:val="00187A3A"/>
    <w:rsid w:val="00187C07"/>
    <w:rsid w:val="00190132"/>
    <w:rsid w:val="00190351"/>
    <w:rsid w:val="001903D1"/>
    <w:rsid w:val="0019042C"/>
    <w:rsid w:val="001909D5"/>
    <w:rsid w:val="00190A6C"/>
    <w:rsid w:val="00190C71"/>
    <w:rsid w:val="00190FF0"/>
    <w:rsid w:val="0019101A"/>
    <w:rsid w:val="001912F1"/>
    <w:rsid w:val="001914C5"/>
    <w:rsid w:val="00191542"/>
    <w:rsid w:val="001916E1"/>
    <w:rsid w:val="001918EC"/>
    <w:rsid w:val="00191950"/>
    <w:rsid w:val="00191958"/>
    <w:rsid w:val="00191BE1"/>
    <w:rsid w:val="00191CFB"/>
    <w:rsid w:val="00191CFF"/>
    <w:rsid w:val="00191DB8"/>
    <w:rsid w:val="00191F78"/>
    <w:rsid w:val="001921A5"/>
    <w:rsid w:val="001921CA"/>
    <w:rsid w:val="00192448"/>
    <w:rsid w:val="001925E7"/>
    <w:rsid w:val="001926B2"/>
    <w:rsid w:val="001926D2"/>
    <w:rsid w:val="00192721"/>
    <w:rsid w:val="00192723"/>
    <w:rsid w:val="00192A32"/>
    <w:rsid w:val="00192A56"/>
    <w:rsid w:val="00192D8A"/>
    <w:rsid w:val="00192E70"/>
    <w:rsid w:val="00193002"/>
    <w:rsid w:val="001930FF"/>
    <w:rsid w:val="00193356"/>
    <w:rsid w:val="00193454"/>
    <w:rsid w:val="00193502"/>
    <w:rsid w:val="00193565"/>
    <w:rsid w:val="00193798"/>
    <w:rsid w:val="0019383F"/>
    <w:rsid w:val="0019390D"/>
    <w:rsid w:val="00193A55"/>
    <w:rsid w:val="00193AC7"/>
    <w:rsid w:val="00193B3C"/>
    <w:rsid w:val="00193CC1"/>
    <w:rsid w:val="00193EA2"/>
    <w:rsid w:val="00193F58"/>
    <w:rsid w:val="00193FBD"/>
    <w:rsid w:val="00194165"/>
    <w:rsid w:val="00194560"/>
    <w:rsid w:val="0019465F"/>
    <w:rsid w:val="00194673"/>
    <w:rsid w:val="00194EDB"/>
    <w:rsid w:val="00195037"/>
    <w:rsid w:val="00195145"/>
    <w:rsid w:val="001952FE"/>
    <w:rsid w:val="001954A7"/>
    <w:rsid w:val="001954B3"/>
    <w:rsid w:val="001955B4"/>
    <w:rsid w:val="00195678"/>
    <w:rsid w:val="00195C43"/>
    <w:rsid w:val="00195DF8"/>
    <w:rsid w:val="00195E8D"/>
    <w:rsid w:val="00195F6E"/>
    <w:rsid w:val="0019617B"/>
    <w:rsid w:val="0019629B"/>
    <w:rsid w:val="00196BD1"/>
    <w:rsid w:val="00196CAF"/>
    <w:rsid w:val="00196FD9"/>
    <w:rsid w:val="00196FFB"/>
    <w:rsid w:val="00197054"/>
    <w:rsid w:val="001970BC"/>
    <w:rsid w:val="001970E7"/>
    <w:rsid w:val="001971FC"/>
    <w:rsid w:val="0019739E"/>
    <w:rsid w:val="0019752E"/>
    <w:rsid w:val="001975FB"/>
    <w:rsid w:val="001977CE"/>
    <w:rsid w:val="00197C72"/>
    <w:rsid w:val="00197EEF"/>
    <w:rsid w:val="00197F00"/>
    <w:rsid w:val="001A01B5"/>
    <w:rsid w:val="001A037D"/>
    <w:rsid w:val="001A0882"/>
    <w:rsid w:val="001A0970"/>
    <w:rsid w:val="001A09B9"/>
    <w:rsid w:val="001A0DC0"/>
    <w:rsid w:val="001A0E67"/>
    <w:rsid w:val="001A1906"/>
    <w:rsid w:val="001A1E37"/>
    <w:rsid w:val="001A1F4B"/>
    <w:rsid w:val="001A1F97"/>
    <w:rsid w:val="001A2218"/>
    <w:rsid w:val="001A2467"/>
    <w:rsid w:val="001A2578"/>
    <w:rsid w:val="001A267D"/>
    <w:rsid w:val="001A2BBC"/>
    <w:rsid w:val="001A2F01"/>
    <w:rsid w:val="001A326C"/>
    <w:rsid w:val="001A326E"/>
    <w:rsid w:val="001A3B7D"/>
    <w:rsid w:val="001A3BFB"/>
    <w:rsid w:val="001A3E83"/>
    <w:rsid w:val="001A44AB"/>
    <w:rsid w:val="001A4675"/>
    <w:rsid w:val="001A46C0"/>
    <w:rsid w:val="001A46D4"/>
    <w:rsid w:val="001A4770"/>
    <w:rsid w:val="001A4A95"/>
    <w:rsid w:val="001A4B0A"/>
    <w:rsid w:val="001A532B"/>
    <w:rsid w:val="001A5337"/>
    <w:rsid w:val="001A59E1"/>
    <w:rsid w:val="001A5A26"/>
    <w:rsid w:val="001A5B01"/>
    <w:rsid w:val="001A5CC0"/>
    <w:rsid w:val="001A5E03"/>
    <w:rsid w:val="001A5E28"/>
    <w:rsid w:val="001A606F"/>
    <w:rsid w:val="001A608F"/>
    <w:rsid w:val="001A6626"/>
    <w:rsid w:val="001A679E"/>
    <w:rsid w:val="001A67EC"/>
    <w:rsid w:val="001A685B"/>
    <w:rsid w:val="001A689D"/>
    <w:rsid w:val="001A7087"/>
    <w:rsid w:val="001A7139"/>
    <w:rsid w:val="001A7168"/>
    <w:rsid w:val="001A7614"/>
    <w:rsid w:val="001A7643"/>
    <w:rsid w:val="001A76C6"/>
    <w:rsid w:val="001A76D3"/>
    <w:rsid w:val="001A76E6"/>
    <w:rsid w:val="001A770F"/>
    <w:rsid w:val="001A77C6"/>
    <w:rsid w:val="001A785F"/>
    <w:rsid w:val="001A7F40"/>
    <w:rsid w:val="001B0030"/>
    <w:rsid w:val="001B035E"/>
    <w:rsid w:val="001B04D7"/>
    <w:rsid w:val="001B06AF"/>
    <w:rsid w:val="001B0B04"/>
    <w:rsid w:val="001B0C7C"/>
    <w:rsid w:val="001B0DB7"/>
    <w:rsid w:val="001B0E53"/>
    <w:rsid w:val="001B0FA9"/>
    <w:rsid w:val="001B13A1"/>
    <w:rsid w:val="001B16A3"/>
    <w:rsid w:val="001B1B6A"/>
    <w:rsid w:val="001B1CA1"/>
    <w:rsid w:val="001B1EFD"/>
    <w:rsid w:val="001B2479"/>
    <w:rsid w:val="001B2C25"/>
    <w:rsid w:val="001B2D50"/>
    <w:rsid w:val="001B3069"/>
    <w:rsid w:val="001B30A3"/>
    <w:rsid w:val="001B327A"/>
    <w:rsid w:val="001B3330"/>
    <w:rsid w:val="001B336E"/>
    <w:rsid w:val="001B3674"/>
    <w:rsid w:val="001B3C9B"/>
    <w:rsid w:val="001B3CAF"/>
    <w:rsid w:val="001B4239"/>
    <w:rsid w:val="001B42D2"/>
    <w:rsid w:val="001B468E"/>
    <w:rsid w:val="001B4753"/>
    <w:rsid w:val="001B49A7"/>
    <w:rsid w:val="001B4A4F"/>
    <w:rsid w:val="001B4D10"/>
    <w:rsid w:val="001B4DA3"/>
    <w:rsid w:val="001B4EC7"/>
    <w:rsid w:val="001B4ECD"/>
    <w:rsid w:val="001B4F8C"/>
    <w:rsid w:val="001B4FBE"/>
    <w:rsid w:val="001B5720"/>
    <w:rsid w:val="001B57CE"/>
    <w:rsid w:val="001B5BAF"/>
    <w:rsid w:val="001B5C11"/>
    <w:rsid w:val="001B5F86"/>
    <w:rsid w:val="001B633D"/>
    <w:rsid w:val="001B66DF"/>
    <w:rsid w:val="001B684A"/>
    <w:rsid w:val="001B68F5"/>
    <w:rsid w:val="001B6977"/>
    <w:rsid w:val="001B6DE0"/>
    <w:rsid w:val="001B72F4"/>
    <w:rsid w:val="001B73A9"/>
    <w:rsid w:val="001B762F"/>
    <w:rsid w:val="001B78D4"/>
    <w:rsid w:val="001B7BC3"/>
    <w:rsid w:val="001B7C22"/>
    <w:rsid w:val="001B7C7F"/>
    <w:rsid w:val="001B7CF7"/>
    <w:rsid w:val="001B7EC3"/>
    <w:rsid w:val="001C05D9"/>
    <w:rsid w:val="001C0948"/>
    <w:rsid w:val="001C0A8B"/>
    <w:rsid w:val="001C0B58"/>
    <w:rsid w:val="001C15CD"/>
    <w:rsid w:val="001C15FF"/>
    <w:rsid w:val="001C1640"/>
    <w:rsid w:val="001C1800"/>
    <w:rsid w:val="001C1B24"/>
    <w:rsid w:val="001C1B4A"/>
    <w:rsid w:val="001C1B75"/>
    <w:rsid w:val="001C1C14"/>
    <w:rsid w:val="001C1E05"/>
    <w:rsid w:val="001C204B"/>
    <w:rsid w:val="001C230D"/>
    <w:rsid w:val="001C2685"/>
    <w:rsid w:val="001C2AC7"/>
    <w:rsid w:val="001C2C18"/>
    <w:rsid w:val="001C2C7C"/>
    <w:rsid w:val="001C2CE4"/>
    <w:rsid w:val="001C2FAF"/>
    <w:rsid w:val="001C30BF"/>
    <w:rsid w:val="001C331D"/>
    <w:rsid w:val="001C3346"/>
    <w:rsid w:val="001C3378"/>
    <w:rsid w:val="001C3A93"/>
    <w:rsid w:val="001C3B94"/>
    <w:rsid w:val="001C3CBD"/>
    <w:rsid w:val="001C3D3C"/>
    <w:rsid w:val="001C3DF6"/>
    <w:rsid w:val="001C4148"/>
    <w:rsid w:val="001C4400"/>
    <w:rsid w:val="001C4715"/>
    <w:rsid w:val="001C47D8"/>
    <w:rsid w:val="001C4ACB"/>
    <w:rsid w:val="001C4ADD"/>
    <w:rsid w:val="001C4BB7"/>
    <w:rsid w:val="001C4F53"/>
    <w:rsid w:val="001C50E4"/>
    <w:rsid w:val="001C51E0"/>
    <w:rsid w:val="001C52EF"/>
    <w:rsid w:val="001C53D5"/>
    <w:rsid w:val="001C54C9"/>
    <w:rsid w:val="001C55AA"/>
    <w:rsid w:val="001C56F3"/>
    <w:rsid w:val="001C5820"/>
    <w:rsid w:val="001C58E8"/>
    <w:rsid w:val="001C5BA8"/>
    <w:rsid w:val="001C5BC3"/>
    <w:rsid w:val="001C5CA4"/>
    <w:rsid w:val="001C5D57"/>
    <w:rsid w:val="001C6748"/>
    <w:rsid w:val="001C69CF"/>
    <w:rsid w:val="001C6ABB"/>
    <w:rsid w:val="001C6CF2"/>
    <w:rsid w:val="001C6D54"/>
    <w:rsid w:val="001C6EEF"/>
    <w:rsid w:val="001C716F"/>
    <w:rsid w:val="001C7786"/>
    <w:rsid w:val="001C799F"/>
    <w:rsid w:val="001D0032"/>
    <w:rsid w:val="001D0053"/>
    <w:rsid w:val="001D010C"/>
    <w:rsid w:val="001D0494"/>
    <w:rsid w:val="001D049B"/>
    <w:rsid w:val="001D0575"/>
    <w:rsid w:val="001D0587"/>
    <w:rsid w:val="001D0D77"/>
    <w:rsid w:val="001D0DA7"/>
    <w:rsid w:val="001D10A1"/>
    <w:rsid w:val="001D1675"/>
    <w:rsid w:val="001D18C6"/>
    <w:rsid w:val="001D1B3A"/>
    <w:rsid w:val="001D1B76"/>
    <w:rsid w:val="001D1F71"/>
    <w:rsid w:val="001D245F"/>
    <w:rsid w:val="001D249A"/>
    <w:rsid w:val="001D2576"/>
    <w:rsid w:val="001D258C"/>
    <w:rsid w:val="001D2E94"/>
    <w:rsid w:val="001D3201"/>
    <w:rsid w:val="001D354C"/>
    <w:rsid w:val="001D398C"/>
    <w:rsid w:val="001D3BE2"/>
    <w:rsid w:val="001D3DC7"/>
    <w:rsid w:val="001D4136"/>
    <w:rsid w:val="001D4276"/>
    <w:rsid w:val="001D4287"/>
    <w:rsid w:val="001D46B1"/>
    <w:rsid w:val="001D483C"/>
    <w:rsid w:val="001D48F7"/>
    <w:rsid w:val="001D4A80"/>
    <w:rsid w:val="001D4BC3"/>
    <w:rsid w:val="001D4E50"/>
    <w:rsid w:val="001D50B2"/>
    <w:rsid w:val="001D52B8"/>
    <w:rsid w:val="001D5374"/>
    <w:rsid w:val="001D55E7"/>
    <w:rsid w:val="001D580B"/>
    <w:rsid w:val="001D63D7"/>
    <w:rsid w:val="001D6540"/>
    <w:rsid w:val="001D65BD"/>
    <w:rsid w:val="001D6A8E"/>
    <w:rsid w:val="001D6ACA"/>
    <w:rsid w:val="001D6B2F"/>
    <w:rsid w:val="001D6C06"/>
    <w:rsid w:val="001D6CED"/>
    <w:rsid w:val="001D6D69"/>
    <w:rsid w:val="001D71BB"/>
    <w:rsid w:val="001D7255"/>
    <w:rsid w:val="001D78D3"/>
    <w:rsid w:val="001D7903"/>
    <w:rsid w:val="001D7CDF"/>
    <w:rsid w:val="001D7F0B"/>
    <w:rsid w:val="001E0019"/>
    <w:rsid w:val="001E007C"/>
    <w:rsid w:val="001E01EC"/>
    <w:rsid w:val="001E02FE"/>
    <w:rsid w:val="001E03F1"/>
    <w:rsid w:val="001E0EB0"/>
    <w:rsid w:val="001E12EC"/>
    <w:rsid w:val="001E1304"/>
    <w:rsid w:val="001E15BF"/>
    <w:rsid w:val="001E1973"/>
    <w:rsid w:val="001E1ADE"/>
    <w:rsid w:val="001E1B84"/>
    <w:rsid w:val="001E1CEA"/>
    <w:rsid w:val="001E1E27"/>
    <w:rsid w:val="001E1EC5"/>
    <w:rsid w:val="001E1EE4"/>
    <w:rsid w:val="001E2074"/>
    <w:rsid w:val="001E245A"/>
    <w:rsid w:val="001E25BC"/>
    <w:rsid w:val="001E2783"/>
    <w:rsid w:val="001E27C7"/>
    <w:rsid w:val="001E2924"/>
    <w:rsid w:val="001E2D2A"/>
    <w:rsid w:val="001E3016"/>
    <w:rsid w:val="001E3654"/>
    <w:rsid w:val="001E39A4"/>
    <w:rsid w:val="001E3A48"/>
    <w:rsid w:val="001E3B0D"/>
    <w:rsid w:val="001E3BED"/>
    <w:rsid w:val="001E4699"/>
    <w:rsid w:val="001E499C"/>
    <w:rsid w:val="001E4B25"/>
    <w:rsid w:val="001E4DA2"/>
    <w:rsid w:val="001E5A00"/>
    <w:rsid w:val="001E6237"/>
    <w:rsid w:val="001E63EF"/>
    <w:rsid w:val="001E6487"/>
    <w:rsid w:val="001E7250"/>
    <w:rsid w:val="001E7282"/>
    <w:rsid w:val="001E72DE"/>
    <w:rsid w:val="001E730D"/>
    <w:rsid w:val="001E76A2"/>
    <w:rsid w:val="001E779F"/>
    <w:rsid w:val="001E79FC"/>
    <w:rsid w:val="001E7DCD"/>
    <w:rsid w:val="001E7E52"/>
    <w:rsid w:val="001E7F3C"/>
    <w:rsid w:val="001F026B"/>
    <w:rsid w:val="001F034B"/>
    <w:rsid w:val="001F0647"/>
    <w:rsid w:val="001F064A"/>
    <w:rsid w:val="001F0B9D"/>
    <w:rsid w:val="001F0C07"/>
    <w:rsid w:val="001F0FDC"/>
    <w:rsid w:val="001F1014"/>
    <w:rsid w:val="001F1344"/>
    <w:rsid w:val="001F1763"/>
    <w:rsid w:val="001F18B4"/>
    <w:rsid w:val="001F1CAC"/>
    <w:rsid w:val="001F2385"/>
    <w:rsid w:val="001F23EE"/>
    <w:rsid w:val="001F2637"/>
    <w:rsid w:val="001F26AB"/>
    <w:rsid w:val="001F26D3"/>
    <w:rsid w:val="001F29F9"/>
    <w:rsid w:val="001F2A40"/>
    <w:rsid w:val="001F2C29"/>
    <w:rsid w:val="001F2C6B"/>
    <w:rsid w:val="001F3016"/>
    <w:rsid w:val="001F30B6"/>
    <w:rsid w:val="001F343D"/>
    <w:rsid w:val="001F35E7"/>
    <w:rsid w:val="001F38A2"/>
    <w:rsid w:val="001F420A"/>
    <w:rsid w:val="001F4619"/>
    <w:rsid w:val="001F48CD"/>
    <w:rsid w:val="001F4A8A"/>
    <w:rsid w:val="001F4B8E"/>
    <w:rsid w:val="001F4E84"/>
    <w:rsid w:val="001F4EB6"/>
    <w:rsid w:val="001F4F32"/>
    <w:rsid w:val="001F4FE8"/>
    <w:rsid w:val="001F5260"/>
    <w:rsid w:val="001F554C"/>
    <w:rsid w:val="001F58FA"/>
    <w:rsid w:val="001F5904"/>
    <w:rsid w:val="001F59DD"/>
    <w:rsid w:val="001F5A80"/>
    <w:rsid w:val="001F5DB4"/>
    <w:rsid w:val="001F5EE5"/>
    <w:rsid w:val="001F5FD9"/>
    <w:rsid w:val="001F651D"/>
    <w:rsid w:val="001F6AB1"/>
    <w:rsid w:val="001F6C28"/>
    <w:rsid w:val="001F6D37"/>
    <w:rsid w:val="001F6E37"/>
    <w:rsid w:val="001F703A"/>
    <w:rsid w:val="001F72C1"/>
    <w:rsid w:val="001F72ED"/>
    <w:rsid w:val="001F7489"/>
    <w:rsid w:val="001F75B8"/>
    <w:rsid w:val="001F762C"/>
    <w:rsid w:val="001F7745"/>
    <w:rsid w:val="001F77DA"/>
    <w:rsid w:val="001F7A5C"/>
    <w:rsid w:val="001F7ED1"/>
    <w:rsid w:val="0020012D"/>
    <w:rsid w:val="002002FA"/>
    <w:rsid w:val="00200314"/>
    <w:rsid w:val="00200395"/>
    <w:rsid w:val="00200504"/>
    <w:rsid w:val="00200794"/>
    <w:rsid w:val="00200918"/>
    <w:rsid w:val="00200B6C"/>
    <w:rsid w:val="0020124F"/>
    <w:rsid w:val="0020130F"/>
    <w:rsid w:val="00201988"/>
    <w:rsid w:val="002020F7"/>
    <w:rsid w:val="00202280"/>
    <w:rsid w:val="00202467"/>
    <w:rsid w:val="002024C2"/>
    <w:rsid w:val="00202B38"/>
    <w:rsid w:val="00202BB6"/>
    <w:rsid w:val="002030AA"/>
    <w:rsid w:val="002030CC"/>
    <w:rsid w:val="002032A1"/>
    <w:rsid w:val="0020332C"/>
    <w:rsid w:val="002033D4"/>
    <w:rsid w:val="00203432"/>
    <w:rsid w:val="00203467"/>
    <w:rsid w:val="00203845"/>
    <w:rsid w:val="00203923"/>
    <w:rsid w:val="002039F6"/>
    <w:rsid w:val="00203A85"/>
    <w:rsid w:val="00203F8E"/>
    <w:rsid w:val="0020424E"/>
    <w:rsid w:val="00204532"/>
    <w:rsid w:val="00204650"/>
    <w:rsid w:val="002048CC"/>
    <w:rsid w:val="00204DA1"/>
    <w:rsid w:val="00204FF6"/>
    <w:rsid w:val="002052E8"/>
    <w:rsid w:val="00205337"/>
    <w:rsid w:val="002053B0"/>
    <w:rsid w:val="00205E6B"/>
    <w:rsid w:val="00206225"/>
    <w:rsid w:val="002063F0"/>
    <w:rsid w:val="0020642A"/>
    <w:rsid w:val="0020645B"/>
    <w:rsid w:val="002066C9"/>
    <w:rsid w:val="0020675D"/>
    <w:rsid w:val="00206A1E"/>
    <w:rsid w:val="00206A3B"/>
    <w:rsid w:val="0020724A"/>
    <w:rsid w:val="00207312"/>
    <w:rsid w:val="00207580"/>
    <w:rsid w:val="00207728"/>
    <w:rsid w:val="00207934"/>
    <w:rsid w:val="00207B9C"/>
    <w:rsid w:val="00207BF6"/>
    <w:rsid w:val="00207C36"/>
    <w:rsid w:val="00207D9E"/>
    <w:rsid w:val="00210055"/>
    <w:rsid w:val="002102FB"/>
    <w:rsid w:val="002103CF"/>
    <w:rsid w:val="0021046A"/>
    <w:rsid w:val="002105F9"/>
    <w:rsid w:val="00210AF4"/>
    <w:rsid w:val="00210C55"/>
    <w:rsid w:val="00210EF1"/>
    <w:rsid w:val="00210F0D"/>
    <w:rsid w:val="00211142"/>
    <w:rsid w:val="002113C3"/>
    <w:rsid w:val="0021151E"/>
    <w:rsid w:val="00211693"/>
    <w:rsid w:val="00211750"/>
    <w:rsid w:val="00211C83"/>
    <w:rsid w:val="00211CAA"/>
    <w:rsid w:val="00211DFC"/>
    <w:rsid w:val="00211E9F"/>
    <w:rsid w:val="0021250B"/>
    <w:rsid w:val="00212A83"/>
    <w:rsid w:val="00212B5D"/>
    <w:rsid w:val="00212D08"/>
    <w:rsid w:val="00213209"/>
    <w:rsid w:val="002138C3"/>
    <w:rsid w:val="00213D99"/>
    <w:rsid w:val="00213F52"/>
    <w:rsid w:val="00213F56"/>
    <w:rsid w:val="002142AE"/>
    <w:rsid w:val="00214710"/>
    <w:rsid w:val="00214865"/>
    <w:rsid w:val="002149A9"/>
    <w:rsid w:val="00215354"/>
    <w:rsid w:val="002157AB"/>
    <w:rsid w:val="00215A14"/>
    <w:rsid w:val="00215E43"/>
    <w:rsid w:val="00215EB2"/>
    <w:rsid w:val="002160D9"/>
    <w:rsid w:val="0021616D"/>
    <w:rsid w:val="002163D9"/>
    <w:rsid w:val="00216426"/>
    <w:rsid w:val="00216453"/>
    <w:rsid w:val="00216710"/>
    <w:rsid w:val="00216A32"/>
    <w:rsid w:val="00216D44"/>
    <w:rsid w:val="00216DE4"/>
    <w:rsid w:val="00216E5F"/>
    <w:rsid w:val="00217155"/>
    <w:rsid w:val="00217168"/>
    <w:rsid w:val="0021722A"/>
    <w:rsid w:val="00217252"/>
    <w:rsid w:val="002176AF"/>
    <w:rsid w:val="002177A4"/>
    <w:rsid w:val="0021784E"/>
    <w:rsid w:val="002178B4"/>
    <w:rsid w:val="002179C1"/>
    <w:rsid w:val="00217B65"/>
    <w:rsid w:val="00217CC9"/>
    <w:rsid w:val="00217D82"/>
    <w:rsid w:val="002206DF"/>
    <w:rsid w:val="002207E1"/>
    <w:rsid w:val="00220818"/>
    <w:rsid w:val="00220A37"/>
    <w:rsid w:val="002215A3"/>
    <w:rsid w:val="002216AF"/>
    <w:rsid w:val="00221AE8"/>
    <w:rsid w:val="002220E1"/>
    <w:rsid w:val="002221F0"/>
    <w:rsid w:val="0022226A"/>
    <w:rsid w:val="002226DE"/>
    <w:rsid w:val="002229A2"/>
    <w:rsid w:val="00222CF0"/>
    <w:rsid w:val="0022313D"/>
    <w:rsid w:val="002234C5"/>
    <w:rsid w:val="0022368F"/>
    <w:rsid w:val="0022375E"/>
    <w:rsid w:val="00223A01"/>
    <w:rsid w:val="00223AF8"/>
    <w:rsid w:val="00223C39"/>
    <w:rsid w:val="00223D03"/>
    <w:rsid w:val="002242E5"/>
    <w:rsid w:val="002245C1"/>
    <w:rsid w:val="002245FA"/>
    <w:rsid w:val="00224622"/>
    <w:rsid w:val="0022463B"/>
    <w:rsid w:val="00224674"/>
    <w:rsid w:val="00224844"/>
    <w:rsid w:val="00224AB2"/>
    <w:rsid w:val="00224AE7"/>
    <w:rsid w:val="00224C8D"/>
    <w:rsid w:val="002250FD"/>
    <w:rsid w:val="00225537"/>
    <w:rsid w:val="002258FD"/>
    <w:rsid w:val="00225AED"/>
    <w:rsid w:val="00225B23"/>
    <w:rsid w:val="00225D28"/>
    <w:rsid w:val="00225E39"/>
    <w:rsid w:val="00225FD7"/>
    <w:rsid w:val="00225FE2"/>
    <w:rsid w:val="002260F2"/>
    <w:rsid w:val="00226350"/>
    <w:rsid w:val="002264D9"/>
    <w:rsid w:val="0022651E"/>
    <w:rsid w:val="00226535"/>
    <w:rsid w:val="0022666D"/>
    <w:rsid w:val="00226BEB"/>
    <w:rsid w:val="00226C3E"/>
    <w:rsid w:val="00226D32"/>
    <w:rsid w:val="002271C6"/>
    <w:rsid w:val="00227BAB"/>
    <w:rsid w:val="00227E43"/>
    <w:rsid w:val="00230140"/>
    <w:rsid w:val="002303C4"/>
    <w:rsid w:val="0023045C"/>
    <w:rsid w:val="002304AE"/>
    <w:rsid w:val="00230600"/>
    <w:rsid w:val="00230B8E"/>
    <w:rsid w:val="00230D2A"/>
    <w:rsid w:val="00230F5B"/>
    <w:rsid w:val="0023127C"/>
    <w:rsid w:val="00231331"/>
    <w:rsid w:val="00231509"/>
    <w:rsid w:val="00231BBC"/>
    <w:rsid w:val="00231C20"/>
    <w:rsid w:val="00231EE4"/>
    <w:rsid w:val="00231FDE"/>
    <w:rsid w:val="00232193"/>
    <w:rsid w:val="002321CD"/>
    <w:rsid w:val="002325BA"/>
    <w:rsid w:val="002328B2"/>
    <w:rsid w:val="002329B7"/>
    <w:rsid w:val="002329DB"/>
    <w:rsid w:val="00232ACC"/>
    <w:rsid w:val="00232EC7"/>
    <w:rsid w:val="00232FB4"/>
    <w:rsid w:val="00233064"/>
    <w:rsid w:val="0023309F"/>
    <w:rsid w:val="0023387D"/>
    <w:rsid w:val="00233BC1"/>
    <w:rsid w:val="00233CAC"/>
    <w:rsid w:val="00233D49"/>
    <w:rsid w:val="00233DDF"/>
    <w:rsid w:val="00234121"/>
    <w:rsid w:val="00234311"/>
    <w:rsid w:val="002345D6"/>
    <w:rsid w:val="002347D4"/>
    <w:rsid w:val="002348B7"/>
    <w:rsid w:val="0023491E"/>
    <w:rsid w:val="00234C30"/>
    <w:rsid w:val="00234D85"/>
    <w:rsid w:val="00234FB8"/>
    <w:rsid w:val="0023550A"/>
    <w:rsid w:val="00235534"/>
    <w:rsid w:val="0023570D"/>
    <w:rsid w:val="00235782"/>
    <w:rsid w:val="00235787"/>
    <w:rsid w:val="0023594E"/>
    <w:rsid w:val="00235AE2"/>
    <w:rsid w:val="00236082"/>
    <w:rsid w:val="00236745"/>
    <w:rsid w:val="00236746"/>
    <w:rsid w:val="00236987"/>
    <w:rsid w:val="00236B64"/>
    <w:rsid w:val="00236F6A"/>
    <w:rsid w:val="00237080"/>
    <w:rsid w:val="00237118"/>
    <w:rsid w:val="0023729D"/>
    <w:rsid w:val="00237323"/>
    <w:rsid w:val="002374E2"/>
    <w:rsid w:val="00237802"/>
    <w:rsid w:val="002378A0"/>
    <w:rsid w:val="00237A27"/>
    <w:rsid w:val="00237ABA"/>
    <w:rsid w:val="00237AFF"/>
    <w:rsid w:val="00237CA2"/>
    <w:rsid w:val="00237D6C"/>
    <w:rsid w:val="0024023D"/>
    <w:rsid w:val="002402F7"/>
    <w:rsid w:val="002403AE"/>
    <w:rsid w:val="002406FF"/>
    <w:rsid w:val="00240926"/>
    <w:rsid w:val="00240CAA"/>
    <w:rsid w:val="00240E66"/>
    <w:rsid w:val="00240E7B"/>
    <w:rsid w:val="00241104"/>
    <w:rsid w:val="002411D7"/>
    <w:rsid w:val="00241A39"/>
    <w:rsid w:val="00241BAE"/>
    <w:rsid w:val="00241D47"/>
    <w:rsid w:val="00241E8F"/>
    <w:rsid w:val="00241EAD"/>
    <w:rsid w:val="002423B8"/>
    <w:rsid w:val="00242567"/>
    <w:rsid w:val="002425FE"/>
    <w:rsid w:val="0024271C"/>
    <w:rsid w:val="00242752"/>
    <w:rsid w:val="00242A44"/>
    <w:rsid w:val="00242EC9"/>
    <w:rsid w:val="00242F59"/>
    <w:rsid w:val="002431B3"/>
    <w:rsid w:val="002432B5"/>
    <w:rsid w:val="00243382"/>
    <w:rsid w:val="002434CE"/>
    <w:rsid w:val="00243528"/>
    <w:rsid w:val="00243538"/>
    <w:rsid w:val="00243724"/>
    <w:rsid w:val="002437C6"/>
    <w:rsid w:val="0024390D"/>
    <w:rsid w:val="00244364"/>
    <w:rsid w:val="00244A26"/>
    <w:rsid w:val="00244D33"/>
    <w:rsid w:val="00244D9B"/>
    <w:rsid w:val="002451A6"/>
    <w:rsid w:val="002452C9"/>
    <w:rsid w:val="002452CE"/>
    <w:rsid w:val="002452D9"/>
    <w:rsid w:val="0024547D"/>
    <w:rsid w:val="002457B1"/>
    <w:rsid w:val="00245844"/>
    <w:rsid w:val="00245980"/>
    <w:rsid w:val="00245E4C"/>
    <w:rsid w:val="00245FB7"/>
    <w:rsid w:val="0024611C"/>
    <w:rsid w:val="00246265"/>
    <w:rsid w:val="002465DD"/>
    <w:rsid w:val="0024664B"/>
    <w:rsid w:val="00246684"/>
    <w:rsid w:val="00246813"/>
    <w:rsid w:val="002469BE"/>
    <w:rsid w:val="00246D31"/>
    <w:rsid w:val="00246DC0"/>
    <w:rsid w:val="00247151"/>
    <w:rsid w:val="002472E0"/>
    <w:rsid w:val="00247329"/>
    <w:rsid w:val="0024756E"/>
    <w:rsid w:val="002477FC"/>
    <w:rsid w:val="00247983"/>
    <w:rsid w:val="00247A53"/>
    <w:rsid w:val="00247A97"/>
    <w:rsid w:val="00247BA5"/>
    <w:rsid w:val="00247D3A"/>
    <w:rsid w:val="00247EB0"/>
    <w:rsid w:val="0025026D"/>
    <w:rsid w:val="002504F2"/>
    <w:rsid w:val="0025087F"/>
    <w:rsid w:val="0025092B"/>
    <w:rsid w:val="00250D04"/>
    <w:rsid w:val="00250EC5"/>
    <w:rsid w:val="00250F28"/>
    <w:rsid w:val="00251002"/>
    <w:rsid w:val="0025112C"/>
    <w:rsid w:val="002511B5"/>
    <w:rsid w:val="00251289"/>
    <w:rsid w:val="00251317"/>
    <w:rsid w:val="0025143E"/>
    <w:rsid w:val="002515F0"/>
    <w:rsid w:val="0025160F"/>
    <w:rsid w:val="00251627"/>
    <w:rsid w:val="002519B4"/>
    <w:rsid w:val="00251E57"/>
    <w:rsid w:val="00251E65"/>
    <w:rsid w:val="00251FD2"/>
    <w:rsid w:val="00252561"/>
    <w:rsid w:val="0025294A"/>
    <w:rsid w:val="00252C99"/>
    <w:rsid w:val="00252CB7"/>
    <w:rsid w:val="00253024"/>
    <w:rsid w:val="002531A4"/>
    <w:rsid w:val="002531CC"/>
    <w:rsid w:val="00253776"/>
    <w:rsid w:val="0025377F"/>
    <w:rsid w:val="002538EA"/>
    <w:rsid w:val="0025393D"/>
    <w:rsid w:val="00253C2A"/>
    <w:rsid w:val="00253FCC"/>
    <w:rsid w:val="00254387"/>
    <w:rsid w:val="00254774"/>
    <w:rsid w:val="002548BF"/>
    <w:rsid w:val="00254C19"/>
    <w:rsid w:val="0025509C"/>
    <w:rsid w:val="00255309"/>
    <w:rsid w:val="00255336"/>
    <w:rsid w:val="00255450"/>
    <w:rsid w:val="00255482"/>
    <w:rsid w:val="00255658"/>
    <w:rsid w:val="00255AB5"/>
    <w:rsid w:val="00255FF5"/>
    <w:rsid w:val="0025608B"/>
    <w:rsid w:val="002566BC"/>
    <w:rsid w:val="002566F8"/>
    <w:rsid w:val="00256C32"/>
    <w:rsid w:val="00256FF8"/>
    <w:rsid w:val="00257219"/>
    <w:rsid w:val="00257241"/>
    <w:rsid w:val="00257550"/>
    <w:rsid w:val="00257686"/>
    <w:rsid w:val="00257B8A"/>
    <w:rsid w:val="00257DA6"/>
    <w:rsid w:val="00257E26"/>
    <w:rsid w:val="002601A5"/>
    <w:rsid w:val="00260275"/>
    <w:rsid w:val="0026058A"/>
    <w:rsid w:val="002605B3"/>
    <w:rsid w:val="002605EB"/>
    <w:rsid w:val="002605EF"/>
    <w:rsid w:val="00260700"/>
    <w:rsid w:val="002608E8"/>
    <w:rsid w:val="00260F7C"/>
    <w:rsid w:val="002610A1"/>
    <w:rsid w:val="002611A7"/>
    <w:rsid w:val="0026131B"/>
    <w:rsid w:val="0026163C"/>
    <w:rsid w:val="00261674"/>
    <w:rsid w:val="0026185D"/>
    <w:rsid w:val="00261B4D"/>
    <w:rsid w:val="00261CA8"/>
    <w:rsid w:val="00262441"/>
    <w:rsid w:val="002627B8"/>
    <w:rsid w:val="002627CA"/>
    <w:rsid w:val="00262B47"/>
    <w:rsid w:val="00262EE9"/>
    <w:rsid w:val="0026306B"/>
    <w:rsid w:val="00263429"/>
    <w:rsid w:val="00263DDB"/>
    <w:rsid w:val="00263DE0"/>
    <w:rsid w:val="00263E1C"/>
    <w:rsid w:val="0026423C"/>
    <w:rsid w:val="0026449A"/>
    <w:rsid w:val="0026470F"/>
    <w:rsid w:val="00264DCE"/>
    <w:rsid w:val="00264E0F"/>
    <w:rsid w:val="00264F0D"/>
    <w:rsid w:val="00265134"/>
    <w:rsid w:val="00265573"/>
    <w:rsid w:val="002656E0"/>
    <w:rsid w:val="002659D4"/>
    <w:rsid w:val="00265C72"/>
    <w:rsid w:val="00266296"/>
    <w:rsid w:val="002665A1"/>
    <w:rsid w:val="0026678B"/>
    <w:rsid w:val="0026691C"/>
    <w:rsid w:val="00266942"/>
    <w:rsid w:val="0026695F"/>
    <w:rsid w:val="0026696C"/>
    <w:rsid w:val="00266C13"/>
    <w:rsid w:val="00266D03"/>
    <w:rsid w:val="00266D6F"/>
    <w:rsid w:val="00266E57"/>
    <w:rsid w:val="00266E66"/>
    <w:rsid w:val="00266FA8"/>
    <w:rsid w:val="00267147"/>
    <w:rsid w:val="0026734D"/>
    <w:rsid w:val="002675BE"/>
    <w:rsid w:val="00267703"/>
    <w:rsid w:val="00267774"/>
    <w:rsid w:val="002679A8"/>
    <w:rsid w:val="00270373"/>
    <w:rsid w:val="00270805"/>
    <w:rsid w:val="00270831"/>
    <w:rsid w:val="00270A58"/>
    <w:rsid w:val="00270C24"/>
    <w:rsid w:val="00270FE2"/>
    <w:rsid w:val="00271027"/>
    <w:rsid w:val="00271116"/>
    <w:rsid w:val="0027141A"/>
    <w:rsid w:val="0027145E"/>
    <w:rsid w:val="00271C9A"/>
    <w:rsid w:val="00271F19"/>
    <w:rsid w:val="0027206D"/>
    <w:rsid w:val="00272316"/>
    <w:rsid w:val="00272366"/>
    <w:rsid w:val="00272408"/>
    <w:rsid w:val="00272734"/>
    <w:rsid w:val="00272AB0"/>
    <w:rsid w:val="00272C01"/>
    <w:rsid w:val="00272EC1"/>
    <w:rsid w:val="00272FA0"/>
    <w:rsid w:val="00272FFD"/>
    <w:rsid w:val="0027305C"/>
    <w:rsid w:val="00273132"/>
    <w:rsid w:val="00273179"/>
    <w:rsid w:val="002734BB"/>
    <w:rsid w:val="00273616"/>
    <w:rsid w:val="002738C6"/>
    <w:rsid w:val="00273EFC"/>
    <w:rsid w:val="00273F09"/>
    <w:rsid w:val="00273FFF"/>
    <w:rsid w:val="00274137"/>
    <w:rsid w:val="00274508"/>
    <w:rsid w:val="0027473B"/>
    <w:rsid w:val="00274AC4"/>
    <w:rsid w:val="00274B0E"/>
    <w:rsid w:val="00274B69"/>
    <w:rsid w:val="00274EE1"/>
    <w:rsid w:val="00274F3F"/>
    <w:rsid w:val="00274F5C"/>
    <w:rsid w:val="002752E2"/>
    <w:rsid w:val="002753F0"/>
    <w:rsid w:val="00275C05"/>
    <w:rsid w:val="00275EEE"/>
    <w:rsid w:val="00275F2E"/>
    <w:rsid w:val="00276099"/>
    <w:rsid w:val="00276228"/>
    <w:rsid w:val="002764A2"/>
    <w:rsid w:val="002766BD"/>
    <w:rsid w:val="002766DC"/>
    <w:rsid w:val="0027692F"/>
    <w:rsid w:val="00276BA8"/>
    <w:rsid w:val="0027705F"/>
    <w:rsid w:val="002771AD"/>
    <w:rsid w:val="002771AE"/>
    <w:rsid w:val="0027723A"/>
    <w:rsid w:val="00277337"/>
    <w:rsid w:val="00277533"/>
    <w:rsid w:val="0027780A"/>
    <w:rsid w:val="00277847"/>
    <w:rsid w:val="00277883"/>
    <w:rsid w:val="00277A9B"/>
    <w:rsid w:val="00277C69"/>
    <w:rsid w:val="00277E59"/>
    <w:rsid w:val="00277F6B"/>
    <w:rsid w:val="00277F93"/>
    <w:rsid w:val="0028006F"/>
    <w:rsid w:val="002800DD"/>
    <w:rsid w:val="00280786"/>
    <w:rsid w:val="002807E7"/>
    <w:rsid w:val="0028088A"/>
    <w:rsid w:val="0028096D"/>
    <w:rsid w:val="00280C3E"/>
    <w:rsid w:val="00280D01"/>
    <w:rsid w:val="00280E3D"/>
    <w:rsid w:val="00280F18"/>
    <w:rsid w:val="00280FA2"/>
    <w:rsid w:val="002813E0"/>
    <w:rsid w:val="0028189B"/>
    <w:rsid w:val="0028197C"/>
    <w:rsid w:val="00281BEF"/>
    <w:rsid w:val="00281C0B"/>
    <w:rsid w:val="00281C53"/>
    <w:rsid w:val="00281C8F"/>
    <w:rsid w:val="00281D72"/>
    <w:rsid w:val="002820C7"/>
    <w:rsid w:val="00282156"/>
    <w:rsid w:val="00282208"/>
    <w:rsid w:val="00282238"/>
    <w:rsid w:val="00282251"/>
    <w:rsid w:val="00282823"/>
    <w:rsid w:val="00282C4F"/>
    <w:rsid w:val="00282E3C"/>
    <w:rsid w:val="00283349"/>
    <w:rsid w:val="00283615"/>
    <w:rsid w:val="00283628"/>
    <w:rsid w:val="00283A29"/>
    <w:rsid w:val="00283BEE"/>
    <w:rsid w:val="00283C00"/>
    <w:rsid w:val="00283DD5"/>
    <w:rsid w:val="00283E0B"/>
    <w:rsid w:val="00283E5B"/>
    <w:rsid w:val="00284072"/>
    <w:rsid w:val="002842C7"/>
    <w:rsid w:val="00284416"/>
    <w:rsid w:val="00284500"/>
    <w:rsid w:val="00284767"/>
    <w:rsid w:val="00284EF0"/>
    <w:rsid w:val="00285081"/>
    <w:rsid w:val="002851FE"/>
    <w:rsid w:val="002853A3"/>
    <w:rsid w:val="00285583"/>
    <w:rsid w:val="0028569A"/>
    <w:rsid w:val="002858A9"/>
    <w:rsid w:val="002858C3"/>
    <w:rsid w:val="0028592F"/>
    <w:rsid w:val="002859C9"/>
    <w:rsid w:val="00285D90"/>
    <w:rsid w:val="00285E33"/>
    <w:rsid w:val="002864BF"/>
    <w:rsid w:val="002864D7"/>
    <w:rsid w:val="0028658F"/>
    <w:rsid w:val="00286605"/>
    <w:rsid w:val="00286C19"/>
    <w:rsid w:val="00286CF7"/>
    <w:rsid w:val="0028747D"/>
    <w:rsid w:val="0028761C"/>
    <w:rsid w:val="0028762F"/>
    <w:rsid w:val="002879F9"/>
    <w:rsid w:val="00287A5E"/>
    <w:rsid w:val="00290214"/>
    <w:rsid w:val="002903E1"/>
    <w:rsid w:val="00290548"/>
    <w:rsid w:val="00290882"/>
    <w:rsid w:val="002909AB"/>
    <w:rsid w:val="00290E9F"/>
    <w:rsid w:val="00290F23"/>
    <w:rsid w:val="002911AA"/>
    <w:rsid w:val="002911C7"/>
    <w:rsid w:val="00291285"/>
    <w:rsid w:val="002916FD"/>
    <w:rsid w:val="00291C5B"/>
    <w:rsid w:val="00291EC3"/>
    <w:rsid w:val="00291EC8"/>
    <w:rsid w:val="00292373"/>
    <w:rsid w:val="00292386"/>
    <w:rsid w:val="002923EC"/>
    <w:rsid w:val="00292BA7"/>
    <w:rsid w:val="00292CB4"/>
    <w:rsid w:val="00292D1D"/>
    <w:rsid w:val="00292D46"/>
    <w:rsid w:val="00292D97"/>
    <w:rsid w:val="00292F27"/>
    <w:rsid w:val="0029326B"/>
    <w:rsid w:val="002935F3"/>
    <w:rsid w:val="00293677"/>
    <w:rsid w:val="0029379A"/>
    <w:rsid w:val="00293865"/>
    <w:rsid w:val="00293A9A"/>
    <w:rsid w:val="00293DC7"/>
    <w:rsid w:val="00293DD6"/>
    <w:rsid w:val="00294207"/>
    <w:rsid w:val="00294502"/>
    <w:rsid w:val="0029469F"/>
    <w:rsid w:val="00294863"/>
    <w:rsid w:val="002948D3"/>
    <w:rsid w:val="00294ACA"/>
    <w:rsid w:val="00294D24"/>
    <w:rsid w:val="00294D44"/>
    <w:rsid w:val="00294F57"/>
    <w:rsid w:val="00295155"/>
    <w:rsid w:val="00295163"/>
    <w:rsid w:val="002951B8"/>
    <w:rsid w:val="002951F7"/>
    <w:rsid w:val="00295285"/>
    <w:rsid w:val="00295686"/>
    <w:rsid w:val="0029596B"/>
    <w:rsid w:val="00295AA5"/>
    <w:rsid w:val="00295FDB"/>
    <w:rsid w:val="002960E7"/>
    <w:rsid w:val="0029613E"/>
    <w:rsid w:val="002962EA"/>
    <w:rsid w:val="00296392"/>
    <w:rsid w:val="002965F8"/>
    <w:rsid w:val="0029678F"/>
    <w:rsid w:val="00296974"/>
    <w:rsid w:val="00296CD6"/>
    <w:rsid w:val="00296EBC"/>
    <w:rsid w:val="00297776"/>
    <w:rsid w:val="002978A7"/>
    <w:rsid w:val="00297C4F"/>
    <w:rsid w:val="00297CBF"/>
    <w:rsid w:val="00297CEE"/>
    <w:rsid w:val="00297FA2"/>
    <w:rsid w:val="002A0017"/>
    <w:rsid w:val="002A024E"/>
    <w:rsid w:val="002A05C4"/>
    <w:rsid w:val="002A07E7"/>
    <w:rsid w:val="002A0A5B"/>
    <w:rsid w:val="002A0A65"/>
    <w:rsid w:val="002A0CC8"/>
    <w:rsid w:val="002A0D65"/>
    <w:rsid w:val="002A0E7A"/>
    <w:rsid w:val="002A0F98"/>
    <w:rsid w:val="002A0FE3"/>
    <w:rsid w:val="002A1146"/>
    <w:rsid w:val="002A1291"/>
    <w:rsid w:val="002A139B"/>
    <w:rsid w:val="002A155B"/>
    <w:rsid w:val="002A16C6"/>
    <w:rsid w:val="002A1AB3"/>
    <w:rsid w:val="002A1B87"/>
    <w:rsid w:val="002A1BEA"/>
    <w:rsid w:val="002A1D2F"/>
    <w:rsid w:val="002A1FBD"/>
    <w:rsid w:val="002A21AB"/>
    <w:rsid w:val="002A2500"/>
    <w:rsid w:val="002A27BA"/>
    <w:rsid w:val="002A29A9"/>
    <w:rsid w:val="002A2BAE"/>
    <w:rsid w:val="002A2DCC"/>
    <w:rsid w:val="002A30BE"/>
    <w:rsid w:val="002A30D9"/>
    <w:rsid w:val="002A316E"/>
    <w:rsid w:val="002A32C6"/>
    <w:rsid w:val="002A335D"/>
    <w:rsid w:val="002A3678"/>
    <w:rsid w:val="002A3950"/>
    <w:rsid w:val="002A3F6D"/>
    <w:rsid w:val="002A40FF"/>
    <w:rsid w:val="002A41C6"/>
    <w:rsid w:val="002A4496"/>
    <w:rsid w:val="002A4803"/>
    <w:rsid w:val="002A482C"/>
    <w:rsid w:val="002A4ED7"/>
    <w:rsid w:val="002A52D8"/>
    <w:rsid w:val="002A532B"/>
    <w:rsid w:val="002A5334"/>
    <w:rsid w:val="002A552E"/>
    <w:rsid w:val="002A5697"/>
    <w:rsid w:val="002A5C3F"/>
    <w:rsid w:val="002A5C44"/>
    <w:rsid w:val="002A62B9"/>
    <w:rsid w:val="002A62DE"/>
    <w:rsid w:val="002A652B"/>
    <w:rsid w:val="002A6B12"/>
    <w:rsid w:val="002A6C71"/>
    <w:rsid w:val="002A6CF8"/>
    <w:rsid w:val="002A6E4C"/>
    <w:rsid w:val="002A701D"/>
    <w:rsid w:val="002A7224"/>
    <w:rsid w:val="002A722B"/>
    <w:rsid w:val="002A729C"/>
    <w:rsid w:val="002A7306"/>
    <w:rsid w:val="002A7320"/>
    <w:rsid w:val="002A740E"/>
    <w:rsid w:val="002A752F"/>
    <w:rsid w:val="002A77DA"/>
    <w:rsid w:val="002A79E6"/>
    <w:rsid w:val="002A7E2E"/>
    <w:rsid w:val="002A7FD4"/>
    <w:rsid w:val="002B00CD"/>
    <w:rsid w:val="002B00E0"/>
    <w:rsid w:val="002B03DB"/>
    <w:rsid w:val="002B0441"/>
    <w:rsid w:val="002B0635"/>
    <w:rsid w:val="002B0674"/>
    <w:rsid w:val="002B089B"/>
    <w:rsid w:val="002B09E8"/>
    <w:rsid w:val="002B0E05"/>
    <w:rsid w:val="002B0E8A"/>
    <w:rsid w:val="002B187C"/>
    <w:rsid w:val="002B1C92"/>
    <w:rsid w:val="002B21F5"/>
    <w:rsid w:val="002B22A0"/>
    <w:rsid w:val="002B2762"/>
    <w:rsid w:val="002B28A7"/>
    <w:rsid w:val="002B2B74"/>
    <w:rsid w:val="002B2D51"/>
    <w:rsid w:val="002B2F89"/>
    <w:rsid w:val="002B348C"/>
    <w:rsid w:val="002B34D7"/>
    <w:rsid w:val="002B35EB"/>
    <w:rsid w:val="002B368E"/>
    <w:rsid w:val="002B374D"/>
    <w:rsid w:val="002B391D"/>
    <w:rsid w:val="002B39E0"/>
    <w:rsid w:val="002B3D39"/>
    <w:rsid w:val="002B3F66"/>
    <w:rsid w:val="002B40C3"/>
    <w:rsid w:val="002B42EC"/>
    <w:rsid w:val="002B438B"/>
    <w:rsid w:val="002B48F3"/>
    <w:rsid w:val="002B4956"/>
    <w:rsid w:val="002B4AFE"/>
    <w:rsid w:val="002B4BC8"/>
    <w:rsid w:val="002B4CD3"/>
    <w:rsid w:val="002B50AC"/>
    <w:rsid w:val="002B540A"/>
    <w:rsid w:val="002B5686"/>
    <w:rsid w:val="002B59DA"/>
    <w:rsid w:val="002B6303"/>
    <w:rsid w:val="002B643D"/>
    <w:rsid w:val="002B664A"/>
    <w:rsid w:val="002B69D2"/>
    <w:rsid w:val="002B6A04"/>
    <w:rsid w:val="002B6B4B"/>
    <w:rsid w:val="002B6B57"/>
    <w:rsid w:val="002B72B9"/>
    <w:rsid w:val="002B7363"/>
    <w:rsid w:val="002B744D"/>
    <w:rsid w:val="002B7674"/>
    <w:rsid w:val="002B7830"/>
    <w:rsid w:val="002B78C7"/>
    <w:rsid w:val="002B7920"/>
    <w:rsid w:val="002B7946"/>
    <w:rsid w:val="002B7AAA"/>
    <w:rsid w:val="002B7C1C"/>
    <w:rsid w:val="002B7FC6"/>
    <w:rsid w:val="002C008D"/>
    <w:rsid w:val="002C03B9"/>
    <w:rsid w:val="002C067A"/>
    <w:rsid w:val="002C0A35"/>
    <w:rsid w:val="002C0D99"/>
    <w:rsid w:val="002C0F5E"/>
    <w:rsid w:val="002C1198"/>
    <w:rsid w:val="002C14B0"/>
    <w:rsid w:val="002C1C38"/>
    <w:rsid w:val="002C1D63"/>
    <w:rsid w:val="002C2004"/>
    <w:rsid w:val="002C206C"/>
    <w:rsid w:val="002C22AA"/>
    <w:rsid w:val="002C268D"/>
    <w:rsid w:val="002C26B1"/>
    <w:rsid w:val="002C29DC"/>
    <w:rsid w:val="002C2DD3"/>
    <w:rsid w:val="002C2ED5"/>
    <w:rsid w:val="002C2F26"/>
    <w:rsid w:val="002C2FD0"/>
    <w:rsid w:val="002C30AB"/>
    <w:rsid w:val="002C31D3"/>
    <w:rsid w:val="002C32CC"/>
    <w:rsid w:val="002C32D2"/>
    <w:rsid w:val="002C3321"/>
    <w:rsid w:val="002C352E"/>
    <w:rsid w:val="002C3665"/>
    <w:rsid w:val="002C37AD"/>
    <w:rsid w:val="002C3D17"/>
    <w:rsid w:val="002C4258"/>
    <w:rsid w:val="002C4362"/>
    <w:rsid w:val="002C43D2"/>
    <w:rsid w:val="002C45E3"/>
    <w:rsid w:val="002C4A87"/>
    <w:rsid w:val="002C4CA4"/>
    <w:rsid w:val="002C4E15"/>
    <w:rsid w:val="002C4F1C"/>
    <w:rsid w:val="002C51F0"/>
    <w:rsid w:val="002C52F5"/>
    <w:rsid w:val="002C59FF"/>
    <w:rsid w:val="002C5DB8"/>
    <w:rsid w:val="002C62FB"/>
    <w:rsid w:val="002C63C6"/>
    <w:rsid w:val="002C643D"/>
    <w:rsid w:val="002C6457"/>
    <w:rsid w:val="002C6700"/>
    <w:rsid w:val="002C6887"/>
    <w:rsid w:val="002C6EA2"/>
    <w:rsid w:val="002C729D"/>
    <w:rsid w:val="002C73EC"/>
    <w:rsid w:val="002C76BC"/>
    <w:rsid w:val="002C77D0"/>
    <w:rsid w:val="002C7D97"/>
    <w:rsid w:val="002C7FFD"/>
    <w:rsid w:val="002D0943"/>
    <w:rsid w:val="002D0A82"/>
    <w:rsid w:val="002D0ACC"/>
    <w:rsid w:val="002D0C0B"/>
    <w:rsid w:val="002D12C7"/>
    <w:rsid w:val="002D19EA"/>
    <w:rsid w:val="002D1B72"/>
    <w:rsid w:val="002D1C40"/>
    <w:rsid w:val="002D1E92"/>
    <w:rsid w:val="002D2037"/>
    <w:rsid w:val="002D28E4"/>
    <w:rsid w:val="002D29BF"/>
    <w:rsid w:val="002D2AFB"/>
    <w:rsid w:val="002D2DA4"/>
    <w:rsid w:val="002D34CF"/>
    <w:rsid w:val="002D3549"/>
    <w:rsid w:val="002D3E80"/>
    <w:rsid w:val="002D4237"/>
    <w:rsid w:val="002D43FE"/>
    <w:rsid w:val="002D4BC8"/>
    <w:rsid w:val="002D4C8A"/>
    <w:rsid w:val="002D4DFB"/>
    <w:rsid w:val="002D526C"/>
    <w:rsid w:val="002D5582"/>
    <w:rsid w:val="002D5F08"/>
    <w:rsid w:val="002D5F6A"/>
    <w:rsid w:val="002D60FD"/>
    <w:rsid w:val="002D6180"/>
    <w:rsid w:val="002D6481"/>
    <w:rsid w:val="002D6517"/>
    <w:rsid w:val="002D6CE8"/>
    <w:rsid w:val="002D6D2E"/>
    <w:rsid w:val="002D6F48"/>
    <w:rsid w:val="002D6FE1"/>
    <w:rsid w:val="002D7612"/>
    <w:rsid w:val="002D7622"/>
    <w:rsid w:val="002D7A57"/>
    <w:rsid w:val="002D7B84"/>
    <w:rsid w:val="002D7E29"/>
    <w:rsid w:val="002D7EB4"/>
    <w:rsid w:val="002E020E"/>
    <w:rsid w:val="002E0311"/>
    <w:rsid w:val="002E0416"/>
    <w:rsid w:val="002E0537"/>
    <w:rsid w:val="002E0555"/>
    <w:rsid w:val="002E09BC"/>
    <w:rsid w:val="002E0A91"/>
    <w:rsid w:val="002E0D0B"/>
    <w:rsid w:val="002E1572"/>
    <w:rsid w:val="002E1637"/>
    <w:rsid w:val="002E182A"/>
    <w:rsid w:val="002E18E7"/>
    <w:rsid w:val="002E22F3"/>
    <w:rsid w:val="002E2535"/>
    <w:rsid w:val="002E2B03"/>
    <w:rsid w:val="002E2B3C"/>
    <w:rsid w:val="002E2D08"/>
    <w:rsid w:val="002E2DC8"/>
    <w:rsid w:val="002E2E0E"/>
    <w:rsid w:val="002E2E4A"/>
    <w:rsid w:val="002E3098"/>
    <w:rsid w:val="002E3411"/>
    <w:rsid w:val="002E35CD"/>
    <w:rsid w:val="002E3600"/>
    <w:rsid w:val="002E3653"/>
    <w:rsid w:val="002E37B6"/>
    <w:rsid w:val="002E3890"/>
    <w:rsid w:val="002E391C"/>
    <w:rsid w:val="002E394E"/>
    <w:rsid w:val="002E3AFD"/>
    <w:rsid w:val="002E3E43"/>
    <w:rsid w:val="002E3EEA"/>
    <w:rsid w:val="002E410B"/>
    <w:rsid w:val="002E42DB"/>
    <w:rsid w:val="002E4602"/>
    <w:rsid w:val="002E4768"/>
    <w:rsid w:val="002E4CEF"/>
    <w:rsid w:val="002E575B"/>
    <w:rsid w:val="002E59E2"/>
    <w:rsid w:val="002E5D59"/>
    <w:rsid w:val="002E5FBB"/>
    <w:rsid w:val="002E607F"/>
    <w:rsid w:val="002E60BE"/>
    <w:rsid w:val="002E6A43"/>
    <w:rsid w:val="002E6B9C"/>
    <w:rsid w:val="002E6F10"/>
    <w:rsid w:val="002E6F19"/>
    <w:rsid w:val="002E7008"/>
    <w:rsid w:val="002E7377"/>
    <w:rsid w:val="002E740B"/>
    <w:rsid w:val="002E74DF"/>
    <w:rsid w:val="002E75DA"/>
    <w:rsid w:val="002E79A5"/>
    <w:rsid w:val="002E7BAF"/>
    <w:rsid w:val="002E7D06"/>
    <w:rsid w:val="002E7E6A"/>
    <w:rsid w:val="002F085B"/>
    <w:rsid w:val="002F08CB"/>
    <w:rsid w:val="002F0CD2"/>
    <w:rsid w:val="002F0DB1"/>
    <w:rsid w:val="002F0FC1"/>
    <w:rsid w:val="002F12ED"/>
    <w:rsid w:val="002F1597"/>
    <w:rsid w:val="002F16BC"/>
    <w:rsid w:val="002F19F8"/>
    <w:rsid w:val="002F1A7A"/>
    <w:rsid w:val="002F20A1"/>
    <w:rsid w:val="002F2299"/>
    <w:rsid w:val="002F2487"/>
    <w:rsid w:val="002F25AD"/>
    <w:rsid w:val="002F264E"/>
    <w:rsid w:val="002F2775"/>
    <w:rsid w:val="002F27B5"/>
    <w:rsid w:val="002F292B"/>
    <w:rsid w:val="002F298F"/>
    <w:rsid w:val="002F2ADF"/>
    <w:rsid w:val="002F2CAA"/>
    <w:rsid w:val="002F2E95"/>
    <w:rsid w:val="002F3069"/>
    <w:rsid w:val="002F30EE"/>
    <w:rsid w:val="002F3159"/>
    <w:rsid w:val="002F3677"/>
    <w:rsid w:val="002F3B6A"/>
    <w:rsid w:val="002F3C0D"/>
    <w:rsid w:val="002F3DD0"/>
    <w:rsid w:val="002F410C"/>
    <w:rsid w:val="002F468F"/>
    <w:rsid w:val="002F4C62"/>
    <w:rsid w:val="002F5231"/>
    <w:rsid w:val="002F5735"/>
    <w:rsid w:val="002F5A69"/>
    <w:rsid w:val="002F5B57"/>
    <w:rsid w:val="002F5DC8"/>
    <w:rsid w:val="002F5FC1"/>
    <w:rsid w:val="002F604F"/>
    <w:rsid w:val="002F6130"/>
    <w:rsid w:val="002F653A"/>
    <w:rsid w:val="002F65D1"/>
    <w:rsid w:val="002F65F1"/>
    <w:rsid w:val="002F681D"/>
    <w:rsid w:val="002F6B06"/>
    <w:rsid w:val="002F6C45"/>
    <w:rsid w:val="002F6DE8"/>
    <w:rsid w:val="002F725F"/>
    <w:rsid w:val="002F7510"/>
    <w:rsid w:val="002F757F"/>
    <w:rsid w:val="002F75C3"/>
    <w:rsid w:val="002F76AF"/>
    <w:rsid w:val="002F76CB"/>
    <w:rsid w:val="002F7823"/>
    <w:rsid w:val="002F78A8"/>
    <w:rsid w:val="002F7AAB"/>
    <w:rsid w:val="002F7B7A"/>
    <w:rsid w:val="002F7B8E"/>
    <w:rsid w:val="002F7DCC"/>
    <w:rsid w:val="002F7EFB"/>
    <w:rsid w:val="003000B3"/>
    <w:rsid w:val="003001AE"/>
    <w:rsid w:val="00300204"/>
    <w:rsid w:val="003006DD"/>
    <w:rsid w:val="0030073A"/>
    <w:rsid w:val="003008C9"/>
    <w:rsid w:val="0030094C"/>
    <w:rsid w:val="003009E5"/>
    <w:rsid w:val="003009EA"/>
    <w:rsid w:val="00300BB0"/>
    <w:rsid w:val="00300C86"/>
    <w:rsid w:val="00300F02"/>
    <w:rsid w:val="003016EC"/>
    <w:rsid w:val="00301846"/>
    <w:rsid w:val="0030197E"/>
    <w:rsid w:val="003020C2"/>
    <w:rsid w:val="0030216F"/>
    <w:rsid w:val="003022EF"/>
    <w:rsid w:val="00302432"/>
    <w:rsid w:val="00302446"/>
    <w:rsid w:val="00302833"/>
    <w:rsid w:val="00302B68"/>
    <w:rsid w:val="00302BC4"/>
    <w:rsid w:val="00302CBD"/>
    <w:rsid w:val="00302DD4"/>
    <w:rsid w:val="003030AE"/>
    <w:rsid w:val="003030D3"/>
    <w:rsid w:val="003032F1"/>
    <w:rsid w:val="0030340D"/>
    <w:rsid w:val="003036EE"/>
    <w:rsid w:val="00303726"/>
    <w:rsid w:val="00303897"/>
    <w:rsid w:val="00303CBF"/>
    <w:rsid w:val="00303D82"/>
    <w:rsid w:val="00303E1F"/>
    <w:rsid w:val="003041F2"/>
    <w:rsid w:val="00304265"/>
    <w:rsid w:val="0030430B"/>
    <w:rsid w:val="003043C1"/>
    <w:rsid w:val="003044A3"/>
    <w:rsid w:val="003044E5"/>
    <w:rsid w:val="0030454F"/>
    <w:rsid w:val="00304582"/>
    <w:rsid w:val="00304833"/>
    <w:rsid w:val="0030484E"/>
    <w:rsid w:val="00304A4A"/>
    <w:rsid w:val="00304F42"/>
    <w:rsid w:val="003051D5"/>
    <w:rsid w:val="003051F2"/>
    <w:rsid w:val="003052AC"/>
    <w:rsid w:val="003053DA"/>
    <w:rsid w:val="003053F7"/>
    <w:rsid w:val="0030549E"/>
    <w:rsid w:val="0030568E"/>
    <w:rsid w:val="00305699"/>
    <w:rsid w:val="0030576C"/>
    <w:rsid w:val="00305B68"/>
    <w:rsid w:val="00305E45"/>
    <w:rsid w:val="00305E85"/>
    <w:rsid w:val="00306479"/>
    <w:rsid w:val="003067CB"/>
    <w:rsid w:val="00306873"/>
    <w:rsid w:val="003068E5"/>
    <w:rsid w:val="003069BA"/>
    <w:rsid w:val="00306A12"/>
    <w:rsid w:val="00306A95"/>
    <w:rsid w:val="00306D81"/>
    <w:rsid w:val="00306FE5"/>
    <w:rsid w:val="003072C2"/>
    <w:rsid w:val="0030731E"/>
    <w:rsid w:val="0030733F"/>
    <w:rsid w:val="00307456"/>
    <w:rsid w:val="003075BC"/>
    <w:rsid w:val="0030787B"/>
    <w:rsid w:val="0030794F"/>
    <w:rsid w:val="00307CC3"/>
    <w:rsid w:val="00307FF7"/>
    <w:rsid w:val="0031022F"/>
    <w:rsid w:val="003106F9"/>
    <w:rsid w:val="003108F6"/>
    <w:rsid w:val="00310952"/>
    <w:rsid w:val="00310BE6"/>
    <w:rsid w:val="003114B4"/>
    <w:rsid w:val="003115D2"/>
    <w:rsid w:val="003115E4"/>
    <w:rsid w:val="00311996"/>
    <w:rsid w:val="00311CF1"/>
    <w:rsid w:val="00311EE7"/>
    <w:rsid w:val="00311EFB"/>
    <w:rsid w:val="00312299"/>
    <w:rsid w:val="0031275B"/>
    <w:rsid w:val="00312C95"/>
    <w:rsid w:val="00313038"/>
    <w:rsid w:val="00313074"/>
    <w:rsid w:val="003130AD"/>
    <w:rsid w:val="00313868"/>
    <w:rsid w:val="00313AA1"/>
    <w:rsid w:val="00313C17"/>
    <w:rsid w:val="00313D12"/>
    <w:rsid w:val="00313D7A"/>
    <w:rsid w:val="00313EEC"/>
    <w:rsid w:val="00313FBA"/>
    <w:rsid w:val="00314070"/>
    <w:rsid w:val="0031447F"/>
    <w:rsid w:val="003144C1"/>
    <w:rsid w:val="003146DB"/>
    <w:rsid w:val="003147EC"/>
    <w:rsid w:val="00314B2E"/>
    <w:rsid w:val="00314BF7"/>
    <w:rsid w:val="00314E17"/>
    <w:rsid w:val="00314FA6"/>
    <w:rsid w:val="0031513E"/>
    <w:rsid w:val="0031522E"/>
    <w:rsid w:val="00315310"/>
    <w:rsid w:val="00315644"/>
    <w:rsid w:val="003161BC"/>
    <w:rsid w:val="003161E7"/>
    <w:rsid w:val="003162E7"/>
    <w:rsid w:val="00316447"/>
    <w:rsid w:val="00316868"/>
    <w:rsid w:val="00316BEC"/>
    <w:rsid w:val="00317110"/>
    <w:rsid w:val="0031754E"/>
    <w:rsid w:val="00317A0D"/>
    <w:rsid w:val="00317B66"/>
    <w:rsid w:val="00317F17"/>
    <w:rsid w:val="00320301"/>
    <w:rsid w:val="0032046A"/>
    <w:rsid w:val="0032049F"/>
    <w:rsid w:val="003204FD"/>
    <w:rsid w:val="003208D8"/>
    <w:rsid w:val="00320961"/>
    <w:rsid w:val="003209E2"/>
    <w:rsid w:val="00320B58"/>
    <w:rsid w:val="0032100E"/>
    <w:rsid w:val="00321331"/>
    <w:rsid w:val="00321422"/>
    <w:rsid w:val="003214A5"/>
    <w:rsid w:val="003217C9"/>
    <w:rsid w:val="00321A1C"/>
    <w:rsid w:val="00321BEE"/>
    <w:rsid w:val="00321CA2"/>
    <w:rsid w:val="00321CCD"/>
    <w:rsid w:val="00321E10"/>
    <w:rsid w:val="00321F0C"/>
    <w:rsid w:val="00321FA6"/>
    <w:rsid w:val="003221BE"/>
    <w:rsid w:val="00322377"/>
    <w:rsid w:val="00322659"/>
    <w:rsid w:val="00322BEE"/>
    <w:rsid w:val="0032302A"/>
    <w:rsid w:val="00323360"/>
    <w:rsid w:val="003236CC"/>
    <w:rsid w:val="00323713"/>
    <w:rsid w:val="003238EA"/>
    <w:rsid w:val="0032392C"/>
    <w:rsid w:val="00323A22"/>
    <w:rsid w:val="00323AC8"/>
    <w:rsid w:val="00323BB2"/>
    <w:rsid w:val="00323EAC"/>
    <w:rsid w:val="00323EFF"/>
    <w:rsid w:val="0032415B"/>
    <w:rsid w:val="0032437F"/>
    <w:rsid w:val="00324823"/>
    <w:rsid w:val="00324A5D"/>
    <w:rsid w:val="003254F9"/>
    <w:rsid w:val="00325757"/>
    <w:rsid w:val="00325D80"/>
    <w:rsid w:val="00326283"/>
    <w:rsid w:val="00326531"/>
    <w:rsid w:val="0032659F"/>
    <w:rsid w:val="00326682"/>
    <w:rsid w:val="003269E9"/>
    <w:rsid w:val="0032715B"/>
    <w:rsid w:val="00327229"/>
    <w:rsid w:val="00327722"/>
    <w:rsid w:val="00327828"/>
    <w:rsid w:val="00327851"/>
    <w:rsid w:val="00327859"/>
    <w:rsid w:val="0032788F"/>
    <w:rsid w:val="00327EBB"/>
    <w:rsid w:val="003302F5"/>
    <w:rsid w:val="0033053E"/>
    <w:rsid w:val="0033070C"/>
    <w:rsid w:val="003309DF"/>
    <w:rsid w:val="00330BBD"/>
    <w:rsid w:val="00330FB0"/>
    <w:rsid w:val="00330FB6"/>
    <w:rsid w:val="00330FDA"/>
    <w:rsid w:val="0033117E"/>
    <w:rsid w:val="003311F4"/>
    <w:rsid w:val="003315BC"/>
    <w:rsid w:val="00331972"/>
    <w:rsid w:val="00331C77"/>
    <w:rsid w:val="00331E8C"/>
    <w:rsid w:val="003321CC"/>
    <w:rsid w:val="0033222F"/>
    <w:rsid w:val="003322CB"/>
    <w:rsid w:val="003324C5"/>
    <w:rsid w:val="003324F3"/>
    <w:rsid w:val="00332653"/>
    <w:rsid w:val="00332663"/>
    <w:rsid w:val="00332AEF"/>
    <w:rsid w:val="00332B7F"/>
    <w:rsid w:val="00332C78"/>
    <w:rsid w:val="00332D70"/>
    <w:rsid w:val="003330E3"/>
    <w:rsid w:val="003331C8"/>
    <w:rsid w:val="00333776"/>
    <w:rsid w:val="0033379E"/>
    <w:rsid w:val="00333AA9"/>
    <w:rsid w:val="00333BFD"/>
    <w:rsid w:val="00333D8D"/>
    <w:rsid w:val="00333E92"/>
    <w:rsid w:val="00334440"/>
    <w:rsid w:val="0033457E"/>
    <w:rsid w:val="00334684"/>
    <w:rsid w:val="003346AE"/>
    <w:rsid w:val="00334AD2"/>
    <w:rsid w:val="00334B51"/>
    <w:rsid w:val="00334CF3"/>
    <w:rsid w:val="00334E2F"/>
    <w:rsid w:val="00334E3A"/>
    <w:rsid w:val="00334F49"/>
    <w:rsid w:val="00334FA2"/>
    <w:rsid w:val="00334FAB"/>
    <w:rsid w:val="0033547C"/>
    <w:rsid w:val="003354A3"/>
    <w:rsid w:val="003356EB"/>
    <w:rsid w:val="00335724"/>
    <w:rsid w:val="00335DA9"/>
    <w:rsid w:val="00336062"/>
    <w:rsid w:val="00336146"/>
    <w:rsid w:val="00336212"/>
    <w:rsid w:val="00336E49"/>
    <w:rsid w:val="00336EB8"/>
    <w:rsid w:val="0033732E"/>
    <w:rsid w:val="00337499"/>
    <w:rsid w:val="003375B5"/>
    <w:rsid w:val="0033768B"/>
    <w:rsid w:val="003376E2"/>
    <w:rsid w:val="00337A35"/>
    <w:rsid w:val="00337D0F"/>
    <w:rsid w:val="00337F59"/>
    <w:rsid w:val="003400D9"/>
    <w:rsid w:val="00340242"/>
    <w:rsid w:val="0034079C"/>
    <w:rsid w:val="003409B1"/>
    <w:rsid w:val="00340F01"/>
    <w:rsid w:val="00340F76"/>
    <w:rsid w:val="003410BB"/>
    <w:rsid w:val="003410EE"/>
    <w:rsid w:val="00341120"/>
    <w:rsid w:val="003412AE"/>
    <w:rsid w:val="00341478"/>
    <w:rsid w:val="00341751"/>
    <w:rsid w:val="0034199F"/>
    <w:rsid w:val="00341B65"/>
    <w:rsid w:val="00341D92"/>
    <w:rsid w:val="00342131"/>
    <w:rsid w:val="003422D1"/>
    <w:rsid w:val="0034238D"/>
    <w:rsid w:val="00342469"/>
    <w:rsid w:val="0034259D"/>
    <w:rsid w:val="00342618"/>
    <w:rsid w:val="00342645"/>
    <w:rsid w:val="00342808"/>
    <w:rsid w:val="00342D5A"/>
    <w:rsid w:val="00342D7B"/>
    <w:rsid w:val="00342E76"/>
    <w:rsid w:val="00342FD8"/>
    <w:rsid w:val="003432FF"/>
    <w:rsid w:val="00343461"/>
    <w:rsid w:val="003434C6"/>
    <w:rsid w:val="00343537"/>
    <w:rsid w:val="003436AA"/>
    <w:rsid w:val="00343A28"/>
    <w:rsid w:val="00343C28"/>
    <w:rsid w:val="0034418D"/>
    <w:rsid w:val="003445D8"/>
    <w:rsid w:val="003447BB"/>
    <w:rsid w:val="003449C8"/>
    <w:rsid w:val="00344B76"/>
    <w:rsid w:val="00344E17"/>
    <w:rsid w:val="00344FB9"/>
    <w:rsid w:val="0034506E"/>
    <w:rsid w:val="00345167"/>
    <w:rsid w:val="003452A7"/>
    <w:rsid w:val="003453A3"/>
    <w:rsid w:val="0034540A"/>
    <w:rsid w:val="0034553F"/>
    <w:rsid w:val="0034559B"/>
    <w:rsid w:val="00345666"/>
    <w:rsid w:val="0034574B"/>
    <w:rsid w:val="00345A6E"/>
    <w:rsid w:val="00345BD1"/>
    <w:rsid w:val="00345D51"/>
    <w:rsid w:val="00345F41"/>
    <w:rsid w:val="0034687F"/>
    <w:rsid w:val="003469B9"/>
    <w:rsid w:val="00346A65"/>
    <w:rsid w:val="00346E93"/>
    <w:rsid w:val="00346E96"/>
    <w:rsid w:val="003473C4"/>
    <w:rsid w:val="003473F0"/>
    <w:rsid w:val="00347612"/>
    <w:rsid w:val="00347A0D"/>
    <w:rsid w:val="00347DB7"/>
    <w:rsid w:val="00347FC6"/>
    <w:rsid w:val="003501FE"/>
    <w:rsid w:val="0035048B"/>
    <w:rsid w:val="00350631"/>
    <w:rsid w:val="00350DF9"/>
    <w:rsid w:val="00350E5E"/>
    <w:rsid w:val="003511A2"/>
    <w:rsid w:val="003511DB"/>
    <w:rsid w:val="0035126F"/>
    <w:rsid w:val="003514A2"/>
    <w:rsid w:val="00351674"/>
    <w:rsid w:val="00351AF7"/>
    <w:rsid w:val="00351CBB"/>
    <w:rsid w:val="00351E07"/>
    <w:rsid w:val="00352007"/>
    <w:rsid w:val="00352361"/>
    <w:rsid w:val="00352395"/>
    <w:rsid w:val="0035273F"/>
    <w:rsid w:val="0035275E"/>
    <w:rsid w:val="00352934"/>
    <w:rsid w:val="00352A33"/>
    <w:rsid w:val="00352A89"/>
    <w:rsid w:val="00352E10"/>
    <w:rsid w:val="003530F0"/>
    <w:rsid w:val="0035330E"/>
    <w:rsid w:val="00353377"/>
    <w:rsid w:val="003537AC"/>
    <w:rsid w:val="00353B20"/>
    <w:rsid w:val="00353C8C"/>
    <w:rsid w:val="00353D59"/>
    <w:rsid w:val="00353DD0"/>
    <w:rsid w:val="00353ED3"/>
    <w:rsid w:val="00354048"/>
    <w:rsid w:val="003543DE"/>
    <w:rsid w:val="0035448C"/>
    <w:rsid w:val="003546C3"/>
    <w:rsid w:val="00354B4F"/>
    <w:rsid w:val="00354F56"/>
    <w:rsid w:val="0035523C"/>
    <w:rsid w:val="0035572E"/>
    <w:rsid w:val="0035587A"/>
    <w:rsid w:val="00355FC5"/>
    <w:rsid w:val="00355FCB"/>
    <w:rsid w:val="00355FF6"/>
    <w:rsid w:val="003560C7"/>
    <w:rsid w:val="0035613A"/>
    <w:rsid w:val="0035620F"/>
    <w:rsid w:val="003568EA"/>
    <w:rsid w:val="003569B6"/>
    <w:rsid w:val="00356B6F"/>
    <w:rsid w:val="00356F6B"/>
    <w:rsid w:val="00357183"/>
    <w:rsid w:val="003573BC"/>
    <w:rsid w:val="00357482"/>
    <w:rsid w:val="00357488"/>
    <w:rsid w:val="003575F4"/>
    <w:rsid w:val="0035773E"/>
    <w:rsid w:val="003577E3"/>
    <w:rsid w:val="0035780A"/>
    <w:rsid w:val="0035797A"/>
    <w:rsid w:val="00357A44"/>
    <w:rsid w:val="00357A97"/>
    <w:rsid w:val="00357AD4"/>
    <w:rsid w:val="00357E10"/>
    <w:rsid w:val="00360288"/>
    <w:rsid w:val="00360395"/>
    <w:rsid w:val="00360BE4"/>
    <w:rsid w:val="00360C13"/>
    <w:rsid w:val="00360D22"/>
    <w:rsid w:val="00360E6A"/>
    <w:rsid w:val="003610D6"/>
    <w:rsid w:val="0036118F"/>
    <w:rsid w:val="00361196"/>
    <w:rsid w:val="0036123E"/>
    <w:rsid w:val="00361679"/>
    <w:rsid w:val="00361805"/>
    <w:rsid w:val="00361879"/>
    <w:rsid w:val="00361DC9"/>
    <w:rsid w:val="00362053"/>
    <w:rsid w:val="003620A9"/>
    <w:rsid w:val="003622DC"/>
    <w:rsid w:val="003624DF"/>
    <w:rsid w:val="003625A7"/>
    <w:rsid w:val="0036270A"/>
    <w:rsid w:val="00362721"/>
    <w:rsid w:val="00362793"/>
    <w:rsid w:val="00362A18"/>
    <w:rsid w:val="00362DB5"/>
    <w:rsid w:val="003630E5"/>
    <w:rsid w:val="00363488"/>
    <w:rsid w:val="003634B6"/>
    <w:rsid w:val="0036355A"/>
    <w:rsid w:val="0036358D"/>
    <w:rsid w:val="003636E8"/>
    <w:rsid w:val="0036382A"/>
    <w:rsid w:val="00363D9A"/>
    <w:rsid w:val="00363E9D"/>
    <w:rsid w:val="00363FF0"/>
    <w:rsid w:val="00364097"/>
    <w:rsid w:val="003640B5"/>
    <w:rsid w:val="003642DA"/>
    <w:rsid w:val="0036451E"/>
    <w:rsid w:val="00364657"/>
    <w:rsid w:val="00364776"/>
    <w:rsid w:val="00364805"/>
    <w:rsid w:val="00364A4E"/>
    <w:rsid w:val="00364A5A"/>
    <w:rsid w:val="00364E19"/>
    <w:rsid w:val="00365086"/>
    <w:rsid w:val="00365190"/>
    <w:rsid w:val="00365FB1"/>
    <w:rsid w:val="00366699"/>
    <w:rsid w:val="00366812"/>
    <w:rsid w:val="00366837"/>
    <w:rsid w:val="00366A6B"/>
    <w:rsid w:val="00366E3C"/>
    <w:rsid w:val="00367219"/>
    <w:rsid w:val="00367649"/>
    <w:rsid w:val="00367814"/>
    <w:rsid w:val="0036786A"/>
    <w:rsid w:val="003678B6"/>
    <w:rsid w:val="003679EB"/>
    <w:rsid w:val="00367C2F"/>
    <w:rsid w:val="00367E4C"/>
    <w:rsid w:val="00367F4B"/>
    <w:rsid w:val="00367FB9"/>
    <w:rsid w:val="003703B4"/>
    <w:rsid w:val="00370589"/>
    <w:rsid w:val="00370638"/>
    <w:rsid w:val="00370641"/>
    <w:rsid w:val="00370E15"/>
    <w:rsid w:val="00370ED4"/>
    <w:rsid w:val="00370EFC"/>
    <w:rsid w:val="00371AAA"/>
    <w:rsid w:val="00371D46"/>
    <w:rsid w:val="00371D47"/>
    <w:rsid w:val="00371EC8"/>
    <w:rsid w:val="003720EA"/>
    <w:rsid w:val="0037223E"/>
    <w:rsid w:val="00372441"/>
    <w:rsid w:val="0037262E"/>
    <w:rsid w:val="003726AB"/>
    <w:rsid w:val="00372BA8"/>
    <w:rsid w:val="00372E38"/>
    <w:rsid w:val="00373232"/>
    <w:rsid w:val="0037388F"/>
    <w:rsid w:val="00373906"/>
    <w:rsid w:val="0037391B"/>
    <w:rsid w:val="00373B8C"/>
    <w:rsid w:val="00373C1B"/>
    <w:rsid w:val="00373EBA"/>
    <w:rsid w:val="00374354"/>
    <w:rsid w:val="00374673"/>
    <w:rsid w:val="0037487D"/>
    <w:rsid w:val="00374A1B"/>
    <w:rsid w:val="00374F12"/>
    <w:rsid w:val="00375056"/>
    <w:rsid w:val="00375275"/>
    <w:rsid w:val="003752B6"/>
    <w:rsid w:val="00375694"/>
    <w:rsid w:val="003756C8"/>
    <w:rsid w:val="003758D2"/>
    <w:rsid w:val="00375A53"/>
    <w:rsid w:val="00375A7B"/>
    <w:rsid w:val="00375BF5"/>
    <w:rsid w:val="00375E3F"/>
    <w:rsid w:val="00375F27"/>
    <w:rsid w:val="003760DB"/>
    <w:rsid w:val="003760F2"/>
    <w:rsid w:val="0037632D"/>
    <w:rsid w:val="003765F2"/>
    <w:rsid w:val="003765F7"/>
    <w:rsid w:val="00376A75"/>
    <w:rsid w:val="00376EF4"/>
    <w:rsid w:val="00377350"/>
    <w:rsid w:val="0037749E"/>
    <w:rsid w:val="003774FA"/>
    <w:rsid w:val="00377566"/>
    <w:rsid w:val="00377787"/>
    <w:rsid w:val="0037778C"/>
    <w:rsid w:val="003779F5"/>
    <w:rsid w:val="00377A4B"/>
    <w:rsid w:val="00377B8C"/>
    <w:rsid w:val="00377CFD"/>
    <w:rsid w:val="00377E12"/>
    <w:rsid w:val="00377EB9"/>
    <w:rsid w:val="0038008A"/>
    <w:rsid w:val="00380121"/>
    <w:rsid w:val="0038015C"/>
    <w:rsid w:val="00380181"/>
    <w:rsid w:val="00380335"/>
    <w:rsid w:val="003803C4"/>
    <w:rsid w:val="00380501"/>
    <w:rsid w:val="003807D3"/>
    <w:rsid w:val="0038097A"/>
    <w:rsid w:val="00380B5E"/>
    <w:rsid w:val="00380F27"/>
    <w:rsid w:val="0038145F"/>
    <w:rsid w:val="00381676"/>
    <w:rsid w:val="00381847"/>
    <w:rsid w:val="003819F1"/>
    <w:rsid w:val="00381A2F"/>
    <w:rsid w:val="00381F05"/>
    <w:rsid w:val="0038204E"/>
    <w:rsid w:val="00382144"/>
    <w:rsid w:val="00382181"/>
    <w:rsid w:val="0038227E"/>
    <w:rsid w:val="00382410"/>
    <w:rsid w:val="00382938"/>
    <w:rsid w:val="00382BB3"/>
    <w:rsid w:val="00383176"/>
    <w:rsid w:val="00383686"/>
    <w:rsid w:val="003836F2"/>
    <w:rsid w:val="00383A43"/>
    <w:rsid w:val="00383C4A"/>
    <w:rsid w:val="00383CFA"/>
    <w:rsid w:val="003840EC"/>
    <w:rsid w:val="003844F3"/>
    <w:rsid w:val="00384757"/>
    <w:rsid w:val="003848D9"/>
    <w:rsid w:val="00384A3B"/>
    <w:rsid w:val="00384A4E"/>
    <w:rsid w:val="00384A92"/>
    <w:rsid w:val="00384AC9"/>
    <w:rsid w:val="00384D60"/>
    <w:rsid w:val="00384D9C"/>
    <w:rsid w:val="00384E4D"/>
    <w:rsid w:val="00384FB4"/>
    <w:rsid w:val="003857CB"/>
    <w:rsid w:val="00385A78"/>
    <w:rsid w:val="00385A98"/>
    <w:rsid w:val="00385B6A"/>
    <w:rsid w:val="00385E1A"/>
    <w:rsid w:val="00386CD8"/>
    <w:rsid w:val="00386DBA"/>
    <w:rsid w:val="0038700F"/>
    <w:rsid w:val="0038719B"/>
    <w:rsid w:val="003875F3"/>
    <w:rsid w:val="003878E3"/>
    <w:rsid w:val="0038794D"/>
    <w:rsid w:val="00387A63"/>
    <w:rsid w:val="00387EC3"/>
    <w:rsid w:val="00387F22"/>
    <w:rsid w:val="0039068E"/>
    <w:rsid w:val="003907FB"/>
    <w:rsid w:val="00390967"/>
    <w:rsid w:val="00390F26"/>
    <w:rsid w:val="00391047"/>
    <w:rsid w:val="00391294"/>
    <w:rsid w:val="00391301"/>
    <w:rsid w:val="003914C0"/>
    <w:rsid w:val="003917F3"/>
    <w:rsid w:val="0039183C"/>
    <w:rsid w:val="00391D9F"/>
    <w:rsid w:val="00391F58"/>
    <w:rsid w:val="00391FCF"/>
    <w:rsid w:val="00392420"/>
    <w:rsid w:val="0039273A"/>
    <w:rsid w:val="00392AC0"/>
    <w:rsid w:val="00392D4A"/>
    <w:rsid w:val="00392D58"/>
    <w:rsid w:val="0039308C"/>
    <w:rsid w:val="0039347D"/>
    <w:rsid w:val="00393732"/>
    <w:rsid w:val="00393887"/>
    <w:rsid w:val="00393A61"/>
    <w:rsid w:val="00393AC0"/>
    <w:rsid w:val="00393BB7"/>
    <w:rsid w:val="00393D36"/>
    <w:rsid w:val="003940A8"/>
    <w:rsid w:val="00394171"/>
    <w:rsid w:val="003942DA"/>
    <w:rsid w:val="00394829"/>
    <w:rsid w:val="0039485D"/>
    <w:rsid w:val="00394A26"/>
    <w:rsid w:val="00394B40"/>
    <w:rsid w:val="00394C2D"/>
    <w:rsid w:val="00394D5A"/>
    <w:rsid w:val="003950D6"/>
    <w:rsid w:val="0039529E"/>
    <w:rsid w:val="00395380"/>
    <w:rsid w:val="003953B4"/>
    <w:rsid w:val="003953E3"/>
    <w:rsid w:val="003955F8"/>
    <w:rsid w:val="0039573B"/>
    <w:rsid w:val="003958C8"/>
    <w:rsid w:val="00395913"/>
    <w:rsid w:val="00395A14"/>
    <w:rsid w:val="00395AFA"/>
    <w:rsid w:val="00395B4D"/>
    <w:rsid w:val="00395BDA"/>
    <w:rsid w:val="00395DF7"/>
    <w:rsid w:val="00395E27"/>
    <w:rsid w:val="00396012"/>
    <w:rsid w:val="00396080"/>
    <w:rsid w:val="00396221"/>
    <w:rsid w:val="0039663C"/>
    <w:rsid w:val="003966F5"/>
    <w:rsid w:val="00396D06"/>
    <w:rsid w:val="0039731A"/>
    <w:rsid w:val="0039747D"/>
    <w:rsid w:val="00397B57"/>
    <w:rsid w:val="00397C7A"/>
    <w:rsid w:val="00397EEC"/>
    <w:rsid w:val="003A009F"/>
    <w:rsid w:val="003A013E"/>
    <w:rsid w:val="003A0325"/>
    <w:rsid w:val="003A0391"/>
    <w:rsid w:val="003A03D3"/>
    <w:rsid w:val="003A0621"/>
    <w:rsid w:val="003A068C"/>
    <w:rsid w:val="003A08DF"/>
    <w:rsid w:val="003A0949"/>
    <w:rsid w:val="003A0CC4"/>
    <w:rsid w:val="003A0DDB"/>
    <w:rsid w:val="003A0EA6"/>
    <w:rsid w:val="003A10D8"/>
    <w:rsid w:val="003A1119"/>
    <w:rsid w:val="003A11EF"/>
    <w:rsid w:val="003A16E4"/>
    <w:rsid w:val="003A179B"/>
    <w:rsid w:val="003A17BE"/>
    <w:rsid w:val="003A1B83"/>
    <w:rsid w:val="003A1CD4"/>
    <w:rsid w:val="003A1D9D"/>
    <w:rsid w:val="003A1FA7"/>
    <w:rsid w:val="003A2127"/>
    <w:rsid w:val="003A2688"/>
    <w:rsid w:val="003A26D8"/>
    <w:rsid w:val="003A27AC"/>
    <w:rsid w:val="003A2897"/>
    <w:rsid w:val="003A28D3"/>
    <w:rsid w:val="003A2951"/>
    <w:rsid w:val="003A2E35"/>
    <w:rsid w:val="003A2FF8"/>
    <w:rsid w:val="003A3052"/>
    <w:rsid w:val="003A32E0"/>
    <w:rsid w:val="003A32E4"/>
    <w:rsid w:val="003A3448"/>
    <w:rsid w:val="003A36A8"/>
    <w:rsid w:val="003A3886"/>
    <w:rsid w:val="003A38FD"/>
    <w:rsid w:val="003A3947"/>
    <w:rsid w:val="003A3D0D"/>
    <w:rsid w:val="003A3DC3"/>
    <w:rsid w:val="003A406B"/>
    <w:rsid w:val="003A4470"/>
    <w:rsid w:val="003A4638"/>
    <w:rsid w:val="003A474A"/>
    <w:rsid w:val="003A4A60"/>
    <w:rsid w:val="003A4B0A"/>
    <w:rsid w:val="003A4C1B"/>
    <w:rsid w:val="003A4C5E"/>
    <w:rsid w:val="003A4F31"/>
    <w:rsid w:val="003A4FD6"/>
    <w:rsid w:val="003A506A"/>
    <w:rsid w:val="003A52D7"/>
    <w:rsid w:val="003A53B8"/>
    <w:rsid w:val="003A589B"/>
    <w:rsid w:val="003A5CB5"/>
    <w:rsid w:val="003A5CB7"/>
    <w:rsid w:val="003A63DC"/>
    <w:rsid w:val="003A64C1"/>
    <w:rsid w:val="003A651D"/>
    <w:rsid w:val="003A65B7"/>
    <w:rsid w:val="003A6D41"/>
    <w:rsid w:val="003A70CB"/>
    <w:rsid w:val="003A71C6"/>
    <w:rsid w:val="003A7270"/>
    <w:rsid w:val="003A741C"/>
    <w:rsid w:val="003A7509"/>
    <w:rsid w:val="003A7554"/>
    <w:rsid w:val="003A7C5F"/>
    <w:rsid w:val="003A7DD8"/>
    <w:rsid w:val="003A7F31"/>
    <w:rsid w:val="003B01C3"/>
    <w:rsid w:val="003B02B5"/>
    <w:rsid w:val="003B06B5"/>
    <w:rsid w:val="003B06E9"/>
    <w:rsid w:val="003B0A4E"/>
    <w:rsid w:val="003B0F64"/>
    <w:rsid w:val="003B1123"/>
    <w:rsid w:val="003B1A43"/>
    <w:rsid w:val="003B1C8C"/>
    <w:rsid w:val="003B1EB6"/>
    <w:rsid w:val="003B2273"/>
    <w:rsid w:val="003B22E2"/>
    <w:rsid w:val="003B24BC"/>
    <w:rsid w:val="003B277C"/>
    <w:rsid w:val="003B284C"/>
    <w:rsid w:val="003B2AEC"/>
    <w:rsid w:val="003B2C6A"/>
    <w:rsid w:val="003B2DCC"/>
    <w:rsid w:val="003B2E6B"/>
    <w:rsid w:val="003B2FD1"/>
    <w:rsid w:val="003B31F7"/>
    <w:rsid w:val="003B34FA"/>
    <w:rsid w:val="003B3634"/>
    <w:rsid w:val="003B3774"/>
    <w:rsid w:val="003B3870"/>
    <w:rsid w:val="003B3CF9"/>
    <w:rsid w:val="003B3FE7"/>
    <w:rsid w:val="003B424B"/>
    <w:rsid w:val="003B451B"/>
    <w:rsid w:val="003B45E1"/>
    <w:rsid w:val="003B496C"/>
    <w:rsid w:val="003B4B29"/>
    <w:rsid w:val="003B4DD8"/>
    <w:rsid w:val="003B50D7"/>
    <w:rsid w:val="003B5136"/>
    <w:rsid w:val="003B52E3"/>
    <w:rsid w:val="003B5386"/>
    <w:rsid w:val="003B53F4"/>
    <w:rsid w:val="003B5463"/>
    <w:rsid w:val="003B546A"/>
    <w:rsid w:val="003B54CB"/>
    <w:rsid w:val="003B573B"/>
    <w:rsid w:val="003B587F"/>
    <w:rsid w:val="003B5C4D"/>
    <w:rsid w:val="003B5D19"/>
    <w:rsid w:val="003B5EF3"/>
    <w:rsid w:val="003B5FA4"/>
    <w:rsid w:val="003B60BA"/>
    <w:rsid w:val="003B63FA"/>
    <w:rsid w:val="003B64B9"/>
    <w:rsid w:val="003B67F9"/>
    <w:rsid w:val="003B6902"/>
    <w:rsid w:val="003B695D"/>
    <w:rsid w:val="003B6983"/>
    <w:rsid w:val="003B6B9A"/>
    <w:rsid w:val="003B6CEE"/>
    <w:rsid w:val="003B7028"/>
    <w:rsid w:val="003B7454"/>
    <w:rsid w:val="003B7597"/>
    <w:rsid w:val="003B788C"/>
    <w:rsid w:val="003B7AC1"/>
    <w:rsid w:val="003B7B7E"/>
    <w:rsid w:val="003B7D4F"/>
    <w:rsid w:val="003B7E1C"/>
    <w:rsid w:val="003B7EAF"/>
    <w:rsid w:val="003B7EBA"/>
    <w:rsid w:val="003C002A"/>
    <w:rsid w:val="003C010F"/>
    <w:rsid w:val="003C0267"/>
    <w:rsid w:val="003C045E"/>
    <w:rsid w:val="003C0565"/>
    <w:rsid w:val="003C0653"/>
    <w:rsid w:val="003C09EB"/>
    <w:rsid w:val="003C0D6E"/>
    <w:rsid w:val="003C0FCC"/>
    <w:rsid w:val="003C12F5"/>
    <w:rsid w:val="003C16E9"/>
    <w:rsid w:val="003C1720"/>
    <w:rsid w:val="003C178E"/>
    <w:rsid w:val="003C17AC"/>
    <w:rsid w:val="003C192C"/>
    <w:rsid w:val="003C1B8B"/>
    <w:rsid w:val="003C1C0E"/>
    <w:rsid w:val="003C2730"/>
    <w:rsid w:val="003C2834"/>
    <w:rsid w:val="003C2879"/>
    <w:rsid w:val="003C2B87"/>
    <w:rsid w:val="003C34AB"/>
    <w:rsid w:val="003C3649"/>
    <w:rsid w:val="003C39B7"/>
    <w:rsid w:val="003C3B63"/>
    <w:rsid w:val="003C3F3D"/>
    <w:rsid w:val="003C3FCD"/>
    <w:rsid w:val="003C404B"/>
    <w:rsid w:val="003C4254"/>
    <w:rsid w:val="003C44D0"/>
    <w:rsid w:val="003C4785"/>
    <w:rsid w:val="003C4C86"/>
    <w:rsid w:val="003C4E00"/>
    <w:rsid w:val="003C4F89"/>
    <w:rsid w:val="003C523C"/>
    <w:rsid w:val="003C5478"/>
    <w:rsid w:val="003C589E"/>
    <w:rsid w:val="003C604B"/>
    <w:rsid w:val="003C6233"/>
    <w:rsid w:val="003C644D"/>
    <w:rsid w:val="003C64AC"/>
    <w:rsid w:val="003C660A"/>
    <w:rsid w:val="003C6864"/>
    <w:rsid w:val="003C68C5"/>
    <w:rsid w:val="003C6BCD"/>
    <w:rsid w:val="003C6C69"/>
    <w:rsid w:val="003C6CCA"/>
    <w:rsid w:val="003C718D"/>
    <w:rsid w:val="003C7190"/>
    <w:rsid w:val="003C71F3"/>
    <w:rsid w:val="003C7412"/>
    <w:rsid w:val="003C7422"/>
    <w:rsid w:val="003C7807"/>
    <w:rsid w:val="003C7A90"/>
    <w:rsid w:val="003C7C03"/>
    <w:rsid w:val="003D018C"/>
    <w:rsid w:val="003D0974"/>
    <w:rsid w:val="003D0A46"/>
    <w:rsid w:val="003D0B7E"/>
    <w:rsid w:val="003D0DF7"/>
    <w:rsid w:val="003D10B7"/>
    <w:rsid w:val="003D1212"/>
    <w:rsid w:val="003D1290"/>
    <w:rsid w:val="003D12FA"/>
    <w:rsid w:val="003D15B4"/>
    <w:rsid w:val="003D1674"/>
    <w:rsid w:val="003D17C9"/>
    <w:rsid w:val="003D17E8"/>
    <w:rsid w:val="003D1B5E"/>
    <w:rsid w:val="003D1E0E"/>
    <w:rsid w:val="003D21E3"/>
    <w:rsid w:val="003D22B2"/>
    <w:rsid w:val="003D2471"/>
    <w:rsid w:val="003D28C7"/>
    <w:rsid w:val="003D2B33"/>
    <w:rsid w:val="003D2B97"/>
    <w:rsid w:val="003D2D1F"/>
    <w:rsid w:val="003D2EBA"/>
    <w:rsid w:val="003D2F02"/>
    <w:rsid w:val="003D2F4A"/>
    <w:rsid w:val="003D3193"/>
    <w:rsid w:val="003D330D"/>
    <w:rsid w:val="003D3A2E"/>
    <w:rsid w:val="003D3B7F"/>
    <w:rsid w:val="003D3C35"/>
    <w:rsid w:val="003D3D04"/>
    <w:rsid w:val="003D3DFC"/>
    <w:rsid w:val="003D3F7A"/>
    <w:rsid w:val="003D41A7"/>
    <w:rsid w:val="003D4235"/>
    <w:rsid w:val="003D4455"/>
    <w:rsid w:val="003D4733"/>
    <w:rsid w:val="003D498D"/>
    <w:rsid w:val="003D4BD4"/>
    <w:rsid w:val="003D4CBB"/>
    <w:rsid w:val="003D5175"/>
    <w:rsid w:val="003D518F"/>
    <w:rsid w:val="003D56FD"/>
    <w:rsid w:val="003D58B9"/>
    <w:rsid w:val="003D5977"/>
    <w:rsid w:val="003D601F"/>
    <w:rsid w:val="003D6212"/>
    <w:rsid w:val="003D6337"/>
    <w:rsid w:val="003D634E"/>
    <w:rsid w:val="003D646E"/>
    <w:rsid w:val="003D6601"/>
    <w:rsid w:val="003D6688"/>
    <w:rsid w:val="003D669C"/>
    <w:rsid w:val="003D6C19"/>
    <w:rsid w:val="003D6D6A"/>
    <w:rsid w:val="003D6D87"/>
    <w:rsid w:val="003D6EA6"/>
    <w:rsid w:val="003D6EF3"/>
    <w:rsid w:val="003D726F"/>
    <w:rsid w:val="003D746C"/>
    <w:rsid w:val="003D76E3"/>
    <w:rsid w:val="003D7A54"/>
    <w:rsid w:val="003D7C4B"/>
    <w:rsid w:val="003D7DA5"/>
    <w:rsid w:val="003E016A"/>
    <w:rsid w:val="003E0175"/>
    <w:rsid w:val="003E0220"/>
    <w:rsid w:val="003E0237"/>
    <w:rsid w:val="003E02DD"/>
    <w:rsid w:val="003E05C4"/>
    <w:rsid w:val="003E07A6"/>
    <w:rsid w:val="003E0869"/>
    <w:rsid w:val="003E0B20"/>
    <w:rsid w:val="003E0B65"/>
    <w:rsid w:val="003E1069"/>
    <w:rsid w:val="003E1162"/>
    <w:rsid w:val="003E1260"/>
    <w:rsid w:val="003E1865"/>
    <w:rsid w:val="003E19EC"/>
    <w:rsid w:val="003E1A57"/>
    <w:rsid w:val="003E1DA1"/>
    <w:rsid w:val="003E1DBB"/>
    <w:rsid w:val="003E2534"/>
    <w:rsid w:val="003E27E7"/>
    <w:rsid w:val="003E2B2B"/>
    <w:rsid w:val="003E2E34"/>
    <w:rsid w:val="003E31B9"/>
    <w:rsid w:val="003E32A3"/>
    <w:rsid w:val="003E358A"/>
    <w:rsid w:val="003E35A1"/>
    <w:rsid w:val="003E35C1"/>
    <w:rsid w:val="003E36C3"/>
    <w:rsid w:val="003E3815"/>
    <w:rsid w:val="003E3ECF"/>
    <w:rsid w:val="003E4060"/>
    <w:rsid w:val="003E4486"/>
    <w:rsid w:val="003E4609"/>
    <w:rsid w:val="003E4796"/>
    <w:rsid w:val="003E4BAE"/>
    <w:rsid w:val="003E4CF0"/>
    <w:rsid w:val="003E4E50"/>
    <w:rsid w:val="003E5059"/>
    <w:rsid w:val="003E51AB"/>
    <w:rsid w:val="003E52B7"/>
    <w:rsid w:val="003E52D6"/>
    <w:rsid w:val="003E534A"/>
    <w:rsid w:val="003E57C5"/>
    <w:rsid w:val="003E57E3"/>
    <w:rsid w:val="003E5875"/>
    <w:rsid w:val="003E58D1"/>
    <w:rsid w:val="003E5988"/>
    <w:rsid w:val="003E598A"/>
    <w:rsid w:val="003E5CB5"/>
    <w:rsid w:val="003E5D47"/>
    <w:rsid w:val="003E6380"/>
    <w:rsid w:val="003E6938"/>
    <w:rsid w:val="003E6A11"/>
    <w:rsid w:val="003E6B81"/>
    <w:rsid w:val="003E6CB2"/>
    <w:rsid w:val="003E6E03"/>
    <w:rsid w:val="003E7287"/>
    <w:rsid w:val="003E7504"/>
    <w:rsid w:val="003E7569"/>
    <w:rsid w:val="003E78A1"/>
    <w:rsid w:val="003E7ADF"/>
    <w:rsid w:val="003E7BC6"/>
    <w:rsid w:val="003F0402"/>
    <w:rsid w:val="003F0646"/>
    <w:rsid w:val="003F06B4"/>
    <w:rsid w:val="003F0835"/>
    <w:rsid w:val="003F0E1D"/>
    <w:rsid w:val="003F0F38"/>
    <w:rsid w:val="003F1161"/>
    <w:rsid w:val="003F13AA"/>
    <w:rsid w:val="003F141D"/>
    <w:rsid w:val="003F1538"/>
    <w:rsid w:val="003F15A3"/>
    <w:rsid w:val="003F1605"/>
    <w:rsid w:val="003F183A"/>
    <w:rsid w:val="003F1B06"/>
    <w:rsid w:val="003F2035"/>
    <w:rsid w:val="003F2321"/>
    <w:rsid w:val="003F2800"/>
    <w:rsid w:val="003F2831"/>
    <w:rsid w:val="003F2965"/>
    <w:rsid w:val="003F2B62"/>
    <w:rsid w:val="003F2E66"/>
    <w:rsid w:val="003F35AA"/>
    <w:rsid w:val="003F377E"/>
    <w:rsid w:val="003F3975"/>
    <w:rsid w:val="003F3B44"/>
    <w:rsid w:val="003F3DFE"/>
    <w:rsid w:val="003F41BE"/>
    <w:rsid w:val="003F479C"/>
    <w:rsid w:val="003F4832"/>
    <w:rsid w:val="003F4AD2"/>
    <w:rsid w:val="003F4EB6"/>
    <w:rsid w:val="003F4F31"/>
    <w:rsid w:val="003F53D8"/>
    <w:rsid w:val="003F548C"/>
    <w:rsid w:val="003F5572"/>
    <w:rsid w:val="003F55B5"/>
    <w:rsid w:val="003F5BD3"/>
    <w:rsid w:val="003F5ECE"/>
    <w:rsid w:val="003F6377"/>
    <w:rsid w:val="003F63F9"/>
    <w:rsid w:val="003F64E3"/>
    <w:rsid w:val="003F67E2"/>
    <w:rsid w:val="003F695E"/>
    <w:rsid w:val="003F6A7B"/>
    <w:rsid w:val="003F6CF7"/>
    <w:rsid w:val="003F7126"/>
    <w:rsid w:val="003F7182"/>
    <w:rsid w:val="003F790E"/>
    <w:rsid w:val="003F7930"/>
    <w:rsid w:val="003F7A79"/>
    <w:rsid w:val="003F7CDE"/>
    <w:rsid w:val="003F7CEE"/>
    <w:rsid w:val="003F7FD8"/>
    <w:rsid w:val="004008CD"/>
    <w:rsid w:val="00400DF3"/>
    <w:rsid w:val="00401008"/>
    <w:rsid w:val="00401108"/>
    <w:rsid w:val="004011F1"/>
    <w:rsid w:val="00401204"/>
    <w:rsid w:val="00401416"/>
    <w:rsid w:val="00401464"/>
    <w:rsid w:val="004016BB"/>
    <w:rsid w:val="00401CE9"/>
    <w:rsid w:val="00401E81"/>
    <w:rsid w:val="0040221E"/>
    <w:rsid w:val="0040276A"/>
    <w:rsid w:val="00402E76"/>
    <w:rsid w:val="004030B1"/>
    <w:rsid w:val="004031FB"/>
    <w:rsid w:val="0040322B"/>
    <w:rsid w:val="004036D0"/>
    <w:rsid w:val="00403910"/>
    <w:rsid w:val="00403B93"/>
    <w:rsid w:val="0040401E"/>
    <w:rsid w:val="00404083"/>
    <w:rsid w:val="004049CC"/>
    <w:rsid w:val="004049E6"/>
    <w:rsid w:val="00404BB7"/>
    <w:rsid w:val="00404CCA"/>
    <w:rsid w:val="00404CE7"/>
    <w:rsid w:val="00404FF9"/>
    <w:rsid w:val="00405045"/>
    <w:rsid w:val="004050D4"/>
    <w:rsid w:val="004051F8"/>
    <w:rsid w:val="004053CE"/>
    <w:rsid w:val="004059EB"/>
    <w:rsid w:val="00405C01"/>
    <w:rsid w:val="00405C2A"/>
    <w:rsid w:val="00405C3E"/>
    <w:rsid w:val="00405E31"/>
    <w:rsid w:val="00405F19"/>
    <w:rsid w:val="00406124"/>
    <w:rsid w:val="004063EE"/>
    <w:rsid w:val="00406449"/>
    <w:rsid w:val="0040664A"/>
    <w:rsid w:val="004067A3"/>
    <w:rsid w:val="0040694E"/>
    <w:rsid w:val="004069BE"/>
    <w:rsid w:val="00406CF6"/>
    <w:rsid w:val="00406D94"/>
    <w:rsid w:val="00407099"/>
    <w:rsid w:val="0040745E"/>
    <w:rsid w:val="004076C0"/>
    <w:rsid w:val="004077B2"/>
    <w:rsid w:val="0040795B"/>
    <w:rsid w:val="00407968"/>
    <w:rsid w:val="00407986"/>
    <w:rsid w:val="004079A7"/>
    <w:rsid w:val="00407B78"/>
    <w:rsid w:val="00407B9B"/>
    <w:rsid w:val="00407DB8"/>
    <w:rsid w:val="004100EE"/>
    <w:rsid w:val="0041056E"/>
    <w:rsid w:val="00410F07"/>
    <w:rsid w:val="00410F32"/>
    <w:rsid w:val="00411247"/>
    <w:rsid w:val="00411270"/>
    <w:rsid w:val="00411355"/>
    <w:rsid w:val="00411357"/>
    <w:rsid w:val="00411405"/>
    <w:rsid w:val="0041148A"/>
    <w:rsid w:val="0041174F"/>
    <w:rsid w:val="004117CB"/>
    <w:rsid w:val="004117CE"/>
    <w:rsid w:val="00411840"/>
    <w:rsid w:val="004118AB"/>
    <w:rsid w:val="0041193C"/>
    <w:rsid w:val="004119A4"/>
    <w:rsid w:val="00411AB3"/>
    <w:rsid w:val="00411E83"/>
    <w:rsid w:val="0041203C"/>
    <w:rsid w:val="00412783"/>
    <w:rsid w:val="00412804"/>
    <w:rsid w:val="004130A2"/>
    <w:rsid w:val="004130D4"/>
    <w:rsid w:val="0041316A"/>
    <w:rsid w:val="00413691"/>
    <w:rsid w:val="00413AA8"/>
    <w:rsid w:val="00413B72"/>
    <w:rsid w:val="00414011"/>
    <w:rsid w:val="0041419C"/>
    <w:rsid w:val="00414581"/>
    <w:rsid w:val="00414A68"/>
    <w:rsid w:val="00414BF2"/>
    <w:rsid w:val="00414EDD"/>
    <w:rsid w:val="00414F4A"/>
    <w:rsid w:val="00414F4F"/>
    <w:rsid w:val="00415009"/>
    <w:rsid w:val="004154F2"/>
    <w:rsid w:val="00415813"/>
    <w:rsid w:val="00415A10"/>
    <w:rsid w:val="00415FA8"/>
    <w:rsid w:val="00416027"/>
    <w:rsid w:val="004160F3"/>
    <w:rsid w:val="0041643D"/>
    <w:rsid w:val="0041691B"/>
    <w:rsid w:val="0041700E"/>
    <w:rsid w:val="0041708B"/>
    <w:rsid w:val="00417203"/>
    <w:rsid w:val="00417ABA"/>
    <w:rsid w:val="00417FF4"/>
    <w:rsid w:val="00420367"/>
    <w:rsid w:val="0042068E"/>
    <w:rsid w:val="00420776"/>
    <w:rsid w:val="00420BD6"/>
    <w:rsid w:val="00420DD8"/>
    <w:rsid w:val="00420EA4"/>
    <w:rsid w:val="00420F47"/>
    <w:rsid w:val="004210BD"/>
    <w:rsid w:val="00421137"/>
    <w:rsid w:val="0042151C"/>
    <w:rsid w:val="004215A6"/>
    <w:rsid w:val="004216CD"/>
    <w:rsid w:val="00421866"/>
    <w:rsid w:val="004218E0"/>
    <w:rsid w:val="004218FD"/>
    <w:rsid w:val="00421C0D"/>
    <w:rsid w:val="00421D8E"/>
    <w:rsid w:val="00421DA8"/>
    <w:rsid w:val="004223F4"/>
    <w:rsid w:val="00422B31"/>
    <w:rsid w:val="00422B56"/>
    <w:rsid w:val="00422C1C"/>
    <w:rsid w:val="00422CC8"/>
    <w:rsid w:val="00422D8F"/>
    <w:rsid w:val="00423171"/>
    <w:rsid w:val="00423587"/>
    <w:rsid w:val="0042362B"/>
    <w:rsid w:val="00423B3F"/>
    <w:rsid w:val="00423B7F"/>
    <w:rsid w:val="00423F20"/>
    <w:rsid w:val="004242BC"/>
    <w:rsid w:val="004242D5"/>
    <w:rsid w:val="00424486"/>
    <w:rsid w:val="00424820"/>
    <w:rsid w:val="00424E8A"/>
    <w:rsid w:val="004250E6"/>
    <w:rsid w:val="00425190"/>
    <w:rsid w:val="00425237"/>
    <w:rsid w:val="0042590C"/>
    <w:rsid w:val="00425D57"/>
    <w:rsid w:val="00425D70"/>
    <w:rsid w:val="00425F74"/>
    <w:rsid w:val="0042625B"/>
    <w:rsid w:val="004263B6"/>
    <w:rsid w:val="004264E2"/>
    <w:rsid w:val="00426529"/>
    <w:rsid w:val="004265CC"/>
    <w:rsid w:val="0042667D"/>
    <w:rsid w:val="0042671D"/>
    <w:rsid w:val="00426B86"/>
    <w:rsid w:val="00426C8E"/>
    <w:rsid w:val="00426FDF"/>
    <w:rsid w:val="00427073"/>
    <w:rsid w:val="004270CF"/>
    <w:rsid w:val="00427386"/>
    <w:rsid w:val="00427413"/>
    <w:rsid w:val="004275CB"/>
    <w:rsid w:val="004275DB"/>
    <w:rsid w:val="004276B2"/>
    <w:rsid w:val="00427830"/>
    <w:rsid w:val="00427994"/>
    <w:rsid w:val="00427AE9"/>
    <w:rsid w:val="00427AF9"/>
    <w:rsid w:val="0043021A"/>
    <w:rsid w:val="0043022C"/>
    <w:rsid w:val="004302B4"/>
    <w:rsid w:val="0043052A"/>
    <w:rsid w:val="00430647"/>
    <w:rsid w:val="00430937"/>
    <w:rsid w:val="00430A29"/>
    <w:rsid w:val="00430AEE"/>
    <w:rsid w:val="00430B63"/>
    <w:rsid w:val="00430E01"/>
    <w:rsid w:val="004312DE"/>
    <w:rsid w:val="004314D2"/>
    <w:rsid w:val="0043156A"/>
    <w:rsid w:val="004315D1"/>
    <w:rsid w:val="00431634"/>
    <w:rsid w:val="0043193D"/>
    <w:rsid w:val="00431A18"/>
    <w:rsid w:val="00431DD2"/>
    <w:rsid w:val="00431F9E"/>
    <w:rsid w:val="00432027"/>
    <w:rsid w:val="0043224A"/>
    <w:rsid w:val="00432547"/>
    <w:rsid w:val="004325D6"/>
    <w:rsid w:val="0043279D"/>
    <w:rsid w:val="004327BE"/>
    <w:rsid w:val="00432CB0"/>
    <w:rsid w:val="00432D47"/>
    <w:rsid w:val="00432E13"/>
    <w:rsid w:val="00432ECE"/>
    <w:rsid w:val="00433455"/>
    <w:rsid w:val="00433460"/>
    <w:rsid w:val="004334B5"/>
    <w:rsid w:val="004338FC"/>
    <w:rsid w:val="004339CE"/>
    <w:rsid w:val="00433B3F"/>
    <w:rsid w:val="00433FCE"/>
    <w:rsid w:val="004341F8"/>
    <w:rsid w:val="004342AB"/>
    <w:rsid w:val="004342F8"/>
    <w:rsid w:val="004344E9"/>
    <w:rsid w:val="00434B20"/>
    <w:rsid w:val="00434C01"/>
    <w:rsid w:val="00434C19"/>
    <w:rsid w:val="00434D51"/>
    <w:rsid w:val="00435062"/>
    <w:rsid w:val="00435277"/>
    <w:rsid w:val="0043546F"/>
    <w:rsid w:val="00435651"/>
    <w:rsid w:val="004357AB"/>
    <w:rsid w:val="004358F0"/>
    <w:rsid w:val="00435B1C"/>
    <w:rsid w:val="00435BA5"/>
    <w:rsid w:val="00435C0F"/>
    <w:rsid w:val="00435DB3"/>
    <w:rsid w:val="00436094"/>
    <w:rsid w:val="00436359"/>
    <w:rsid w:val="004364F8"/>
    <w:rsid w:val="0043676A"/>
    <w:rsid w:val="004369A9"/>
    <w:rsid w:val="004369DA"/>
    <w:rsid w:val="00436BA1"/>
    <w:rsid w:val="00436D84"/>
    <w:rsid w:val="00436F22"/>
    <w:rsid w:val="004376EC"/>
    <w:rsid w:val="00440088"/>
    <w:rsid w:val="004400E7"/>
    <w:rsid w:val="0044013E"/>
    <w:rsid w:val="004403B4"/>
    <w:rsid w:val="0044049D"/>
    <w:rsid w:val="004405EC"/>
    <w:rsid w:val="00440758"/>
    <w:rsid w:val="00440822"/>
    <w:rsid w:val="00440AAB"/>
    <w:rsid w:val="00440DA8"/>
    <w:rsid w:val="00440E3E"/>
    <w:rsid w:val="004411CC"/>
    <w:rsid w:val="00441233"/>
    <w:rsid w:val="00441339"/>
    <w:rsid w:val="004418A1"/>
    <w:rsid w:val="004419BC"/>
    <w:rsid w:val="00441A7A"/>
    <w:rsid w:val="00441C66"/>
    <w:rsid w:val="00441D1B"/>
    <w:rsid w:val="00442713"/>
    <w:rsid w:val="00442D21"/>
    <w:rsid w:val="004434C6"/>
    <w:rsid w:val="004437C6"/>
    <w:rsid w:val="00443870"/>
    <w:rsid w:val="00443BDB"/>
    <w:rsid w:val="00443C46"/>
    <w:rsid w:val="00443DE5"/>
    <w:rsid w:val="0044440E"/>
    <w:rsid w:val="004444FB"/>
    <w:rsid w:val="0044477F"/>
    <w:rsid w:val="00444965"/>
    <w:rsid w:val="00444DC0"/>
    <w:rsid w:val="004450EB"/>
    <w:rsid w:val="00445203"/>
    <w:rsid w:val="00445233"/>
    <w:rsid w:val="00445308"/>
    <w:rsid w:val="004453E1"/>
    <w:rsid w:val="004455B7"/>
    <w:rsid w:val="004456D0"/>
    <w:rsid w:val="0044574A"/>
    <w:rsid w:val="00445880"/>
    <w:rsid w:val="00445B14"/>
    <w:rsid w:val="00445D9F"/>
    <w:rsid w:val="00445DC2"/>
    <w:rsid w:val="00445F8D"/>
    <w:rsid w:val="004460DA"/>
    <w:rsid w:val="004461A4"/>
    <w:rsid w:val="0044634F"/>
    <w:rsid w:val="00446459"/>
    <w:rsid w:val="004469C4"/>
    <w:rsid w:val="004470F5"/>
    <w:rsid w:val="004471F0"/>
    <w:rsid w:val="0044789D"/>
    <w:rsid w:val="00447D6A"/>
    <w:rsid w:val="00447EB9"/>
    <w:rsid w:val="004500A5"/>
    <w:rsid w:val="004500CC"/>
    <w:rsid w:val="004504AE"/>
    <w:rsid w:val="00450645"/>
    <w:rsid w:val="004507AD"/>
    <w:rsid w:val="00450890"/>
    <w:rsid w:val="004509F2"/>
    <w:rsid w:val="00450A47"/>
    <w:rsid w:val="00450B5E"/>
    <w:rsid w:val="00450B99"/>
    <w:rsid w:val="00450EC8"/>
    <w:rsid w:val="00450FFF"/>
    <w:rsid w:val="00451850"/>
    <w:rsid w:val="00451D92"/>
    <w:rsid w:val="0045204E"/>
    <w:rsid w:val="004522EB"/>
    <w:rsid w:val="004523AE"/>
    <w:rsid w:val="00452EB4"/>
    <w:rsid w:val="00452F6C"/>
    <w:rsid w:val="0045301E"/>
    <w:rsid w:val="004530C9"/>
    <w:rsid w:val="004532F0"/>
    <w:rsid w:val="004534D7"/>
    <w:rsid w:val="004535F7"/>
    <w:rsid w:val="0045363A"/>
    <w:rsid w:val="00453B27"/>
    <w:rsid w:val="00453B88"/>
    <w:rsid w:val="00453BB9"/>
    <w:rsid w:val="00453E71"/>
    <w:rsid w:val="0045406C"/>
    <w:rsid w:val="00454850"/>
    <w:rsid w:val="004548D9"/>
    <w:rsid w:val="00454A27"/>
    <w:rsid w:val="00454A62"/>
    <w:rsid w:val="00454BF8"/>
    <w:rsid w:val="00454F01"/>
    <w:rsid w:val="004551A1"/>
    <w:rsid w:val="004551C9"/>
    <w:rsid w:val="00455A1E"/>
    <w:rsid w:val="00455D26"/>
    <w:rsid w:val="0045602E"/>
    <w:rsid w:val="004560F1"/>
    <w:rsid w:val="004565D3"/>
    <w:rsid w:val="004567E9"/>
    <w:rsid w:val="004568F2"/>
    <w:rsid w:val="00456B74"/>
    <w:rsid w:val="00456CEC"/>
    <w:rsid w:val="00456DE6"/>
    <w:rsid w:val="00456EAE"/>
    <w:rsid w:val="00457116"/>
    <w:rsid w:val="0045720B"/>
    <w:rsid w:val="0045725C"/>
    <w:rsid w:val="0045758C"/>
    <w:rsid w:val="0045781E"/>
    <w:rsid w:val="0045794C"/>
    <w:rsid w:val="00457A55"/>
    <w:rsid w:val="00457D1C"/>
    <w:rsid w:val="00460029"/>
    <w:rsid w:val="0046099A"/>
    <w:rsid w:val="00460B8F"/>
    <w:rsid w:val="00460BD2"/>
    <w:rsid w:val="00460C44"/>
    <w:rsid w:val="00460D35"/>
    <w:rsid w:val="004610C9"/>
    <w:rsid w:val="004611B7"/>
    <w:rsid w:val="004613FE"/>
    <w:rsid w:val="004615A5"/>
    <w:rsid w:val="0046186A"/>
    <w:rsid w:val="004619A2"/>
    <w:rsid w:val="00461D0F"/>
    <w:rsid w:val="00461F1B"/>
    <w:rsid w:val="00461F93"/>
    <w:rsid w:val="00462001"/>
    <w:rsid w:val="004620BE"/>
    <w:rsid w:val="004624F1"/>
    <w:rsid w:val="00462EE1"/>
    <w:rsid w:val="00462F93"/>
    <w:rsid w:val="00463020"/>
    <w:rsid w:val="004631C7"/>
    <w:rsid w:val="0046343C"/>
    <w:rsid w:val="00463652"/>
    <w:rsid w:val="004639FB"/>
    <w:rsid w:val="00463B8E"/>
    <w:rsid w:val="00463C1A"/>
    <w:rsid w:val="004643DA"/>
    <w:rsid w:val="0046451B"/>
    <w:rsid w:val="00464547"/>
    <w:rsid w:val="00464915"/>
    <w:rsid w:val="004649C9"/>
    <w:rsid w:val="00464A4E"/>
    <w:rsid w:val="0046518C"/>
    <w:rsid w:val="00465286"/>
    <w:rsid w:val="0046528F"/>
    <w:rsid w:val="004653EA"/>
    <w:rsid w:val="0046579A"/>
    <w:rsid w:val="004657BB"/>
    <w:rsid w:val="00465A7C"/>
    <w:rsid w:val="00466059"/>
    <w:rsid w:val="004661A4"/>
    <w:rsid w:val="004664C1"/>
    <w:rsid w:val="004665B6"/>
    <w:rsid w:val="00466904"/>
    <w:rsid w:val="0046695B"/>
    <w:rsid w:val="00466A4E"/>
    <w:rsid w:val="00466C67"/>
    <w:rsid w:val="00466E8B"/>
    <w:rsid w:val="00466E9D"/>
    <w:rsid w:val="00466FD7"/>
    <w:rsid w:val="0046700B"/>
    <w:rsid w:val="004672D2"/>
    <w:rsid w:val="004674C3"/>
    <w:rsid w:val="00467594"/>
    <w:rsid w:val="004675FB"/>
    <w:rsid w:val="00467763"/>
    <w:rsid w:val="00467A38"/>
    <w:rsid w:val="00467A91"/>
    <w:rsid w:val="00467B60"/>
    <w:rsid w:val="00467BF8"/>
    <w:rsid w:val="00467CEC"/>
    <w:rsid w:val="00467DC6"/>
    <w:rsid w:val="00470122"/>
    <w:rsid w:val="00470140"/>
    <w:rsid w:val="0047036B"/>
    <w:rsid w:val="00470425"/>
    <w:rsid w:val="004704B1"/>
    <w:rsid w:val="00470E53"/>
    <w:rsid w:val="00470FB2"/>
    <w:rsid w:val="00471AB3"/>
    <w:rsid w:val="00471B9B"/>
    <w:rsid w:val="00471CBD"/>
    <w:rsid w:val="00471F47"/>
    <w:rsid w:val="004720C3"/>
    <w:rsid w:val="004725D0"/>
    <w:rsid w:val="00472718"/>
    <w:rsid w:val="00472B7E"/>
    <w:rsid w:val="00472D8C"/>
    <w:rsid w:val="004736A7"/>
    <w:rsid w:val="004738BF"/>
    <w:rsid w:val="00473D40"/>
    <w:rsid w:val="00473E60"/>
    <w:rsid w:val="004741D6"/>
    <w:rsid w:val="00474864"/>
    <w:rsid w:val="00474898"/>
    <w:rsid w:val="00474AE2"/>
    <w:rsid w:val="00474C00"/>
    <w:rsid w:val="00474D20"/>
    <w:rsid w:val="00474E8C"/>
    <w:rsid w:val="00474F33"/>
    <w:rsid w:val="00474F65"/>
    <w:rsid w:val="004750E6"/>
    <w:rsid w:val="0047541A"/>
    <w:rsid w:val="00475479"/>
    <w:rsid w:val="00475645"/>
    <w:rsid w:val="00475CD6"/>
    <w:rsid w:val="0047625F"/>
    <w:rsid w:val="00476473"/>
    <w:rsid w:val="004766BA"/>
    <w:rsid w:val="004766FF"/>
    <w:rsid w:val="0047690C"/>
    <w:rsid w:val="00476B54"/>
    <w:rsid w:val="00476E38"/>
    <w:rsid w:val="00476E69"/>
    <w:rsid w:val="00476F6B"/>
    <w:rsid w:val="00476FBA"/>
    <w:rsid w:val="00477299"/>
    <w:rsid w:val="004775C1"/>
    <w:rsid w:val="004777F5"/>
    <w:rsid w:val="00477918"/>
    <w:rsid w:val="00477BBB"/>
    <w:rsid w:val="00477C49"/>
    <w:rsid w:val="00477C8B"/>
    <w:rsid w:val="00477EA2"/>
    <w:rsid w:val="004801A6"/>
    <w:rsid w:val="004801B9"/>
    <w:rsid w:val="004804FD"/>
    <w:rsid w:val="00480527"/>
    <w:rsid w:val="0048057D"/>
    <w:rsid w:val="00480FC5"/>
    <w:rsid w:val="00481007"/>
    <w:rsid w:val="004811C4"/>
    <w:rsid w:val="00481311"/>
    <w:rsid w:val="004814E2"/>
    <w:rsid w:val="004815F8"/>
    <w:rsid w:val="00481CD1"/>
    <w:rsid w:val="00481CF0"/>
    <w:rsid w:val="00481DB8"/>
    <w:rsid w:val="00481E3F"/>
    <w:rsid w:val="00481E88"/>
    <w:rsid w:val="004820BD"/>
    <w:rsid w:val="0048256C"/>
    <w:rsid w:val="00482826"/>
    <w:rsid w:val="00482873"/>
    <w:rsid w:val="004829BC"/>
    <w:rsid w:val="00482CFC"/>
    <w:rsid w:val="00482DCC"/>
    <w:rsid w:val="00482DF4"/>
    <w:rsid w:val="00482F6E"/>
    <w:rsid w:val="004830BA"/>
    <w:rsid w:val="0048354C"/>
    <w:rsid w:val="0048359D"/>
    <w:rsid w:val="00483667"/>
    <w:rsid w:val="00483850"/>
    <w:rsid w:val="00483867"/>
    <w:rsid w:val="00483A84"/>
    <w:rsid w:val="00483ABC"/>
    <w:rsid w:val="00483B2C"/>
    <w:rsid w:val="00483B69"/>
    <w:rsid w:val="004842E9"/>
    <w:rsid w:val="004845C5"/>
    <w:rsid w:val="00484659"/>
    <w:rsid w:val="00484752"/>
    <w:rsid w:val="0048489D"/>
    <w:rsid w:val="00484DB1"/>
    <w:rsid w:val="00484ED1"/>
    <w:rsid w:val="00485174"/>
    <w:rsid w:val="0048596D"/>
    <w:rsid w:val="00485B15"/>
    <w:rsid w:val="00485D7A"/>
    <w:rsid w:val="00485DAC"/>
    <w:rsid w:val="00485FAC"/>
    <w:rsid w:val="00485FE0"/>
    <w:rsid w:val="00486816"/>
    <w:rsid w:val="004869CD"/>
    <w:rsid w:val="00486A7D"/>
    <w:rsid w:val="00486CCC"/>
    <w:rsid w:val="00486D8C"/>
    <w:rsid w:val="00486F24"/>
    <w:rsid w:val="00487201"/>
    <w:rsid w:val="004872C4"/>
    <w:rsid w:val="00487341"/>
    <w:rsid w:val="004873F7"/>
    <w:rsid w:val="00487934"/>
    <w:rsid w:val="00487A68"/>
    <w:rsid w:val="00487AE0"/>
    <w:rsid w:val="00487B08"/>
    <w:rsid w:val="00487B8B"/>
    <w:rsid w:val="00487F47"/>
    <w:rsid w:val="00487F5E"/>
    <w:rsid w:val="00487FFA"/>
    <w:rsid w:val="0049019D"/>
    <w:rsid w:val="004902D0"/>
    <w:rsid w:val="00490364"/>
    <w:rsid w:val="00490397"/>
    <w:rsid w:val="00490646"/>
    <w:rsid w:val="004906BB"/>
    <w:rsid w:val="00490A29"/>
    <w:rsid w:val="00490D4C"/>
    <w:rsid w:val="00490D4D"/>
    <w:rsid w:val="00490DC6"/>
    <w:rsid w:val="00491122"/>
    <w:rsid w:val="00491227"/>
    <w:rsid w:val="00491373"/>
    <w:rsid w:val="0049141F"/>
    <w:rsid w:val="004917C5"/>
    <w:rsid w:val="00491ECC"/>
    <w:rsid w:val="00492775"/>
    <w:rsid w:val="00492790"/>
    <w:rsid w:val="004931E8"/>
    <w:rsid w:val="0049335C"/>
    <w:rsid w:val="004934D2"/>
    <w:rsid w:val="00493D64"/>
    <w:rsid w:val="00493F24"/>
    <w:rsid w:val="00493F30"/>
    <w:rsid w:val="00494288"/>
    <w:rsid w:val="004945A8"/>
    <w:rsid w:val="00494878"/>
    <w:rsid w:val="0049487A"/>
    <w:rsid w:val="00494F20"/>
    <w:rsid w:val="00494FA5"/>
    <w:rsid w:val="00495413"/>
    <w:rsid w:val="00495565"/>
    <w:rsid w:val="00495884"/>
    <w:rsid w:val="00495C04"/>
    <w:rsid w:val="00495F29"/>
    <w:rsid w:val="00495FDF"/>
    <w:rsid w:val="004960C9"/>
    <w:rsid w:val="004962D4"/>
    <w:rsid w:val="00496412"/>
    <w:rsid w:val="004965B0"/>
    <w:rsid w:val="00496680"/>
    <w:rsid w:val="0049697E"/>
    <w:rsid w:val="004969AA"/>
    <w:rsid w:val="00496CEA"/>
    <w:rsid w:val="004977ED"/>
    <w:rsid w:val="00497A20"/>
    <w:rsid w:val="00497B96"/>
    <w:rsid w:val="00497BAC"/>
    <w:rsid w:val="00497EF8"/>
    <w:rsid w:val="00497FC6"/>
    <w:rsid w:val="00497FCC"/>
    <w:rsid w:val="004A0098"/>
    <w:rsid w:val="004A00C3"/>
    <w:rsid w:val="004A0370"/>
    <w:rsid w:val="004A0ADE"/>
    <w:rsid w:val="004A0C24"/>
    <w:rsid w:val="004A0C97"/>
    <w:rsid w:val="004A1189"/>
    <w:rsid w:val="004A1509"/>
    <w:rsid w:val="004A174A"/>
    <w:rsid w:val="004A17C0"/>
    <w:rsid w:val="004A17EF"/>
    <w:rsid w:val="004A180B"/>
    <w:rsid w:val="004A186A"/>
    <w:rsid w:val="004A1A3A"/>
    <w:rsid w:val="004A1B4D"/>
    <w:rsid w:val="004A1E6C"/>
    <w:rsid w:val="004A1F79"/>
    <w:rsid w:val="004A1FDC"/>
    <w:rsid w:val="004A1FE1"/>
    <w:rsid w:val="004A209B"/>
    <w:rsid w:val="004A22AD"/>
    <w:rsid w:val="004A2A81"/>
    <w:rsid w:val="004A2BEF"/>
    <w:rsid w:val="004A2F4A"/>
    <w:rsid w:val="004A30EF"/>
    <w:rsid w:val="004A3196"/>
    <w:rsid w:val="004A31D3"/>
    <w:rsid w:val="004A33B6"/>
    <w:rsid w:val="004A3576"/>
    <w:rsid w:val="004A3A4B"/>
    <w:rsid w:val="004A3A9A"/>
    <w:rsid w:val="004A3B60"/>
    <w:rsid w:val="004A3DE2"/>
    <w:rsid w:val="004A3DE5"/>
    <w:rsid w:val="004A3DEB"/>
    <w:rsid w:val="004A3E38"/>
    <w:rsid w:val="004A45FF"/>
    <w:rsid w:val="004A4677"/>
    <w:rsid w:val="004A49B1"/>
    <w:rsid w:val="004A4BA8"/>
    <w:rsid w:val="004A4F9D"/>
    <w:rsid w:val="004A5001"/>
    <w:rsid w:val="004A505C"/>
    <w:rsid w:val="004A51D9"/>
    <w:rsid w:val="004A528B"/>
    <w:rsid w:val="004A5303"/>
    <w:rsid w:val="004A5503"/>
    <w:rsid w:val="004A5901"/>
    <w:rsid w:val="004A5BF3"/>
    <w:rsid w:val="004A5E45"/>
    <w:rsid w:val="004A5FF8"/>
    <w:rsid w:val="004A62C1"/>
    <w:rsid w:val="004A633B"/>
    <w:rsid w:val="004A6562"/>
    <w:rsid w:val="004A690B"/>
    <w:rsid w:val="004A6B0F"/>
    <w:rsid w:val="004A6CE5"/>
    <w:rsid w:val="004A7452"/>
    <w:rsid w:val="004A7944"/>
    <w:rsid w:val="004A7B94"/>
    <w:rsid w:val="004A7BAF"/>
    <w:rsid w:val="004A7D11"/>
    <w:rsid w:val="004A7D6B"/>
    <w:rsid w:val="004B0268"/>
    <w:rsid w:val="004B09D6"/>
    <w:rsid w:val="004B0F7B"/>
    <w:rsid w:val="004B1072"/>
    <w:rsid w:val="004B1076"/>
    <w:rsid w:val="004B1095"/>
    <w:rsid w:val="004B120D"/>
    <w:rsid w:val="004B1316"/>
    <w:rsid w:val="004B1498"/>
    <w:rsid w:val="004B16A7"/>
    <w:rsid w:val="004B1855"/>
    <w:rsid w:val="004B1973"/>
    <w:rsid w:val="004B1C6F"/>
    <w:rsid w:val="004B1D06"/>
    <w:rsid w:val="004B1E8E"/>
    <w:rsid w:val="004B1E95"/>
    <w:rsid w:val="004B2352"/>
    <w:rsid w:val="004B2725"/>
    <w:rsid w:val="004B2A8A"/>
    <w:rsid w:val="004B2B44"/>
    <w:rsid w:val="004B2C35"/>
    <w:rsid w:val="004B2D57"/>
    <w:rsid w:val="004B3798"/>
    <w:rsid w:val="004B37BE"/>
    <w:rsid w:val="004B396F"/>
    <w:rsid w:val="004B39ED"/>
    <w:rsid w:val="004B3B59"/>
    <w:rsid w:val="004B3E33"/>
    <w:rsid w:val="004B3E8E"/>
    <w:rsid w:val="004B4130"/>
    <w:rsid w:val="004B4198"/>
    <w:rsid w:val="004B41B3"/>
    <w:rsid w:val="004B45CA"/>
    <w:rsid w:val="004B4630"/>
    <w:rsid w:val="004B473F"/>
    <w:rsid w:val="004B47BF"/>
    <w:rsid w:val="004B48A5"/>
    <w:rsid w:val="004B49FD"/>
    <w:rsid w:val="004B4CE9"/>
    <w:rsid w:val="004B4EC4"/>
    <w:rsid w:val="004B4F9E"/>
    <w:rsid w:val="004B521B"/>
    <w:rsid w:val="004B528A"/>
    <w:rsid w:val="004B53EC"/>
    <w:rsid w:val="004B55EE"/>
    <w:rsid w:val="004B57A6"/>
    <w:rsid w:val="004B63D7"/>
    <w:rsid w:val="004B6406"/>
    <w:rsid w:val="004B6500"/>
    <w:rsid w:val="004B6712"/>
    <w:rsid w:val="004B67D9"/>
    <w:rsid w:val="004B6956"/>
    <w:rsid w:val="004B6D7B"/>
    <w:rsid w:val="004B6FCD"/>
    <w:rsid w:val="004B718E"/>
    <w:rsid w:val="004B720C"/>
    <w:rsid w:val="004B75D1"/>
    <w:rsid w:val="004B75EA"/>
    <w:rsid w:val="004B7888"/>
    <w:rsid w:val="004B7B10"/>
    <w:rsid w:val="004B7BEA"/>
    <w:rsid w:val="004B7C69"/>
    <w:rsid w:val="004B7D14"/>
    <w:rsid w:val="004B7E21"/>
    <w:rsid w:val="004B7E83"/>
    <w:rsid w:val="004B7ED4"/>
    <w:rsid w:val="004B7FB6"/>
    <w:rsid w:val="004C0038"/>
    <w:rsid w:val="004C0481"/>
    <w:rsid w:val="004C05E8"/>
    <w:rsid w:val="004C0812"/>
    <w:rsid w:val="004C0DD4"/>
    <w:rsid w:val="004C10E6"/>
    <w:rsid w:val="004C12BD"/>
    <w:rsid w:val="004C12C7"/>
    <w:rsid w:val="004C1475"/>
    <w:rsid w:val="004C1664"/>
    <w:rsid w:val="004C178B"/>
    <w:rsid w:val="004C17BE"/>
    <w:rsid w:val="004C197C"/>
    <w:rsid w:val="004C1AC8"/>
    <w:rsid w:val="004C1B78"/>
    <w:rsid w:val="004C1EBF"/>
    <w:rsid w:val="004C2062"/>
    <w:rsid w:val="004C21DC"/>
    <w:rsid w:val="004C2663"/>
    <w:rsid w:val="004C28EC"/>
    <w:rsid w:val="004C29A1"/>
    <w:rsid w:val="004C2B34"/>
    <w:rsid w:val="004C2D74"/>
    <w:rsid w:val="004C2DEF"/>
    <w:rsid w:val="004C2E9A"/>
    <w:rsid w:val="004C3026"/>
    <w:rsid w:val="004C3099"/>
    <w:rsid w:val="004C3306"/>
    <w:rsid w:val="004C3331"/>
    <w:rsid w:val="004C3461"/>
    <w:rsid w:val="004C388E"/>
    <w:rsid w:val="004C3C3D"/>
    <w:rsid w:val="004C3E70"/>
    <w:rsid w:val="004C3FFC"/>
    <w:rsid w:val="004C437C"/>
    <w:rsid w:val="004C46B8"/>
    <w:rsid w:val="004C4DFF"/>
    <w:rsid w:val="004C52C7"/>
    <w:rsid w:val="004C56FB"/>
    <w:rsid w:val="004C571A"/>
    <w:rsid w:val="004C5735"/>
    <w:rsid w:val="004C5769"/>
    <w:rsid w:val="004C5A15"/>
    <w:rsid w:val="004C5DD5"/>
    <w:rsid w:val="004C6600"/>
    <w:rsid w:val="004C67D1"/>
    <w:rsid w:val="004C6D5D"/>
    <w:rsid w:val="004C6DA5"/>
    <w:rsid w:val="004C6DC0"/>
    <w:rsid w:val="004C6F31"/>
    <w:rsid w:val="004C6F8C"/>
    <w:rsid w:val="004C6F8F"/>
    <w:rsid w:val="004C7087"/>
    <w:rsid w:val="004C7491"/>
    <w:rsid w:val="004C74E4"/>
    <w:rsid w:val="004C7825"/>
    <w:rsid w:val="004C78FF"/>
    <w:rsid w:val="004C7E29"/>
    <w:rsid w:val="004C7E6B"/>
    <w:rsid w:val="004D045E"/>
    <w:rsid w:val="004D06E4"/>
    <w:rsid w:val="004D0A66"/>
    <w:rsid w:val="004D0A6E"/>
    <w:rsid w:val="004D0BF3"/>
    <w:rsid w:val="004D0CB8"/>
    <w:rsid w:val="004D1026"/>
    <w:rsid w:val="004D14C9"/>
    <w:rsid w:val="004D1506"/>
    <w:rsid w:val="004D1762"/>
    <w:rsid w:val="004D1A04"/>
    <w:rsid w:val="004D1A06"/>
    <w:rsid w:val="004D1F55"/>
    <w:rsid w:val="004D21FD"/>
    <w:rsid w:val="004D2476"/>
    <w:rsid w:val="004D24B7"/>
    <w:rsid w:val="004D25BC"/>
    <w:rsid w:val="004D2786"/>
    <w:rsid w:val="004D29A7"/>
    <w:rsid w:val="004D342A"/>
    <w:rsid w:val="004D366F"/>
    <w:rsid w:val="004D3BEA"/>
    <w:rsid w:val="004D3C16"/>
    <w:rsid w:val="004D3C94"/>
    <w:rsid w:val="004D3CBA"/>
    <w:rsid w:val="004D3EFD"/>
    <w:rsid w:val="004D4232"/>
    <w:rsid w:val="004D444C"/>
    <w:rsid w:val="004D4694"/>
    <w:rsid w:val="004D48ED"/>
    <w:rsid w:val="004D53CE"/>
    <w:rsid w:val="004D5498"/>
    <w:rsid w:val="004D55EE"/>
    <w:rsid w:val="004D5ADB"/>
    <w:rsid w:val="004D5D74"/>
    <w:rsid w:val="004D5F70"/>
    <w:rsid w:val="004D60E1"/>
    <w:rsid w:val="004D683C"/>
    <w:rsid w:val="004D6A5A"/>
    <w:rsid w:val="004D6AAB"/>
    <w:rsid w:val="004D6C71"/>
    <w:rsid w:val="004D6CEA"/>
    <w:rsid w:val="004D6EDB"/>
    <w:rsid w:val="004D75D5"/>
    <w:rsid w:val="004D7741"/>
    <w:rsid w:val="004D7811"/>
    <w:rsid w:val="004D7D56"/>
    <w:rsid w:val="004D7D5B"/>
    <w:rsid w:val="004D7F66"/>
    <w:rsid w:val="004E0268"/>
    <w:rsid w:val="004E0356"/>
    <w:rsid w:val="004E049D"/>
    <w:rsid w:val="004E04C0"/>
    <w:rsid w:val="004E0588"/>
    <w:rsid w:val="004E0991"/>
    <w:rsid w:val="004E0E26"/>
    <w:rsid w:val="004E0E7E"/>
    <w:rsid w:val="004E0FCA"/>
    <w:rsid w:val="004E1115"/>
    <w:rsid w:val="004E1177"/>
    <w:rsid w:val="004E133D"/>
    <w:rsid w:val="004E1641"/>
    <w:rsid w:val="004E1672"/>
    <w:rsid w:val="004E1685"/>
    <w:rsid w:val="004E192D"/>
    <w:rsid w:val="004E1B19"/>
    <w:rsid w:val="004E1B3F"/>
    <w:rsid w:val="004E1D82"/>
    <w:rsid w:val="004E1E71"/>
    <w:rsid w:val="004E1EEF"/>
    <w:rsid w:val="004E1F24"/>
    <w:rsid w:val="004E201B"/>
    <w:rsid w:val="004E20A6"/>
    <w:rsid w:val="004E211E"/>
    <w:rsid w:val="004E21B1"/>
    <w:rsid w:val="004E221A"/>
    <w:rsid w:val="004E26BE"/>
    <w:rsid w:val="004E27B5"/>
    <w:rsid w:val="004E280D"/>
    <w:rsid w:val="004E29CD"/>
    <w:rsid w:val="004E29F9"/>
    <w:rsid w:val="004E31BD"/>
    <w:rsid w:val="004E3466"/>
    <w:rsid w:val="004E3A36"/>
    <w:rsid w:val="004E3A37"/>
    <w:rsid w:val="004E3B18"/>
    <w:rsid w:val="004E3E41"/>
    <w:rsid w:val="004E3E4D"/>
    <w:rsid w:val="004E44E7"/>
    <w:rsid w:val="004E4AC1"/>
    <w:rsid w:val="004E4B1E"/>
    <w:rsid w:val="004E5221"/>
    <w:rsid w:val="004E573B"/>
    <w:rsid w:val="004E59BB"/>
    <w:rsid w:val="004E5F45"/>
    <w:rsid w:val="004E5FDB"/>
    <w:rsid w:val="004E605E"/>
    <w:rsid w:val="004E62C0"/>
    <w:rsid w:val="004E6738"/>
    <w:rsid w:val="004E67BD"/>
    <w:rsid w:val="004E687B"/>
    <w:rsid w:val="004E6A19"/>
    <w:rsid w:val="004E6A49"/>
    <w:rsid w:val="004E6C50"/>
    <w:rsid w:val="004E7038"/>
    <w:rsid w:val="004E772B"/>
    <w:rsid w:val="004E78B3"/>
    <w:rsid w:val="004E7D55"/>
    <w:rsid w:val="004F0490"/>
    <w:rsid w:val="004F06B1"/>
    <w:rsid w:val="004F08AD"/>
    <w:rsid w:val="004F0954"/>
    <w:rsid w:val="004F10B7"/>
    <w:rsid w:val="004F1324"/>
    <w:rsid w:val="004F1332"/>
    <w:rsid w:val="004F1575"/>
    <w:rsid w:val="004F1583"/>
    <w:rsid w:val="004F17CF"/>
    <w:rsid w:val="004F1814"/>
    <w:rsid w:val="004F183B"/>
    <w:rsid w:val="004F1B7A"/>
    <w:rsid w:val="004F1DDF"/>
    <w:rsid w:val="004F2065"/>
    <w:rsid w:val="004F206C"/>
    <w:rsid w:val="004F229C"/>
    <w:rsid w:val="004F24D2"/>
    <w:rsid w:val="004F256C"/>
    <w:rsid w:val="004F27D5"/>
    <w:rsid w:val="004F3055"/>
    <w:rsid w:val="004F3166"/>
    <w:rsid w:val="004F3358"/>
    <w:rsid w:val="004F3763"/>
    <w:rsid w:val="004F3BA6"/>
    <w:rsid w:val="004F3CA8"/>
    <w:rsid w:val="004F3D26"/>
    <w:rsid w:val="004F3E4F"/>
    <w:rsid w:val="004F4165"/>
    <w:rsid w:val="004F4487"/>
    <w:rsid w:val="004F4586"/>
    <w:rsid w:val="004F46F3"/>
    <w:rsid w:val="004F4866"/>
    <w:rsid w:val="004F4DA9"/>
    <w:rsid w:val="004F513A"/>
    <w:rsid w:val="004F516E"/>
    <w:rsid w:val="004F51CA"/>
    <w:rsid w:val="004F5380"/>
    <w:rsid w:val="004F54EA"/>
    <w:rsid w:val="004F5A68"/>
    <w:rsid w:val="004F5C27"/>
    <w:rsid w:val="004F5D7C"/>
    <w:rsid w:val="004F5DB9"/>
    <w:rsid w:val="004F63F9"/>
    <w:rsid w:val="004F64E0"/>
    <w:rsid w:val="004F674B"/>
    <w:rsid w:val="004F68E2"/>
    <w:rsid w:val="004F6912"/>
    <w:rsid w:val="004F6E69"/>
    <w:rsid w:val="004F7392"/>
    <w:rsid w:val="004F762D"/>
    <w:rsid w:val="004F766A"/>
    <w:rsid w:val="004F79A4"/>
    <w:rsid w:val="004F7A54"/>
    <w:rsid w:val="004F7DBB"/>
    <w:rsid w:val="00500112"/>
    <w:rsid w:val="00500195"/>
    <w:rsid w:val="00500B1B"/>
    <w:rsid w:val="00500B6C"/>
    <w:rsid w:val="00500CE7"/>
    <w:rsid w:val="00500D26"/>
    <w:rsid w:val="00500D62"/>
    <w:rsid w:val="00500EF6"/>
    <w:rsid w:val="005017FC"/>
    <w:rsid w:val="0050185F"/>
    <w:rsid w:val="005019AF"/>
    <w:rsid w:val="00501EAF"/>
    <w:rsid w:val="00501F6C"/>
    <w:rsid w:val="005020B6"/>
    <w:rsid w:val="0050232B"/>
    <w:rsid w:val="005023BA"/>
    <w:rsid w:val="005027A0"/>
    <w:rsid w:val="00502807"/>
    <w:rsid w:val="00502860"/>
    <w:rsid w:val="00502920"/>
    <w:rsid w:val="00502C4A"/>
    <w:rsid w:val="00502E21"/>
    <w:rsid w:val="00502F3D"/>
    <w:rsid w:val="0050311A"/>
    <w:rsid w:val="00503552"/>
    <w:rsid w:val="005036A4"/>
    <w:rsid w:val="0050399C"/>
    <w:rsid w:val="00503A36"/>
    <w:rsid w:val="00503C6E"/>
    <w:rsid w:val="00503EF8"/>
    <w:rsid w:val="00504095"/>
    <w:rsid w:val="005040DB"/>
    <w:rsid w:val="0050420C"/>
    <w:rsid w:val="0050478C"/>
    <w:rsid w:val="00504A1E"/>
    <w:rsid w:val="00504B9F"/>
    <w:rsid w:val="00504C50"/>
    <w:rsid w:val="00504D94"/>
    <w:rsid w:val="00504DAA"/>
    <w:rsid w:val="00504E8A"/>
    <w:rsid w:val="00504ED8"/>
    <w:rsid w:val="005054BF"/>
    <w:rsid w:val="00505658"/>
    <w:rsid w:val="00506138"/>
    <w:rsid w:val="0050617C"/>
    <w:rsid w:val="005061A9"/>
    <w:rsid w:val="005061D4"/>
    <w:rsid w:val="00506219"/>
    <w:rsid w:val="005062CD"/>
    <w:rsid w:val="00506A16"/>
    <w:rsid w:val="00506A36"/>
    <w:rsid w:val="00506ABA"/>
    <w:rsid w:val="00506D19"/>
    <w:rsid w:val="005070FF"/>
    <w:rsid w:val="00507453"/>
    <w:rsid w:val="005074EF"/>
    <w:rsid w:val="005077A8"/>
    <w:rsid w:val="00507872"/>
    <w:rsid w:val="005078D3"/>
    <w:rsid w:val="00507A33"/>
    <w:rsid w:val="00507B45"/>
    <w:rsid w:val="00507E04"/>
    <w:rsid w:val="00507E3B"/>
    <w:rsid w:val="005101F3"/>
    <w:rsid w:val="005106F9"/>
    <w:rsid w:val="00510A6C"/>
    <w:rsid w:val="00510BE1"/>
    <w:rsid w:val="00510CD6"/>
    <w:rsid w:val="00510E5D"/>
    <w:rsid w:val="00511171"/>
    <w:rsid w:val="00511562"/>
    <w:rsid w:val="00511A2D"/>
    <w:rsid w:val="00511EB9"/>
    <w:rsid w:val="005121AA"/>
    <w:rsid w:val="00512400"/>
    <w:rsid w:val="00512455"/>
    <w:rsid w:val="00512668"/>
    <w:rsid w:val="0051287C"/>
    <w:rsid w:val="00512A1F"/>
    <w:rsid w:val="00512CC1"/>
    <w:rsid w:val="00512CC4"/>
    <w:rsid w:val="00512D36"/>
    <w:rsid w:val="00513048"/>
    <w:rsid w:val="0051307E"/>
    <w:rsid w:val="00513173"/>
    <w:rsid w:val="00513538"/>
    <w:rsid w:val="00513963"/>
    <w:rsid w:val="00513974"/>
    <w:rsid w:val="00513C63"/>
    <w:rsid w:val="00513DDA"/>
    <w:rsid w:val="0051428D"/>
    <w:rsid w:val="005143B5"/>
    <w:rsid w:val="0051452D"/>
    <w:rsid w:val="00514845"/>
    <w:rsid w:val="00514995"/>
    <w:rsid w:val="00514AC7"/>
    <w:rsid w:val="00514AE6"/>
    <w:rsid w:val="00514C20"/>
    <w:rsid w:val="00514D6E"/>
    <w:rsid w:val="00514F48"/>
    <w:rsid w:val="00514FD0"/>
    <w:rsid w:val="005152AE"/>
    <w:rsid w:val="00515425"/>
    <w:rsid w:val="00515450"/>
    <w:rsid w:val="005156A1"/>
    <w:rsid w:val="00515A87"/>
    <w:rsid w:val="00515B19"/>
    <w:rsid w:val="00515C8D"/>
    <w:rsid w:val="0051626A"/>
    <w:rsid w:val="005162CE"/>
    <w:rsid w:val="005163C8"/>
    <w:rsid w:val="00516771"/>
    <w:rsid w:val="005168EE"/>
    <w:rsid w:val="00516C1D"/>
    <w:rsid w:val="00516F51"/>
    <w:rsid w:val="00516FF8"/>
    <w:rsid w:val="0051735E"/>
    <w:rsid w:val="00517484"/>
    <w:rsid w:val="0051750C"/>
    <w:rsid w:val="00517519"/>
    <w:rsid w:val="005177B1"/>
    <w:rsid w:val="005178E7"/>
    <w:rsid w:val="00517E54"/>
    <w:rsid w:val="00517F38"/>
    <w:rsid w:val="005201AC"/>
    <w:rsid w:val="0052032E"/>
    <w:rsid w:val="00520367"/>
    <w:rsid w:val="00520548"/>
    <w:rsid w:val="00520B79"/>
    <w:rsid w:val="00520B97"/>
    <w:rsid w:val="00520FC8"/>
    <w:rsid w:val="005210FC"/>
    <w:rsid w:val="00521291"/>
    <w:rsid w:val="00521509"/>
    <w:rsid w:val="00521518"/>
    <w:rsid w:val="00521754"/>
    <w:rsid w:val="00521C95"/>
    <w:rsid w:val="00521D87"/>
    <w:rsid w:val="00521D93"/>
    <w:rsid w:val="00521FF9"/>
    <w:rsid w:val="0052218A"/>
    <w:rsid w:val="0052288D"/>
    <w:rsid w:val="00522B71"/>
    <w:rsid w:val="00523085"/>
    <w:rsid w:val="00523254"/>
    <w:rsid w:val="00523764"/>
    <w:rsid w:val="00523810"/>
    <w:rsid w:val="00523AB6"/>
    <w:rsid w:val="00523C59"/>
    <w:rsid w:val="00523EAA"/>
    <w:rsid w:val="005241CD"/>
    <w:rsid w:val="00524296"/>
    <w:rsid w:val="005247BE"/>
    <w:rsid w:val="00524CA6"/>
    <w:rsid w:val="00524D6F"/>
    <w:rsid w:val="00524D7B"/>
    <w:rsid w:val="00524E1A"/>
    <w:rsid w:val="00524E73"/>
    <w:rsid w:val="00524F1E"/>
    <w:rsid w:val="005255A0"/>
    <w:rsid w:val="005256AB"/>
    <w:rsid w:val="0052573D"/>
    <w:rsid w:val="005259C2"/>
    <w:rsid w:val="00526431"/>
    <w:rsid w:val="00526A78"/>
    <w:rsid w:val="00526BB9"/>
    <w:rsid w:val="00526CC8"/>
    <w:rsid w:val="00526D0C"/>
    <w:rsid w:val="00526DAB"/>
    <w:rsid w:val="00526F3B"/>
    <w:rsid w:val="005271E0"/>
    <w:rsid w:val="00527228"/>
    <w:rsid w:val="005275A4"/>
    <w:rsid w:val="00527A80"/>
    <w:rsid w:val="00527B58"/>
    <w:rsid w:val="00527CEE"/>
    <w:rsid w:val="00527DAC"/>
    <w:rsid w:val="005305E7"/>
    <w:rsid w:val="0053080B"/>
    <w:rsid w:val="005309A1"/>
    <w:rsid w:val="00530A87"/>
    <w:rsid w:val="00530C64"/>
    <w:rsid w:val="00530F80"/>
    <w:rsid w:val="00530F8C"/>
    <w:rsid w:val="0053102A"/>
    <w:rsid w:val="00531111"/>
    <w:rsid w:val="0053121B"/>
    <w:rsid w:val="005312AF"/>
    <w:rsid w:val="0053132B"/>
    <w:rsid w:val="00531369"/>
    <w:rsid w:val="005313DD"/>
    <w:rsid w:val="0053178A"/>
    <w:rsid w:val="005319D6"/>
    <w:rsid w:val="00531A27"/>
    <w:rsid w:val="00531A8B"/>
    <w:rsid w:val="00531D05"/>
    <w:rsid w:val="00531D56"/>
    <w:rsid w:val="00531E21"/>
    <w:rsid w:val="005327B7"/>
    <w:rsid w:val="00532828"/>
    <w:rsid w:val="005329AB"/>
    <w:rsid w:val="00532D90"/>
    <w:rsid w:val="00532ED4"/>
    <w:rsid w:val="00533156"/>
    <w:rsid w:val="005332AB"/>
    <w:rsid w:val="005332F6"/>
    <w:rsid w:val="005336F4"/>
    <w:rsid w:val="00533955"/>
    <w:rsid w:val="00533DE7"/>
    <w:rsid w:val="00533E40"/>
    <w:rsid w:val="00534051"/>
    <w:rsid w:val="005343DC"/>
    <w:rsid w:val="005348CC"/>
    <w:rsid w:val="00534B38"/>
    <w:rsid w:val="00534C64"/>
    <w:rsid w:val="00534CE6"/>
    <w:rsid w:val="00534D98"/>
    <w:rsid w:val="00534DB5"/>
    <w:rsid w:val="00534DD3"/>
    <w:rsid w:val="0053512B"/>
    <w:rsid w:val="005358B2"/>
    <w:rsid w:val="00535A91"/>
    <w:rsid w:val="00535A9A"/>
    <w:rsid w:val="00535AC8"/>
    <w:rsid w:val="00535B1B"/>
    <w:rsid w:val="00535F8F"/>
    <w:rsid w:val="00535F9B"/>
    <w:rsid w:val="005360B2"/>
    <w:rsid w:val="00536188"/>
    <w:rsid w:val="005361CD"/>
    <w:rsid w:val="00536261"/>
    <w:rsid w:val="005366B4"/>
    <w:rsid w:val="005366CE"/>
    <w:rsid w:val="00536937"/>
    <w:rsid w:val="00536B13"/>
    <w:rsid w:val="00536C11"/>
    <w:rsid w:val="00536E79"/>
    <w:rsid w:val="00536FFF"/>
    <w:rsid w:val="00537390"/>
    <w:rsid w:val="0053752E"/>
    <w:rsid w:val="00537A71"/>
    <w:rsid w:val="00537E81"/>
    <w:rsid w:val="00537ED1"/>
    <w:rsid w:val="00537FE7"/>
    <w:rsid w:val="00540348"/>
    <w:rsid w:val="00540619"/>
    <w:rsid w:val="005407FD"/>
    <w:rsid w:val="005409DE"/>
    <w:rsid w:val="00540C8E"/>
    <w:rsid w:val="005411C9"/>
    <w:rsid w:val="0054143C"/>
    <w:rsid w:val="005415CC"/>
    <w:rsid w:val="005415DF"/>
    <w:rsid w:val="00541680"/>
    <w:rsid w:val="005418A4"/>
    <w:rsid w:val="005418B3"/>
    <w:rsid w:val="00541941"/>
    <w:rsid w:val="0054196D"/>
    <w:rsid w:val="00541A5E"/>
    <w:rsid w:val="00541F84"/>
    <w:rsid w:val="00541FE7"/>
    <w:rsid w:val="0054253A"/>
    <w:rsid w:val="005425DA"/>
    <w:rsid w:val="0054262D"/>
    <w:rsid w:val="005426A2"/>
    <w:rsid w:val="00542AD1"/>
    <w:rsid w:val="00542E2A"/>
    <w:rsid w:val="00542F2E"/>
    <w:rsid w:val="005430E5"/>
    <w:rsid w:val="00543435"/>
    <w:rsid w:val="00543636"/>
    <w:rsid w:val="005437CD"/>
    <w:rsid w:val="0054389C"/>
    <w:rsid w:val="00543BA4"/>
    <w:rsid w:val="00543F9E"/>
    <w:rsid w:val="00544001"/>
    <w:rsid w:val="005441A8"/>
    <w:rsid w:val="0054432F"/>
    <w:rsid w:val="00544802"/>
    <w:rsid w:val="005457EB"/>
    <w:rsid w:val="00545FB4"/>
    <w:rsid w:val="00546240"/>
    <w:rsid w:val="005467C1"/>
    <w:rsid w:val="00546B3A"/>
    <w:rsid w:val="00546B67"/>
    <w:rsid w:val="00546C04"/>
    <w:rsid w:val="00546DAA"/>
    <w:rsid w:val="00546E4E"/>
    <w:rsid w:val="00546FEA"/>
    <w:rsid w:val="005473BB"/>
    <w:rsid w:val="00547539"/>
    <w:rsid w:val="00547619"/>
    <w:rsid w:val="005477A4"/>
    <w:rsid w:val="00547830"/>
    <w:rsid w:val="005478EA"/>
    <w:rsid w:val="005479A4"/>
    <w:rsid w:val="00547BF9"/>
    <w:rsid w:val="00547D06"/>
    <w:rsid w:val="00547DB9"/>
    <w:rsid w:val="005502AF"/>
    <w:rsid w:val="005503FE"/>
    <w:rsid w:val="00550508"/>
    <w:rsid w:val="00550AF4"/>
    <w:rsid w:val="00550C46"/>
    <w:rsid w:val="00550D4B"/>
    <w:rsid w:val="00550D5A"/>
    <w:rsid w:val="00550EBF"/>
    <w:rsid w:val="00550F1E"/>
    <w:rsid w:val="005513E7"/>
    <w:rsid w:val="00551ACD"/>
    <w:rsid w:val="00551D85"/>
    <w:rsid w:val="005521AF"/>
    <w:rsid w:val="0055222B"/>
    <w:rsid w:val="00552CB8"/>
    <w:rsid w:val="00552D06"/>
    <w:rsid w:val="00552EC5"/>
    <w:rsid w:val="00552F03"/>
    <w:rsid w:val="00552FDE"/>
    <w:rsid w:val="0055354A"/>
    <w:rsid w:val="00553757"/>
    <w:rsid w:val="00553A25"/>
    <w:rsid w:val="00553AAC"/>
    <w:rsid w:val="00553ACB"/>
    <w:rsid w:val="00553F4D"/>
    <w:rsid w:val="00553F89"/>
    <w:rsid w:val="00553FE4"/>
    <w:rsid w:val="005541BF"/>
    <w:rsid w:val="005546EB"/>
    <w:rsid w:val="00554830"/>
    <w:rsid w:val="00554D45"/>
    <w:rsid w:val="00554F42"/>
    <w:rsid w:val="005553B6"/>
    <w:rsid w:val="0055540B"/>
    <w:rsid w:val="00555421"/>
    <w:rsid w:val="00555631"/>
    <w:rsid w:val="005556E5"/>
    <w:rsid w:val="005558DE"/>
    <w:rsid w:val="00555954"/>
    <w:rsid w:val="005559A1"/>
    <w:rsid w:val="00555B73"/>
    <w:rsid w:val="00555CD5"/>
    <w:rsid w:val="0055621D"/>
    <w:rsid w:val="00556222"/>
    <w:rsid w:val="0055673F"/>
    <w:rsid w:val="005567CE"/>
    <w:rsid w:val="005568A2"/>
    <w:rsid w:val="00556CEA"/>
    <w:rsid w:val="00556E7A"/>
    <w:rsid w:val="00557306"/>
    <w:rsid w:val="00557501"/>
    <w:rsid w:val="0055755B"/>
    <w:rsid w:val="005576AF"/>
    <w:rsid w:val="00557B2D"/>
    <w:rsid w:val="00557C08"/>
    <w:rsid w:val="00557DA7"/>
    <w:rsid w:val="00557DBA"/>
    <w:rsid w:val="00557E29"/>
    <w:rsid w:val="005600C9"/>
    <w:rsid w:val="005601EB"/>
    <w:rsid w:val="00560311"/>
    <w:rsid w:val="0056047E"/>
    <w:rsid w:val="00560484"/>
    <w:rsid w:val="00560491"/>
    <w:rsid w:val="005605E4"/>
    <w:rsid w:val="00560DCA"/>
    <w:rsid w:val="00560DCF"/>
    <w:rsid w:val="00560E06"/>
    <w:rsid w:val="005610BE"/>
    <w:rsid w:val="0056120C"/>
    <w:rsid w:val="005612EA"/>
    <w:rsid w:val="005613CC"/>
    <w:rsid w:val="00561772"/>
    <w:rsid w:val="00561B44"/>
    <w:rsid w:val="00561C1E"/>
    <w:rsid w:val="00561C50"/>
    <w:rsid w:val="00562036"/>
    <w:rsid w:val="00562306"/>
    <w:rsid w:val="005627C6"/>
    <w:rsid w:val="00562AE0"/>
    <w:rsid w:val="00562F5E"/>
    <w:rsid w:val="00563184"/>
    <w:rsid w:val="0056318F"/>
    <w:rsid w:val="005631DA"/>
    <w:rsid w:val="0056334B"/>
    <w:rsid w:val="005633D0"/>
    <w:rsid w:val="005635AD"/>
    <w:rsid w:val="00563701"/>
    <w:rsid w:val="00563CD6"/>
    <w:rsid w:val="00564023"/>
    <w:rsid w:val="00564312"/>
    <w:rsid w:val="00564524"/>
    <w:rsid w:val="005647B3"/>
    <w:rsid w:val="00564BC7"/>
    <w:rsid w:val="00565150"/>
    <w:rsid w:val="005654EF"/>
    <w:rsid w:val="00565712"/>
    <w:rsid w:val="005658B1"/>
    <w:rsid w:val="00565AA4"/>
    <w:rsid w:val="00565BD8"/>
    <w:rsid w:val="00565CB6"/>
    <w:rsid w:val="00565FF6"/>
    <w:rsid w:val="00566039"/>
    <w:rsid w:val="0056635B"/>
    <w:rsid w:val="005664DB"/>
    <w:rsid w:val="005665E1"/>
    <w:rsid w:val="00566989"/>
    <w:rsid w:val="00566B0A"/>
    <w:rsid w:val="00566D5B"/>
    <w:rsid w:val="00566E1C"/>
    <w:rsid w:val="00566E6D"/>
    <w:rsid w:val="0056702B"/>
    <w:rsid w:val="0056772D"/>
    <w:rsid w:val="0057009C"/>
    <w:rsid w:val="00570218"/>
    <w:rsid w:val="0057035B"/>
    <w:rsid w:val="00570712"/>
    <w:rsid w:val="00570775"/>
    <w:rsid w:val="00570B65"/>
    <w:rsid w:val="005711D0"/>
    <w:rsid w:val="00571546"/>
    <w:rsid w:val="005715A9"/>
    <w:rsid w:val="005715C5"/>
    <w:rsid w:val="00571969"/>
    <w:rsid w:val="00571AA7"/>
    <w:rsid w:val="00571C07"/>
    <w:rsid w:val="00571EE4"/>
    <w:rsid w:val="005720B5"/>
    <w:rsid w:val="005720C5"/>
    <w:rsid w:val="005723FC"/>
    <w:rsid w:val="0057245E"/>
    <w:rsid w:val="00572594"/>
    <w:rsid w:val="00572684"/>
    <w:rsid w:val="005726C3"/>
    <w:rsid w:val="00572B15"/>
    <w:rsid w:val="00572F70"/>
    <w:rsid w:val="00573204"/>
    <w:rsid w:val="005737C7"/>
    <w:rsid w:val="00573841"/>
    <w:rsid w:val="00573871"/>
    <w:rsid w:val="00573BD9"/>
    <w:rsid w:val="00573CBA"/>
    <w:rsid w:val="00573DAE"/>
    <w:rsid w:val="0057401A"/>
    <w:rsid w:val="0057417B"/>
    <w:rsid w:val="00574270"/>
    <w:rsid w:val="00574444"/>
    <w:rsid w:val="00574699"/>
    <w:rsid w:val="005747E2"/>
    <w:rsid w:val="00574D65"/>
    <w:rsid w:val="00574DCF"/>
    <w:rsid w:val="00574DE2"/>
    <w:rsid w:val="00575028"/>
    <w:rsid w:val="0057530A"/>
    <w:rsid w:val="0057590E"/>
    <w:rsid w:val="00575AF5"/>
    <w:rsid w:val="00575B02"/>
    <w:rsid w:val="00575E07"/>
    <w:rsid w:val="0057611D"/>
    <w:rsid w:val="00576C4C"/>
    <w:rsid w:val="005770A3"/>
    <w:rsid w:val="005772C3"/>
    <w:rsid w:val="00577561"/>
    <w:rsid w:val="005779F8"/>
    <w:rsid w:val="00577A72"/>
    <w:rsid w:val="00577BF4"/>
    <w:rsid w:val="0058083F"/>
    <w:rsid w:val="00580930"/>
    <w:rsid w:val="00580993"/>
    <w:rsid w:val="00580A74"/>
    <w:rsid w:val="00580B9A"/>
    <w:rsid w:val="00580BAC"/>
    <w:rsid w:val="00580EA0"/>
    <w:rsid w:val="00580EA8"/>
    <w:rsid w:val="00580F5D"/>
    <w:rsid w:val="00581414"/>
    <w:rsid w:val="00581706"/>
    <w:rsid w:val="005821D8"/>
    <w:rsid w:val="00582214"/>
    <w:rsid w:val="0058238F"/>
    <w:rsid w:val="005826C5"/>
    <w:rsid w:val="00582733"/>
    <w:rsid w:val="00582754"/>
    <w:rsid w:val="00582A0A"/>
    <w:rsid w:val="00582A48"/>
    <w:rsid w:val="00582F0B"/>
    <w:rsid w:val="00583101"/>
    <w:rsid w:val="0058375D"/>
    <w:rsid w:val="00583944"/>
    <w:rsid w:val="00583C60"/>
    <w:rsid w:val="00583D5B"/>
    <w:rsid w:val="005840C0"/>
    <w:rsid w:val="005844B0"/>
    <w:rsid w:val="00584576"/>
    <w:rsid w:val="0058467E"/>
    <w:rsid w:val="00584864"/>
    <w:rsid w:val="00584A25"/>
    <w:rsid w:val="00584E16"/>
    <w:rsid w:val="00584FF4"/>
    <w:rsid w:val="00585028"/>
    <w:rsid w:val="005852DE"/>
    <w:rsid w:val="00585347"/>
    <w:rsid w:val="00585486"/>
    <w:rsid w:val="00585741"/>
    <w:rsid w:val="005857B0"/>
    <w:rsid w:val="00585819"/>
    <w:rsid w:val="005859BE"/>
    <w:rsid w:val="00585A14"/>
    <w:rsid w:val="00585AC7"/>
    <w:rsid w:val="00585C93"/>
    <w:rsid w:val="00585D49"/>
    <w:rsid w:val="00585FA0"/>
    <w:rsid w:val="00586443"/>
    <w:rsid w:val="005864DA"/>
    <w:rsid w:val="005864F3"/>
    <w:rsid w:val="00586607"/>
    <w:rsid w:val="00586718"/>
    <w:rsid w:val="0058679B"/>
    <w:rsid w:val="005867B0"/>
    <w:rsid w:val="00586929"/>
    <w:rsid w:val="00586A6F"/>
    <w:rsid w:val="00586B3F"/>
    <w:rsid w:val="00586D2A"/>
    <w:rsid w:val="00586FDB"/>
    <w:rsid w:val="005873F8"/>
    <w:rsid w:val="005875A5"/>
    <w:rsid w:val="00587949"/>
    <w:rsid w:val="00587973"/>
    <w:rsid w:val="00587980"/>
    <w:rsid w:val="00587D4A"/>
    <w:rsid w:val="00587DE2"/>
    <w:rsid w:val="0059009A"/>
    <w:rsid w:val="005900BD"/>
    <w:rsid w:val="0059013D"/>
    <w:rsid w:val="00590443"/>
    <w:rsid w:val="005904FD"/>
    <w:rsid w:val="0059053B"/>
    <w:rsid w:val="0059082F"/>
    <w:rsid w:val="00590923"/>
    <w:rsid w:val="00590F0E"/>
    <w:rsid w:val="0059103A"/>
    <w:rsid w:val="005914B0"/>
    <w:rsid w:val="0059151F"/>
    <w:rsid w:val="00591754"/>
    <w:rsid w:val="00591842"/>
    <w:rsid w:val="00591CA8"/>
    <w:rsid w:val="005923F8"/>
    <w:rsid w:val="0059271A"/>
    <w:rsid w:val="0059298E"/>
    <w:rsid w:val="005929D5"/>
    <w:rsid w:val="00592A75"/>
    <w:rsid w:val="00592BBE"/>
    <w:rsid w:val="00592CA3"/>
    <w:rsid w:val="00592F14"/>
    <w:rsid w:val="005931FC"/>
    <w:rsid w:val="005932E4"/>
    <w:rsid w:val="005932F1"/>
    <w:rsid w:val="005933E3"/>
    <w:rsid w:val="00593481"/>
    <w:rsid w:val="005936A7"/>
    <w:rsid w:val="0059372C"/>
    <w:rsid w:val="00593775"/>
    <w:rsid w:val="005937B2"/>
    <w:rsid w:val="00594153"/>
    <w:rsid w:val="005943CE"/>
    <w:rsid w:val="005944DD"/>
    <w:rsid w:val="0059459C"/>
    <w:rsid w:val="00594A78"/>
    <w:rsid w:val="00594BD9"/>
    <w:rsid w:val="00594E42"/>
    <w:rsid w:val="00594E65"/>
    <w:rsid w:val="005950AD"/>
    <w:rsid w:val="00595230"/>
    <w:rsid w:val="00595435"/>
    <w:rsid w:val="00595551"/>
    <w:rsid w:val="00595951"/>
    <w:rsid w:val="005959C5"/>
    <w:rsid w:val="00595C4D"/>
    <w:rsid w:val="00595E11"/>
    <w:rsid w:val="00596047"/>
    <w:rsid w:val="005960D3"/>
    <w:rsid w:val="00596154"/>
    <w:rsid w:val="0059616F"/>
    <w:rsid w:val="00596187"/>
    <w:rsid w:val="005961DC"/>
    <w:rsid w:val="0059629B"/>
    <w:rsid w:val="005963EF"/>
    <w:rsid w:val="005965DD"/>
    <w:rsid w:val="00596971"/>
    <w:rsid w:val="00596A81"/>
    <w:rsid w:val="00596AA5"/>
    <w:rsid w:val="00596DE0"/>
    <w:rsid w:val="00596F2B"/>
    <w:rsid w:val="005970DB"/>
    <w:rsid w:val="0059773D"/>
    <w:rsid w:val="005977BB"/>
    <w:rsid w:val="005978C3"/>
    <w:rsid w:val="00597C59"/>
    <w:rsid w:val="005A019B"/>
    <w:rsid w:val="005A0569"/>
    <w:rsid w:val="005A091D"/>
    <w:rsid w:val="005A098E"/>
    <w:rsid w:val="005A0BB0"/>
    <w:rsid w:val="005A0E2F"/>
    <w:rsid w:val="005A0E64"/>
    <w:rsid w:val="005A107F"/>
    <w:rsid w:val="005A1107"/>
    <w:rsid w:val="005A1348"/>
    <w:rsid w:val="005A13AB"/>
    <w:rsid w:val="005A1411"/>
    <w:rsid w:val="005A159B"/>
    <w:rsid w:val="005A15FE"/>
    <w:rsid w:val="005A1996"/>
    <w:rsid w:val="005A1B37"/>
    <w:rsid w:val="005A1BFD"/>
    <w:rsid w:val="005A1DD7"/>
    <w:rsid w:val="005A2170"/>
    <w:rsid w:val="005A23B0"/>
    <w:rsid w:val="005A2883"/>
    <w:rsid w:val="005A2BBF"/>
    <w:rsid w:val="005A3112"/>
    <w:rsid w:val="005A32B2"/>
    <w:rsid w:val="005A3795"/>
    <w:rsid w:val="005A37FE"/>
    <w:rsid w:val="005A3996"/>
    <w:rsid w:val="005A3A84"/>
    <w:rsid w:val="005A3AC8"/>
    <w:rsid w:val="005A3BE7"/>
    <w:rsid w:val="005A3C10"/>
    <w:rsid w:val="005A3C3F"/>
    <w:rsid w:val="005A3C78"/>
    <w:rsid w:val="005A3D7F"/>
    <w:rsid w:val="005A4092"/>
    <w:rsid w:val="005A44C7"/>
    <w:rsid w:val="005A4758"/>
    <w:rsid w:val="005A47E1"/>
    <w:rsid w:val="005A48BA"/>
    <w:rsid w:val="005A4FBA"/>
    <w:rsid w:val="005A525D"/>
    <w:rsid w:val="005A53B4"/>
    <w:rsid w:val="005A5594"/>
    <w:rsid w:val="005A5638"/>
    <w:rsid w:val="005A56E4"/>
    <w:rsid w:val="005A586C"/>
    <w:rsid w:val="005A5D47"/>
    <w:rsid w:val="005A611D"/>
    <w:rsid w:val="005A6342"/>
    <w:rsid w:val="005A63DF"/>
    <w:rsid w:val="005A651F"/>
    <w:rsid w:val="005A65B2"/>
    <w:rsid w:val="005A6750"/>
    <w:rsid w:val="005A698A"/>
    <w:rsid w:val="005A71B2"/>
    <w:rsid w:val="005A747E"/>
    <w:rsid w:val="005A777D"/>
    <w:rsid w:val="005A7846"/>
    <w:rsid w:val="005A7BFF"/>
    <w:rsid w:val="005A7D08"/>
    <w:rsid w:val="005A7E25"/>
    <w:rsid w:val="005B03A4"/>
    <w:rsid w:val="005B03A6"/>
    <w:rsid w:val="005B0424"/>
    <w:rsid w:val="005B05D1"/>
    <w:rsid w:val="005B06B6"/>
    <w:rsid w:val="005B0796"/>
    <w:rsid w:val="005B07A8"/>
    <w:rsid w:val="005B0C36"/>
    <w:rsid w:val="005B0D1C"/>
    <w:rsid w:val="005B11E7"/>
    <w:rsid w:val="005B127F"/>
    <w:rsid w:val="005B12DD"/>
    <w:rsid w:val="005B1559"/>
    <w:rsid w:val="005B1605"/>
    <w:rsid w:val="005B18CD"/>
    <w:rsid w:val="005B2074"/>
    <w:rsid w:val="005B2BBC"/>
    <w:rsid w:val="005B2CA5"/>
    <w:rsid w:val="005B2E4E"/>
    <w:rsid w:val="005B2EC7"/>
    <w:rsid w:val="005B3251"/>
    <w:rsid w:val="005B3CBF"/>
    <w:rsid w:val="005B3DD8"/>
    <w:rsid w:val="005B4267"/>
    <w:rsid w:val="005B42E8"/>
    <w:rsid w:val="005B4538"/>
    <w:rsid w:val="005B45D1"/>
    <w:rsid w:val="005B48CB"/>
    <w:rsid w:val="005B4950"/>
    <w:rsid w:val="005B4B1D"/>
    <w:rsid w:val="005B4B48"/>
    <w:rsid w:val="005B4BC0"/>
    <w:rsid w:val="005B4E8A"/>
    <w:rsid w:val="005B515A"/>
    <w:rsid w:val="005B51A2"/>
    <w:rsid w:val="005B53F9"/>
    <w:rsid w:val="005B5800"/>
    <w:rsid w:val="005B583A"/>
    <w:rsid w:val="005B5CFB"/>
    <w:rsid w:val="005B5FD9"/>
    <w:rsid w:val="005B62C2"/>
    <w:rsid w:val="005B649D"/>
    <w:rsid w:val="005B65E7"/>
    <w:rsid w:val="005B6621"/>
    <w:rsid w:val="005B677A"/>
    <w:rsid w:val="005B687E"/>
    <w:rsid w:val="005B6B41"/>
    <w:rsid w:val="005B6D40"/>
    <w:rsid w:val="005B6D75"/>
    <w:rsid w:val="005B6E66"/>
    <w:rsid w:val="005B6FA7"/>
    <w:rsid w:val="005B711F"/>
    <w:rsid w:val="005B7411"/>
    <w:rsid w:val="005B75AA"/>
    <w:rsid w:val="005B75E8"/>
    <w:rsid w:val="005B75F0"/>
    <w:rsid w:val="005B77A4"/>
    <w:rsid w:val="005B7995"/>
    <w:rsid w:val="005B7CB2"/>
    <w:rsid w:val="005B7D06"/>
    <w:rsid w:val="005B7E57"/>
    <w:rsid w:val="005B7EF5"/>
    <w:rsid w:val="005B7F7E"/>
    <w:rsid w:val="005C012E"/>
    <w:rsid w:val="005C0472"/>
    <w:rsid w:val="005C04E2"/>
    <w:rsid w:val="005C0A28"/>
    <w:rsid w:val="005C0A2F"/>
    <w:rsid w:val="005C0A38"/>
    <w:rsid w:val="005C0B73"/>
    <w:rsid w:val="005C0E0B"/>
    <w:rsid w:val="005C1498"/>
    <w:rsid w:val="005C14A3"/>
    <w:rsid w:val="005C197F"/>
    <w:rsid w:val="005C1BE9"/>
    <w:rsid w:val="005C21C7"/>
    <w:rsid w:val="005C2327"/>
    <w:rsid w:val="005C23CB"/>
    <w:rsid w:val="005C2412"/>
    <w:rsid w:val="005C24DE"/>
    <w:rsid w:val="005C28C8"/>
    <w:rsid w:val="005C29F2"/>
    <w:rsid w:val="005C2B2B"/>
    <w:rsid w:val="005C2B3E"/>
    <w:rsid w:val="005C2B48"/>
    <w:rsid w:val="005C2B80"/>
    <w:rsid w:val="005C2CC3"/>
    <w:rsid w:val="005C2FDA"/>
    <w:rsid w:val="005C3053"/>
    <w:rsid w:val="005C31D9"/>
    <w:rsid w:val="005C3251"/>
    <w:rsid w:val="005C32DC"/>
    <w:rsid w:val="005C361F"/>
    <w:rsid w:val="005C3AB7"/>
    <w:rsid w:val="005C3B8B"/>
    <w:rsid w:val="005C3EA8"/>
    <w:rsid w:val="005C3EAB"/>
    <w:rsid w:val="005C43AA"/>
    <w:rsid w:val="005C454A"/>
    <w:rsid w:val="005C4BDC"/>
    <w:rsid w:val="005C4EC0"/>
    <w:rsid w:val="005C503B"/>
    <w:rsid w:val="005C509C"/>
    <w:rsid w:val="005C5496"/>
    <w:rsid w:val="005C5744"/>
    <w:rsid w:val="005C5B4E"/>
    <w:rsid w:val="005C5C6B"/>
    <w:rsid w:val="005C5D09"/>
    <w:rsid w:val="005C5EAF"/>
    <w:rsid w:val="005C60A8"/>
    <w:rsid w:val="005C63C4"/>
    <w:rsid w:val="005C692F"/>
    <w:rsid w:val="005C6B21"/>
    <w:rsid w:val="005C6BF7"/>
    <w:rsid w:val="005C6F0C"/>
    <w:rsid w:val="005C727B"/>
    <w:rsid w:val="005C73F2"/>
    <w:rsid w:val="005C74F2"/>
    <w:rsid w:val="005C7502"/>
    <w:rsid w:val="005C7674"/>
    <w:rsid w:val="005C77B5"/>
    <w:rsid w:val="005C7848"/>
    <w:rsid w:val="005C7892"/>
    <w:rsid w:val="005C7B56"/>
    <w:rsid w:val="005C7BDA"/>
    <w:rsid w:val="005C7E57"/>
    <w:rsid w:val="005C7F95"/>
    <w:rsid w:val="005C7F9A"/>
    <w:rsid w:val="005D0144"/>
    <w:rsid w:val="005D0426"/>
    <w:rsid w:val="005D05DA"/>
    <w:rsid w:val="005D086B"/>
    <w:rsid w:val="005D0A75"/>
    <w:rsid w:val="005D0B18"/>
    <w:rsid w:val="005D0C09"/>
    <w:rsid w:val="005D0E5F"/>
    <w:rsid w:val="005D12E2"/>
    <w:rsid w:val="005D1321"/>
    <w:rsid w:val="005D14AC"/>
    <w:rsid w:val="005D1863"/>
    <w:rsid w:val="005D1A93"/>
    <w:rsid w:val="005D1C1F"/>
    <w:rsid w:val="005D1F3B"/>
    <w:rsid w:val="005D2255"/>
    <w:rsid w:val="005D2598"/>
    <w:rsid w:val="005D2632"/>
    <w:rsid w:val="005D2DE8"/>
    <w:rsid w:val="005D2F48"/>
    <w:rsid w:val="005D2FEE"/>
    <w:rsid w:val="005D30BE"/>
    <w:rsid w:val="005D3145"/>
    <w:rsid w:val="005D32A3"/>
    <w:rsid w:val="005D332A"/>
    <w:rsid w:val="005D3710"/>
    <w:rsid w:val="005D399B"/>
    <w:rsid w:val="005D43E9"/>
    <w:rsid w:val="005D4984"/>
    <w:rsid w:val="005D4B9B"/>
    <w:rsid w:val="005D4DC1"/>
    <w:rsid w:val="005D4FB2"/>
    <w:rsid w:val="005D504E"/>
    <w:rsid w:val="005D519A"/>
    <w:rsid w:val="005D570F"/>
    <w:rsid w:val="005D57CF"/>
    <w:rsid w:val="005D5A37"/>
    <w:rsid w:val="005D5AF7"/>
    <w:rsid w:val="005D655B"/>
    <w:rsid w:val="005D67AC"/>
    <w:rsid w:val="005D76FB"/>
    <w:rsid w:val="005D78F8"/>
    <w:rsid w:val="005D78FF"/>
    <w:rsid w:val="005D7924"/>
    <w:rsid w:val="005D7A34"/>
    <w:rsid w:val="005D7D04"/>
    <w:rsid w:val="005D7D33"/>
    <w:rsid w:val="005D7ECF"/>
    <w:rsid w:val="005E00AF"/>
    <w:rsid w:val="005E01AD"/>
    <w:rsid w:val="005E01C8"/>
    <w:rsid w:val="005E02EA"/>
    <w:rsid w:val="005E0445"/>
    <w:rsid w:val="005E05D1"/>
    <w:rsid w:val="005E0833"/>
    <w:rsid w:val="005E09D9"/>
    <w:rsid w:val="005E0B88"/>
    <w:rsid w:val="005E1346"/>
    <w:rsid w:val="005E140C"/>
    <w:rsid w:val="005E1459"/>
    <w:rsid w:val="005E1D34"/>
    <w:rsid w:val="005E1EE9"/>
    <w:rsid w:val="005E1F98"/>
    <w:rsid w:val="005E20BD"/>
    <w:rsid w:val="005E2132"/>
    <w:rsid w:val="005E2397"/>
    <w:rsid w:val="005E25DF"/>
    <w:rsid w:val="005E26CE"/>
    <w:rsid w:val="005E273E"/>
    <w:rsid w:val="005E2A76"/>
    <w:rsid w:val="005E2DC3"/>
    <w:rsid w:val="005E2F4E"/>
    <w:rsid w:val="005E304D"/>
    <w:rsid w:val="005E3099"/>
    <w:rsid w:val="005E30B1"/>
    <w:rsid w:val="005E3692"/>
    <w:rsid w:val="005E38BB"/>
    <w:rsid w:val="005E393C"/>
    <w:rsid w:val="005E3C8D"/>
    <w:rsid w:val="005E3E54"/>
    <w:rsid w:val="005E42AA"/>
    <w:rsid w:val="005E44E2"/>
    <w:rsid w:val="005E489A"/>
    <w:rsid w:val="005E4994"/>
    <w:rsid w:val="005E4D48"/>
    <w:rsid w:val="005E4FFA"/>
    <w:rsid w:val="005E50FF"/>
    <w:rsid w:val="005E53A8"/>
    <w:rsid w:val="005E545F"/>
    <w:rsid w:val="005E587C"/>
    <w:rsid w:val="005E5D40"/>
    <w:rsid w:val="005E657C"/>
    <w:rsid w:val="005E658B"/>
    <w:rsid w:val="005E678C"/>
    <w:rsid w:val="005E67BA"/>
    <w:rsid w:val="005E67D5"/>
    <w:rsid w:val="005E6863"/>
    <w:rsid w:val="005E6A65"/>
    <w:rsid w:val="005E6B6B"/>
    <w:rsid w:val="005E6C51"/>
    <w:rsid w:val="005E6D5C"/>
    <w:rsid w:val="005E6E6E"/>
    <w:rsid w:val="005E6F90"/>
    <w:rsid w:val="005E70FF"/>
    <w:rsid w:val="005E71DC"/>
    <w:rsid w:val="005E72DF"/>
    <w:rsid w:val="005E73DF"/>
    <w:rsid w:val="005E74FB"/>
    <w:rsid w:val="005E77DD"/>
    <w:rsid w:val="005E7999"/>
    <w:rsid w:val="005E7D8F"/>
    <w:rsid w:val="005E7DF0"/>
    <w:rsid w:val="005F00C3"/>
    <w:rsid w:val="005F044F"/>
    <w:rsid w:val="005F0597"/>
    <w:rsid w:val="005F0727"/>
    <w:rsid w:val="005F082A"/>
    <w:rsid w:val="005F0CCA"/>
    <w:rsid w:val="005F0EE3"/>
    <w:rsid w:val="005F0FC3"/>
    <w:rsid w:val="005F10FB"/>
    <w:rsid w:val="005F1101"/>
    <w:rsid w:val="005F11F5"/>
    <w:rsid w:val="005F1519"/>
    <w:rsid w:val="005F17F4"/>
    <w:rsid w:val="005F1860"/>
    <w:rsid w:val="005F1EF4"/>
    <w:rsid w:val="005F205E"/>
    <w:rsid w:val="005F21AD"/>
    <w:rsid w:val="005F2290"/>
    <w:rsid w:val="005F22D4"/>
    <w:rsid w:val="005F2385"/>
    <w:rsid w:val="005F23F1"/>
    <w:rsid w:val="005F2523"/>
    <w:rsid w:val="005F2557"/>
    <w:rsid w:val="005F2948"/>
    <w:rsid w:val="005F2C89"/>
    <w:rsid w:val="005F2E72"/>
    <w:rsid w:val="005F2F6B"/>
    <w:rsid w:val="005F33C9"/>
    <w:rsid w:val="005F368E"/>
    <w:rsid w:val="005F381C"/>
    <w:rsid w:val="005F3EA2"/>
    <w:rsid w:val="005F40A9"/>
    <w:rsid w:val="005F44D6"/>
    <w:rsid w:val="005F452F"/>
    <w:rsid w:val="005F4542"/>
    <w:rsid w:val="005F45C1"/>
    <w:rsid w:val="005F47BD"/>
    <w:rsid w:val="005F49E8"/>
    <w:rsid w:val="005F4A9C"/>
    <w:rsid w:val="005F4B9C"/>
    <w:rsid w:val="005F4E42"/>
    <w:rsid w:val="005F50DC"/>
    <w:rsid w:val="005F5300"/>
    <w:rsid w:val="005F55DC"/>
    <w:rsid w:val="005F583C"/>
    <w:rsid w:val="005F58B5"/>
    <w:rsid w:val="005F5AE8"/>
    <w:rsid w:val="005F5BD5"/>
    <w:rsid w:val="005F5CFE"/>
    <w:rsid w:val="005F6181"/>
    <w:rsid w:val="005F6207"/>
    <w:rsid w:val="005F63E0"/>
    <w:rsid w:val="005F65A5"/>
    <w:rsid w:val="005F6725"/>
    <w:rsid w:val="005F6A0C"/>
    <w:rsid w:val="005F6B0D"/>
    <w:rsid w:val="005F6E85"/>
    <w:rsid w:val="005F6F4A"/>
    <w:rsid w:val="005F70A6"/>
    <w:rsid w:val="005F70BD"/>
    <w:rsid w:val="005F752E"/>
    <w:rsid w:val="005F7672"/>
    <w:rsid w:val="005F7A19"/>
    <w:rsid w:val="005F7AD5"/>
    <w:rsid w:val="005F7EAB"/>
    <w:rsid w:val="005F7F1F"/>
    <w:rsid w:val="006000E1"/>
    <w:rsid w:val="00600279"/>
    <w:rsid w:val="0060030D"/>
    <w:rsid w:val="00600751"/>
    <w:rsid w:val="006008E1"/>
    <w:rsid w:val="00600CE6"/>
    <w:rsid w:val="00600DD6"/>
    <w:rsid w:val="00600E2C"/>
    <w:rsid w:val="00600EF6"/>
    <w:rsid w:val="0060104E"/>
    <w:rsid w:val="00601235"/>
    <w:rsid w:val="006016E9"/>
    <w:rsid w:val="00601745"/>
    <w:rsid w:val="006022D3"/>
    <w:rsid w:val="00602367"/>
    <w:rsid w:val="00602482"/>
    <w:rsid w:val="006024A6"/>
    <w:rsid w:val="006027E0"/>
    <w:rsid w:val="0060283C"/>
    <w:rsid w:val="006029DD"/>
    <w:rsid w:val="00602CB0"/>
    <w:rsid w:val="00602D5D"/>
    <w:rsid w:val="00602DDE"/>
    <w:rsid w:val="00602E17"/>
    <w:rsid w:val="00602E65"/>
    <w:rsid w:val="00602FC3"/>
    <w:rsid w:val="00603047"/>
    <w:rsid w:val="00603106"/>
    <w:rsid w:val="00603183"/>
    <w:rsid w:val="006034B6"/>
    <w:rsid w:val="006038BC"/>
    <w:rsid w:val="00603B5E"/>
    <w:rsid w:val="00603EAD"/>
    <w:rsid w:val="00603EEA"/>
    <w:rsid w:val="00603F58"/>
    <w:rsid w:val="006040E4"/>
    <w:rsid w:val="00604119"/>
    <w:rsid w:val="006041EC"/>
    <w:rsid w:val="0060482B"/>
    <w:rsid w:val="00604859"/>
    <w:rsid w:val="00604936"/>
    <w:rsid w:val="006049F5"/>
    <w:rsid w:val="00604DAE"/>
    <w:rsid w:val="006054E6"/>
    <w:rsid w:val="0060552E"/>
    <w:rsid w:val="00605552"/>
    <w:rsid w:val="006055F7"/>
    <w:rsid w:val="00605642"/>
    <w:rsid w:val="0060571A"/>
    <w:rsid w:val="006058F3"/>
    <w:rsid w:val="00605C13"/>
    <w:rsid w:val="00605D1F"/>
    <w:rsid w:val="00605E4A"/>
    <w:rsid w:val="00605EF8"/>
    <w:rsid w:val="00606376"/>
    <w:rsid w:val="00606C63"/>
    <w:rsid w:val="00606E90"/>
    <w:rsid w:val="006070A8"/>
    <w:rsid w:val="00607103"/>
    <w:rsid w:val="0060721E"/>
    <w:rsid w:val="006075BA"/>
    <w:rsid w:val="00607AA8"/>
    <w:rsid w:val="00607ADD"/>
    <w:rsid w:val="00607D41"/>
    <w:rsid w:val="00610151"/>
    <w:rsid w:val="00610217"/>
    <w:rsid w:val="00610440"/>
    <w:rsid w:val="00610731"/>
    <w:rsid w:val="0061083C"/>
    <w:rsid w:val="00610A80"/>
    <w:rsid w:val="00610BC4"/>
    <w:rsid w:val="00610E07"/>
    <w:rsid w:val="00610E85"/>
    <w:rsid w:val="006113A1"/>
    <w:rsid w:val="006118AD"/>
    <w:rsid w:val="00611C56"/>
    <w:rsid w:val="00611CBE"/>
    <w:rsid w:val="0061227F"/>
    <w:rsid w:val="00612451"/>
    <w:rsid w:val="006129A8"/>
    <w:rsid w:val="00612E8C"/>
    <w:rsid w:val="00613137"/>
    <w:rsid w:val="00613144"/>
    <w:rsid w:val="006131E4"/>
    <w:rsid w:val="00613401"/>
    <w:rsid w:val="0061363A"/>
    <w:rsid w:val="00613675"/>
    <w:rsid w:val="0061384D"/>
    <w:rsid w:val="006139FD"/>
    <w:rsid w:val="00613AD9"/>
    <w:rsid w:val="00613E36"/>
    <w:rsid w:val="00613E48"/>
    <w:rsid w:val="00613E63"/>
    <w:rsid w:val="0061439E"/>
    <w:rsid w:val="0061464A"/>
    <w:rsid w:val="006146A3"/>
    <w:rsid w:val="006148CE"/>
    <w:rsid w:val="00614BA6"/>
    <w:rsid w:val="00614BB3"/>
    <w:rsid w:val="00614C43"/>
    <w:rsid w:val="00614F7E"/>
    <w:rsid w:val="006151CB"/>
    <w:rsid w:val="00615230"/>
    <w:rsid w:val="00615665"/>
    <w:rsid w:val="0061568D"/>
    <w:rsid w:val="00615798"/>
    <w:rsid w:val="00615958"/>
    <w:rsid w:val="00615BDC"/>
    <w:rsid w:val="00615CD9"/>
    <w:rsid w:val="00615F0D"/>
    <w:rsid w:val="00615FFC"/>
    <w:rsid w:val="006161D3"/>
    <w:rsid w:val="006164DF"/>
    <w:rsid w:val="00616970"/>
    <w:rsid w:val="00616A42"/>
    <w:rsid w:val="00616D00"/>
    <w:rsid w:val="0061746D"/>
    <w:rsid w:val="006174FC"/>
    <w:rsid w:val="006179C1"/>
    <w:rsid w:val="00617C2F"/>
    <w:rsid w:val="00617C9F"/>
    <w:rsid w:val="00620145"/>
    <w:rsid w:val="006202F3"/>
    <w:rsid w:val="006203AF"/>
    <w:rsid w:val="006203E0"/>
    <w:rsid w:val="006206F4"/>
    <w:rsid w:val="00620A14"/>
    <w:rsid w:val="00620CFE"/>
    <w:rsid w:val="00620D44"/>
    <w:rsid w:val="00620D84"/>
    <w:rsid w:val="0062110A"/>
    <w:rsid w:val="00621BD2"/>
    <w:rsid w:val="00622549"/>
    <w:rsid w:val="006226FE"/>
    <w:rsid w:val="006227B7"/>
    <w:rsid w:val="00622AC1"/>
    <w:rsid w:val="00622D96"/>
    <w:rsid w:val="00622FF4"/>
    <w:rsid w:val="00623154"/>
    <w:rsid w:val="006234B1"/>
    <w:rsid w:val="0062367D"/>
    <w:rsid w:val="006236B8"/>
    <w:rsid w:val="00623704"/>
    <w:rsid w:val="00623707"/>
    <w:rsid w:val="00623796"/>
    <w:rsid w:val="00623DAF"/>
    <w:rsid w:val="00623E05"/>
    <w:rsid w:val="00623E6B"/>
    <w:rsid w:val="00624378"/>
    <w:rsid w:val="0062461D"/>
    <w:rsid w:val="00624723"/>
    <w:rsid w:val="0062472E"/>
    <w:rsid w:val="00624A72"/>
    <w:rsid w:val="00624AC3"/>
    <w:rsid w:val="00624BA2"/>
    <w:rsid w:val="00624C09"/>
    <w:rsid w:val="00624F75"/>
    <w:rsid w:val="00625D1F"/>
    <w:rsid w:val="00625F7D"/>
    <w:rsid w:val="00626016"/>
    <w:rsid w:val="00626665"/>
    <w:rsid w:val="00626AB7"/>
    <w:rsid w:val="00626C69"/>
    <w:rsid w:val="00626CCD"/>
    <w:rsid w:val="00626ECF"/>
    <w:rsid w:val="006270E7"/>
    <w:rsid w:val="00627276"/>
    <w:rsid w:val="006273B0"/>
    <w:rsid w:val="006273BF"/>
    <w:rsid w:val="00627533"/>
    <w:rsid w:val="00627A41"/>
    <w:rsid w:val="00627B60"/>
    <w:rsid w:val="00627D35"/>
    <w:rsid w:val="00627E1D"/>
    <w:rsid w:val="00627F5C"/>
    <w:rsid w:val="00630141"/>
    <w:rsid w:val="006301E9"/>
    <w:rsid w:val="006302F1"/>
    <w:rsid w:val="00630364"/>
    <w:rsid w:val="0063056D"/>
    <w:rsid w:val="0063059B"/>
    <w:rsid w:val="00630AFE"/>
    <w:rsid w:val="00630D7C"/>
    <w:rsid w:val="00631A71"/>
    <w:rsid w:val="00631D29"/>
    <w:rsid w:val="0063218C"/>
    <w:rsid w:val="00632369"/>
    <w:rsid w:val="00632528"/>
    <w:rsid w:val="0063267E"/>
    <w:rsid w:val="006326BC"/>
    <w:rsid w:val="00632A3B"/>
    <w:rsid w:val="00632A8C"/>
    <w:rsid w:val="00632F1A"/>
    <w:rsid w:val="00633083"/>
    <w:rsid w:val="006330CD"/>
    <w:rsid w:val="006335A6"/>
    <w:rsid w:val="0063368B"/>
    <w:rsid w:val="00633B35"/>
    <w:rsid w:val="00633CEE"/>
    <w:rsid w:val="00633FB6"/>
    <w:rsid w:val="00634618"/>
    <w:rsid w:val="00634767"/>
    <w:rsid w:val="00634B51"/>
    <w:rsid w:val="00634BC8"/>
    <w:rsid w:val="00634E9E"/>
    <w:rsid w:val="00635475"/>
    <w:rsid w:val="006354AD"/>
    <w:rsid w:val="00635768"/>
    <w:rsid w:val="00635CBB"/>
    <w:rsid w:val="00635F97"/>
    <w:rsid w:val="006362E3"/>
    <w:rsid w:val="0063649E"/>
    <w:rsid w:val="00636707"/>
    <w:rsid w:val="00636B8B"/>
    <w:rsid w:val="00636B9B"/>
    <w:rsid w:val="00636D10"/>
    <w:rsid w:val="006373C6"/>
    <w:rsid w:val="0063760B"/>
    <w:rsid w:val="0063771B"/>
    <w:rsid w:val="00637D60"/>
    <w:rsid w:val="006400BD"/>
    <w:rsid w:val="006403C7"/>
    <w:rsid w:val="006403F9"/>
    <w:rsid w:val="0064059D"/>
    <w:rsid w:val="006407B8"/>
    <w:rsid w:val="00640CC6"/>
    <w:rsid w:val="00640E03"/>
    <w:rsid w:val="00640F4B"/>
    <w:rsid w:val="00640F54"/>
    <w:rsid w:val="00640FA1"/>
    <w:rsid w:val="0064154E"/>
    <w:rsid w:val="0064164D"/>
    <w:rsid w:val="00641BA7"/>
    <w:rsid w:val="00642988"/>
    <w:rsid w:val="006429FD"/>
    <w:rsid w:val="00642A1E"/>
    <w:rsid w:val="00642A20"/>
    <w:rsid w:val="00642ADD"/>
    <w:rsid w:val="00642C93"/>
    <w:rsid w:val="00642D13"/>
    <w:rsid w:val="00642FAF"/>
    <w:rsid w:val="00643263"/>
    <w:rsid w:val="0064366F"/>
    <w:rsid w:val="0064390D"/>
    <w:rsid w:val="00643983"/>
    <w:rsid w:val="006439AE"/>
    <w:rsid w:val="00643A66"/>
    <w:rsid w:val="00643A79"/>
    <w:rsid w:val="00643BF7"/>
    <w:rsid w:val="00643C12"/>
    <w:rsid w:val="006440F8"/>
    <w:rsid w:val="006446B8"/>
    <w:rsid w:val="00644773"/>
    <w:rsid w:val="006448C7"/>
    <w:rsid w:val="006449FF"/>
    <w:rsid w:val="00644A02"/>
    <w:rsid w:val="00644B55"/>
    <w:rsid w:val="00645258"/>
    <w:rsid w:val="0064548C"/>
    <w:rsid w:val="0064563B"/>
    <w:rsid w:val="006457B0"/>
    <w:rsid w:val="00645AD8"/>
    <w:rsid w:val="00645F41"/>
    <w:rsid w:val="00646719"/>
    <w:rsid w:val="006468CF"/>
    <w:rsid w:val="00646C4A"/>
    <w:rsid w:val="00646F1B"/>
    <w:rsid w:val="006470E0"/>
    <w:rsid w:val="0064744C"/>
    <w:rsid w:val="006474EF"/>
    <w:rsid w:val="00647555"/>
    <w:rsid w:val="00647774"/>
    <w:rsid w:val="006477E8"/>
    <w:rsid w:val="00647A03"/>
    <w:rsid w:val="00647ABE"/>
    <w:rsid w:val="00647B89"/>
    <w:rsid w:val="00647F55"/>
    <w:rsid w:val="00650010"/>
    <w:rsid w:val="00650116"/>
    <w:rsid w:val="006502D8"/>
    <w:rsid w:val="006502FB"/>
    <w:rsid w:val="006506E6"/>
    <w:rsid w:val="00650C44"/>
    <w:rsid w:val="00650CB2"/>
    <w:rsid w:val="00650CF1"/>
    <w:rsid w:val="00650D42"/>
    <w:rsid w:val="00650E57"/>
    <w:rsid w:val="00650EEC"/>
    <w:rsid w:val="00650EFC"/>
    <w:rsid w:val="0065102A"/>
    <w:rsid w:val="006517C9"/>
    <w:rsid w:val="006517D1"/>
    <w:rsid w:val="00651B04"/>
    <w:rsid w:val="00651B1B"/>
    <w:rsid w:val="00651E6C"/>
    <w:rsid w:val="00651E74"/>
    <w:rsid w:val="00652267"/>
    <w:rsid w:val="00652572"/>
    <w:rsid w:val="00652A7B"/>
    <w:rsid w:val="00652DBD"/>
    <w:rsid w:val="00653048"/>
    <w:rsid w:val="006535EF"/>
    <w:rsid w:val="00653DE0"/>
    <w:rsid w:val="00654372"/>
    <w:rsid w:val="00654512"/>
    <w:rsid w:val="00654844"/>
    <w:rsid w:val="006548E7"/>
    <w:rsid w:val="00654975"/>
    <w:rsid w:val="00654B17"/>
    <w:rsid w:val="00654E8C"/>
    <w:rsid w:val="0065514C"/>
    <w:rsid w:val="00655212"/>
    <w:rsid w:val="006553BE"/>
    <w:rsid w:val="006553C7"/>
    <w:rsid w:val="00655503"/>
    <w:rsid w:val="00655568"/>
    <w:rsid w:val="00655652"/>
    <w:rsid w:val="00655697"/>
    <w:rsid w:val="00655D73"/>
    <w:rsid w:val="00655F71"/>
    <w:rsid w:val="00656156"/>
    <w:rsid w:val="006566BA"/>
    <w:rsid w:val="006567AB"/>
    <w:rsid w:val="006569E1"/>
    <w:rsid w:val="00656AD2"/>
    <w:rsid w:val="00656B03"/>
    <w:rsid w:val="00656D06"/>
    <w:rsid w:val="00656DF9"/>
    <w:rsid w:val="006570FB"/>
    <w:rsid w:val="00657151"/>
    <w:rsid w:val="00657801"/>
    <w:rsid w:val="0065797E"/>
    <w:rsid w:val="00657BC5"/>
    <w:rsid w:val="00657BE0"/>
    <w:rsid w:val="00657C9D"/>
    <w:rsid w:val="00657DFA"/>
    <w:rsid w:val="0066004B"/>
    <w:rsid w:val="00660050"/>
    <w:rsid w:val="00660409"/>
    <w:rsid w:val="00660456"/>
    <w:rsid w:val="0066056D"/>
    <w:rsid w:val="00660709"/>
    <w:rsid w:val="00660A84"/>
    <w:rsid w:val="00660A97"/>
    <w:rsid w:val="00660BC9"/>
    <w:rsid w:val="00660EA3"/>
    <w:rsid w:val="00660EBB"/>
    <w:rsid w:val="00660F15"/>
    <w:rsid w:val="0066150C"/>
    <w:rsid w:val="006617DB"/>
    <w:rsid w:val="006618E7"/>
    <w:rsid w:val="00661973"/>
    <w:rsid w:val="00661E09"/>
    <w:rsid w:val="0066220C"/>
    <w:rsid w:val="006622C9"/>
    <w:rsid w:val="006627A1"/>
    <w:rsid w:val="006627E0"/>
    <w:rsid w:val="00662C96"/>
    <w:rsid w:val="00662CCD"/>
    <w:rsid w:val="00662CD1"/>
    <w:rsid w:val="00663244"/>
    <w:rsid w:val="006635FF"/>
    <w:rsid w:val="0066395E"/>
    <w:rsid w:val="00663C27"/>
    <w:rsid w:val="00663CAB"/>
    <w:rsid w:val="00663E4A"/>
    <w:rsid w:val="00663EB9"/>
    <w:rsid w:val="00664016"/>
    <w:rsid w:val="00664030"/>
    <w:rsid w:val="006641F6"/>
    <w:rsid w:val="0066423E"/>
    <w:rsid w:val="006644D9"/>
    <w:rsid w:val="00664C18"/>
    <w:rsid w:val="00664C96"/>
    <w:rsid w:val="00664CD2"/>
    <w:rsid w:val="00664E9D"/>
    <w:rsid w:val="00664FBF"/>
    <w:rsid w:val="00664FF0"/>
    <w:rsid w:val="00665215"/>
    <w:rsid w:val="0066595A"/>
    <w:rsid w:val="00665D5E"/>
    <w:rsid w:val="00665E47"/>
    <w:rsid w:val="00666128"/>
    <w:rsid w:val="006662BD"/>
    <w:rsid w:val="00666322"/>
    <w:rsid w:val="00666562"/>
    <w:rsid w:val="00666706"/>
    <w:rsid w:val="00666707"/>
    <w:rsid w:val="006668AB"/>
    <w:rsid w:val="00666902"/>
    <w:rsid w:val="00666949"/>
    <w:rsid w:val="00666C1F"/>
    <w:rsid w:val="00666E34"/>
    <w:rsid w:val="006670F2"/>
    <w:rsid w:val="006671F8"/>
    <w:rsid w:val="006673B1"/>
    <w:rsid w:val="0066745E"/>
    <w:rsid w:val="00667498"/>
    <w:rsid w:val="00667546"/>
    <w:rsid w:val="006676DA"/>
    <w:rsid w:val="00667742"/>
    <w:rsid w:val="00667BCE"/>
    <w:rsid w:val="00667BD7"/>
    <w:rsid w:val="00667DE2"/>
    <w:rsid w:val="00667E1C"/>
    <w:rsid w:val="00667FC6"/>
    <w:rsid w:val="00670011"/>
    <w:rsid w:val="00670470"/>
    <w:rsid w:val="00670834"/>
    <w:rsid w:val="0067089F"/>
    <w:rsid w:val="00670903"/>
    <w:rsid w:val="0067092C"/>
    <w:rsid w:val="00670C78"/>
    <w:rsid w:val="00670CEA"/>
    <w:rsid w:val="00670F48"/>
    <w:rsid w:val="006711E3"/>
    <w:rsid w:val="006712A0"/>
    <w:rsid w:val="006714AC"/>
    <w:rsid w:val="00671580"/>
    <w:rsid w:val="006715E5"/>
    <w:rsid w:val="0067162B"/>
    <w:rsid w:val="00671647"/>
    <w:rsid w:val="0067171D"/>
    <w:rsid w:val="00671876"/>
    <w:rsid w:val="006718E0"/>
    <w:rsid w:val="00671947"/>
    <w:rsid w:val="00671BE2"/>
    <w:rsid w:val="00671D6F"/>
    <w:rsid w:val="00671F85"/>
    <w:rsid w:val="00672176"/>
    <w:rsid w:val="006722E5"/>
    <w:rsid w:val="00672399"/>
    <w:rsid w:val="00672935"/>
    <w:rsid w:val="00672BE3"/>
    <w:rsid w:val="00672FB1"/>
    <w:rsid w:val="006731DE"/>
    <w:rsid w:val="00673803"/>
    <w:rsid w:val="006738D5"/>
    <w:rsid w:val="00673DA4"/>
    <w:rsid w:val="00673FF8"/>
    <w:rsid w:val="006740CE"/>
    <w:rsid w:val="006740F0"/>
    <w:rsid w:val="0067425F"/>
    <w:rsid w:val="00674656"/>
    <w:rsid w:val="006747F5"/>
    <w:rsid w:val="00674E32"/>
    <w:rsid w:val="006753A3"/>
    <w:rsid w:val="0067567A"/>
    <w:rsid w:val="00675729"/>
    <w:rsid w:val="00675778"/>
    <w:rsid w:val="006758A6"/>
    <w:rsid w:val="006758EC"/>
    <w:rsid w:val="00675B52"/>
    <w:rsid w:val="00675DD5"/>
    <w:rsid w:val="00675E3B"/>
    <w:rsid w:val="00675F52"/>
    <w:rsid w:val="00676149"/>
    <w:rsid w:val="006762DF"/>
    <w:rsid w:val="00676439"/>
    <w:rsid w:val="006767D1"/>
    <w:rsid w:val="006767EC"/>
    <w:rsid w:val="0067684F"/>
    <w:rsid w:val="006769F7"/>
    <w:rsid w:val="00676A4F"/>
    <w:rsid w:val="00676DBB"/>
    <w:rsid w:val="00677007"/>
    <w:rsid w:val="00677284"/>
    <w:rsid w:val="006775AE"/>
    <w:rsid w:val="006777C6"/>
    <w:rsid w:val="00677B16"/>
    <w:rsid w:val="00677BF7"/>
    <w:rsid w:val="00677F27"/>
    <w:rsid w:val="0068005B"/>
    <w:rsid w:val="00680138"/>
    <w:rsid w:val="006801BD"/>
    <w:rsid w:val="00680259"/>
    <w:rsid w:val="00680567"/>
    <w:rsid w:val="006805B7"/>
    <w:rsid w:val="006806F7"/>
    <w:rsid w:val="00680D07"/>
    <w:rsid w:val="00680D40"/>
    <w:rsid w:val="00681067"/>
    <w:rsid w:val="00681112"/>
    <w:rsid w:val="0068111D"/>
    <w:rsid w:val="00681285"/>
    <w:rsid w:val="00681419"/>
    <w:rsid w:val="00681867"/>
    <w:rsid w:val="006818F0"/>
    <w:rsid w:val="00681E25"/>
    <w:rsid w:val="006820DC"/>
    <w:rsid w:val="0068265C"/>
    <w:rsid w:val="006826C1"/>
    <w:rsid w:val="00682747"/>
    <w:rsid w:val="00682796"/>
    <w:rsid w:val="00682C0E"/>
    <w:rsid w:val="00682E02"/>
    <w:rsid w:val="00682E1B"/>
    <w:rsid w:val="00682FEF"/>
    <w:rsid w:val="00683007"/>
    <w:rsid w:val="0068331B"/>
    <w:rsid w:val="006835D4"/>
    <w:rsid w:val="00683629"/>
    <w:rsid w:val="00683B13"/>
    <w:rsid w:val="00683B46"/>
    <w:rsid w:val="00683F51"/>
    <w:rsid w:val="006840C3"/>
    <w:rsid w:val="00684180"/>
    <w:rsid w:val="0068489B"/>
    <w:rsid w:val="0068491C"/>
    <w:rsid w:val="00684DDC"/>
    <w:rsid w:val="006850D0"/>
    <w:rsid w:val="00685250"/>
    <w:rsid w:val="00685920"/>
    <w:rsid w:val="00685F1C"/>
    <w:rsid w:val="00686326"/>
    <w:rsid w:val="006863A8"/>
    <w:rsid w:val="00686486"/>
    <w:rsid w:val="006864B5"/>
    <w:rsid w:val="0068669C"/>
    <w:rsid w:val="00686754"/>
    <w:rsid w:val="006869BB"/>
    <w:rsid w:val="00686A80"/>
    <w:rsid w:val="00686C4E"/>
    <w:rsid w:val="006870F9"/>
    <w:rsid w:val="00687679"/>
    <w:rsid w:val="00687698"/>
    <w:rsid w:val="0068788D"/>
    <w:rsid w:val="006879D5"/>
    <w:rsid w:val="00687BE7"/>
    <w:rsid w:val="00687CF5"/>
    <w:rsid w:val="00687D2B"/>
    <w:rsid w:val="00690026"/>
    <w:rsid w:val="00690548"/>
    <w:rsid w:val="00690648"/>
    <w:rsid w:val="00690747"/>
    <w:rsid w:val="00690B0A"/>
    <w:rsid w:val="00690F2B"/>
    <w:rsid w:val="00690FAD"/>
    <w:rsid w:val="00691130"/>
    <w:rsid w:val="006915D4"/>
    <w:rsid w:val="00691611"/>
    <w:rsid w:val="00691798"/>
    <w:rsid w:val="00691823"/>
    <w:rsid w:val="006918E6"/>
    <w:rsid w:val="00691E38"/>
    <w:rsid w:val="0069246D"/>
    <w:rsid w:val="00692484"/>
    <w:rsid w:val="00692723"/>
    <w:rsid w:val="00692777"/>
    <w:rsid w:val="00692A82"/>
    <w:rsid w:val="00692BAE"/>
    <w:rsid w:val="00692D11"/>
    <w:rsid w:val="006937FE"/>
    <w:rsid w:val="00693B92"/>
    <w:rsid w:val="00693F95"/>
    <w:rsid w:val="006940BD"/>
    <w:rsid w:val="006941F8"/>
    <w:rsid w:val="0069441C"/>
    <w:rsid w:val="006944C5"/>
    <w:rsid w:val="0069477E"/>
    <w:rsid w:val="006949A4"/>
    <w:rsid w:val="00694CA8"/>
    <w:rsid w:val="00694E47"/>
    <w:rsid w:val="00694FC3"/>
    <w:rsid w:val="0069512E"/>
    <w:rsid w:val="0069527E"/>
    <w:rsid w:val="00695617"/>
    <w:rsid w:val="0069564F"/>
    <w:rsid w:val="006957EF"/>
    <w:rsid w:val="00695903"/>
    <w:rsid w:val="00695B0A"/>
    <w:rsid w:val="00695E6D"/>
    <w:rsid w:val="00695EE6"/>
    <w:rsid w:val="00696042"/>
    <w:rsid w:val="00696390"/>
    <w:rsid w:val="006964E7"/>
    <w:rsid w:val="006966AD"/>
    <w:rsid w:val="0069686D"/>
    <w:rsid w:val="00696B49"/>
    <w:rsid w:val="00696C2A"/>
    <w:rsid w:val="00696FFE"/>
    <w:rsid w:val="0069700F"/>
    <w:rsid w:val="00697026"/>
    <w:rsid w:val="00697072"/>
    <w:rsid w:val="006970FD"/>
    <w:rsid w:val="0069733F"/>
    <w:rsid w:val="0069744C"/>
    <w:rsid w:val="00697456"/>
    <w:rsid w:val="0069779B"/>
    <w:rsid w:val="00697C9F"/>
    <w:rsid w:val="00697CB6"/>
    <w:rsid w:val="00697CD1"/>
    <w:rsid w:val="00697EB1"/>
    <w:rsid w:val="006A02DF"/>
    <w:rsid w:val="006A0527"/>
    <w:rsid w:val="006A0746"/>
    <w:rsid w:val="006A094F"/>
    <w:rsid w:val="006A09AE"/>
    <w:rsid w:val="006A0B6A"/>
    <w:rsid w:val="006A111F"/>
    <w:rsid w:val="006A159C"/>
    <w:rsid w:val="006A15A0"/>
    <w:rsid w:val="006A1835"/>
    <w:rsid w:val="006A1AC0"/>
    <w:rsid w:val="006A1BC9"/>
    <w:rsid w:val="006A1FE8"/>
    <w:rsid w:val="006A21B4"/>
    <w:rsid w:val="006A2284"/>
    <w:rsid w:val="006A238D"/>
    <w:rsid w:val="006A2428"/>
    <w:rsid w:val="006A25F1"/>
    <w:rsid w:val="006A2886"/>
    <w:rsid w:val="006A28C3"/>
    <w:rsid w:val="006A2BDA"/>
    <w:rsid w:val="006A2F72"/>
    <w:rsid w:val="006A30F5"/>
    <w:rsid w:val="006A3377"/>
    <w:rsid w:val="006A3466"/>
    <w:rsid w:val="006A37B2"/>
    <w:rsid w:val="006A3F17"/>
    <w:rsid w:val="006A4000"/>
    <w:rsid w:val="006A406E"/>
    <w:rsid w:val="006A4522"/>
    <w:rsid w:val="006A453D"/>
    <w:rsid w:val="006A474D"/>
    <w:rsid w:val="006A4863"/>
    <w:rsid w:val="006A4958"/>
    <w:rsid w:val="006A4A5E"/>
    <w:rsid w:val="006A4AED"/>
    <w:rsid w:val="006A4C03"/>
    <w:rsid w:val="006A4CB5"/>
    <w:rsid w:val="006A4E14"/>
    <w:rsid w:val="006A5328"/>
    <w:rsid w:val="006A537E"/>
    <w:rsid w:val="006A5493"/>
    <w:rsid w:val="006A5582"/>
    <w:rsid w:val="006A5C71"/>
    <w:rsid w:val="006A5CA7"/>
    <w:rsid w:val="006A5FCF"/>
    <w:rsid w:val="006A6290"/>
    <w:rsid w:val="006A6379"/>
    <w:rsid w:val="006A641B"/>
    <w:rsid w:val="006A6621"/>
    <w:rsid w:val="006A677A"/>
    <w:rsid w:val="006A678E"/>
    <w:rsid w:val="006A6797"/>
    <w:rsid w:val="006A6867"/>
    <w:rsid w:val="006A691C"/>
    <w:rsid w:val="006A6997"/>
    <w:rsid w:val="006A6A8F"/>
    <w:rsid w:val="006A6AA5"/>
    <w:rsid w:val="006A6C02"/>
    <w:rsid w:val="006A6C8B"/>
    <w:rsid w:val="006A6F75"/>
    <w:rsid w:val="006A6FA1"/>
    <w:rsid w:val="006A7086"/>
    <w:rsid w:val="006A7122"/>
    <w:rsid w:val="006A7485"/>
    <w:rsid w:val="006A7817"/>
    <w:rsid w:val="006A7A76"/>
    <w:rsid w:val="006B028A"/>
    <w:rsid w:val="006B05BB"/>
    <w:rsid w:val="006B087D"/>
    <w:rsid w:val="006B09A9"/>
    <w:rsid w:val="006B0A58"/>
    <w:rsid w:val="006B0D10"/>
    <w:rsid w:val="006B0E26"/>
    <w:rsid w:val="006B0F13"/>
    <w:rsid w:val="006B165B"/>
    <w:rsid w:val="006B17C8"/>
    <w:rsid w:val="006B17D5"/>
    <w:rsid w:val="006B1AA6"/>
    <w:rsid w:val="006B1C36"/>
    <w:rsid w:val="006B1CC3"/>
    <w:rsid w:val="006B1FF8"/>
    <w:rsid w:val="006B209E"/>
    <w:rsid w:val="006B21EC"/>
    <w:rsid w:val="006B227E"/>
    <w:rsid w:val="006B229C"/>
    <w:rsid w:val="006B24B2"/>
    <w:rsid w:val="006B2555"/>
    <w:rsid w:val="006B2597"/>
    <w:rsid w:val="006B2665"/>
    <w:rsid w:val="006B2934"/>
    <w:rsid w:val="006B2B29"/>
    <w:rsid w:val="006B2F75"/>
    <w:rsid w:val="006B302D"/>
    <w:rsid w:val="006B31D6"/>
    <w:rsid w:val="006B3268"/>
    <w:rsid w:val="006B3409"/>
    <w:rsid w:val="006B347F"/>
    <w:rsid w:val="006B34D0"/>
    <w:rsid w:val="006B3AE3"/>
    <w:rsid w:val="006B3BDA"/>
    <w:rsid w:val="006B3DF0"/>
    <w:rsid w:val="006B4152"/>
    <w:rsid w:val="006B4362"/>
    <w:rsid w:val="006B45FC"/>
    <w:rsid w:val="006B475F"/>
    <w:rsid w:val="006B4DBB"/>
    <w:rsid w:val="006B504E"/>
    <w:rsid w:val="006B5180"/>
    <w:rsid w:val="006B51AF"/>
    <w:rsid w:val="006B52A3"/>
    <w:rsid w:val="006B5370"/>
    <w:rsid w:val="006B53E4"/>
    <w:rsid w:val="006B5510"/>
    <w:rsid w:val="006B5813"/>
    <w:rsid w:val="006B5A04"/>
    <w:rsid w:val="006B5A46"/>
    <w:rsid w:val="006B5A85"/>
    <w:rsid w:val="006B5BD7"/>
    <w:rsid w:val="006B5CAB"/>
    <w:rsid w:val="006B60C4"/>
    <w:rsid w:val="006B60F5"/>
    <w:rsid w:val="006B6270"/>
    <w:rsid w:val="006B6396"/>
    <w:rsid w:val="006B6466"/>
    <w:rsid w:val="006B6523"/>
    <w:rsid w:val="006B6626"/>
    <w:rsid w:val="006B66C9"/>
    <w:rsid w:val="006B6718"/>
    <w:rsid w:val="006B6906"/>
    <w:rsid w:val="006B6A16"/>
    <w:rsid w:val="006B6A46"/>
    <w:rsid w:val="006B6B04"/>
    <w:rsid w:val="006B6F21"/>
    <w:rsid w:val="006B70AA"/>
    <w:rsid w:val="006B73B8"/>
    <w:rsid w:val="006B7E22"/>
    <w:rsid w:val="006C069C"/>
    <w:rsid w:val="006C093F"/>
    <w:rsid w:val="006C0952"/>
    <w:rsid w:val="006C09D7"/>
    <w:rsid w:val="006C0CF0"/>
    <w:rsid w:val="006C0E01"/>
    <w:rsid w:val="006C0F13"/>
    <w:rsid w:val="006C1590"/>
    <w:rsid w:val="006C160C"/>
    <w:rsid w:val="006C182B"/>
    <w:rsid w:val="006C1C9F"/>
    <w:rsid w:val="006C1D08"/>
    <w:rsid w:val="006C222A"/>
    <w:rsid w:val="006C2303"/>
    <w:rsid w:val="006C25D0"/>
    <w:rsid w:val="006C2AC4"/>
    <w:rsid w:val="006C2FFC"/>
    <w:rsid w:val="006C3057"/>
    <w:rsid w:val="006C3476"/>
    <w:rsid w:val="006C350A"/>
    <w:rsid w:val="006C3A14"/>
    <w:rsid w:val="006C3AF0"/>
    <w:rsid w:val="006C3D7B"/>
    <w:rsid w:val="006C41E6"/>
    <w:rsid w:val="006C44DF"/>
    <w:rsid w:val="006C46BB"/>
    <w:rsid w:val="006C46CA"/>
    <w:rsid w:val="006C4CB0"/>
    <w:rsid w:val="006C4D96"/>
    <w:rsid w:val="006C4F24"/>
    <w:rsid w:val="006C4F52"/>
    <w:rsid w:val="006C51A9"/>
    <w:rsid w:val="006C52A6"/>
    <w:rsid w:val="006C5903"/>
    <w:rsid w:val="006C5FA2"/>
    <w:rsid w:val="006C6206"/>
    <w:rsid w:val="006C63EB"/>
    <w:rsid w:val="006C64FD"/>
    <w:rsid w:val="006C71B9"/>
    <w:rsid w:val="006C71F9"/>
    <w:rsid w:val="006C7324"/>
    <w:rsid w:val="006C74B9"/>
    <w:rsid w:val="006C75BB"/>
    <w:rsid w:val="006C7AB6"/>
    <w:rsid w:val="006C7D34"/>
    <w:rsid w:val="006C7F46"/>
    <w:rsid w:val="006C7F9B"/>
    <w:rsid w:val="006D009F"/>
    <w:rsid w:val="006D0247"/>
    <w:rsid w:val="006D038A"/>
    <w:rsid w:val="006D0574"/>
    <w:rsid w:val="006D06BD"/>
    <w:rsid w:val="006D07E0"/>
    <w:rsid w:val="006D0A15"/>
    <w:rsid w:val="006D0C25"/>
    <w:rsid w:val="006D122B"/>
    <w:rsid w:val="006D13B5"/>
    <w:rsid w:val="006D1404"/>
    <w:rsid w:val="006D1734"/>
    <w:rsid w:val="006D1F1B"/>
    <w:rsid w:val="006D1F79"/>
    <w:rsid w:val="006D21AF"/>
    <w:rsid w:val="006D22FD"/>
    <w:rsid w:val="006D28DB"/>
    <w:rsid w:val="006D2971"/>
    <w:rsid w:val="006D2984"/>
    <w:rsid w:val="006D2C65"/>
    <w:rsid w:val="006D3175"/>
    <w:rsid w:val="006D32FB"/>
    <w:rsid w:val="006D37E9"/>
    <w:rsid w:val="006D3AE1"/>
    <w:rsid w:val="006D3DAF"/>
    <w:rsid w:val="006D4051"/>
    <w:rsid w:val="006D467D"/>
    <w:rsid w:val="006D4718"/>
    <w:rsid w:val="006D47A3"/>
    <w:rsid w:val="006D47AA"/>
    <w:rsid w:val="006D47B7"/>
    <w:rsid w:val="006D486E"/>
    <w:rsid w:val="006D488E"/>
    <w:rsid w:val="006D4B9C"/>
    <w:rsid w:val="006D4C05"/>
    <w:rsid w:val="006D4E40"/>
    <w:rsid w:val="006D4E8B"/>
    <w:rsid w:val="006D526B"/>
    <w:rsid w:val="006D52B4"/>
    <w:rsid w:val="006D5562"/>
    <w:rsid w:val="006D5596"/>
    <w:rsid w:val="006D57D7"/>
    <w:rsid w:val="006D5861"/>
    <w:rsid w:val="006D5A8D"/>
    <w:rsid w:val="006D5B5E"/>
    <w:rsid w:val="006D5C1E"/>
    <w:rsid w:val="006D5C38"/>
    <w:rsid w:val="006D5CD6"/>
    <w:rsid w:val="006D60EC"/>
    <w:rsid w:val="006D634C"/>
    <w:rsid w:val="006D655F"/>
    <w:rsid w:val="006D65AE"/>
    <w:rsid w:val="006D6745"/>
    <w:rsid w:val="006D6761"/>
    <w:rsid w:val="006D679F"/>
    <w:rsid w:val="006D6865"/>
    <w:rsid w:val="006D68CC"/>
    <w:rsid w:val="006D6900"/>
    <w:rsid w:val="006D70A6"/>
    <w:rsid w:val="006D7B60"/>
    <w:rsid w:val="006D7F5A"/>
    <w:rsid w:val="006E0408"/>
    <w:rsid w:val="006E0500"/>
    <w:rsid w:val="006E0615"/>
    <w:rsid w:val="006E0655"/>
    <w:rsid w:val="006E082C"/>
    <w:rsid w:val="006E0A22"/>
    <w:rsid w:val="006E0CA7"/>
    <w:rsid w:val="006E0E2B"/>
    <w:rsid w:val="006E0F24"/>
    <w:rsid w:val="006E1052"/>
    <w:rsid w:val="006E18DB"/>
    <w:rsid w:val="006E1BEF"/>
    <w:rsid w:val="006E1E0C"/>
    <w:rsid w:val="006E295B"/>
    <w:rsid w:val="006E2B3C"/>
    <w:rsid w:val="006E2BA3"/>
    <w:rsid w:val="006E2D07"/>
    <w:rsid w:val="006E2E6C"/>
    <w:rsid w:val="006E2EE9"/>
    <w:rsid w:val="006E31D0"/>
    <w:rsid w:val="006E368C"/>
    <w:rsid w:val="006E3962"/>
    <w:rsid w:val="006E3DD7"/>
    <w:rsid w:val="006E4242"/>
    <w:rsid w:val="006E43CB"/>
    <w:rsid w:val="006E47BF"/>
    <w:rsid w:val="006E4916"/>
    <w:rsid w:val="006E4A74"/>
    <w:rsid w:val="006E51BE"/>
    <w:rsid w:val="006E5272"/>
    <w:rsid w:val="006E5342"/>
    <w:rsid w:val="006E5533"/>
    <w:rsid w:val="006E553C"/>
    <w:rsid w:val="006E581F"/>
    <w:rsid w:val="006E5BAD"/>
    <w:rsid w:val="006E5C2C"/>
    <w:rsid w:val="006E5C58"/>
    <w:rsid w:val="006E5E9A"/>
    <w:rsid w:val="006E5ED5"/>
    <w:rsid w:val="006E5FAA"/>
    <w:rsid w:val="006E6040"/>
    <w:rsid w:val="006E604F"/>
    <w:rsid w:val="006E6D44"/>
    <w:rsid w:val="006E6E27"/>
    <w:rsid w:val="006E7311"/>
    <w:rsid w:val="006E7563"/>
    <w:rsid w:val="006E7923"/>
    <w:rsid w:val="006E7A76"/>
    <w:rsid w:val="006E7BD6"/>
    <w:rsid w:val="006E7D21"/>
    <w:rsid w:val="006E7D64"/>
    <w:rsid w:val="006E7DC3"/>
    <w:rsid w:val="006E7F3C"/>
    <w:rsid w:val="006F0753"/>
    <w:rsid w:val="006F0BAC"/>
    <w:rsid w:val="006F0EE6"/>
    <w:rsid w:val="006F100A"/>
    <w:rsid w:val="006F1117"/>
    <w:rsid w:val="006F113D"/>
    <w:rsid w:val="006F1361"/>
    <w:rsid w:val="006F1428"/>
    <w:rsid w:val="006F17BF"/>
    <w:rsid w:val="006F187D"/>
    <w:rsid w:val="006F1AC4"/>
    <w:rsid w:val="006F1C43"/>
    <w:rsid w:val="006F21E0"/>
    <w:rsid w:val="006F2238"/>
    <w:rsid w:val="006F2428"/>
    <w:rsid w:val="006F2433"/>
    <w:rsid w:val="006F2697"/>
    <w:rsid w:val="006F2B32"/>
    <w:rsid w:val="006F2EC9"/>
    <w:rsid w:val="006F2F8E"/>
    <w:rsid w:val="006F3294"/>
    <w:rsid w:val="006F329B"/>
    <w:rsid w:val="006F366E"/>
    <w:rsid w:val="006F3672"/>
    <w:rsid w:val="006F38C3"/>
    <w:rsid w:val="006F38C8"/>
    <w:rsid w:val="006F3C3C"/>
    <w:rsid w:val="006F3C44"/>
    <w:rsid w:val="006F3D0A"/>
    <w:rsid w:val="006F3F25"/>
    <w:rsid w:val="006F430D"/>
    <w:rsid w:val="006F44DD"/>
    <w:rsid w:val="006F4649"/>
    <w:rsid w:val="006F46A1"/>
    <w:rsid w:val="006F497A"/>
    <w:rsid w:val="006F4A17"/>
    <w:rsid w:val="006F4D92"/>
    <w:rsid w:val="006F4E7A"/>
    <w:rsid w:val="006F4EA3"/>
    <w:rsid w:val="006F511F"/>
    <w:rsid w:val="006F5469"/>
    <w:rsid w:val="006F5736"/>
    <w:rsid w:val="006F5A77"/>
    <w:rsid w:val="006F5D03"/>
    <w:rsid w:val="006F5EEF"/>
    <w:rsid w:val="006F6178"/>
    <w:rsid w:val="006F626D"/>
    <w:rsid w:val="006F64DF"/>
    <w:rsid w:val="006F6779"/>
    <w:rsid w:val="006F688E"/>
    <w:rsid w:val="006F695E"/>
    <w:rsid w:val="006F6E36"/>
    <w:rsid w:val="006F7263"/>
    <w:rsid w:val="006F7574"/>
    <w:rsid w:val="006F7D29"/>
    <w:rsid w:val="006F7E71"/>
    <w:rsid w:val="006F7E85"/>
    <w:rsid w:val="006F7FCF"/>
    <w:rsid w:val="00700001"/>
    <w:rsid w:val="00700269"/>
    <w:rsid w:val="00700379"/>
    <w:rsid w:val="007004BB"/>
    <w:rsid w:val="007004C6"/>
    <w:rsid w:val="00700925"/>
    <w:rsid w:val="007009E9"/>
    <w:rsid w:val="00700AAB"/>
    <w:rsid w:val="00700BF3"/>
    <w:rsid w:val="00700D24"/>
    <w:rsid w:val="00700EE4"/>
    <w:rsid w:val="0070103D"/>
    <w:rsid w:val="007013C4"/>
    <w:rsid w:val="0070144C"/>
    <w:rsid w:val="00701983"/>
    <w:rsid w:val="00701C0A"/>
    <w:rsid w:val="00701C89"/>
    <w:rsid w:val="00701E56"/>
    <w:rsid w:val="00702043"/>
    <w:rsid w:val="00702175"/>
    <w:rsid w:val="00702451"/>
    <w:rsid w:val="007025B8"/>
    <w:rsid w:val="007026C3"/>
    <w:rsid w:val="00702727"/>
    <w:rsid w:val="007028B9"/>
    <w:rsid w:val="00702FB2"/>
    <w:rsid w:val="007030A9"/>
    <w:rsid w:val="0070315A"/>
    <w:rsid w:val="007033C8"/>
    <w:rsid w:val="00703567"/>
    <w:rsid w:val="00703583"/>
    <w:rsid w:val="00703790"/>
    <w:rsid w:val="00703A31"/>
    <w:rsid w:val="00703AEA"/>
    <w:rsid w:val="00703C30"/>
    <w:rsid w:val="00703D6B"/>
    <w:rsid w:val="0070450C"/>
    <w:rsid w:val="00704558"/>
    <w:rsid w:val="007048CF"/>
    <w:rsid w:val="00704AA5"/>
    <w:rsid w:val="00704B4C"/>
    <w:rsid w:val="00704DE5"/>
    <w:rsid w:val="00704F0A"/>
    <w:rsid w:val="007055C7"/>
    <w:rsid w:val="00705A63"/>
    <w:rsid w:val="00705C0F"/>
    <w:rsid w:val="00705C1F"/>
    <w:rsid w:val="00705FB0"/>
    <w:rsid w:val="0070622C"/>
    <w:rsid w:val="0070625F"/>
    <w:rsid w:val="00706878"/>
    <w:rsid w:val="00706E58"/>
    <w:rsid w:val="007072F0"/>
    <w:rsid w:val="0070740C"/>
    <w:rsid w:val="007076DB"/>
    <w:rsid w:val="00707FED"/>
    <w:rsid w:val="00707FF9"/>
    <w:rsid w:val="0071002A"/>
    <w:rsid w:val="00710060"/>
    <w:rsid w:val="00710158"/>
    <w:rsid w:val="00710217"/>
    <w:rsid w:val="00710682"/>
    <w:rsid w:val="00710725"/>
    <w:rsid w:val="00710C29"/>
    <w:rsid w:val="007110E8"/>
    <w:rsid w:val="00711152"/>
    <w:rsid w:val="007111BE"/>
    <w:rsid w:val="0071188B"/>
    <w:rsid w:val="007118D1"/>
    <w:rsid w:val="00711969"/>
    <w:rsid w:val="00711D02"/>
    <w:rsid w:val="00711D8C"/>
    <w:rsid w:val="00711D9C"/>
    <w:rsid w:val="00711F0B"/>
    <w:rsid w:val="00711F19"/>
    <w:rsid w:val="00711FDF"/>
    <w:rsid w:val="007120CB"/>
    <w:rsid w:val="007121B8"/>
    <w:rsid w:val="0071255C"/>
    <w:rsid w:val="00712583"/>
    <w:rsid w:val="00712646"/>
    <w:rsid w:val="00712F5C"/>
    <w:rsid w:val="00712F9D"/>
    <w:rsid w:val="0071352D"/>
    <w:rsid w:val="00713567"/>
    <w:rsid w:val="0071376F"/>
    <w:rsid w:val="007137CC"/>
    <w:rsid w:val="00713C36"/>
    <w:rsid w:val="00713CD1"/>
    <w:rsid w:val="00713EFA"/>
    <w:rsid w:val="00713FEF"/>
    <w:rsid w:val="0071414F"/>
    <w:rsid w:val="007141E5"/>
    <w:rsid w:val="007142FC"/>
    <w:rsid w:val="007144B6"/>
    <w:rsid w:val="007148B0"/>
    <w:rsid w:val="0071495D"/>
    <w:rsid w:val="007149F9"/>
    <w:rsid w:val="00714A2F"/>
    <w:rsid w:val="00714A47"/>
    <w:rsid w:val="00714BA9"/>
    <w:rsid w:val="00714D8E"/>
    <w:rsid w:val="00714DA4"/>
    <w:rsid w:val="00714E03"/>
    <w:rsid w:val="0071531A"/>
    <w:rsid w:val="00715346"/>
    <w:rsid w:val="007153FF"/>
    <w:rsid w:val="00715A56"/>
    <w:rsid w:val="00715F15"/>
    <w:rsid w:val="0071637F"/>
    <w:rsid w:val="00716DF0"/>
    <w:rsid w:val="007171A2"/>
    <w:rsid w:val="0071758D"/>
    <w:rsid w:val="0071782B"/>
    <w:rsid w:val="00717839"/>
    <w:rsid w:val="00717959"/>
    <w:rsid w:val="00717C08"/>
    <w:rsid w:val="00717FB2"/>
    <w:rsid w:val="00720327"/>
    <w:rsid w:val="00720397"/>
    <w:rsid w:val="007204BA"/>
    <w:rsid w:val="00720550"/>
    <w:rsid w:val="00720573"/>
    <w:rsid w:val="00720696"/>
    <w:rsid w:val="0072078E"/>
    <w:rsid w:val="00720820"/>
    <w:rsid w:val="00720B40"/>
    <w:rsid w:val="00720CB7"/>
    <w:rsid w:val="00720D31"/>
    <w:rsid w:val="00720FDC"/>
    <w:rsid w:val="0072127B"/>
    <w:rsid w:val="00721427"/>
    <w:rsid w:val="00721E84"/>
    <w:rsid w:val="00722078"/>
    <w:rsid w:val="007223A5"/>
    <w:rsid w:val="00722562"/>
    <w:rsid w:val="00722AD2"/>
    <w:rsid w:val="00722C12"/>
    <w:rsid w:val="00722C94"/>
    <w:rsid w:val="007231D0"/>
    <w:rsid w:val="00723525"/>
    <w:rsid w:val="0072369E"/>
    <w:rsid w:val="0072374B"/>
    <w:rsid w:val="00723816"/>
    <w:rsid w:val="0072397A"/>
    <w:rsid w:val="00723AE1"/>
    <w:rsid w:val="00723BA0"/>
    <w:rsid w:val="00723D55"/>
    <w:rsid w:val="00724317"/>
    <w:rsid w:val="0072443F"/>
    <w:rsid w:val="0072444F"/>
    <w:rsid w:val="007245B6"/>
    <w:rsid w:val="00724989"/>
    <w:rsid w:val="0072498D"/>
    <w:rsid w:val="00724D40"/>
    <w:rsid w:val="00724FEA"/>
    <w:rsid w:val="007251A5"/>
    <w:rsid w:val="007252B9"/>
    <w:rsid w:val="00725370"/>
    <w:rsid w:val="00725518"/>
    <w:rsid w:val="00725595"/>
    <w:rsid w:val="00725788"/>
    <w:rsid w:val="00725A79"/>
    <w:rsid w:val="00725B0E"/>
    <w:rsid w:val="00725C26"/>
    <w:rsid w:val="00725FE1"/>
    <w:rsid w:val="0072611D"/>
    <w:rsid w:val="0072615D"/>
    <w:rsid w:val="007262F5"/>
    <w:rsid w:val="007267EC"/>
    <w:rsid w:val="00726B84"/>
    <w:rsid w:val="00726D28"/>
    <w:rsid w:val="00726D8B"/>
    <w:rsid w:val="0072721C"/>
    <w:rsid w:val="007274D1"/>
    <w:rsid w:val="0072770A"/>
    <w:rsid w:val="00727722"/>
    <w:rsid w:val="00727874"/>
    <w:rsid w:val="00727C0B"/>
    <w:rsid w:val="007302BC"/>
    <w:rsid w:val="0073054A"/>
    <w:rsid w:val="00730560"/>
    <w:rsid w:val="00730795"/>
    <w:rsid w:val="00730816"/>
    <w:rsid w:val="007308C8"/>
    <w:rsid w:val="007309A6"/>
    <w:rsid w:val="007309DB"/>
    <w:rsid w:val="00730B09"/>
    <w:rsid w:val="00730C64"/>
    <w:rsid w:val="00730F38"/>
    <w:rsid w:val="00730FAC"/>
    <w:rsid w:val="00731025"/>
    <w:rsid w:val="007310AD"/>
    <w:rsid w:val="007312F7"/>
    <w:rsid w:val="0073132D"/>
    <w:rsid w:val="0073133B"/>
    <w:rsid w:val="0073149C"/>
    <w:rsid w:val="007316BB"/>
    <w:rsid w:val="0073194F"/>
    <w:rsid w:val="0073235B"/>
    <w:rsid w:val="007324E0"/>
    <w:rsid w:val="00732A09"/>
    <w:rsid w:val="00733096"/>
    <w:rsid w:val="007337CC"/>
    <w:rsid w:val="007338D2"/>
    <w:rsid w:val="00733C15"/>
    <w:rsid w:val="00733CCB"/>
    <w:rsid w:val="00733D72"/>
    <w:rsid w:val="00733E40"/>
    <w:rsid w:val="00733F74"/>
    <w:rsid w:val="00733F92"/>
    <w:rsid w:val="0073417C"/>
    <w:rsid w:val="0073435B"/>
    <w:rsid w:val="0073444A"/>
    <w:rsid w:val="00734507"/>
    <w:rsid w:val="00734AA6"/>
    <w:rsid w:val="00734EAB"/>
    <w:rsid w:val="00735099"/>
    <w:rsid w:val="0073514E"/>
    <w:rsid w:val="007353C0"/>
    <w:rsid w:val="00735474"/>
    <w:rsid w:val="0073558B"/>
    <w:rsid w:val="00735AB3"/>
    <w:rsid w:val="00735C8D"/>
    <w:rsid w:val="00735C92"/>
    <w:rsid w:val="00735DF3"/>
    <w:rsid w:val="00735E17"/>
    <w:rsid w:val="00735E3F"/>
    <w:rsid w:val="00735F7E"/>
    <w:rsid w:val="00736407"/>
    <w:rsid w:val="00736613"/>
    <w:rsid w:val="00736695"/>
    <w:rsid w:val="00736A17"/>
    <w:rsid w:val="00736C1C"/>
    <w:rsid w:val="00736D4B"/>
    <w:rsid w:val="00736F07"/>
    <w:rsid w:val="00736F6F"/>
    <w:rsid w:val="007371C0"/>
    <w:rsid w:val="007371D7"/>
    <w:rsid w:val="007371EC"/>
    <w:rsid w:val="007374C8"/>
    <w:rsid w:val="007374CD"/>
    <w:rsid w:val="00737714"/>
    <w:rsid w:val="00737B0E"/>
    <w:rsid w:val="00737B76"/>
    <w:rsid w:val="00737BC5"/>
    <w:rsid w:val="00737D47"/>
    <w:rsid w:val="00737E81"/>
    <w:rsid w:val="00740511"/>
    <w:rsid w:val="00741078"/>
    <w:rsid w:val="00741155"/>
    <w:rsid w:val="007418CB"/>
    <w:rsid w:val="00741951"/>
    <w:rsid w:val="00741C75"/>
    <w:rsid w:val="00741D0D"/>
    <w:rsid w:val="00741D1E"/>
    <w:rsid w:val="00741DF0"/>
    <w:rsid w:val="00741E18"/>
    <w:rsid w:val="00741EBB"/>
    <w:rsid w:val="00741F81"/>
    <w:rsid w:val="00741FD7"/>
    <w:rsid w:val="0074210A"/>
    <w:rsid w:val="00742660"/>
    <w:rsid w:val="007427D9"/>
    <w:rsid w:val="00742A75"/>
    <w:rsid w:val="00742B3B"/>
    <w:rsid w:val="0074304B"/>
    <w:rsid w:val="00743069"/>
    <w:rsid w:val="007430C0"/>
    <w:rsid w:val="0074325C"/>
    <w:rsid w:val="00743289"/>
    <w:rsid w:val="00743356"/>
    <w:rsid w:val="00743571"/>
    <w:rsid w:val="0074357F"/>
    <w:rsid w:val="007436E9"/>
    <w:rsid w:val="007436FC"/>
    <w:rsid w:val="00743780"/>
    <w:rsid w:val="00743978"/>
    <w:rsid w:val="007439C5"/>
    <w:rsid w:val="007439F0"/>
    <w:rsid w:val="0074403B"/>
    <w:rsid w:val="00744064"/>
    <w:rsid w:val="0074407E"/>
    <w:rsid w:val="00744219"/>
    <w:rsid w:val="0074432C"/>
    <w:rsid w:val="00744523"/>
    <w:rsid w:val="00744723"/>
    <w:rsid w:val="00744B54"/>
    <w:rsid w:val="00744BAF"/>
    <w:rsid w:val="007452ED"/>
    <w:rsid w:val="007455CC"/>
    <w:rsid w:val="007457C7"/>
    <w:rsid w:val="00745956"/>
    <w:rsid w:val="00746605"/>
    <w:rsid w:val="007467A4"/>
    <w:rsid w:val="00746A7B"/>
    <w:rsid w:val="00746AE5"/>
    <w:rsid w:val="00746B47"/>
    <w:rsid w:val="00746C16"/>
    <w:rsid w:val="00746C25"/>
    <w:rsid w:val="00746C9F"/>
    <w:rsid w:val="00746D4A"/>
    <w:rsid w:val="00746E3C"/>
    <w:rsid w:val="00746F39"/>
    <w:rsid w:val="00746FBF"/>
    <w:rsid w:val="007470E2"/>
    <w:rsid w:val="00747108"/>
    <w:rsid w:val="00747184"/>
    <w:rsid w:val="007475DF"/>
    <w:rsid w:val="00747698"/>
    <w:rsid w:val="00747773"/>
    <w:rsid w:val="007478BE"/>
    <w:rsid w:val="00747A4D"/>
    <w:rsid w:val="00747C53"/>
    <w:rsid w:val="00747CA6"/>
    <w:rsid w:val="00747D15"/>
    <w:rsid w:val="00747F1F"/>
    <w:rsid w:val="00747FBA"/>
    <w:rsid w:val="007504E6"/>
    <w:rsid w:val="0075091D"/>
    <w:rsid w:val="00750927"/>
    <w:rsid w:val="00750D6B"/>
    <w:rsid w:val="00750FEF"/>
    <w:rsid w:val="00751069"/>
    <w:rsid w:val="007510AC"/>
    <w:rsid w:val="007511D2"/>
    <w:rsid w:val="00751504"/>
    <w:rsid w:val="007516FF"/>
    <w:rsid w:val="0075199F"/>
    <w:rsid w:val="00751BB6"/>
    <w:rsid w:val="00751CE6"/>
    <w:rsid w:val="00752007"/>
    <w:rsid w:val="007523B3"/>
    <w:rsid w:val="0075248B"/>
    <w:rsid w:val="007524C0"/>
    <w:rsid w:val="0075279A"/>
    <w:rsid w:val="007529C8"/>
    <w:rsid w:val="00752BE7"/>
    <w:rsid w:val="007533C3"/>
    <w:rsid w:val="00753555"/>
    <w:rsid w:val="007539FA"/>
    <w:rsid w:val="00753AA3"/>
    <w:rsid w:val="00753AFE"/>
    <w:rsid w:val="00753DC2"/>
    <w:rsid w:val="00753F6B"/>
    <w:rsid w:val="00753FAB"/>
    <w:rsid w:val="007540DE"/>
    <w:rsid w:val="00754136"/>
    <w:rsid w:val="007544B1"/>
    <w:rsid w:val="007544F9"/>
    <w:rsid w:val="00754657"/>
    <w:rsid w:val="007548CF"/>
    <w:rsid w:val="00754A8A"/>
    <w:rsid w:val="00754C64"/>
    <w:rsid w:val="00754E0B"/>
    <w:rsid w:val="00754E0C"/>
    <w:rsid w:val="007550B0"/>
    <w:rsid w:val="0075514C"/>
    <w:rsid w:val="00755207"/>
    <w:rsid w:val="00755801"/>
    <w:rsid w:val="00755865"/>
    <w:rsid w:val="00755CC9"/>
    <w:rsid w:val="00755D4A"/>
    <w:rsid w:val="00755F3A"/>
    <w:rsid w:val="007560A6"/>
    <w:rsid w:val="00756447"/>
    <w:rsid w:val="0075657B"/>
    <w:rsid w:val="007565DD"/>
    <w:rsid w:val="00756871"/>
    <w:rsid w:val="007569F2"/>
    <w:rsid w:val="00756A1C"/>
    <w:rsid w:val="00756A2F"/>
    <w:rsid w:val="00756F90"/>
    <w:rsid w:val="0075717C"/>
    <w:rsid w:val="007572BA"/>
    <w:rsid w:val="007574BD"/>
    <w:rsid w:val="00757613"/>
    <w:rsid w:val="00757885"/>
    <w:rsid w:val="00757B44"/>
    <w:rsid w:val="00757B59"/>
    <w:rsid w:val="00757FC7"/>
    <w:rsid w:val="007601DD"/>
    <w:rsid w:val="007603E6"/>
    <w:rsid w:val="007605F7"/>
    <w:rsid w:val="00760721"/>
    <w:rsid w:val="0076090E"/>
    <w:rsid w:val="00760B40"/>
    <w:rsid w:val="00760BC2"/>
    <w:rsid w:val="00760C91"/>
    <w:rsid w:val="00760D08"/>
    <w:rsid w:val="00760D3A"/>
    <w:rsid w:val="00760DB8"/>
    <w:rsid w:val="00760E94"/>
    <w:rsid w:val="00760F8F"/>
    <w:rsid w:val="00761251"/>
    <w:rsid w:val="00761294"/>
    <w:rsid w:val="00761965"/>
    <w:rsid w:val="00761AC4"/>
    <w:rsid w:val="00761CE8"/>
    <w:rsid w:val="00761E63"/>
    <w:rsid w:val="00761FFF"/>
    <w:rsid w:val="00762133"/>
    <w:rsid w:val="00762735"/>
    <w:rsid w:val="00762981"/>
    <w:rsid w:val="007629C1"/>
    <w:rsid w:val="00762F60"/>
    <w:rsid w:val="00762F7B"/>
    <w:rsid w:val="007631B6"/>
    <w:rsid w:val="00763235"/>
    <w:rsid w:val="007632FD"/>
    <w:rsid w:val="00763590"/>
    <w:rsid w:val="00763AC1"/>
    <w:rsid w:val="00763CD5"/>
    <w:rsid w:val="00764025"/>
    <w:rsid w:val="007641D1"/>
    <w:rsid w:val="007647FF"/>
    <w:rsid w:val="00764910"/>
    <w:rsid w:val="00764C1B"/>
    <w:rsid w:val="00764C2F"/>
    <w:rsid w:val="00764E11"/>
    <w:rsid w:val="007651AF"/>
    <w:rsid w:val="00765BE5"/>
    <w:rsid w:val="00765FA0"/>
    <w:rsid w:val="00766050"/>
    <w:rsid w:val="0076644D"/>
    <w:rsid w:val="0076645E"/>
    <w:rsid w:val="00766770"/>
    <w:rsid w:val="007667B1"/>
    <w:rsid w:val="00766900"/>
    <w:rsid w:val="00766C63"/>
    <w:rsid w:val="00767217"/>
    <w:rsid w:val="00767330"/>
    <w:rsid w:val="0076752E"/>
    <w:rsid w:val="007677A1"/>
    <w:rsid w:val="007677B7"/>
    <w:rsid w:val="007701FC"/>
    <w:rsid w:val="0077047A"/>
    <w:rsid w:val="00770602"/>
    <w:rsid w:val="007707DC"/>
    <w:rsid w:val="00770DB3"/>
    <w:rsid w:val="00770F7E"/>
    <w:rsid w:val="0077120D"/>
    <w:rsid w:val="00771418"/>
    <w:rsid w:val="00771AFD"/>
    <w:rsid w:val="00771C7D"/>
    <w:rsid w:val="00772100"/>
    <w:rsid w:val="007722F3"/>
    <w:rsid w:val="00772305"/>
    <w:rsid w:val="0077262A"/>
    <w:rsid w:val="00772772"/>
    <w:rsid w:val="00772971"/>
    <w:rsid w:val="00772A3E"/>
    <w:rsid w:val="00772E59"/>
    <w:rsid w:val="00772ED2"/>
    <w:rsid w:val="00772F39"/>
    <w:rsid w:val="00772FBE"/>
    <w:rsid w:val="0077364D"/>
    <w:rsid w:val="00773863"/>
    <w:rsid w:val="00773902"/>
    <w:rsid w:val="00773922"/>
    <w:rsid w:val="00773B05"/>
    <w:rsid w:val="00773F3C"/>
    <w:rsid w:val="007740BA"/>
    <w:rsid w:val="00774283"/>
    <w:rsid w:val="007743BD"/>
    <w:rsid w:val="0077460F"/>
    <w:rsid w:val="007748A3"/>
    <w:rsid w:val="007749C4"/>
    <w:rsid w:val="00774A3D"/>
    <w:rsid w:val="00774BB8"/>
    <w:rsid w:val="00774BD5"/>
    <w:rsid w:val="007750E3"/>
    <w:rsid w:val="00775852"/>
    <w:rsid w:val="0077591D"/>
    <w:rsid w:val="00775A03"/>
    <w:rsid w:val="00775D5A"/>
    <w:rsid w:val="00775DE1"/>
    <w:rsid w:val="00775EE9"/>
    <w:rsid w:val="00775F30"/>
    <w:rsid w:val="00775FB5"/>
    <w:rsid w:val="0077620E"/>
    <w:rsid w:val="00776225"/>
    <w:rsid w:val="00776244"/>
    <w:rsid w:val="007762D0"/>
    <w:rsid w:val="007766AD"/>
    <w:rsid w:val="007768D6"/>
    <w:rsid w:val="007768D8"/>
    <w:rsid w:val="00776912"/>
    <w:rsid w:val="00776B66"/>
    <w:rsid w:val="00776DBE"/>
    <w:rsid w:val="00776DCA"/>
    <w:rsid w:val="00776E3E"/>
    <w:rsid w:val="007770AC"/>
    <w:rsid w:val="00777125"/>
    <w:rsid w:val="0077712F"/>
    <w:rsid w:val="00777166"/>
    <w:rsid w:val="00777836"/>
    <w:rsid w:val="007779E8"/>
    <w:rsid w:val="00777AED"/>
    <w:rsid w:val="00777B8D"/>
    <w:rsid w:val="00777EC8"/>
    <w:rsid w:val="007800EF"/>
    <w:rsid w:val="00780260"/>
    <w:rsid w:val="007807A7"/>
    <w:rsid w:val="007807E9"/>
    <w:rsid w:val="00780EEA"/>
    <w:rsid w:val="007811F0"/>
    <w:rsid w:val="00781310"/>
    <w:rsid w:val="00781417"/>
    <w:rsid w:val="00781476"/>
    <w:rsid w:val="00781674"/>
    <w:rsid w:val="00781948"/>
    <w:rsid w:val="00781C94"/>
    <w:rsid w:val="00781E30"/>
    <w:rsid w:val="00782118"/>
    <w:rsid w:val="007825C2"/>
    <w:rsid w:val="007828D5"/>
    <w:rsid w:val="00782C7F"/>
    <w:rsid w:val="00782CD7"/>
    <w:rsid w:val="00783454"/>
    <w:rsid w:val="00783576"/>
    <w:rsid w:val="007835AD"/>
    <w:rsid w:val="007836A5"/>
    <w:rsid w:val="0078372B"/>
    <w:rsid w:val="0078372D"/>
    <w:rsid w:val="007838C5"/>
    <w:rsid w:val="00783D4A"/>
    <w:rsid w:val="00783DBA"/>
    <w:rsid w:val="00784715"/>
    <w:rsid w:val="00784812"/>
    <w:rsid w:val="0078491A"/>
    <w:rsid w:val="00784B43"/>
    <w:rsid w:val="00784CFF"/>
    <w:rsid w:val="00784DAE"/>
    <w:rsid w:val="00784F06"/>
    <w:rsid w:val="007850E6"/>
    <w:rsid w:val="007852FB"/>
    <w:rsid w:val="00785303"/>
    <w:rsid w:val="0078530B"/>
    <w:rsid w:val="00785472"/>
    <w:rsid w:val="00785756"/>
    <w:rsid w:val="00785870"/>
    <w:rsid w:val="0078596C"/>
    <w:rsid w:val="00785AE1"/>
    <w:rsid w:val="00785CA1"/>
    <w:rsid w:val="00785CFD"/>
    <w:rsid w:val="00785E9C"/>
    <w:rsid w:val="00785ED8"/>
    <w:rsid w:val="00785F84"/>
    <w:rsid w:val="0078630A"/>
    <w:rsid w:val="007867BE"/>
    <w:rsid w:val="00786866"/>
    <w:rsid w:val="00786D6E"/>
    <w:rsid w:val="00787067"/>
    <w:rsid w:val="007870B2"/>
    <w:rsid w:val="00787757"/>
    <w:rsid w:val="007878E1"/>
    <w:rsid w:val="00787A79"/>
    <w:rsid w:val="007901CA"/>
    <w:rsid w:val="0079084E"/>
    <w:rsid w:val="007908AF"/>
    <w:rsid w:val="00790AEF"/>
    <w:rsid w:val="00790BA9"/>
    <w:rsid w:val="00790BE1"/>
    <w:rsid w:val="00790CC6"/>
    <w:rsid w:val="00791032"/>
    <w:rsid w:val="007910AA"/>
    <w:rsid w:val="0079122D"/>
    <w:rsid w:val="007914F4"/>
    <w:rsid w:val="007914FF"/>
    <w:rsid w:val="0079165C"/>
    <w:rsid w:val="0079174A"/>
    <w:rsid w:val="00791772"/>
    <w:rsid w:val="0079197D"/>
    <w:rsid w:val="00791ADB"/>
    <w:rsid w:val="00791D7D"/>
    <w:rsid w:val="00791E75"/>
    <w:rsid w:val="00791F23"/>
    <w:rsid w:val="007920E4"/>
    <w:rsid w:val="0079230C"/>
    <w:rsid w:val="007928D3"/>
    <w:rsid w:val="0079299A"/>
    <w:rsid w:val="00792A3D"/>
    <w:rsid w:val="00792D85"/>
    <w:rsid w:val="00792E3F"/>
    <w:rsid w:val="00792F64"/>
    <w:rsid w:val="00792FA8"/>
    <w:rsid w:val="007932A7"/>
    <w:rsid w:val="00793384"/>
    <w:rsid w:val="00793392"/>
    <w:rsid w:val="007936C7"/>
    <w:rsid w:val="00793836"/>
    <w:rsid w:val="00793916"/>
    <w:rsid w:val="007939C8"/>
    <w:rsid w:val="00793CC7"/>
    <w:rsid w:val="00793F3C"/>
    <w:rsid w:val="00793F79"/>
    <w:rsid w:val="00793FAF"/>
    <w:rsid w:val="00794111"/>
    <w:rsid w:val="00794BE1"/>
    <w:rsid w:val="007950F0"/>
    <w:rsid w:val="00795394"/>
    <w:rsid w:val="007953C8"/>
    <w:rsid w:val="00795894"/>
    <w:rsid w:val="00795EBC"/>
    <w:rsid w:val="00796097"/>
    <w:rsid w:val="0079665A"/>
    <w:rsid w:val="00796860"/>
    <w:rsid w:val="007968C3"/>
    <w:rsid w:val="007968F7"/>
    <w:rsid w:val="00796C9C"/>
    <w:rsid w:val="00796EF5"/>
    <w:rsid w:val="00796EFA"/>
    <w:rsid w:val="00797518"/>
    <w:rsid w:val="00797576"/>
    <w:rsid w:val="00797B1D"/>
    <w:rsid w:val="00797C1B"/>
    <w:rsid w:val="00797CE0"/>
    <w:rsid w:val="007A01DF"/>
    <w:rsid w:val="007A0361"/>
    <w:rsid w:val="007A0499"/>
    <w:rsid w:val="007A07AE"/>
    <w:rsid w:val="007A07DB"/>
    <w:rsid w:val="007A0818"/>
    <w:rsid w:val="007A0850"/>
    <w:rsid w:val="007A0EF3"/>
    <w:rsid w:val="007A1080"/>
    <w:rsid w:val="007A151B"/>
    <w:rsid w:val="007A1C51"/>
    <w:rsid w:val="007A1F8C"/>
    <w:rsid w:val="007A1F92"/>
    <w:rsid w:val="007A1FB8"/>
    <w:rsid w:val="007A20C5"/>
    <w:rsid w:val="007A228D"/>
    <w:rsid w:val="007A2370"/>
    <w:rsid w:val="007A2671"/>
    <w:rsid w:val="007A29FB"/>
    <w:rsid w:val="007A2ABE"/>
    <w:rsid w:val="007A2D46"/>
    <w:rsid w:val="007A2D50"/>
    <w:rsid w:val="007A323A"/>
    <w:rsid w:val="007A33A6"/>
    <w:rsid w:val="007A36C6"/>
    <w:rsid w:val="007A37A9"/>
    <w:rsid w:val="007A37F8"/>
    <w:rsid w:val="007A3814"/>
    <w:rsid w:val="007A3881"/>
    <w:rsid w:val="007A3D4F"/>
    <w:rsid w:val="007A4203"/>
    <w:rsid w:val="007A42B5"/>
    <w:rsid w:val="007A43F7"/>
    <w:rsid w:val="007A447C"/>
    <w:rsid w:val="007A460C"/>
    <w:rsid w:val="007A47EA"/>
    <w:rsid w:val="007A4A83"/>
    <w:rsid w:val="007A4BD0"/>
    <w:rsid w:val="007A4F46"/>
    <w:rsid w:val="007A53F8"/>
    <w:rsid w:val="007A54CE"/>
    <w:rsid w:val="007A564E"/>
    <w:rsid w:val="007A568F"/>
    <w:rsid w:val="007A5A09"/>
    <w:rsid w:val="007A5AA7"/>
    <w:rsid w:val="007A5AC9"/>
    <w:rsid w:val="007A5C5A"/>
    <w:rsid w:val="007A5C9E"/>
    <w:rsid w:val="007A6499"/>
    <w:rsid w:val="007A65F8"/>
    <w:rsid w:val="007A6633"/>
    <w:rsid w:val="007A67A1"/>
    <w:rsid w:val="007A689F"/>
    <w:rsid w:val="007A68AF"/>
    <w:rsid w:val="007A6B14"/>
    <w:rsid w:val="007A6B65"/>
    <w:rsid w:val="007A6C47"/>
    <w:rsid w:val="007A6DBD"/>
    <w:rsid w:val="007A6F23"/>
    <w:rsid w:val="007A71A0"/>
    <w:rsid w:val="007A72E4"/>
    <w:rsid w:val="007A7538"/>
    <w:rsid w:val="007A753C"/>
    <w:rsid w:val="007A7626"/>
    <w:rsid w:val="007A7696"/>
    <w:rsid w:val="007A77C3"/>
    <w:rsid w:val="007A7D04"/>
    <w:rsid w:val="007A7D3C"/>
    <w:rsid w:val="007A7F44"/>
    <w:rsid w:val="007B01EA"/>
    <w:rsid w:val="007B0E81"/>
    <w:rsid w:val="007B0F11"/>
    <w:rsid w:val="007B1222"/>
    <w:rsid w:val="007B172A"/>
    <w:rsid w:val="007B194E"/>
    <w:rsid w:val="007B1B11"/>
    <w:rsid w:val="007B1CD4"/>
    <w:rsid w:val="007B1F0F"/>
    <w:rsid w:val="007B2343"/>
    <w:rsid w:val="007B2388"/>
    <w:rsid w:val="007B2613"/>
    <w:rsid w:val="007B2912"/>
    <w:rsid w:val="007B2AA9"/>
    <w:rsid w:val="007B2D84"/>
    <w:rsid w:val="007B2E89"/>
    <w:rsid w:val="007B30D1"/>
    <w:rsid w:val="007B319E"/>
    <w:rsid w:val="007B33EC"/>
    <w:rsid w:val="007B375D"/>
    <w:rsid w:val="007B3869"/>
    <w:rsid w:val="007B38C1"/>
    <w:rsid w:val="007B3BCA"/>
    <w:rsid w:val="007B3C25"/>
    <w:rsid w:val="007B3E73"/>
    <w:rsid w:val="007B3F02"/>
    <w:rsid w:val="007B3F2A"/>
    <w:rsid w:val="007B4563"/>
    <w:rsid w:val="007B4573"/>
    <w:rsid w:val="007B46FC"/>
    <w:rsid w:val="007B4785"/>
    <w:rsid w:val="007B4873"/>
    <w:rsid w:val="007B4955"/>
    <w:rsid w:val="007B4E4F"/>
    <w:rsid w:val="007B4EB6"/>
    <w:rsid w:val="007B4F05"/>
    <w:rsid w:val="007B50D5"/>
    <w:rsid w:val="007B51E2"/>
    <w:rsid w:val="007B5818"/>
    <w:rsid w:val="007B5A34"/>
    <w:rsid w:val="007B5B0F"/>
    <w:rsid w:val="007B60A1"/>
    <w:rsid w:val="007B62F5"/>
    <w:rsid w:val="007B6403"/>
    <w:rsid w:val="007B64E2"/>
    <w:rsid w:val="007B6862"/>
    <w:rsid w:val="007B69EC"/>
    <w:rsid w:val="007B6A64"/>
    <w:rsid w:val="007B6AB9"/>
    <w:rsid w:val="007B743E"/>
    <w:rsid w:val="007B7523"/>
    <w:rsid w:val="007B7588"/>
    <w:rsid w:val="007B78B4"/>
    <w:rsid w:val="007B78C7"/>
    <w:rsid w:val="007B7986"/>
    <w:rsid w:val="007C0074"/>
    <w:rsid w:val="007C01A4"/>
    <w:rsid w:val="007C01D1"/>
    <w:rsid w:val="007C0655"/>
    <w:rsid w:val="007C066B"/>
    <w:rsid w:val="007C0844"/>
    <w:rsid w:val="007C0950"/>
    <w:rsid w:val="007C0D6E"/>
    <w:rsid w:val="007C0EE9"/>
    <w:rsid w:val="007C12A6"/>
    <w:rsid w:val="007C15AD"/>
    <w:rsid w:val="007C17F5"/>
    <w:rsid w:val="007C1B7E"/>
    <w:rsid w:val="007C1D69"/>
    <w:rsid w:val="007C1E00"/>
    <w:rsid w:val="007C1F27"/>
    <w:rsid w:val="007C21C6"/>
    <w:rsid w:val="007C248E"/>
    <w:rsid w:val="007C24A2"/>
    <w:rsid w:val="007C2562"/>
    <w:rsid w:val="007C2790"/>
    <w:rsid w:val="007C2883"/>
    <w:rsid w:val="007C2A8F"/>
    <w:rsid w:val="007C2BCA"/>
    <w:rsid w:val="007C2CC1"/>
    <w:rsid w:val="007C2E59"/>
    <w:rsid w:val="007C323F"/>
    <w:rsid w:val="007C33FA"/>
    <w:rsid w:val="007C34EF"/>
    <w:rsid w:val="007C353F"/>
    <w:rsid w:val="007C37B2"/>
    <w:rsid w:val="007C395D"/>
    <w:rsid w:val="007C3C33"/>
    <w:rsid w:val="007C3E12"/>
    <w:rsid w:val="007C3F72"/>
    <w:rsid w:val="007C42D0"/>
    <w:rsid w:val="007C4357"/>
    <w:rsid w:val="007C4436"/>
    <w:rsid w:val="007C484C"/>
    <w:rsid w:val="007C4A1E"/>
    <w:rsid w:val="007C4C63"/>
    <w:rsid w:val="007C4D8D"/>
    <w:rsid w:val="007C4ED5"/>
    <w:rsid w:val="007C5264"/>
    <w:rsid w:val="007C583C"/>
    <w:rsid w:val="007C58BB"/>
    <w:rsid w:val="007C5B07"/>
    <w:rsid w:val="007C5EFB"/>
    <w:rsid w:val="007C5F8F"/>
    <w:rsid w:val="007C6077"/>
    <w:rsid w:val="007C6493"/>
    <w:rsid w:val="007C6812"/>
    <w:rsid w:val="007C6915"/>
    <w:rsid w:val="007C6B39"/>
    <w:rsid w:val="007C6D0A"/>
    <w:rsid w:val="007C6D11"/>
    <w:rsid w:val="007C6FD5"/>
    <w:rsid w:val="007C7166"/>
    <w:rsid w:val="007C7576"/>
    <w:rsid w:val="007C764B"/>
    <w:rsid w:val="007C7757"/>
    <w:rsid w:val="007C7B0E"/>
    <w:rsid w:val="007C7E8A"/>
    <w:rsid w:val="007C7F63"/>
    <w:rsid w:val="007C7F79"/>
    <w:rsid w:val="007D02B6"/>
    <w:rsid w:val="007D03DC"/>
    <w:rsid w:val="007D03E9"/>
    <w:rsid w:val="007D0883"/>
    <w:rsid w:val="007D0BB0"/>
    <w:rsid w:val="007D0E79"/>
    <w:rsid w:val="007D0ECC"/>
    <w:rsid w:val="007D11BA"/>
    <w:rsid w:val="007D135B"/>
    <w:rsid w:val="007D1385"/>
    <w:rsid w:val="007D1502"/>
    <w:rsid w:val="007D16AF"/>
    <w:rsid w:val="007D19B0"/>
    <w:rsid w:val="007D1ACE"/>
    <w:rsid w:val="007D1BC6"/>
    <w:rsid w:val="007D1D92"/>
    <w:rsid w:val="007D2133"/>
    <w:rsid w:val="007D2316"/>
    <w:rsid w:val="007D236E"/>
    <w:rsid w:val="007D2C12"/>
    <w:rsid w:val="007D2FEE"/>
    <w:rsid w:val="007D3228"/>
    <w:rsid w:val="007D3379"/>
    <w:rsid w:val="007D373B"/>
    <w:rsid w:val="007D38AC"/>
    <w:rsid w:val="007D39DA"/>
    <w:rsid w:val="007D3D50"/>
    <w:rsid w:val="007D46B4"/>
    <w:rsid w:val="007D46BD"/>
    <w:rsid w:val="007D4890"/>
    <w:rsid w:val="007D496D"/>
    <w:rsid w:val="007D4BF1"/>
    <w:rsid w:val="007D4C0B"/>
    <w:rsid w:val="007D4C65"/>
    <w:rsid w:val="007D4F66"/>
    <w:rsid w:val="007D4FEA"/>
    <w:rsid w:val="007D5390"/>
    <w:rsid w:val="007D53AF"/>
    <w:rsid w:val="007D551E"/>
    <w:rsid w:val="007D5782"/>
    <w:rsid w:val="007D5A13"/>
    <w:rsid w:val="007D5CDC"/>
    <w:rsid w:val="007D5EFB"/>
    <w:rsid w:val="007D616A"/>
    <w:rsid w:val="007D61AA"/>
    <w:rsid w:val="007D674E"/>
    <w:rsid w:val="007D680D"/>
    <w:rsid w:val="007D6835"/>
    <w:rsid w:val="007D698A"/>
    <w:rsid w:val="007D69D1"/>
    <w:rsid w:val="007D6A39"/>
    <w:rsid w:val="007D6B3C"/>
    <w:rsid w:val="007D6C1F"/>
    <w:rsid w:val="007D6DB0"/>
    <w:rsid w:val="007D77A9"/>
    <w:rsid w:val="007D78F1"/>
    <w:rsid w:val="007D7BC7"/>
    <w:rsid w:val="007D7C1F"/>
    <w:rsid w:val="007D7E93"/>
    <w:rsid w:val="007E01EC"/>
    <w:rsid w:val="007E0213"/>
    <w:rsid w:val="007E0232"/>
    <w:rsid w:val="007E02CB"/>
    <w:rsid w:val="007E0399"/>
    <w:rsid w:val="007E0600"/>
    <w:rsid w:val="007E071F"/>
    <w:rsid w:val="007E09B0"/>
    <w:rsid w:val="007E0AA9"/>
    <w:rsid w:val="007E0F53"/>
    <w:rsid w:val="007E104D"/>
    <w:rsid w:val="007E121F"/>
    <w:rsid w:val="007E1543"/>
    <w:rsid w:val="007E1B79"/>
    <w:rsid w:val="007E21A9"/>
    <w:rsid w:val="007E246A"/>
    <w:rsid w:val="007E255E"/>
    <w:rsid w:val="007E25A5"/>
    <w:rsid w:val="007E265E"/>
    <w:rsid w:val="007E269D"/>
    <w:rsid w:val="007E29AE"/>
    <w:rsid w:val="007E2E61"/>
    <w:rsid w:val="007E2F45"/>
    <w:rsid w:val="007E301A"/>
    <w:rsid w:val="007E307E"/>
    <w:rsid w:val="007E30F4"/>
    <w:rsid w:val="007E3323"/>
    <w:rsid w:val="007E34BD"/>
    <w:rsid w:val="007E3518"/>
    <w:rsid w:val="007E354A"/>
    <w:rsid w:val="007E35A8"/>
    <w:rsid w:val="007E3AAB"/>
    <w:rsid w:val="007E3B20"/>
    <w:rsid w:val="007E3B8B"/>
    <w:rsid w:val="007E41E5"/>
    <w:rsid w:val="007E427E"/>
    <w:rsid w:val="007E450E"/>
    <w:rsid w:val="007E45FA"/>
    <w:rsid w:val="007E46B2"/>
    <w:rsid w:val="007E46BB"/>
    <w:rsid w:val="007E483F"/>
    <w:rsid w:val="007E4841"/>
    <w:rsid w:val="007E4A0F"/>
    <w:rsid w:val="007E4FA8"/>
    <w:rsid w:val="007E5464"/>
    <w:rsid w:val="007E5A62"/>
    <w:rsid w:val="007E5C74"/>
    <w:rsid w:val="007E5CFE"/>
    <w:rsid w:val="007E5DA8"/>
    <w:rsid w:val="007E65DF"/>
    <w:rsid w:val="007E676E"/>
    <w:rsid w:val="007E683D"/>
    <w:rsid w:val="007E6959"/>
    <w:rsid w:val="007E6E6F"/>
    <w:rsid w:val="007E7251"/>
    <w:rsid w:val="007E745C"/>
    <w:rsid w:val="007E759F"/>
    <w:rsid w:val="007E75A1"/>
    <w:rsid w:val="007E767D"/>
    <w:rsid w:val="007E76E7"/>
    <w:rsid w:val="007E777C"/>
    <w:rsid w:val="007E78A4"/>
    <w:rsid w:val="007E7A0C"/>
    <w:rsid w:val="007E7A14"/>
    <w:rsid w:val="007E7B82"/>
    <w:rsid w:val="007E7D3F"/>
    <w:rsid w:val="007E7E4C"/>
    <w:rsid w:val="007E7FC6"/>
    <w:rsid w:val="007E7FD5"/>
    <w:rsid w:val="007F0217"/>
    <w:rsid w:val="007F03CF"/>
    <w:rsid w:val="007F0453"/>
    <w:rsid w:val="007F04FC"/>
    <w:rsid w:val="007F05B8"/>
    <w:rsid w:val="007F0890"/>
    <w:rsid w:val="007F08F9"/>
    <w:rsid w:val="007F0A20"/>
    <w:rsid w:val="007F0B78"/>
    <w:rsid w:val="007F0FD7"/>
    <w:rsid w:val="007F171D"/>
    <w:rsid w:val="007F17B3"/>
    <w:rsid w:val="007F1BE4"/>
    <w:rsid w:val="007F1C2E"/>
    <w:rsid w:val="007F1C80"/>
    <w:rsid w:val="007F1DF2"/>
    <w:rsid w:val="007F2301"/>
    <w:rsid w:val="007F2442"/>
    <w:rsid w:val="007F2578"/>
    <w:rsid w:val="007F25A4"/>
    <w:rsid w:val="007F2633"/>
    <w:rsid w:val="007F28AE"/>
    <w:rsid w:val="007F2ACA"/>
    <w:rsid w:val="007F2B9A"/>
    <w:rsid w:val="007F2DD9"/>
    <w:rsid w:val="007F2DE1"/>
    <w:rsid w:val="007F2EAB"/>
    <w:rsid w:val="007F2F3D"/>
    <w:rsid w:val="007F2FB3"/>
    <w:rsid w:val="007F318C"/>
    <w:rsid w:val="007F334D"/>
    <w:rsid w:val="007F3354"/>
    <w:rsid w:val="007F3ABC"/>
    <w:rsid w:val="007F3F50"/>
    <w:rsid w:val="007F4AD8"/>
    <w:rsid w:val="007F4AF2"/>
    <w:rsid w:val="007F4C77"/>
    <w:rsid w:val="007F4CAF"/>
    <w:rsid w:val="007F506B"/>
    <w:rsid w:val="007F532F"/>
    <w:rsid w:val="007F5635"/>
    <w:rsid w:val="007F5973"/>
    <w:rsid w:val="007F5B1E"/>
    <w:rsid w:val="007F5F63"/>
    <w:rsid w:val="007F69C8"/>
    <w:rsid w:val="007F6D07"/>
    <w:rsid w:val="007F70AF"/>
    <w:rsid w:val="007F7141"/>
    <w:rsid w:val="007F71EF"/>
    <w:rsid w:val="007F7264"/>
    <w:rsid w:val="007F7286"/>
    <w:rsid w:val="007F728F"/>
    <w:rsid w:val="007F7374"/>
    <w:rsid w:val="007F73D7"/>
    <w:rsid w:val="007F75F9"/>
    <w:rsid w:val="007F7673"/>
    <w:rsid w:val="007F794A"/>
    <w:rsid w:val="007F7A6F"/>
    <w:rsid w:val="007F7D23"/>
    <w:rsid w:val="007F7E43"/>
    <w:rsid w:val="0080008A"/>
    <w:rsid w:val="008000E9"/>
    <w:rsid w:val="0080022D"/>
    <w:rsid w:val="008002AA"/>
    <w:rsid w:val="008002B2"/>
    <w:rsid w:val="00800AE1"/>
    <w:rsid w:val="00800C0B"/>
    <w:rsid w:val="00800DBF"/>
    <w:rsid w:val="00801105"/>
    <w:rsid w:val="00801160"/>
    <w:rsid w:val="00801206"/>
    <w:rsid w:val="00801229"/>
    <w:rsid w:val="0080124A"/>
    <w:rsid w:val="0080139E"/>
    <w:rsid w:val="0080141D"/>
    <w:rsid w:val="0080176E"/>
    <w:rsid w:val="008017D5"/>
    <w:rsid w:val="00801868"/>
    <w:rsid w:val="008019B3"/>
    <w:rsid w:val="00801AA7"/>
    <w:rsid w:val="00801D82"/>
    <w:rsid w:val="00802422"/>
    <w:rsid w:val="0080244A"/>
    <w:rsid w:val="00802457"/>
    <w:rsid w:val="008025E3"/>
    <w:rsid w:val="00802BD6"/>
    <w:rsid w:val="00802DF4"/>
    <w:rsid w:val="00802E94"/>
    <w:rsid w:val="00803686"/>
    <w:rsid w:val="008038B9"/>
    <w:rsid w:val="008039BA"/>
    <w:rsid w:val="00803A00"/>
    <w:rsid w:val="00803ADB"/>
    <w:rsid w:val="00803D95"/>
    <w:rsid w:val="00803E57"/>
    <w:rsid w:val="00804344"/>
    <w:rsid w:val="00804559"/>
    <w:rsid w:val="0080472B"/>
    <w:rsid w:val="00804757"/>
    <w:rsid w:val="00804BD3"/>
    <w:rsid w:val="00804F86"/>
    <w:rsid w:val="00805038"/>
    <w:rsid w:val="008053EF"/>
    <w:rsid w:val="00805446"/>
    <w:rsid w:val="00805633"/>
    <w:rsid w:val="00805AF9"/>
    <w:rsid w:val="00805B87"/>
    <w:rsid w:val="00805EF7"/>
    <w:rsid w:val="00805F0F"/>
    <w:rsid w:val="00805F38"/>
    <w:rsid w:val="00805F6E"/>
    <w:rsid w:val="0080621B"/>
    <w:rsid w:val="0080639B"/>
    <w:rsid w:val="00806580"/>
    <w:rsid w:val="008066AC"/>
    <w:rsid w:val="00806AEC"/>
    <w:rsid w:val="00806B57"/>
    <w:rsid w:val="00806FA9"/>
    <w:rsid w:val="00807059"/>
    <w:rsid w:val="00807152"/>
    <w:rsid w:val="00807372"/>
    <w:rsid w:val="008073A0"/>
    <w:rsid w:val="008073C3"/>
    <w:rsid w:val="0080742C"/>
    <w:rsid w:val="0080742E"/>
    <w:rsid w:val="00807731"/>
    <w:rsid w:val="00807739"/>
    <w:rsid w:val="008077A5"/>
    <w:rsid w:val="00807924"/>
    <w:rsid w:val="00807A68"/>
    <w:rsid w:val="00807A87"/>
    <w:rsid w:val="00807CBD"/>
    <w:rsid w:val="00810099"/>
    <w:rsid w:val="008100FE"/>
    <w:rsid w:val="00810325"/>
    <w:rsid w:val="0081068A"/>
    <w:rsid w:val="0081071E"/>
    <w:rsid w:val="0081075D"/>
    <w:rsid w:val="00810944"/>
    <w:rsid w:val="00810B66"/>
    <w:rsid w:val="00810BAA"/>
    <w:rsid w:val="00810CF0"/>
    <w:rsid w:val="00811C1D"/>
    <w:rsid w:val="00811DBE"/>
    <w:rsid w:val="008122F6"/>
    <w:rsid w:val="00812323"/>
    <w:rsid w:val="0081237B"/>
    <w:rsid w:val="00812818"/>
    <w:rsid w:val="008128AD"/>
    <w:rsid w:val="00812F42"/>
    <w:rsid w:val="008130A8"/>
    <w:rsid w:val="0081312F"/>
    <w:rsid w:val="00813381"/>
    <w:rsid w:val="00813760"/>
    <w:rsid w:val="008138A4"/>
    <w:rsid w:val="00813D36"/>
    <w:rsid w:val="00813D45"/>
    <w:rsid w:val="00813E4B"/>
    <w:rsid w:val="00813EEC"/>
    <w:rsid w:val="00813F6C"/>
    <w:rsid w:val="00813FE1"/>
    <w:rsid w:val="008143AF"/>
    <w:rsid w:val="008143C5"/>
    <w:rsid w:val="00814559"/>
    <w:rsid w:val="00814960"/>
    <w:rsid w:val="00814E4F"/>
    <w:rsid w:val="00815154"/>
    <w:rsid w:val="0081574D"/>
    <w:rsid w:val="008157D0"/>
    <w:rsid w:val="0081586C"/>
    <w:rsid w:val="00815B20"/>
    <w:rsid w:val="00815C7D"/>
    <w:rsid w:val="00815D1A"/>
    <w:rsid w:val="00815EEC"/>
    <w:rsid w:val="008161D7"/>
    <w:rsid w:val="00816220"/>
    <w:rsid w:val="00816248"/>
    <w:rsid w:val="0081634C"/>
    <w:rsid w:val="008164CC"/>
    <w:rsid w:val="008164DE"/>
    <w:rsid w:val="008165BC"/>
    <w:rsid w:val="008165C2"/>
    <w:rsid w:val="00816B20"/>
    <w:rsid w:val="00816C21"/>
    <w:rsid w:val="00816CBE"/>
    <w:rsid w:val="00816D1D"/>
    <w:rsid w:val="00817045"/>
    <w:rsid w:val="008170D6"/>
    <w:rsid w:val="00817231"/>
    <w:rsid w:val="00817717"/>
    <w:rsid w:val="00817CD1"/>
    <w:rsid w:val="00817CFD"/>
    <w:rsid w:val="00817EB8"/>
    <w:rsid w:val="0082025B"/>
    <w:rsid w:val="00820309"/>
    <w:rsid w:val="0082032E"/>
    <w:rsid w:val="00820368"/>
    <w:rsid w:val="0082078D"/>
    <w:rsid w:val="00820848"/>
    <w:rsid w:val="00820B14"/>
    <w:rsid w:val="00820E42"/>
    <w:rsid w:val="00820E61"/>
    <w:rsid w:val="00820EF9"/>
    <w:rsid w:val="0082147A"/>
    <w:rsid w:val="0082169B"/>
    <w:rsid w:val="0082197C"/>
    <w:rsid w:val="008219CB"/>
    <w:rsid w:val="00821B82"/>
    <w:rsid w:val="00821C4E"/>
    <w:rsid w:val="00821C55"/>
    <w:rsid w:val="00821C9F"/>
    <w:rsid w:val="008220CB"/>
    <w:rsid w:val="008220E7"/>
    <w:rsid w:val="0082239C"/>
    <w:rsid w:val="00822586"/>
    <w:rsid w:val="008227DE"/>
    <w:rsid w:val="00822BED"/>
    <w:rsid w:val="00822D80"/>
    <w:rsid w:val="00822D97"/>
    <w:rsid w:val="00823229"/>
    <w:rsid w:val="0082324B"/>
    <w:rsid w:val="00823346"/>
    <w:rsid w:val="00823469"/>
    <w:rsid w:val="00823671"/>
    <w:rsid w:val="008238C2"/>
    <w:rsid w:val="00823A89"/>
    <w:rsid w:val="00823BC7"/>
    <w:rsid w:val="00823C36"/>
    <w:rsid w:val="00823C95"/>
    <w:rsid w:val="00823D55"/>
    <w:rsid w:val="00823F04"/>
    <w:rsid w:val="00824325"/>
    <w:rsid w:val="008243AE"/>
    <w:rsid w:val="008243EB"/>
    <w:rsid w:val="008243F4"/>
    <w:rsid w:val="00824802"/>
    <w:rsid w:val="008249CF"/>
    <w:rsid w:val="00824AE6"/>
    <w:rsid w:val="00824B7C"/>
    <w:rsid w:val="00824BBA"/>
    <w:rsid w:val="00824FF5"/>
    <w:rsid w:val="00825DAB"/>
    <w:rsid w:val="00826131"/>
    <w:rsid w:val="00826236"/>
    <w:rsid w:val="008264D6"/>
    <w:rsid w:val="00826C59"/>
    <w:rsid w:val="00826CD4"/>
    <w:rsid w:val="00826D5C"/>
    <w:rsid w:val="00826D5E"/>
    <w:rsid w:val="0082732C"/>
    <w:rsid w:val="00827429"/>
    <w:rsid w:val="008277CC"/>
    <w:rsid w:val="00827AD9"/>
    <w:rsid w:val="00827EE4"/>
    <w:rsid w:val="00827EF7"/>
    <w:rsid w:val="00827FD2"/>
    <w:rsid w:val="00830150"/>
    <w:rsid w:val="008305B6"/>
    <w:rsid w:val="0083061F"/>
    <w:rsid w:val="008311A6"/>
    <w:rsid w:val="008312F3"/>
    <w:rsid w:val="008313BB"/>
    <w:rsid w:val="008316B1"/>
    <w:rsid w:val="0083173E"/>
    <w:rsid w:val="00831A95"/>
    <w:rsid w:val="00831AE0"/>
    <w:rsid w:val="00831AFF"/>
    <w:rsid w:val="00831C17"/>
    <w:rsid w:val="008321F3"/>
    <w:rsid w:val="00832C93"/>
    <w:rsid w:val="00832D36"/>
    <w:rsid w:val="00833042"/>
    <w:rsid w:val="00833206"/>
    <w:rsid w:val="00833244"/>
    <w:rsid w:val="00833344"/>
    <w:rsid w:val="00833505"/>
    <w:rsid w:val="008338A0"/>
    <w:rsid w:val="008338EC"/>
    <w:rsid w:val="00833A15"/>
    <w:rsid w:val="00833A42"/>
    <w:rsid w:val="00833AC1"/>
    <w:rsid w:val="00833C74"/>
    <w:rsid w:val="008341D8"/>
    <w:rsid w:val="00834273"/>
    <w:rsid w:val="008344C9"/>
    <w:rsid w:val="00834B84"/>
    <w:rsid w:val="00834C4F"/>
    <w:rsid w:val="00834F94"/>
    <w:rsid w:val="008350AD"/>
    <w:rsid w:val="008350FE"/>
    <w:rsid w:val="00835287"/>
    <w:rsid w:val="0083531D"/>
    <w:rsid w:val="00835409"/>
    <w:rsid w:val="0083561A"/>
    <w:rsid w:val="00835948"/>
    <w:rsid w:val="00836066"/>
    <w:rsid w:val="0083606B"/>
    <w:rsid w:val="00836085"/>
    <w:rsid w:val="00836243"/>
    <w:rsid w:val="00836D7E"/>
    <w:rsid w:val="008370CB"/>
    <w:rsid w:val="0083731D"/>
    <w:rsid w:val="00837658"/>
    <w:rsid w:val="00837A79"/>
    <w:rsid w:val="00837B51"/>
    <w:rsid w:val="00837E23"/>
    <w:rsid w:val="00837EAF"/>
    <w:rsid w:val="008400AA"/>
    <w:rsid w:val="0084067C"/>
    <w:rsid w:val="008406B3"/>
    <w:rsid w:val="008406DE"/>
    <w:rsid w:val="00840A20"/>
    <w:rsid w:val="00840BE0"/>
    <w:rsid w:val="00840FB8"/>
    <w:rsid w:val="00840FED"/>
    <w:rsid w:val="0084103A"/>
    <w:rsid w:val="008414A4"/>
    <w:rsid w:val="00841684"/>
    <w:rsid w:val="00841A70"/>
    <w:rsid w:val="00841FE0"/>
    <w:rsid w:val="0084208F"/>
    <w:rsid w:val="00842252"/>
    <w:rsid w:val="008427EF"/>
    <w:rsid w:val="00842807"/>
    <w:rsid w:val="00842899"/>
    <w:rsid w:val="00842AA6"/>
    <w:rsid w:val="00842BA4"/>
    <w:rsid w:val="00842EF9"/>
    <w:rsid w:val="00842F6F"/>
    <w:rsid w:val="00843593"/>
    <w:rsid w:val="0084366E"/>
    <w:rsid w:val="008436B6"/>
    <w:rsid w:val="00843885"/>
    <w:rsid w:val="0084392E"/>
    <w:rsid w:val="008439A5"/>
    <w:rsid w:val="00843AA0"/>
    <w:rsid w:val="00844067"/>
    <w:rsid w:val="008442F3"/>
    <w:rsid w:val="008443B6"/>
    <w:rsid w:val="0084451C"/>
    <w:rsid w:val="00844724"/>
    <w:rsid w:val="00844835"/>
    <w:rsid w:val="008449DB"/>
    <w:rsid w:val="00844AF8"/>
    <w:rsid w:val="00844BF8"/>
    <w:rsid w:val="00845633"/>
    <w:rsid w:val="00845640"/>
    <w:rsid w:val="008456A2"/>
    <w:rsid w:val="008458AE"/>
    <w:rsid w:val="00845D89"/>
    <w:rsid w:val="00845D97"/>
    <w:rsid w:val="00845E7A"/>
    <w:rsid w:val="00846213"/>
    <w:rsid w:val="008462AA"/>
    <w:rsid w:val="008463D0"/>
    <w:rsid w:val="008464D2"/>
    <w:rsid w:val="008464E0"/>
    <w:rsid w:val="008465EE"/>
    <w:rsid w:val="00846601"/>
    <w:rsid w:val="0084677E"/>
    <w:rsid w:val="0084692B"/>
    <w:rsid w:val="00846E59"/>
    <w:rsid w:val="00846E94"/>
    <w:rsid w:val="00846EA0"/>
    <w:rsid w:val="00846FAB"/>
    <w:rsid w:val="008470FC"/>
    <w:rsid w:val="00847277"/>
    <w:rsid w:val="0084734B"/>
    <w:rsid w:val="0084737F"/>
    <w:rsid w:val="008476D6"/>
    <w:rsid w:val="00847864"/>
    <w:rsid w:val="00847B00"/>
    <w:rsid w:val="00847DA5"/>
    <w:rsid w:val="00847DB2"/>
    <w:rsid w:val="008500CD"/>
    <w:rsid w:val="0085027D"/>
    <w:rsid w:val="00850464"/>
    <w:rsid w:val="008507C3"/>
    <w:rsid w:val="008507EB"/>
    <w:rsid w:val="00850D91"/>
    <w:rsid w:val="00850EC1"/>
    <w:rsid w:val="008510C4"/>
    <w:rsid w:val="0085131D"/>
    <w:rsid w:val="0085182D"/>
    <w:rsid w:val="00851841"/>
    <w:rsid w:val="008518B1"/>
    <w:rsid w:val="00851BFF"/>
    <w:rsid w:val="00851DA7"/>
    <w:rsid w:val="00851F26"/>
    <w:rsid w:val="008525F8"/>
    <w:rsid w:val="00852674"/>
    <w:rsid w:val="0085268B"/>
    <w:rsid w:val="00852A2C"/>
    <w:rsid w:val="00852D8E"/>
    <w:rsid w:val="00852FC6"/>
    <w:rsid w:val="00853256"/>
    <w:rsid w:val="0085342B"/>
    <w:rsid w:val="008535F4"/>
    <w:rsid w:val="0085372B"/>
    <w:rsid w:val="00853B1F"/>
    <w:rsid w:val="00853BA2"/>
    <w:rsid w:val="00853CFF"/>
    <w:rsid w:val="00853D9B"/>
    <w:rsid w:val="00854656"/>
    <w:rsid w:val="008548E3"/>
    <w:rsid w:val="008549E7"/>
    <w:rsid w:val="00854C48"/>
    <w:rsid w:val="00854CDA"/>
    <w:rsid w:val="00854DD5"/>
    <w:rsid w:val="00854E7D"/>
    <w:rsid w:val="00854FD9"/>
    <w:rsid w:val="00855663"/>
    <w:rsid w:val="0085586E"/>
    <w:rsid w:val="00855A3C"/>
    <w:rsid w:val="00855DC1"/>
    <w:rsid w:val="00855E7C"/>
    <w:rsid w:val="00856317"/>
    <w:rsid w:val="0085648B"/>
    <w:rsid w:val="00856643"/>
    <w:rsid w:val="00856B79"/>
    <w:rsid w:val="00856BD7"/>
    <w:rsid w:val="00856C77"/>
    <w:rsid w:val="008570F3"/>
    <w:rsid w:val="0085717D"/>
    <w:rsid w:val="0085745D"/>
    <w:rsid w:val="0085785C"/>
    <w:rsid w:val="00857934"/>
    <w:rsid w:val="00857A93"/>
    <w:rsid w:val="008603DA"/>
    <w:rsid w:val="00860409"/>
    <w:rsid w:val="008604FE"/>
    <w:rsid w:val="0086062A"/>
    <w:rsid w:val="00860701"/>
    <w:rsid w:val="00860CEA"/>
    <w:rsid w:val="00860EDE"/>
    <w:rsid w:val="008613D7"/>
    <w:rsid w:val="00861A7E"/>
    <w:rsid w:val="00861A80"/>
    <w:rsid w:val="0086203D"/>
    <w:rsid w:val="008620B1"/>
    <w:rsid w:val="00862146"/>
    <w:rsid w:val="0086218F"/>
    <w:rsid w:val="00862723"/>
    <w:rsid w:val="00862871"/>
    <w:rsid w:val="00862891"/>
    <w:rsid w:val="0086289E"/>
    <w:rsid w:val="008628AB"/>
    <w:rsid w:val="008628B0"/>
    <w:rsid w:val="00862974"/>
    <w:rsid w:val="00862CCB"/>
    <w:rsid w:val="00862E61"/>
    <w:rsid w:val="00862F5B"/>
    <w:rsid w:val="00863051"/>
    <w:rsid w:val="00863088"/>
    <w:rsid w:val="0086330D"/>
    <w:rsid w:val="00863368"/>
    <w:rsid w:val="00863406"/>
    <w:rsid w:val="00863530"/>
    <w:rsid w:val="008637AD"/>
    <w:rsid w:val="00863AEE"/>
    <w:rsid w:val="00863B93"/>
    <w:rsid w:val="00864392"/>
    <w:rsid w:val="008646CF"/>
    <w:rsid w:val="00864C84"/>
    <w:rsid w:val="00864EC9"/>
    <w:rsid w:val="00865142"/>
    <w:rsid w:val="008655C0"/>
    <w:rsid w:val="00865750"/>
    <w:rsid w:val="00865AC1"/>
    <w:rsid w:val="00865D6D"/>
    <w:rsid w:val="00865EC9"/>
    <w:rsid w:val="008660DE"/>
    <w:rsid w:val="00866236"/>
    <w:rsid w:val="008663C1"/>
    <w:rsid w:val="0086658F"/>
    <w:rsid w:val="008665AC"/>
    <w:rsid w:val="00866959"/>
    <w:rsid w:val="0086699E"/>
    <w:rsid w:val="008669B4"/>
    <w:rsid w:val="00866C46"/>
    <w:rsid w:val="00866CE1"/>
    <w:rsid w:val="00866D16"/>
    <w:rsid w:val="00866F45"/>
    <w:rsid w:val="0086723A"/>
    <w:rsid w:val="008672C9"/>
    <w:rsid w:val="008674AE"/>
    <w:rsid w:val="00867D86"/>
    <w:rsid w:val="00870304"/>
    <w:rsid w:val="0087034C"/>
    <w:rsid w:val="008703BE"/>
    <w:rsid w:val="00870695"/>
    <w:rsid w:val="00870774"/>
    <w:rsid w:val="008709BB"/>
    <w:rsid w:val="00870B8F"/>
    <w:rsid w:val="00870CB8"/>
    <w:rsid w:val="00870DEF"/>
    <w:rsid w:val="00870E76"/>
    <w:rsid w:val="00870F9E"/>
    <w:rsid w:val="008712C7"/>
    <w:rsid w:val="0087173B"/>
    <w:rsid w:val="00871784"/>
    <w:rsid w:val="008719F9"/>
    <w:rsid w:val="00871C35"/>
    <w:rsid w:val="00871FA6"/>
    <w:rsid w:val="008720FB"/>
    <w:rsid w:val="008721D8"/>
    <w:rsid w:val="0087228C"/>
    <w:rsid w:val="0087230A"/>
    <w:rsid w:val="0087266E"/>
    <w:rsid w:val="00872730"/>
    <w:rsid w:val="008729E1"/>
    <w:rsid w:val="00872B9A"/>
    <w:rsid w:val="00872D5C"/>
    <w:rsid w:val="00872D71"/>
    <w:rsid w:val="00873077"/>
    <w:rsid w:val="00873098"/>
    <w:rsid w:val="0087326B"/>
    <w:rsid w:val="0087330E"/>
    <w:rsid w:val="008734F4"/>
    <w:rsid w:val="008737BE"/>
    <w:rsid w:val="008738E7"/>
    <w:rsid w:val="0087392E"/>
    <w:rsid w:val="00873ACE"/>
    <w:rsid w:val="00873BF6"/>
    <w:rsid w:val="00873C25"/>
    <w:rsid w:val="00873EB2"/>
    <w:rsid w:val="0087400A"/>
    <w:rsid w:val="008742CD"/>
    <w:rsid w:val="00874CD6"/>
    <w:rsid w:val="00874D0C"/>
    <w:rsid w:val="00874D24"/>
    <w:rsid w:val="00874DED"/>
    <w:rsid w:val="0087519A"/>
    <w:rsid w:val="008751EC"/>
    <w:rsid w:val="0087531F"/>
    <w:rsid w:val="00875ACD"/>
    <w:rsid w:val="00875CAA"/>
    <w:rsid w:val="00876071"/>
    <w:rsid w:val="00876199"/>
    <w:rsid w:val="008765A2"/>
    <w:rsid w:val="00876651"/>
    <w:rsid w:val="00876A97"/>
    <w:rsid w:val="00876AD7"/>
    <w:rsid w:val="00876B43"/>
    <w:rsid w:val="00876C31"/>
    <w:rsid w:val="00876D71"/>
    <w:rsid w:val="00876F7F"/>
    <w:rsid w:val="00877086"/>
    <w:rsid w:val="008770B4"/>
    <w:rsid w:val="00877893"/>
    <w:rsid w:val="00877DED"/>
    <w:rsid w:val="00877F8E"/>
    <w:rsid w:val="00880521"/>
    <w:rsid w:val="008806F0"/>
    <w:rsid w:val="00880A4D"/>
    <w:rsid w:val="00880B06"/>
    <w:rsid w:val="008813E0"/>
    <w:rsid w:val="008813EC"/>
    <w:rsid w:val="0088153F"/>
    <w:rsid w:val="00881842"/>
    <w:rsid w:val="00881A4B"/>
    <w:rsid w:val="00882145"/>
    <w:rsid w:val="00882294"/>
    <w:rsid w:val="00882477"/>
    <w:rsid w:val="0088281C"/>
    <w:rsid w:val="00882951"/>
    <w:rsid w:val="00882A48"/>
    <w:rsid w:val="00882C52"/>
    <w:rsid w:val="00882DCD"/>
    <w:rsid w:val="00882F5F"/>
    <w:rsid w:val="00883083"/>
    <w:rsid w:val="008832C9"/>
    <w:rsid w:val="00883413"/>
    <w:rsid w:val="008835FC"/>
    <w:rsid w:val="00883823"/>
    <w:rsid w:val="00883860"/>
    <w:rsid w:val="00883901"/>
    <w:rsid w:val="00883A5B"/>
    <w:rsid w:val="00883C48"/>
    <w:rsid w:val="00883CE2"/>
    <w:rsid w:val="00883CEC"/>
    <w:rsid w:val="008841A0"/>
    <w:rsid w:val="00884243"/>
    <w:rsid w:val="00884318"/>
    <w:rsid w:val="0088439B"/>
    <w:rsid w:val="00884511"/>
    <w:rsid w:val="0088452E"/>
    <w:rsid w:val="008847F9"/>
    <w:rsid w:val="00884842"/>
    <w:rsid w:val="00884A46"/>
    <w:rsid w:val="00884A6E"/>
    <w:rsid w:val="00884B44"/>
    <w:rsid w:val="00884D3F"/>
    <w:rsid w:val="00884DB3"/>
    <w:rsid w:val="00884E7E"/>
    <w:rsid w:val="00884E94"/>
    <w:rsid w:val="00885022"/>
    <w:rsid w:val="00885286"/>
    <w:rsid w:val="00885304"/>
    <w:rsid w:val="008855A3"/>
    <w:rsid w:val="008857D2"/>
    <w:rsid w:val="00885C17"/>
    <w:rsid w:val="00885E4C"/>
    <w:rsid w:val="0088658C"/>
    <w:rsid w:val="008867F1"/>
    <w:rsid w:val="00886961"/>
    <w:rsid w:val="00886D86"/>
    <w:rsid w:val="00886EFA"/>
    <w:rsid w:val="008870A5"/>
    <w:rsid w:val="00887164"/>
    <w:rsid w:val="00887616"/>
    <w:rsid w:val="0088761B"/>
    <w:rsid w:val="00887A39"/>
    <w:rsid w:val="00887A78"/>
    <w:rsid w:val="00887C17"/>
    <w:rsid w:val="00887F98"/>
    <w:rsid w:val="00890308"/>
    <w:rsid w:val="008904AB"/>
    <w:rsid w:val="00890664"/>
    <w:rsid w:val="00890689"/>
    <w:rsid w:val="008907F8"/>
    <w:rsid w:val="00890842"/>
    <w:rsid w:val="00890911"/>
    <w:rsid w:val="00890CBB"/>
    <w:rsid w:val="00891295"/>
    <w:rsid w:val="00891410"/>
    <w:rsid w:val="0089151B"/>
    <w:rsid w:val="00891614"/>
    <w:rsid w:val="0089189F"/>
    <w:rsid w:val="00891D2B"/>
    <w:rsid w:val="00891DA1"/>
    <w:rsid w:val="0089204D"/>
    <w:rsid w:val="00892260"/>
    <w:rsid w:val="0089227B"/>
    <w:rsid w:val="008923BF"/>
    <w:rsid w:val="0089259D"/>
    <w:rsid w:val="008927E8"/>
    <w:rsid w:val="00892AC5"/>
    <w:rsid w:val="00892BCF"/>
    <w:rsid w:val="00892CD2"/>
    <w:rsid w:val="00892DA5"/>
    <w:rsid w:val="00892F95"/>
    <w:rsid w:val="0089339A"/>
    <w:rsid w:val="008933A8"/>
    <w:rsid w:val="0089382C"/>
    <w:rsid w:val="008939A5"/>
    <w:rsid w:val="008939CD"/>
    <w:rsid w:val="00893A43"/>
    <w:rsid w:val="00893A45"/>
    <w:rsid w:val="00893BBA"/>
    <w:rsid w:val="00894185"/>
    <w:rsid w:val="008941B5"/>
    <w:rsid w:val="008941E7"/>
    <w:rsid w:val="0089424A"/>
    <w:rsid w:val="0089431A"/>
    <w:rsid w:val="008943AB"/>
    <w:rsid w:val="0089461E"/>
    <w:rsid w:val="00894839"/>
    <w:rsid w:val="008948D7"/>
    <w:rsid w:val="00894C3D"/>
    <w:rsid w:val="00894C6B"/>
    <w:rsid w:val="00894E5A"/>
    <w:rsid w:val="00894E6B"/>
    <w:rsid w:val="0089546A"/>
    <w:rsid w:val="008954C2"/>
    <w:rsid w:val="0089552A"/>
    <w:rsid w:val="00895756"/>
    <w:rsid w:val="00895BA5"/>
    <w:rsid w:val="00895C5F"/>
    <w:rsid w:val="00895D22"/>
    <w:rsid w:val="00895F66"/>
    <w:rsid w:val="00895FC5"/>
    <w:rsid w:val="00896315"/>
    <w:rsid w:val="00896500"/>
    <w:rsid w:val="00896714"/>
    <w:rsid w:val="00896CF7"/>
    <w:rsid w:val="00896E3D"/>
    <w:rsid w:val="0089733A"/>
    <w:rsid w:val="00897635"/>
    <w:rsid w:val="00897929"/>
    <w:rsid w:val="00897D98"/>
    <w:rsid w:val="00897F85"/>
    <w:rsid w:val="008A0062"/>
    <w:rsid w:val="008A0283"/>
    <w:rsid w:val="008A0394"/>
    <w:rsid w:val="008A06BE"/>
    <w:rsid w:val="008A0B04"/>
    <w:rsid w:val="008A0BB1"/>
    <w:rsid w:val="008A0ED9"/>
    <w:rsid w:val="008A1174"/>
    <w:rsid w:val="008A1178"/>
    <w:rsid w:val="008A1A97"/>
    <w:rsid w:val="008A1D3A"/>
    <w:rsid w:val="008A1FB9"/>
    <w:rsid w:val="008A26FE"/>
    <w:rsid w:val="008A273D"/>
    <w:rsid w:val="008A2831"/>
    <w:rsid w:val="008A2A53"/>
    <w:rsid w:val="008A2B1E"/>
    <w:rsid w:val="008A2B7D"/>
    <w:rsid w:val="008A2BD5"/>
    <w:rsid w:val="008A2E90"/>
    <w:rsid w:val="008A300D"/>
    <w:rsid w:val="008A3038"/>
    <w:rsid w:val="008A3098"/>
    <w:rsid w:val="008A30C3"/>
    <w:rsid w:val="008A32CB"/>
    <w:rsid w:val="008A356B"/>
    <w:rsid w:val="008A377C"/>
    <w:rsid w:val="008A38CD"/>
    <w:rsid w:val="008A3C18"/>
    <w:rsid w:val="008A3DD6"/>
    <w:rsid w:val="008A3FAE"/>
    <w:rsid w:val="008A3FF4"/>
    <w:rsid w:val="008A4099"/>
    <w:rsid w:val="008A42BA"/>
    <w:rsid w:val="008A4395"/>
    <w:rsid w:val="008A4682"/>
    <w:rsid w:val="008A4960"/>
    <w:rsid w:val="008A4E37"/>
    <w:rsid w:val="008A5089"/>
    <w:rsid w:val="008A5286"/>
    <w:rsid w:val="008A54CC"/>
    <w:rsid w:val="008A572B"/>
    <w:rsid w:val="008A59D4"/>
    <w:rsid w:val="008A5B0F"/>
    <w:rsid w:val="008A5BF9"/>
    <w:rsid w:val="008A5C0C"/>
    <w:rsid w:val="008A622A"/>
    <w:rsid w:val="008A63DA"/>
    <w:rsid w:val="008A6503"/>
    <w:rsid w:val="008A65A6"/>
    <w:rsid w:val="008A6881"/>
    <w:rsid w:val="008A6912"/>
    <w:rsid w:val="008A6BC1"/>
    <w:rsid w:val="008A6E39"/>
    <w:rsid w:val="008A7049"/>
    <w:rsid w:val="008A720D"/>
    <w:rsid w:val="008A738D"/>
    <w:rsid w:val="008A7551"/>
    <w:rsid w:val="008A7587"/>
    <w:rsid w:val="008A763B"/>
    <w:rsid w:val="008A767C"/>
    <w:rsid w:val="008A768E"/>
    <w:rsid w:val="008A76D5"/>
    <w:rsid w:val="008A76F9"/>
    <w:rsid w:val="008A77C7"/>
    <w:rsid w:val="008A7B8A"/>
    <w:rsid w:val="008A7C7A"/>
    <w:rsid w:val="008A7CE1"/>
    <w:rsid w:val="008A7FA3"/>
    <w:rsid w:val="008B0346"/>
    <w:rsid w:val="008B03DC"/>
    <w:rsid w:val="008B112C"/>
    <w:rsid w:val="008B12A5"/>
    <w:rsid w:val="008B1605"/>
    <w:rsid w:val="008B16BA"/>
    <w:rsid w:val="008B17B1"/>
    <w:rsid w:val="008B1923"/>
    <w:rsid w:val="008B1A4E"/>
    <w:rsid w:val="008B1B22"/>
    <w:rsid w:val="008B1D76"/>
    <w:rsid w:val="008B1DDA"/>
    <w:rsid w:val="008B1E2A"/>
    <w:rsid w:val="008B2072"/>
    <w:rsid w:val="008B20C7"/>
    <w:rsid w:val="008B23B6"/>
    <w:rsid w:val="008B24A2"/>
    <w:rsid w:val="008B27F7"/>
    <w:rsid w:val="008B29AE"/>
    <w:rsid w:val="008B2ECB"/>
    <w:rsid w:val="008B2FF7"/>
    <w:rsid w:val="008B3099"/>
    <w:rsid w:val="008B338D"/>
    <w:rsid w:val="008B37B1"/>
    <w:rsid w:val="008B397E"/>
    <w:rsid w:val="008B39AB"/>
    <w:rsid w:val="008B3AFE"/>
    <w:rsid w:val="008B471F"/>
    <w:rsid w:val="008B49ED"/>
    <w:rsid w:val="008B4A17"/>
    <w:rsid w:val="008B4E82"/>
    <w:rsid w:val="008B4EFC"/>
    <w:rsid w:val="008B5073"/>
    <w:rsid w:val="008B5471"/>
    <w:rsid w:val="008B54E2"/>
    <w:rsid w:val="008B5763"/>
    <w:rsid w:val="008B57D0"/>
    <w:rsid w:val="008B5979"/>
    <w:rsid w:val="008B59F2"/>
    <w:rsid w:val="008B5A03"/>
    <w:rsid w:val="008B5AE5"/>
    <w:rsid w:val="008B5D8F"/>
    <w:rsid w:val="008B66BA"/>
    <w:rsid w:val="008B66E2"/>
    <w:rsid w:val="008B693A"/>
    <w:rsid w:val="008B6CB2"/>
    <w:rsid w:val="008B6D2E"/>
    <w:rsid w:val="008B700C"/>
    <w:rsid w:val="008B72B0"/>
    <w:rsid w:val="008B76C0"/>
    <w:rsid w:val="008B7EA6"/>
    <w:rsid w:val="008C0132"/>
    <w:rsid w:val="008C0915"/>
    <w:rsid w:val="008C097C"/>
    <w:rsid w:val="008C0A51"/>
    <w:rsid w:val="008C11B8"/>
    <w:rsid w:val="008C120E"/>
    <w:rsid w:val="008C121A"/>
    <w:rsid w:val="008C147B"/>
    <w:rsid w:val="008C1694"/>
    <w:rsid w:val="008C1861"/>
    <w:rsid w:val="008C1A79"/>
    <w:rsid w:val="008C1B06"/>
    <w:rsid w:val="008C1FD4"/>
    <w:rsid w:val="008C1FF2"/>
    <w:rsid w:val="008C21E4"/>
    <w:rsid w:val="008C2205"/>
    <w:rsid w:val="008C24EF"/>
    <w:rsid w:val="008C255C"/>
    <w:rsid w:val="008C2610"/>
    <w:rsid w:val="008C29FF"/>
    <w:rsid w:val="008C2F0F"/>
    <w:rsid w:val="008C33DA"/>
    <w:rsid w:val="008C3645"/>
    <w:rsid w:val="008C37FF"/>
    <w:rsid w:val="008C389A"/>
    <w:rsid w:val="008C396D"/>
    <w:rsid w:val="008C3B68"/>
    <w:rsid w:val="008C3BA1"/>
    <w:rsid w:val="008C3E2E"/>
    <w:rsid w:val="008C410D"/>
    <w:rsid w:val="008C421B"/>
    <w:rsid w:val="008C42C1"/>
    <w:rsid w:val="008C452D"/>
    <w:rsid w:val="008C461F"/>
    <w:rsid w:val="008C476C"/>
    <w:rsid w:val="008C48CC"/>
    <w:rsid w:val="008C49C3"/>
    <w:rsid w:val="008C4C58"/>
    <w:rsid w:val="008C4C61"/>
    <w:rsid w:val="008C4D7D"/>
    <w:rsid w:val="008C4FCC"/>
    <w:rsid w:val="008C5042"/>
    <w:rsid w:val="008C50A9"/>
    <w:rsid w:val="008C5381"/>
    <w:rsid w:val="008C549C"/>
    <w:rsid w:val="008C56F8"/>
    <w:rsid w:val="008C57C8"/>
    <w:rsid w:val="008C5C8B"/>
    <w:rsid w:val="008C5FBD"/>
    <w:rsid w:val="008C5FC7"/>
    <w:rsid w:val="008C6197"/>
    <w:rsid w:val="008C63C7"/>
    <w:rsid w:val="008C68CA"/>
    <w:rsid w:val="008C6D59"/>
    <w:rsid w:val="008C70B9"/>
    <w:rsid w:val="008C7179"/>
    <w:rsid w:val="008C719F"/>
    <w:rsid w:val="008C72AE"/>
    <w:rsid w:val="008C74B9"/>
    <w:rsid w:val="008C7604"/>
    <w:rsid w:val="008C7665"/>
    <w:rsid w:val="008C78F2"/>
    <w:rsid w:val="008C7950"/>
    <w:rsid w:val="008C7CF7"/>
    <w:rsid w:val="008C7E77"/>
    <w:rsid w:val="008D01EB"/>
    <w:rsid w:val="008D0353"/>
    <w:rsid w:val="008D091E"/>
    <w:rsid w:val="008D093D"/>
    <w:rsid w:val="008D0940"/>
    <w:rsid w:val="008D095E"/>
    <w:rsid w:val="008D0EBD"/>
    <w:rsid w:val="008D0EF4"/>
    <w:rsid w:val="008D1309"/>
    <w:rsid w:val="008D1426"/>
    <w:rsid w:val="008D167D"/>
    <w:rsid w:val="008D1805"/>
    <w:rsid w:val="008D1826"/>
    <w:rsid w:val="008D1A3B"/>
    <w:rsid w:val="008D2372"/>
    <w:rsid w:val="008D2540"/>
    <w:rsid w:val="008D26FF"/>
    <w:rsid w:val="008D2863"/>
    <w:rsid w:val="008D28F0"/>
    <w:rsid w:val="008D2937"/>
    <w:rsid w:val="008D2A62"/>
    <w:rsid w:val="008D2BA2"/>
    <w:rsid w:val="008D39D6"/>
    <w:rsid w:val="008D3BFA"/>
    <w:rsid w:val="008D3D50"/>
    <w:rsid w:val="008D3FC9"/>
    <w:rsid w:val="008D414A"/>
    <w:rsid w:val="008D427D"/>
    <w:rsid w:val="008D5160"/>
    <w:rsid w:val="008D5AD3"/>
    <w:rsid w:val="008D5D87"/>
    <w:rsid w:val="008D5E7F"/>
    <w:rsid w:val="008D5F4B"/>
    <w:rsid w:val="008D5F6A"/>
    <w:rsid w:val="008D62A8"/>
    <w:rsid w:val="008D63B7"/>
    <w:rsid w:val="008D672B"/>
    <w:rsid w:val="008D6F93"/>
    <w:rsid w:val="008D70BF"/>
    <w:rsid w:val="008D7143"/>
    <w:rsid w:val="008D71CC"/>
    <w:rsid w:val="008D72C8"/>
    <w:rsid w:val="008D78B9"/>
    <w:rsid w:val="008D78FD"/>
    <w:rsid w:val="008D7A4D"/>
    <w:rsid w:val="008D7C0E"/>
    <w:rsid w:val="008E0104"/>
    <w:rsid w:val="008E01CE"/>
    <w:rsid w:val="008E0273"/>
    <w:rsid w:val="008E04E3"/>
    <w:rsid w:val="008E08DD"/>
    <w:rsid w:val="008E08F8"/>
    <w:rsid w:val="008E09D7"/>
    <w:rsid w:val="008E0A3E"/>
    <w:rsid w:val="008E0A99"/>
    <w:rsid w:val="008E0C5A"/>
    <w:rsid w:val="008E129C"/>
    <w:rsid w:val="008E1417"/>
    <w:rsid w:val="008E15BB"/>
    <w:rsid w:val="008E15E9"/>
    <w:rsid w:val="008E1651"/>
    <w:rsid w:val="008E16CA"/>
    <w:rsid w:val="008E16D2"/>
    <w:rsid w:val="008E183B"/>
    <w:rsid w:val="008E19EC"/>
    <w:rsid w:val="008E1AC1"/>
    <w:rsid w:val="008E20B2"/>
    <w:rsid w:val="008E24BB"/>
    <w:rsid w:val="008E2544"/>
    <w:rsid w:val="008E2689"/>
    <w:rsid w:val="008E289E"/>
    <w:rsid w:val="008E295E"/>
    <w:rsid w:val="008E2A0F"/>
    <w:rsid w:val="008E2BD4"/>
    <w:rsid w:val="008E2D3E"/>
    <w:rsid w:val="008E2DC6"/>
    <w:rsid w:val="008E2DD8"/>
    <w:rsid w:val="008E325B"/>
    <w:rsid w:val="008E3268"/>
    <w:rsid w:val="008E3758"/>
    <w:rsid w:val="008E37D8"/>
    <w:rsid w:val="008E39AF"/>
    <w:rsid w:val="008E3D0B"/>
    <w:rsid w:val="008E3E43"/>
    <w:rsid w:val="008E412D"/>
    <w:rsid w:val="008E4464"/>
    <w:rsid w:val="008E449A"/>
    <w:rsid w:val="008E4A5A"/>
    <w:rsid w:val="008E4C04"/>
    <w:rsid w:val="008E4EB5"/>
    <w:rsid w:val="008E503D"/>
    <w:rsid w:val="008E535B"/>
    <w:rsid w:val="008E5551"/>
    <w:rsid w:val="008E59CA"/>
    <w:rsid w:val="008E5D04"/>
    <w:rsid w:val="008E5DE6"/>
    <w:rsid w:val="008E5FDC"/>
    <w:rsid w:val="008E6556"/>
    <w:rsid w:val="008E657B"/>
    <w:rsid w:val="008E6C87"/>
    <w:rsid w:val="008E6D2C"/>
    <w:rsid w:val="008E6D38"/>
    <w:rsid w:val="008E6DC7"/>
    <w:rsid w:val="008E6F14"/>
    <w:rsid w:val="008E72E1"/>
    <w:rsid w:val="008E77C2"/>
    <w:rsid w:val="008E7E1C"/>
    <w:rsid w:val="008E7E8A"/>
    <w:rsid w:val="008F0032"/>
    <w:rsid w:val="008F02B3"/>
    <w:rsid w:val="008F032F"/>
    <w:rsid w:val="008F0410"/>
    <w:rsid w:val="008F081F"/>
    <w:rsid w:val="008F09ED"/>
    <w:rsid w:val="008F0B22"/>
    <w:rsid w:val="008F0D4B"/>
    <w:rsid w:val="008F0E6C"/>
    <w:rsid w:val="008F107C"/>
    <w:rsid w:val="008F10DF"/>
    <w:rsid w:val="008F1370"/>
    <w:rsid w:val="008F1407"/>
    <w:rsid w:val="008F14F6"/>
    <w:rsid w:val="008F1507"/>
    <w:rsid w:val="008F1653"/>
    <w:rsid w:val="008F19AA"/>
    <w:rsid w:val="008F1B3B"/>
    <w:rsid w:val="008F2056"/>
    <w:rsid w:val="008F20DC"/>
    <w:rsid w:val="008F240D"/>
    <w:rsid w:val="008F2505"/>
    <w:rsid w:val="008F2549"/>
    <w:rsid w:val="008F25FF"/>
    <w:rsid w:val="008F268A"/>
    <w:rsid w:val="008F270C"/>
    <w:rsid w:val="008F2799"/>
    <w:rsid w:val="008F27BE"/>
    <w:rsid w:val="008F2C32"/>
    <w:rsid w:val="008F2F1B"/>
    <w:rsid w:val="008F3239"/>
    <w:rsid w:val="008F3264"/>
    <w:rsid w:val="008F32EB"/>
    <w:rsid w:val="008F347D"/>
    <w:rsid w:val="008F37C9"/>
    <w:rsid w:val="008F3875"/>
    <w:rsid w:val="008F3F49"/>
    <w:rsid w:val="008F3FAD"/>
    <w:rsid w:val="008F4156"/>
    <w:rsid w:val="008F431C"/>
    <w:rsid w:val="008F4A30"/>
    <w:rsid w:val="008F4E0C"/>
    <w:rsid w:val="008F4FF9"/>
    <w:rsid w:val="008F530F"/>
    <w:rsid w:val="008F5379"/>
    <w:rsid w:val="008F56ED"/>
    <w:rsid w:val="008F5892"/>
    <w:rsid w:val="008F5D00"/>
    <w:rsid w:val="008F5D18"/>
    <w:rsid w:val="008F5E01"/>
    <w:rsid w:val="008F5EB7"/>
    <w:rsid w:val="008F6198"/>
    <w:rsid w:val="008F655B"/>
    <w:rsid w:val="008F65AD"/>
    <w:rsid w:val="008F66CB"/>
    <w:rsid w:val="008F66F9"/>
    <w:rsid w:val="008F69E0"/>
    <w:rsid w:val="008F6CEC"/>
    <w:rsid w:val="008F6E00"/>
    <w:rsid w:val="008F70AF"/>
    <w:rsid w:val="008F745F"/>
    <w:rsid w:val="008F7C04"/>
    <w:rsid w:val="008F7CF0"/>
    <w:rsid w:val="008F7EBD"/>
    <w:rsid w:val="008F7F59"/>
    <w:rsid w:val="008F7FED"/>
    <w:rsid w:val="009002B8"/>
    <w:rsid w:val="009002D1"/>
    <w:rsid w:val="009004C6"/>
    <w:rsid w:val="00900870"/>
    <w:rsid w:val="00900C3A"/>
    <w:rsid w:val="00900E67"/>
    <w:rsid w:val="00901286"/>
    <w:rsid w:val="0090188B"/>
    <w:rsid w:val="0090193E"/>
    <w:rsid w:val="009019F8"/>
    <w:rsid w:val="00901AE2"/>
    <w:rsid w:val="00901D93"/>
    <w:rsid w:val="00901FBB"/>
    <w:rsid w:val="009021E3"/>
    <w:rsid w:val="00902AD6"/>
    <w:rsid w:val="00902D1C"/>
    <w:rsid w:val="0090324F"/>
    <w:rsid w:val="0090329F"/>
    <w:rsid w:val="009032DC"/>
    <w:rsid w:val="009034E2"/>
    <w:rsid w:val="00903527"/>
    <w:rsid w:val="009038CB"/>
    <w:rsid w:val="00903A57"/>
    <w:rsid w:val="00903C2B"/>
    <w:rsid w:val="00903D42"/>
    <w:rsid w:val="0090429D"/>
    <w:rsid w:val="0090439B"/>
    <w:rsid w:val="009046A6"/>
    <w:rsid w:val="0090471E"/>
    <w:rsid w:val="00904784"/>
    <w:rsid w:val="00904B57"/>
    <w:rsid w:val="00904D67"/>
    <w:rsid w:val="00904E6F"/>
    <w:rsid w:val="00904E7E"/>
    <w:rsid w:val="00905055"/>
    <w:rsid w:val="00905182"/>
    <w:rsid w:val="009053BD"/>
    <w:rsid w:val="0090542A"/>
    <w:rsid w:val="009055AC"/>
    <w:rsid w:val="009057E9"/>
    <w:rsid w:val="00905969"/>
    <w:rsid w:val="0090643E"/>
    <w:rsid w:val="00906460"/>
    <w:rsid w:val="009064B3"/>
    <w:rsid w:val="009068E1"/>
    <w:rsid w:val="00906B52"/>
    <w:rsid w:val="00906D28"/>
    <w:rsid w:val="00906E73"/>
    <w:rsid w:val="00906F18"/>
    <w:rsid w:val="00906F43"/>
    <w:rsid w:val="00906FA6"/>
    <w:rsid w:val="009073B3"/>
    <w:rsid w:val="009074E0"/>
    <w:rsid w:val="009075AC"/>
    <w:rsid w:val="00907813"/>
    <w:rsid w:val="00907899"/>
    <w:rsid w:val="009079AC"/>
    <w:rsid w:val="00907A45"/>
    <w:rsid w:val="00907E8B"/>
    <w:rsid w:val="00910088"/>
    <w:rsid w:val="00910347"/>
    <w:rsid w:val="009104F4"/>
    <w:rsid w:val="009105C1"/>
    <w:rsid w:val="0091062F"/>
    <w:rsid w:val="0091068F"/>
    <w:rsid w:val="00910B30"/>
    <w:rsid w:val="00910B4C"/>
    <w:rsid w:val="00910DA9"/>
    <w:rsid w:val="00910F4C"/>
    <w:rsid w:val="00910F7F"/>
    <w:rsid w:val="00910F9D"/>
    <w:rsid w:val="00911029"/>
    <w:rsid w:val="0091197D"/>
    <w:rsid w:val="00911DAF"/>
    <w:rsid w:val="00911E4D"/>
    <w:rsid w:val="0091226F"/>
    <w:rsid w:val="009124B3"/>
    <w:rsid w:val="0091251B"/>
    <w:rsid w:val="00912649"/>
    <w:rsid w:val="0091290B"/>
    <w:rsid w:val="009129BD"/>
    <w:rsid w:val="00912ACB"/>
    <w:rsid w:val="0091303D"/>
    <w:rsid w:val="00913182"/>
    <w:rsid w:val="009131D4"/>
    <w:rsid w:val="00913270"/>
    <w:rsid w:val="0091364C"/>
    <w:rsid w:val="00913B38"/>
    <w:rsid w:val="00913BFE"/>
    <w:rsid w:val="00913D1C"/>
    <w:rsid w:val="00913F18"/>
    <w:rsid w:val="00914664"/>
    <w:rsid w:val="009149EA"/>
    <w:rsid w:val="00914CCE"/>
    <w:rsid w:val="00914F5D"/>
    <w:rsid w:val="0091511D"/>
    <w:rsid w:val="00915219"/>
    <w:rsid w:val="009155B4"/>
    <w:rsid w:val="00915BF6"/>
    <w:rsid w:val="00916219"/>
    <w:rsid w:val="009164BA"/>
    <w:rsid w:val="00916658"/>
    <w:rsid w:val="009169D9"/>
    <w:rsid w:val="00916AC4"/>
    <w:rsid w:val="00916CA9"/>
    <w:rsid w:val="00916E19"/>
    <w:rsid w:val="00916F19"/>
    <w:rsid w:val="0091749F"/>
    <w:rsid w:val="00917548"/>
    <w:rsid w:val="00917612"/>
    <w:rsid w:val="00917ACA"/>
    <w:rsid w:val="00917B8F"/>
    <w:rsid w:val="00917BCB"/>
    <w:rsid w:val="00920018"/>
    <w:rsid w:val="009206B4"/>
    <w:rsid w:val="009207CD"/>
    <w:rsid w:val="00920989"/>
    <w:rsid w:val="00920A24"/>
    <w:rsid w:val="009210A9"/>
    <w:rsid w:val="0092134A"/>
    <w:rsid w:val="0092184D"/>
    <w:rsid w:val="00921BD0"/>
    <w:rsid w:val="00921BEB"/>
    <w:rsid w:val="00921EEB"/>
    <w:rsid w:val="00922440"/>
    <w:rsid w:val="0092260C"/>
    <w:rsid w:val="0092271A"/>
    <w:rsid w:val="00922960"/>
    <w:rsid w:val="00923178"/>
    <w:rsid w:val="009235B7"/>
    <w:rsid w:val="0092387B"/>
    <w:rsid w:val="00923970"/>
    <w:rsid w:val="00923A4F"/>
    <w:rsid w:val="00923A87"/>
    <w:rsid w:val="00923BA6"/>
    <w:rsid w:val="00923C35"/>
    <w:rsid w:val="00923E9D"/>
    <w:rsid w:val="00924145"/>
    <w:rsid w:val="009242AB"/>
    <w:rsid w:val="00924457"/>
    <w:rsid w:val="0092465C"/>
    <w:rsid w:val="00924793"/>
    <w:rsid w:val="0092482A"/>
    <w:rsid w:val="00924963"/>
    <w:rsid w:val="00924AAE"/>
    <w:rsid w:val="00924B42"/>
    <w:rsid w:val="009251AC"/>
    <w:rsid w:val="0092520C"/>
    <w:rsid w:val="0092526F"/>
    <w:rsid w:val="009253AB"/>
    <w:rsid w:val="00925706"/>
    <w:rsid w:val="00925834"/>
    <w:rsid w:val="00925860"/>
    <w:rsid w:val="009258FF"/>
    <w:rsid w:val="00925954"/>
    <w:rsid w:val="00925CB1"/>
    <w:rsid w:val="00926139"/>
    <w:rsid w:val="009261D6"/>
    <w:rsid w:val="009264EC"/>
    <w:rsid w:val="0092662E"/>
    <w:rsid w:val="00926892"/>
    <w:rsid w:val="0092694D"/>
    <w:rsid w:val="009269BE"/>
    <w:rsid w:val="00926AB8"/>
    <w:rsid w:val="00926C57"/>
    <w:rsid w:val="00926EAE"/>
    <w:rsid w:val="00927055"/>
    <w:rsid w:val="009271CE"/>
    <w:rsid w:val="009271DF"/>
    <w:rsid w:val="00927288"/>
    <w:rsid w:val="0092748B"/>
    <w:rsid w:val="0092795B"/>
    <w:rsid w:val="00930504"/>
    <w:rsid w:val="00930609"/>
    <w:rsid w:val="00930859"/>
    <w:rsid w:val="0093097D"/>
    <w:rsid w:val="00930A21"/>
    <w:rsid w:val="00930ABA"/>
    <w:rsid w:val="00930D86"/>
    <w:rsid w:val="00930E47"/>
    <w:rsid w:val="009315DE"/>
    <w:rsid w:val="009316F0"/>
    <w:rsid w:val="00931941"/>
    <w:rsid w:val="00931CDB"/>
    <w:rsid w:val="00931E23"/>
    <w:rsid w:val="00931E73"/>
    <w:rsid w:val="00931F95"/>
    <w:rsid w:val="009320F1"/>
    <w:rsid w:val="0093253A"/>
    <w:rsid w:val="009325BC"/>
    <w:rsid w:val="00932604"/>
    <w:rsid w:val="009326F8"/>
    <w:rsid w:val="009327CF"/>
    <w:rsid w:val="00932AFD"/>
    <w:rsid w:val="00932BA2"/>
    <w:rsid w:val="00932C7D"/>
    <w:rsid w:val="00933170"/>
    <w:rsid w:val="009334F6"/>
    <w:rsid w:val="009339C4"/>
    <w:rsid w:val="00933AAD"/>
    <w:rsid w:val="009343D8"/>
    <w:rsid w:val="009346A5"/>
    <w:rsid w:val="00934793"/>
    <w:rsid w:val="00934CF5"/>
    <w:rsid w:val="00934F62"/>
    <w:rsid w:val="009351CE"/>
    <w:rsid w:val="00935584"/>
    <w:rsid w:val="0093596A"/>
    <w:rsid w:val="00935DE6"/>
    <w:rsid w:val="00935EA9"/>
    <w:rsid w:val="00935F35"/>
    <w:rsid w:val="00935F62"/>
    <w:rsid w:val="009360B9"/>
    <w:rsid w:val="0093648F"/>
    <w:rsid w:val="009366CD"/>
    <w:rsid w:val="00936830"/>
    <w:rsid w:val="00936885"/>
    <w:rsid w:val="00936B01"/>
    <w:rsid w:val="00936C20"/>
    <w:rsid w:val="0093753B"/>
    <w:rsid w:val="00937623"/>
    <w:rsid w:val="00937B47"/>
    <w:rsid w:val="00937ED3"/>
    <w:rsid w:val="00937F49"/>
    <w:rsid w:val="00937F8F"/>
    <w:rsid w:val="009401C7"/>
    <w:rsid w:val="009401D4"/>
    <w:rsid w:val="00940336"/>
    <w:rsid w:val="00940768"/>
    <w:rsid w:val="00940C55"/>
    <w:rsid w:val="00940D82"/>
    <w:rsid w:val="00940FB0"/>
    <w:rsid w:val="00941152"/>
    <w:rsid w:val="0094118C"/>
    <w:rsid w:val="009411F0"/>
    <w:rsid w:val="00941404"/>
    <w:rsid w:val="009414E0"/>
    <w:rsid w:val="009415E4"/>
    <w:rsid w:val="00941978"/>
    <w:rsid w:val="009419C2"/>
    <w:rsid w:val="009424B2"/>
    <w:rsid w:val="009424D2"/>
    <w:rsid w:val="009429B7"/>
    <w:rsid w:val="00942E85"/>
    <w:rsid w:val="00942F6B"/>
    <w:rsid w:val="00943224"/>
    <w:rsid w:val="009434BF"/>
    <w:rsid w:val="00943ABE"/>
    <w:rsid w:val="0094415D"/>
    <w:rsid w:val="0094459C"/>
    <w:rsid w:val="00944621"/>
    <w:rsid w:val="00944697"/>
    <w:rsid w:val="009447F1"/>
    <w:rsid w:val="00944BAD"/>
    <w:rsid w:val="00945628"/>
    <w:rsid w:val="00945749"/>
    <w:rsid w:val="0094582C"/>
    <w:rsid w:val="009459B0"/>
    <w:rsid w:val="00945AD3"/>
    <w:rsid w:val="00945CB5"/>
    <w:rsid w:val="00945DC0"/>
    <w:rsid w:val="00945F40"/>
    <w:rsid w:val="00946253"/>
    <w:rsid w:val="009462C2"/>
    <w:rsid w:val="00946336"/>
    <w:rsid w:val="00946923"/>
    <w:rsid w:val="00946BDA"/>
    <w:rsid w:val="00946EB4"/>
    <w:rsid w:val="00946EF2"/>
    <w:rsid w:val="00946FC6"/>
    <w:rsid w:val="00947018"/>
    <w:rsid w:val="00947151"/>
    <w:rsid w:val="0094745C"/>
    <w:rsid w:val="009475D2"/>
    <w:rsid w:val="0094760E"/>
    <w:rsid w:val="00947A22"/>
    <w:rsid w:val="00947A9D"/>
    <w:rsid w:val="00947F7D"/>
    <w:rsid w:val="0095018E"/>
    <w:rsid w:val="009502C7"/>
    <w:rsid w:val="00950393"/>
    <w:rsid w:val="00950919"/>
    <w:rsid w:val="00950D82"/>
    <w:rsid w:val="00950E11"/>
    <w:rsid w:val="009514CA"/>
    <w:rsid w:val="00951746"/>
    <w:rsid w:val="00951771"/>
    <w:rsid w:val="009519C7"/>
    <w:rsid w:val="00951A2F"/>
    <w:rsid w:val="00951C0C"/>
    <w:rsid w:val="00951C9F"/>
    <w:rsid w:val="00951D1A"/>
    <w:rsid w:val="00952054"/>
    <w:rsid w:val="00952343"/>
    <w:rsid w:val="009526C6"/>
    <w:rsid w:val="0095292D"/>
    <w:rsid w:val="00952A49"/>
    <w:rsid w:val="00952EA3"/>
    <w:rsid w:val="00952F09"/>
    <w:rsid w:val="0095316B"/>
    <w:rsid w:val="009531F1"/>
    <w:rsid w:val="00953262"/>
    <w:rsid w:val="00953C30"/>
    <w:rsid w:val="00953DFD"/>
    <w:rsid w:val="00954650"/>
    <w:rsid w:val="009548BC"/>
    <w:rsid w:val="0095490D"/>
    <w:rsid w:val="00954971"/>
    <w:rsid w:val="009549E6"/>
    <w:rsid w:val="00954A10"/>
    <w:rsid w:val="00954CF9"/>
    <w:rsid w:val="00954E6C"/>
    <w:rsid w:val="00954F57"/>
    <w:rsid w:val="0095501D"/>
    <w:rsid w:val="009550B1"/>
    <w:rsid w:val="0095514A"/>
    <w:rsid w:val="00955188"/>
    <w:rsid w:val="0095539A"/>
    <w:rsid w:val="009554C7"/>
    <w:rsid w:val="0095554D"/>
    <w:rsid w:val="0095572F"/>
    <w:rsid w:val="00955733"/>
    <w:rsid w:val="009559A1"/>
    <w:rsid w:val="009559CD"/>
    <w:rsid w:val="009559F7"/>
    <w:rsid w:val="00955ACF"/>
    <w:rsid w:val="00955BCA"/>
    <w:rsid w:val="00955E20"/>
    <w:rsid w:val="00955F1B"/>
    <w:rsid w:val="009561E3"/>
    <w:rsid w:val="00956225"/>
    <w:rsid w:val="009566EF"/>
    <w:rsid w:val="00956727"/>
    <w:rsid w:val="009567E6"/>
    <w:rsid w:val="009568D2"/>
    <w:rsid w:val="0095698D"/>
    <w:rsid w:val="00957091"/>
    <w:rsid w:val="0095716C"/>
    <w:rsid w:val="0095746B"/>
    <w:rsid w:val="009576AA"/>
    <w:rsid w:val="00957906"/>
    <w:rsid w:val="00957AB5"/>
    <w:rsid w:val="00957AF0"/>
    <w:rsid w:val="00957B48"/>
    <w:rsid w:val="00957B49"/>
    <w:rsid w:val="00957D11"/>
    <w:rsid w:val="00957E90"/>
    <w:rsid w:val="00957FC9"/>
    <w:rsid w:val="00960703"/>
    <w:rsid w:val="009609DA"/>
    <w:rsid w:val="00960BA9"/>
    <w:rsid w:val="00960D53"/>
    <w:rsid w:val="009611B0"/>
    <w:rsid w:val="00961438"/>
    <w:rsid w:val="0096144F"/>
    <w:rsid w:val="0096145D"/>
    <w:rsid w:val="009614C1"/>
    <w:rsid w:val="00961548"/>
    <w:rsid w:val="009615BF"/>
    <w:rsid w:val="0096173B"/>
    <w:rsid w:val="0096175A"/>
    <w:rsid w:val="00961790"/>
    <w:rsid w:val="00961943"/>
    <w:rsid w:val="00961A41"/>
    <w:rsid w:val="00961B68"/>
    <w:rsid w:val="00961C1B"/>
    <w:rsid w:val="00961E2C"/>
    <w:rsid w:val="00961F4B"/>
    <w:rsid w:val="00961F9B"/>
    <w:rsid w:val="00962477"/>
    <w:rsid w:val="00962981"/>
    <w:rsid w:val="00962A4E"/>
    <w:rsid w:val="00962AC0"/>
    <w:rsid w:val="00962B9A"/>
    <w:rsid w:val="00962F41"/>
    <w:rsid w:val="00963013"/>
    <w:rsid w:val="009630FE"/>
    <w:rsid w:val="0096353A"/>
    <w:rsid w:val="00963777"/>
    <w:rsid w:val="00963871"/>
    <w:rsid w:val="00963947"/>
    <w:rsid w:val="0096397D"/>
    <w:rsid w:val="00963A0B"/>
    <w:rsid w:val="00963B91"/>
    <w:rsid w:val="00963C1E"/>
    <w:rsid w:val="00963EB3"/>
    <w:rsid w:val="00964404"/>
    <w:rsid w:val="0096466E"/>
    <w:rsid w:val="00964958"/>
    <w:rsid w:val="00964B21"/>
    <w:rsid w:val="00964B4E"/>
    <w:rsid w:val="00964B98"/>
    <w:rsid w:val="00964C60"/>
    <w:rsid w:val="00964C86"/>
    <w:rsid w:val="00964CCD"/>
    <w:rsid w:val="00964F7C"/>
    <w:rsid w:val="00964FC2"/>
    <w:rsid w:val="00965186"/>
    <w:rsid w:val="009651E5"/>
    <w:rsid w:val="009654F0"/>
    <w:rsid w:val="00965606"/>
    <w:rsid w:val="0096562C"/>
    <w:rsid w:val="009656C9"/>
    <w:rsid w:val="00965989"/>
    <w:rsid w:val="009659F1"/>
    <w:rsid w:val="00965B1A"/>
    <w:rsid w:val="00965F88"/>
    <w:rsid w:val="00965FDA"/>
    <w:rsid w:val="0096610F"/>
    <w:rsid w:val="0096614B"/>
    <w:rsid w:val="009665C7"/>
    <w:rsid w:val="009669CE"/>
    <w:rsid w:val="00966BBB"/>
    <w:rsid w:val="009671B1"/>
    <w:rsid w:val="0096720B"/>
    <w:rsid w:val="0096739B"/>
    <w:rsid w:val="009678FE"/>
    <w:rsid w:val="00967D27"/>
    <w:rsid w:val="009702DB"/>
    <w:rsid w:val="00970419"/>
    <w:rsid w:val="00970435"/>
    <w:rsid w:val="009704AA"/>
    <w:rsid w:val="0097058F"/>
    <w:rsid w:val="0097063F"/>
    <w:rsid w:val="00970811"/>
    <w:rsid w:val="0097098E"/>
    <w:rsid w:val="00970B63"/>
    <w:rsid w:val="00970C1D"/>
    <w:rsid w:val="00970FBA"/>
    <w:rsid w:val="00970FC6"/>
    <w:rsid w:val="00971260"/>
    <w:rsid w:val="009713FA"/>
    <w:rsid w:val="009715ED"/>
    <w:rsid w:val="009718EB"/>
    <w:rsid w:val="00971D7B"/>
    <w:rsid w:val="009721C9"/>
    <w:rsid w:val="009724DB"/>
    <w:rsid w:val="009726E0"/>
    <w:rsid w:val="009728C6"/>
    <w:rsid w:val="00972A4F"/>
    <w:rsid w:val="00972AB6"/>
    <w:rsid w:val="0097340B"/>
    <w:rsid w:val="0097358E"/>
    <w:rsid w:val="0097367E"/>
    <w:rsid w:val="00973722"/>
    <w:rsid w:val="009739A5"/>
    <w:rsid w:val="00973DD6"/>
    <w:rsid w:val="00973E17"/>
    <w:rsid w:val="00974243"/>
    <w:rsid w:val="00974503"/>
    <w:rsid w:val="00974AE9"/>
    <w:rsid w:val="00974B57"/>
    <w:rsid w:val="00974D17"/>
    <w:rsid w:val="00974E67"/>
    <w:rsid w:val="009756A1"/>
    <w:rsid w:val="00975AB8"/>
    <w:rsid w:val="00975ACC"/>
    <w:rsid w:val="00975B89"/>
    <w:rsid w:val="00975C96"/>
    <w:rsid w:val="00975E19"/>
    <w:rsid w:val="0097608D"/>
    <w:rsid w:val="009765D7"/>
    <w:rsid w:val="00976871"/>
    <w:rsid w:val="00976C0F"/>
    <w:rsid w:val="00976EAD"/>
    <w:rsid w:val="00976F7A"/>
    <w:rsid w:val="00977050"/>
    <w:rsid w:val="00977180"/>
    <w:rsid w:val="00977806"/>
    <w:rsid w:val="00977823"/>
    <w:rsid w:val="00977BC6"/>
    <w:rsid w:val="00977BD4"/>
    <w:rsid w:val="00977CD4"/>
    <w:rsid w:val="009802E5"/>
    <w:rsid w:val="00980509"/>
    <w:rsid w:val="00980A76"/>
    <w:rsid w:val="00980C39"/>
    <w:rsid w:val="00980D56"/>
    <w:rsid w:val="00980E0F"/>
    <w:rsid w:val="00980E35"/>
    <w:rsid w:val="0098139D"/>
    <w:rsid w:val="00981DFB"/>
    <w:rsid w:val="00981F54"/>
    <w:rsid w:val="00981F67"/>
    <w:rsid w:val="009820B7"/>
    <w:rsid w:val="00982930"/>
    <w:rsid w:val="00982B5C"/>
    <w:rsid w:val="00983182"/>
    <w:rsid w:val="00983402"/>
    <w:rsid w:val="009834F3"/>
    <w:rsid w:val="009835ED"/>
    <w:rsid w:val="00983743"/>
    <w:rsid w:val="00983AEC"/>
    <w:rsid w:val="00983DB1"/>
    <w:rsid w:val="009841A2"/>
    <w:rsid w:val="009841DF"/>
    <w:rsid w:val="009842A9"/>
    <w:rsid w:val="00984670"/>
    <w:rsid w:val="00984766"/>
    <w:rsid w:val="0098482A"/>
    <w:rsid w:val="009848A4"/>
    <w:rsid w:val="00984A28"/>
    <w:rsid w:val="00984B07"/>
    <w:rsid w:val="00984C79"/>
    <w:rsid w:val="00984E9A"/>
    <w:rsid w:val="009850CC"/>
    <w:rsid w:val="00985223"/>
    <w:rsid w:val="00985374"/>
    <w:rsid w:val="00985693"/>
    <w:rsid w:val="009857D4"/>
    <w:rsid w:val="00985E88"/>
    <w:rsid w:val="00985F2A"/>
    <w:rsid w:val="009860B7"/>
    <w:rsid w:val="009860BB"/>
    <w:rsid w:val="00986117"/>
    <w:rsid w:val="009863AA"/>
    <w:rsid w:val="009863C3"/>
    <w:rsid w:val="009866A6"/>
    <w:rsid w:val="00986A0B"/>
    <w:rsid w:val="00986A93"/>
    <w:rsid w:val="00986C51"/>
    <w:rsid w:val="00987140"/>
    <w:rsid w:val="009871D8"/>
    <w:rsid w:val="00987236"/>
    <w:rsid w:val="00987286"/>
    <w:rsid w:val="0098761B"/>
    <w:rsid w:val="00987C6B"/>
    <w:rsid w:val="00990148"/>
    <w:rsid w:val="0099036A"/>
    <w:rsid w:val="0099079B"/>
    <w:rsid w:val="009907CC"/>
    <w:rsid w:val="00990985"/>
    <w:rsid w:val="009909B7"/>
    <w:rsid w:val="009909FF"/>
    <w:rsid w:val="00990B0F"/>
    <w:rsid w:val="00990B22"/>
    <w:rsid w:val="00990DA1"/>
    <w:rsid w:val="009912B0"/>
    <w:rsid w:val="00991419"/>
    <w:rsid w:val="00991547"/>
    <w:rsid w:val="009915A8"/>
    <w:rsid w:val="009916E5"/>
    <w:rsid w:val="00991999"/>
    <w:rsid w:val="00992362"/>
    <w:rsid w:val="0099253C"/>
    <w:rsid w:val="00992BB3"/>
    <w:rsid w:val="00992C68"/>
    <w:rsid w:val="00992E5B"/>
    <w:rsid w:val="00993012"/>
    <w:rsid w:val="009930AA"/>
    <w:rsid w:val="0099339E"/>
    <w:rsid w:val="00993511"/>
    <w:rsid w:val="009938E8"/>
    <w:rsid w:val="00993D37"/>
    <w:rsid w:val="00994280"/>
    <w:rsid w:val="009944DE"/>
    <w:rsid w:val="00994663"/>
    <w:rsid w:val="009948D8"/>
    <w:rsid w:val="00994ADC"/>
    <w:rsid w:val="00994B2A"/>
    <w:rsid w:val="00994DC4"/>
    <w:rsid w:val="00995600"/>
    <w:rsid w:val="009956CB"/>
    <w:rsid w:val="009957D9"/>
    <w:rsid w:val="00995B69"/>
    <w:rsid w:val="00995C6D"/>
    <w:rsid w:val="00995DD2"/>
    <w:rsid w:val="00995DD6"/>
    <w:rsid w:val="00995F00"/>
    <w:rsid w:val="009960DD"/>
    <w:rsid w:val="00996232"/>
    <w:rsid w:val="009965B7"/>
    <w:rsid w:val="0099677F"/>
    <w:rsid w:val="00996AF7"/>
    <w:rsid w:val="00996E67"/>
    <w:rsid w:val="00996FC6"/>
    <w:rsid w:val="00997038"/>
    <w:rsid w:val="009972DC"/>
    <w:rsid w:val="009975CD"/>
    <w:rsid w:val="0099785A"/>
    <w:rsid w:val="00997883"/>
    <w:rsid w:val="00997A3C"/>
    <w:rsid w:val="00997A51"/>
    <w:rsid w:val="00997AF5"/>
    <w:rsid w:val="00997D99"/>
    <w:rsid w:val="00997E3B"/>
    <w:rsid w:val="00997E74"/>
    <w:rsid w:val="00997F2E"/>
    <w:rsid w:val="009A0166"/>
    <w:rsid w:val="009A08B8"/>
    <w:rsid w:val="009A0A4A"/>
    <w:rsid w:val="009A0B78"/>
    <w:rsid w:val="009A0BCB"/>
    <w:rsid w:val="009A0BEB"/>
    <w:rsid w:val="009A0CE3"/>
    <w:rsid w:val="009A0D4B"/>
    <w:rsid w:val="009A0EA0"/>
    <w:rsid w:val="009A0EF7"/>
    <w:rsid w:val="009A15DA"/>
    <w:rsid w:val="009A21BA"/>
    <w:rsid w:val="009A2235"/>
    <w:rsid w:val="009A2473"/>
    <w:rsid w:val="009A2B26"/>
    <w:rsid w:val="009A2D40"/>
    <w:rsid w:val="009A3130"/>
    <w:rsid w:val="009A31F2"/>
    <w:rsid w:val="009A381D"/>
    <w:rsid w:val="009A3837"/>
    <w:rsid w:val="009A383C"/>
    <w:rsid w:val="009A3A9F"/>
    <w:rsid w:val="009A3B2F"/>
    <w:rsid w:val="009A423A"/>
    <w:rsid w:val="009A43DA"/>
    <w:rsid w:val="009A482A"/>
    <w:rsid w:val="009A48E3"/>
    <w:rsid w:val="009A49C3"/>
    <w:rsid w:val="009A4AA9"/>
    <w:rsid w:val="009A4C33"/>
    <w:rsid w:val="009A51E1"/>
    <w:rsid w:val="009A52B3"/>
    <w:rsid w:val="009A53D7"/>
    <w:rsid w:val="009A5416"/>
    <w:rsid w:val="009A54BF"/>
    <w:rsid w:val="009A580C"/>
    <w:rsid w:val="009A59CB"/>
    <w:rsid w:val="009A5A73"/>
    <w:rsid w:val="009A5A87"/>
    <w:rsid w:val="009A60A4"/>
    <w:rsid w:val="009A6387"/>
    <w:rsid w:val="009A6433"/>
    <w:rsid w:val="009A64D2"/>
    <w:rsid w:val="009A65BA"/>
    <w:rsid w:val="009A65C1"/>
    <w:rsid w:val="009A686F"/>
    <w:rsid w:val="009A6882"/>
    <w:rsid w:val="009A68A2"/>
    <w:rsid w:val="009A6906"/>
    <w:rsid w:val="009A7190"/>
    <w:rsid w:val="009A722D"/>
    <w:rsid w:val="009A729D"/>
    <w:rsid w:val="009A74B5"/>
    <w:rsid w:val="009A75CA"/>
    <w:rsid w:val="009A7A26"/>
    <w:rsid w:val="009A7A95"/>
    <w:rsid w:val="009A7AC4"/>
    <w:rsid w:val="009A7C88"/>
    <w:rsid w:val="009A7EFD"/>
    <w:rsid w:val="009B004A"/>
    <w:rsid w:val="009B006C"/>
    <w:rsid w:val="009B00CC"/>
    <w:rsid w:val="009B01B5"/>
    <w:rsid w:val="009B0269"/>
    <w:rsid w:val="009B0360"/>
    <w:rsid w:val="009B0479"/>
    <w:rsid w:val="009B0978"/>
    <w:rsid w:val="009B0CE3"/>
    <w:rsid w:val="009B0DD7"/>
    <w:rsid w:val="009B10FD"/>
    <w:rsid w:val="009B1143"/>
    <w:rsid w:val="009B1189"/>
    <w:rsid w:val="009B136A"/>
    <w:rsid w:val="009B1560"/>
    <w:rsid w:val="009B186C"/>
    <w:rsid w:val="009B1A04"/>
    <w:rsid w:val="009B1C0A"/>
    <w:rsid w:val="009B1D3F"/>
    <w:rsid w:val="009B1F3B"/>
    <w:rsid w:val="009B2116"/>
    <w:rsid w:val="009B23A3"/>
    <w:rsid w:val="009B23A7"/>
    <w:rsid w:val="009B24F4"/>
    <w:rsid w:val="009B2543"/>
    <w:rsid w:val="009B26CE"/>
    <w:rsid w:val="009B2764"/>
    <w:rsid w:val="009B283D"/>
    <w:rsid w:val="009B2B3A"/>
    <w:rsid w:val="009B2DE4"/>
    <w:rsid w:val="009B2FC6"/>
    <w:rsid w:val="009B31D8"/>
    <w:rsid w:val="009B347B"/>
    <w:rsid w:val="009B37C3"/>
    <w:rsid w:val="009B37DD"/>
    <w:rsid w:val="009B3C7B"/>
    <w:rsid w:val="009B4160"/>
    <w:rsid w:val="009B4397"/>
    <w:rsid w:val="009B43E6"/>
    <w:rsid w:val="009B462B"/>
    <w:rsid w:val="009B5067"/>
    <w:rsid w:val="009B5546"/>
    <w:rsid w:val="009B56DD"/>
    <w:rsid w:val="009B5EB0"/>
    <w:rsid w:val="009B5EC9"/>
    <w:rsid w:val="009B660C"/>
    <w:rsid w:val="009B66EB"/>
    <w:rsid w:val="009B6FF8"/>
    <w:rsid w:val="009B71DA"/>
    <w:rsid w:val="009B7909"/>
    <w:rsid w:val="009B7A33"/>
    <w:rsid w:val="009B7A46"/>
    <w:rsid w:val="009B7BB6"/>
    <w:rsid w:val="009B7C75"/>
    <w:rsid w:val="009B7DAA"/>
    <w:rsid w:val="009C0160"/>
    <w:rsid w:val="009C01D9"/>
    <w:rsid w:val="009C02AA"/>
    <w:rsid w:val="009C0392"/>
    <w:rsid w:val="009C075D"/>
    <w:rsid w:val="009C09B5"/>
    <w:rsid w:val="009C0B28"/>
    <w:rsid w:val="009C1025"/>
    <w:rsid w:val="009C1505"/>
    <w:rsid w:val="009C159D"/>
    <w:rsid w:val="009C165A"/>
    <w:rsid w:val="009C17C2"/>
    <w:rsid w:val="009C1D58"/>
    <w:rsid w:val="009C1F28"/>
    <w:rsid w:val="009C2090"/>
    <w:rsid w:val="009C22B1"/>
    <w:rsid w:val="009C264F"/>
    <w:rsid w:val="009C26B9"/>
    <w:rsid w:val="009C27FB"/>
    <w:rsid w:val="009C2B80"/>
    <w:rsid w:val="009C2B8E"/>
    <w:rsid w:val="009C2C9C"/>
    <w:rsid w:val="009C2E4B"/>
    <w:rsid w:val="009C2E91"/>
    <w:rsid w:val="009C2F1D"/>
    <w:rsid w:val="009C2F6C"/>
    <w:rsid w:val="009C311F"/>
    <w:rsid w:val="009C315D"/>
    <w:rsid w:val="009C3169"/>
    <w:rsid w:val="009C3938"/>
    <w:rsid w:val="009C396F"/>
    <w:rsid w:val="009C3C17"/>
    <w:rsid w:val="009C40AA"/>
    <w:rsid w:val="009C4278"/>
    <w:rsid w:val="009C46F2"/>
    <w:rsid w:val="009C4808"/>
    <w:rsid w:val="009C4935"/>
    <w:rsid w:val="009C4ABA"/>
    <w:rsid w:val="009C4B22"/>
    <w:rsid w:val="009C4B83"/>
    <w:rsid w:val="009C4B96"/>
    <w:rsid w:val="009C4F89"/>
    <w:rsid w:val="009C550B"/>
    <w:rsid w:val="009C5726"/>
    <w:rsid w:val="009C58D4"/>
    <w:rsid w:val="009C5A49"/>
    <w:rsid w:val="009C6288"/>
    <w:rsid w:val="009C6611"/>
    <w:rsid w:val="009C66EF"/>
    <w:rsid w:val="009C6727"/>
    <w:rsid w:val="009C6890"/>
    <w:rsid w:val="009C6944"/>
    <w:rsid w:val="009C6C16"/>
    <w:rsid w:val="009C6EEB"/>
    <w:rsid w:val="009C6F1A"/>
    <w:rsid w:val="009C6FE9"/>
    <w:rsid w:val="009C751E"/>
    <w:rsid w:val="009C75E2"/>
    <w:rsid w:val="009C7763"/>
    <w:rsid w:val="009C77D3"/>
    <w:rsid w:val="009C7923"/>
    <w:rsid w:val="009C798E"/>
    <w:rsid w:val="009C7A47"/>
    <w:rsid w:val="009C7C2F"/>
    <w:rsid w:val="009C7CF9"/>
    <w:rsid w:val="009C7E50"/>
    <w:rsid w:val="009C7EDC"/>
    <w:rsid w:val="009C7F82"/>
    <w:rsid w:val="009C7FF9"/>
    <w:rsid w:val="009D0BA4"/>
    <w:rsid w:val="009D0D7F"/>
    <w:rsid w:val="009D0DB9"/>
    <w:rsid w:val="009D0F66"/>
    <w:rsid w:val="009D0F7B"/>
    <w:rsid w:val="009D11D6"/>
    <w:rsid w:val="009D1243"/>
    <w:rsid w:val="009D14E9"/>
    <w:rsid w:val="009D15D4"/>
    <w:rsid w:val="009D1B3E"/>
    <w:rsid w:val="009D1B8A"/>
    <w:rsid w:val="009D1C2E"/>
    <w:rsid w:val="009D1C91"/>
    <w:rsid w:val="009D259B"/>
    <w:rsid w:val="009D2AC1"/>
    <w:rsid w:val="009D2E36"/>
    <w:rsid w:val="009D320F"/>
    <w:rsid w:val="009D3223"/>
    <w:rsid w:val="009D399F"/>
    <w:rsid w:val="009D3BC1"/>
    <w:rsid w:val="009D3CA5"/>
    <w:rsid w:val="009D3CBF"/>
    <w:rsid w:val="009D3E6C"/>
    <w:rsid w:val="009D3F4C"/>
    <w:rsid w:val="009D405D"/>
    <w:rsid w:val="009D40C3"/>
    <w:rsid w:val="009D4118"/>
    <w:rsid w:val="009D4294"/>
    <w:rsid w:val="009D4323"/>
    <w:rsid w:val="009D433F"/>
    <w:rsid w:val="009D4634"/>
    <w:rsid w:val="009D46D8"/>
    <w:rsid w:val="009D470B"/>
    <w:rsid w:val="009D47C6"/>
    <w:rsid w:val="009D47F6"/>
    <w:rsid w:val="009D4AAA"/>
    <w:rsid w:val="009D4ADA"/>
    <w:rsid w:val="009D4D19"/>
    <w:rsid w:val="009D4F2B"/>
    <w:rsid w:val="009D4F74"/>
    <w:rsid w:val="009D4F9A"/>
    <w:rsid w:val="009D4FFC"/>
    <w:rsid w:val="009D540B"/>
    <w:rsid w:val="009D5721"/>
    <w:rsid w:val="009D58A0"/>
    <w:rsid w:val="009D5ABD"/>
    <w:rsid w:val="009D5ADA"/>
    <w:rsid w:val="009D5C3C"/>
    <w:rsid w:val="009D6049"/>
    <w:rsid w:val="009D65AA"/>
    <w:rsid w:val="009D6A50"/>
    <w:rsid w:val="009D6AC7"/>
    <w:rsid w:val="009D6AEF"/>
    <w:rsid w:val="009D6B46"/>
    <w:rsid w:val="009D6BFF"/>
    <w:rsid w:val="009D6CD2"/>
    <w:rsid w:val="009D6D03"/>
    <w:rsid w:val="009D6DF5"/>
    <w:rsid w:val="009D708D"/>
    <w:rsid w:val="009D7317"/>
    <w:rsid w:val="009D74E8"/>
    <w:rsid w:val="009D7693"/>
    <w:rsid w:val="009D77BA"/>
    <w:rsid w:val="009D7B61"/>
    <w:rsid w:val="009D7C07"/>
    <w:rsid w:val="009E010D"/>
    <w:rsid w:val="009E02ED"/>
    <w:rsid w:val="009E0574"/>
    <w:rsid w:val="009E05DF"/>
    <w:rsid w:val="009E0692"/>
    <w:rsid w:val="009E06DD"/>
    <w:rsid w:val="009E0EF3"/>
    <w:rsid w:val="009E137B"/>
    <w:rsid w:val="009E153B"/>
    <w:rsid w:val="009E217D"/>
    <w:rsid w:val="009E2327"/>
    <w:rsid w:val="009E267A"/>
    <w:rsid w:val="009E26AF"/>
    <w:rsid w:val="009E27B7"/>
    <w:rsid w:val="009E27C7"/>
    <w:rsid w:val="009E28CA"/>
    <w:rsid w:val="009E2968"/>
    <w:rsid w:val="009E298A"/>
    <w:rsid w:val="009E3271"/>
    <w:rsid w:val="009E3680"/>
    <w:rsid w:val="009E389D"/>
    <w:rsid w:val="009E3B05"/>
    <w:rsid w:val="009E4179"/>
    <w:rsid w:val="009E4383"/>
    <w:rsid w:val="009E4512"/>
    <w:rsid w:val="009E46D3"/>
    <w:rsid w:val="009E47E9"/>
    <w:rsid w:val="009E4833"/>
    <w:rsid w:val="009E4874"/>
    <w:rsid w:val="009E4886"/>
    <w:rsid w:val="009E4B9F"/>
    <w:rsid w:val="009E4E83"/>
    <w:rsid w:val="009E4F29"/>
    <w:rsid w:val="009E5134"/>
    <w:rsid w:val="009E54DE"/>
    <w:rsid w:val="009E57FA"/>
    <w:rsid w:val="009E5ADC"/>
    <w:rsid w:val="009E5AE2"/>
    <w:rsid w:val="009E5D6F"/>
    <w:rsid w:val="009E5F95"/>
    <w:rsid w:val="009E621A"/>
    <w:rsid w:val="009E677E"/>
    <w:rsid w:val="009E6BB5"/>
    <w:rsid w:val="009E7006"/>
    <w:rsid w:val="009E7393"/>
    <w:rsid w:val="009E76F6"/>
    <w:rsid w:val="009F03FD"/>
    <w:rsid w:val="009F049E"/>
    <w:rsid w:val="009F0821"/>
    <w:rsid w:val="009F0856"/>
    <w:rsid w:val="009F0877"/>
    <w:rsid w:val="009F0C73"/>
    <w:rsid w:val="009F0F20"/>
    <w:rsid w:val="009F1A25"/>
    <w:rsid w:val="009F1DBD"/>
    <w:rsid w:val="009F1F1E"/>
    <w:rsid w:val="009F1F4C"/>
    <w:rsid w:val="009F2A94"/>
    <w:rsid w:val="009F2C28"/>
    <w:rsid w:val="009F3134"/>
    <w:rsid w:val="009F3417"/>
    <w:rsid w:val="009F3424"/>
    <w:rsid w:val="009F3428"/>
    <w:rsid w:val="009F36BA"/>
    <w:rsid w:val="009F398B"/>
    <w:rsid w:val="009F39C4"/>
    <w:rsid w:val="009F3AD5"/>
    <w:rsid w:val="009F3AE6"/>
    <w:rsid w:val="009F4035"/>
    <w:rsid w:val="009F409E"/>
    <w:rsid w:val="009F4102"/>
    <w:rsid w:val="009F458B"/>
    <w:rsid w:val="009F4690"/>
    <w:rsid w:val="009F5269"/>
    <w:rsid w:val="009F5591"/>
    <w:rsid w:val="009F55AC"/>
    <w:rsid w:val="009F57B2"/>
    <w:rsid w:val="009F587E"/>
    <w:rsid w:val="009F598E"/>
    <w:rsid w:val="009F5AEE"/>
    <w:rsid w:val="009F5B45"/>
    <w:rsid w:val="009F6EE9"/>
    <w:rsid w:val="009F6F51"/>
    <w:rsid w:val="009F70A5"/>
    <w:rsid w:val="009F7128"/>
    <w:rsid w:val="009F7205"/>
    <w:rsid w:val="009F732A"/>
    <w:rsid w:val="009F73F1"/>
    <w:rsid w:val="009F74CD"/>
    <w:rsid w:val="009F7A48"/>
    <w:rsid w:val="009F7FBE"/>
    <w:rsid w:val="00A00262"/>
    <w:rsid w:val="00A00272"/>
    <w:rsid w:val="00A00375"/>
    <w:rsid w:val="00A0053A"/>
    <w:rsid w:val="00A00754"/>
    <w:rsid w:val="00A0083B"/>
    <w:rsid w:val="00A00886"/>
    <w:rsid w:val="00A00A63"/>
    <w:rsid w:val="00A00ABB"/>
    <w:rsid w:val="00A00C66"/>
    <w:rsid w:val="00A00DA4"/>
    <w:rsid w:val="00A00F2B"/>
    <w:rsid w:val="00A01137"/>
    <w:rsid w:val="00A01187"/>
    <w:rsid w:val="00A01327"/>
    <w:rsid w:val="00A01445"/>
    <w:rsid w:val="00A01503"/>
    <w:rsid w:val="00A01782"/>
    <w:rsid w:val="00A019C2"/>
    <w:rsid w:val="00A019FB"/>
    <w:rsid w:val="00A01C45"/>
    <w:rsid w:val="00A01CFD"/>
    <w:rsid w:val="00A01D9E"/>
    <w:rsid w:val="00A01FFF"/>
    <w:rsid w:val="00A0216D"/>
    <w:rsid w:val="00A021D0"/>
    <w:rsid w:val="00A021EC"/>
    <w:rsid w:val="00A0229A"/>
    <w:rsid w:val="00A0238A"/>
    <w:rsid w:val="00A02478"/>
    <w:rsid w:val="00A025CC"/>
    <w:rsid w:val="00A02B33"/>
    <w:rsid w:val="00A02BF8"/>
    <w:rsid w:val="00A02C01"/>
    <w:rsid w:val="00A032FC"/>
    <w:rsid w:val="00A0370F"/>
    <w:rsid w:val="00A037C3"/>
    <w:rsid w:val="00A037D9"/>
    <w:rsid w:val="00A03A9C"/>
    <w:rsid w:val="00A03F2A"/>
    <w:rsid w:val="00A03F3E"/>
    <w:rsid w:val="00A043D7"/>
    <w:rsid w:val="00A04ABD"/>
    <w:rsid w:val="00A04B49"/>
    <w:rsid w:val="00A04DD7"/>
    <w:rsid w:val="00A05087"/>
    <w:rsid w:val="00A05094"/>
    <w:rsid w:val="00A05216"/>
    <w:rsid w:val="00A053A5"/>
    <w:rsid w:val="00A05558"/>
    <w:rsid w:val="00A055AD"/>
    <w:rsid w:val="00A0560D"/>
    <w:rsid w:val="00A057F8"/>
    <w:rsid w:val="00A05E38"/>
    <w:rsid w:val="00A0633C"/>
    <w:rsid w:val="00A06342"/>
    <w:rsid w:val="00A0643C"/>
    <w:rsid w:val="00A06472"/>
    <w:rsid w:val="00A067B7"/>
    <w:rsid w:val="00A0695E"/>
    <w:rsid w:val="00A06965"/>
    <w:rsid w:val="00A06E31"/>
    <w:rsid w:val="00A06F7E"/>
    <w:rsid w:val="00A07201"/>
    <w:rsid w:val="00A07804"/>
    <w:rsid w:val="00A10351"/>
    <w:rsid w:val="00A10378"/>
    <w:rsid w:val="00A1040C"/>
    <w:rsid w:val="00A1074C"/>
    <w:rsid w:val="00A108D8"/>
    <w:rsid w:val="00A10AE8"/>
    <w:rsid w:val="00A10D9E"/>
    <w:rsid w:val="00A10F2A"/>
    <w:rsid w:val="00A11600"/>
    <w:rsid w:val="00A118F0"/>
    <w:rsid w:val="00A119BD"/>
    <w:rsid w:val="00A11A8D"/>
    <w:rsid w:val="00A11C16"/>
    <w:rsid w:val="00A11FBE"/>
    <w:rsid w:val="00A1206B"/>
    <w:rsid w:val="00A1222E"/>
    <w:rsid w:val="00A1279A"/>
    <w:rsid w:val="00A127BF"/>
    <w:rsid w:val="00A12924"/>
    <w:rsid w:val="00A12A57"/>
    <w:rsid w:val="00A12B64"/>
    <w:rsid w:val="00A12EB7"/>
    <w:rsid w:val="00A1319B"/>
    <w:rsid w:val="00A1321D"/>
    <w:rsid w:val="00A138CE"/>
    <w:rsid w:val="00A13B15"/>
    <w:rsid w:val="00A13B64"/>
    <w:rsid w:val="00A13BAF"/>
    <w:rsid w:val="00A13C5F"/>
    <w:rsid w:val="00A13F3F"/>
    <w:rsid w:val="00A13FDF"/>
    <w:rsid w:val="00A14022"/>
    <w:rsid w:val="00A1420C"/>
    <w:rsid w:val="00A143D8"/>
    <w:rsid w:val="00A1444E"/>
    <w:rsid w:val="00A145E1"/>
    <w:rsid w:val="00A14679"/>
    <w:rsid w:val="00A1469C"/>
    <w:rsid w:val="00A146E1"/>
    <w:rsid w:val="00A14B17"/>
    <w:rsid w:val="00A152BB"/>
    <w:rsid w:val="00A15377"/>
    <w:rsid w:val="00A15445"/>
    <w:rsid w:val="00A156FD"/>
    <w:rsid w:val="00A15AA3"/>
    <w:rsid w:val="00A15D39"/>
    <w:rsid w:val="00A15ECB"/>
    <w:rsid w:val="00A160C7"/>
    <w:rsid w:val="00A1644D"/>
    <w:rsid w:val="00A16458"/>
    <w:rsid w:val="00A16697"/>
    <w:rsid w:val="00A16B47"/>
    <w:rsid w:val="00A16CBE"/>
    <w:rsid w:val="00A16E0B"/>
    <w:rsid w:val="00A16E82"/>
    <w:rsid w:val="00A1712E"/>
    <w:rsid w:val="00A17137"/>
    <w:rsid w:val="00A17199"/>
    <w:rsid w:val="00A1721A"/>
    <w:rsid w:val="00A17473"/>
    <w:rsid w:val="00A1748C"/>
    <w:rsid w:val="00A174B8"/>
    <w:rsid w:val="00A1763D"/>
    <w:rsid w:val="00A177B9"/>
    <w:rsid w:val="00A17960"/>
    <w:rsid w:val="00A17A6D"/>
    <w:rsid w:val="00A17CDD"/>
    <w:rsid w:val="00A2015F"/>
    <w:rsid w:val="00A20191"/>
    <w:rsid w:val="00A2035F"/>
    <w:rsid w:val="00A20486"/>
    <w:rsid w:val="00A20601"/>
    <w:rsid w:val="00A20AA7"/>
    <w:rsid w:val="00A20B4F"/>
    <w:rsid w:val="00A20C45"/>
    <w:rsid w:val="00A20C5A"/>
    <w:rsid w:val="00A20EE5"/>
    <w:rsid w:val="00A20F88"/>
    <w:rsid w:val="00A20F99"/>
    <w:rsid w:val="00A21164"/>
    <w:rsid w:val="00A21B32"/>
    <w:rsid w:val="00A21CC6"/>
    <w:rsid w:val="00A21ED7"/>
    <w:rsid w:val="00A21F43"/>
    <w:rsid w:val="00A2278A"/>
    <w:rsid w:val="00A227E5"/>
    <w:rsid w:val="00A22B3B"/>
    <w:rsid w:val="00A22BE0"/>
    <w:rsid w:val="00A22C64"/>
    <w:rsid w:val="00A22CE4"/>
    <w:rsid w:val="00A22D6A"/>
    <w:rsid w:val="00A232E3"/>
    <w:rsid w:val="00A2355D"/>
    <w:rsid w:val="00A23572"/>
    <w:rsid w:val="00A235F1"/>
    <w:rsid w:val="00A23808"/>
    <w:rsid w:val="00A23928"/>
    <w:rsid w:val="00A239CF"/>
    <w:rsid w:val="00A23A4E"/>
    <w:rsid w:val="00A23A80"/>
    <w:rsid w:val="00A23D26"/>
    <w:rsid w:val="00A23F72"/>
    <w:rsid w:val="00A244D7"/>
    <w:rsid w:val="00A24665"/>
    <w:rsid w:val="00A246DD"/>
    <w:rsid w:val="00A247A4"/>
    <w:rsid w:val="00A24A8D"/>
    <w:rsid w:val="00A24B6D"/>
    <w:rsid w:val="00A24F7A"/>
    <w:rsid w:val="00A24F7E"/>
    <w:rsid w:val="00A24FAD"/>
    <w:rsid w:val="00A25201"/>
    <w:rsid w:val="00A2527D"/>
    <w:rsid w:val="00A255B3"/>
    <w:rsid w:val="00A256DC"/>
    <w:rsid w:val="00A25B40"/>
    <w:rsid w:val="00A25BC0"/>
    <w:rsid w:val="00A260A4"/>
    <w:rsid w:val="00A260C8"/>
    <w:rsid w:val="00A26308"/>
    <w:rsid w:val="00A2651D"/>
    <w:rsid w:val="00A2655A"/>
    <w:rsid w:val="00A26839"/>
    <w:rsid w:val="00A26AB0"/>
    <w:rsid w:val="00A26C99"/>
    <w:rsid w:val="00A26D8D"/>
    <w:rsid w:val="00A26F13"/>
    <w:rsid w:val="00A2723F"/>
    <w:rsid w:val="00A27366"/>
    <w:rsid w:val="00A274C5"/>
    <w:rsid w:val="00A27542"/>
    <w:rsid w:val="00A276D9"/>
    <w:rsid w:val="00A276E8"/>
    <w:rsid w:val="00A2772E"/>
    <w:rsid w:val="00A27732"/>
    <w:rsid w:val="00A279BB"/>
    <w:rsid w:val="00A27BF6"/>
    <w:rsid w:val="00A27D49"/>
    <w:rsid w:val="00A3022D"/>
    <w:rsid w:val="00A3044D"/>
    <w:rsid w:val="00A304DA"/>
    <w:rsid w:val="00A30590"/>
    <w:rsid w:val="00A307ED"/>
    <w:rsid w:val="00A30841"/>
    <w:rsid w:val="00A308A9"/>
    <w:rsid w:val="00A30E3B"/>
    <w:rsid w:val="00A30F2E"/>
    <w:rsid w:val="00A30F54"/>
    <w:rsid w:val="00A310FE"/>
    <w:rsid w:val="00A312C8"/>
    <w:rsid w:val="00A3167F"/>
    <w:rsid w:val="00A31BD7"/>
    <w:rsid w:val="00A31C74"/>
    <w:rsid w:val="00A31DFF"/>
    <w:rsid w:val="00A32052"/>
    <w:rsid w:val="00A324AE"/>
    <w:rsid w:val="00A32A21"/>
    <w:rsid w:val="00A32C9E"/>
    <w:rsid w:val="00A32FD6"/>
    <w:rsid w:val="00A331C9"/>
    <w:rsid w:val="00A3337E"/>
    <w:rsid w:val="00A335CD"/>
    <w:rsid w:val="00A335D9"/>
    <w:rsid w:val="00A3371E"/>
    <w:rsid w:val="00A33775"/>
    <w:rsid w:val="00A338BA"/>
    <w:rsid w:val="00A33DE7"/>
    <w:rsid w:val="00A33E20"/>
    <w:rsid w:val="00A34004"/>
    <w:rsid w:val="00A34205"/>
    <w:rsid w:val="00A3591D"/>
    <w:rsid w:val="00A35A35"/>
    <w:rsid w:val="00A35C32"/>
    <w:rsid w:val="00A35F1D"/>
    <w:rsid w:val="00A36035"/>
    <w:rsid w:val="00A360E4"/>
    <w:rsid w:val="00A3612B"/>
    <w:rsid w:val="00A36511"/>
    <w:rsid w:val="00A367AB"/>
    <w:rsid w:val="00A36931"/>
    <w:rsid w:val="00A36A35"/>
    <w:rsid w:val="00A36A4C"/>
    <w:rsid w:val="00A36DAA"/>
    <w:rsid w:val="00A36FCC"/>
    <w:rsid w:val="00A37503"/>
    <w:rsid w:val="00A3769B"/>
    <w:rsid w:val="00A37798"/>
    <w:rsid w:val="00A37FA0"/>
    <w:rsid w:val="00A4000A"/>
    <w:rsid w:val="00A402C0"/>
    <w:rsid w:val="00A40767"/>
    <w:rsid w:val="00A40BFD"/>
    <w:rsid w:val="00A40CFF"/>
    <w:rsid w:val="00A413D5"/>
    <w:rsid w:val="00A418B0"/>
    <w:rsid w:val="00A419B2"/>
    <w:rsid w:val="00A41A1B"/>
    <w:rsid w:val="00A41CB1"/>
    <w:rsid w:val="00A41D69"/>
    <w:rsid w:val="00A41DD6"/>
    <w:rsid w:val="00A41F4C"/>
    <w:rsid w:val="00A4204B"/>
    <w:rsid w:val="00A42082"/>
    <w:rsid w:val="00A426AE"/>
    <w:rsid w:val="00A42F5F"/>
    <w:rsid w:val="00A43258"/>
    <w:rsid w:val="00A4339C"/>
    <w:rsid w:val="00A433DD"/>
    <w:rsid w:val="00A4391C"/>
    <w:rsid w:val="00A43AAB"/>
    <w:rsid w:val="00A43CA9"/>
    <w:rsid w:val="00A445AB"/>
    <w:rsid w:val="00A44852"/>
    <w:rsid w:val="00A448DC"/>
    <w:rsid w:val="00A4491B"/>
    <w:rsid w:val="00A44A4D"/>
    <w:rsid w:val="00A44A60"/>
    <w:rsid w:val="00A44C6F"/>
    <w:rsid w:val="00A44D5F"/>
    <w:rsid w:val="00A45303"/>
    <w:rsid w:val="00A45907"/>
    <w:rsid w:val="00A45B41"/>
    <w:rsid w:val="00A45B71"/>
    <w:rsid w:val="00A45B74"/>
    <w:rsid w:val="00A45C28"/>
    <w:rsid w:val="00A45CE3"/>
    <w:rsid w:val="00A45D3C"/>
    <w:rsid w:val="00A45DEB"/>
    <w:rsid w:val="00A45E1D"/>
    <w:rsid w:val="00A4602B"/>
    <w:rsid w:val="00A463A0"/>
    <w:rsid w:val="00A46C2D"/>
    <w:rsid w:val="00A47352"/>
    <w:rsid w:val="00A4775A"/>
    <w:rsid w:val="00A477CA"/>
    <w:rsid w:val="00A478DA"/>
    <w:rsid w:val="00A47A03"/>
    <w:rsid w:val="00A47C85"/>
    <w:rsid w:val="00A47CCF"/>
    <w:rsid w:val="00A47EB9"/>
    <w:rsid w:val="00A47FD2"/>
    <w:rsid w:val="00A5004B"/>
    <w:rsid w:val="00A508A1"/>
    <w:rsid w:val="00A50974"/>
    <w:rsid w:val="00A50994"/>
    <w:rsid w:val="00A5105A"/>
    <w:rsid w:val="00A51263"/>
    <w:rsid w:val="00A5137D"/>
    <w:rsid w:val="00A516BB"/>
    <w:rsid w:val="00A5180E"/>
    <w:rsid w:val="00A51B03"/>
    <w:rsid w:val="00A51B34"/>
    <w:rsid w:val="00A51BD7"/>
    <w:rsid w:val="00A51FB3"/>
    <w:rsid w:val="00A52193"/>
    <w:rsid w:val="00A529B2"/>
    <w:rsid w:val="00A52D7D"/>
    <w:rsid w:val="00A52E3E"/>
    <w:rsid w:val="00A53391"/>
    <w:rsid w:val="00A5360A"/>
    <w:rsid w:val="00A5382A"/>
    <w:rsid w:val="00A5385D"/>
    <w:rsid w:val="00A5397D"/>
    <w:rsid w:val="00A53A5B"/>
    <w:rsid w:val="00A53A6E"/>
    <w:rsid w:val="00A53C0B"/>
    <w:rsid w:val="00A53F8A"/>
    <w:rsid w:val="00A5469D"/>
    <w:rsid w:val="00A5475F"/>
    <w:rsid w:val="00A5478F"/>
    <w:rsid w:val="00A54B12"/>
    <w:rsid w:val="00A54B50"/>
    <w:rsid w:val="00A54FEB"/>
    <w:rsid w:val="00A55053"/>
    <w:rsid w:val="00A550BC"/>
    <w:rsid w:val="00A55487"/>
    <w:rsid w:val="00A556CC"/>
    <w:rsid w:val="00A55826"/>
    <w:rsid w:val="00A55A49"/>
    <w:rsid w:val="00A55E84"/>
    <w:rsid w:val="00A56084"/>
    <w:rsid w:val="00A5641C"/>
    <w:rsid w:val="00A564B9"/>
    <w:rsid w:val="00A56598"/>
    <w:rsid w:val="00A566BD"/>
    <w:rsid w:val="00A568B5"/>
    <w:rsid w:val="00A568EA"/>
    <w:rsid w:val="00A56A70"/>
    <w:rsid w:val="00A56CBD"/>
    <w:rsid w:val="00A56E25"/>
    <w:rsid w:val="00A56E3A"/>
    <w:rsid w:val="00A56F39"/>
    <w:rsid w:val="00A57026"/>
    <w:rsid w:val="00A57141"/>
    <w:rsid w:val="00A57249"/>
    <w:rsid w:val="00A572E6"/>
    <w:rsid w:val="00A5743B"/>
    <w:rsid w:val="00A577D7"/>
    <w:rsid w:val="00A579F1"/>
    <w:rsid w:val="00A57BAA"/>
    <w:rsid w:val="00A604A5"/>
    <w:rsid w:val="00A60825"/>
    <w:rsid w:val="00A6107B"/>
    <w:rsid w:val="00A6120E"/>
    <w:rsid w:val="00A61595"/>
    <w:rsid w:val="00A61609"/>
    <w:rsid w:val="00A61719"/>
    <w:rsid w:val="00A61900"/>
    <w:rsid w:val="00A61BCE"/>
    <w:rsid w:val="00A61D08"/>
    <w:rsid w:val="00A6206C"/>
    <w:rsid w:val="00A620BE"/>
    <w:rsid w:val="00A6214D"/>
    <w:rsid w:val="00A6232D"/>
    <w:rsid w:val="00A6244A"/>
    <w:rsid w:val="00A62450"/>
    <w:rsid w:val="00A62A46"/>
    <w:rsid w:val="00A62DA2"/>
    <w:rsid w:val="00A62EB9"/>
    <w:rsid w:val="00A62F6D"/>
    <w:rsid w:val="00A6309A"/>
    <w:rsid w:val="00A63469"/>
    <w:rsid w:val="00A636A6"/>
    <w:rsid w:val="00A638AC"/>
    <w:rsid w:val="00A646AE"/>
    <w:rsid w:val="00A646CB"/>
    <w:rsid w:val="00A64728"/>
    <w:rsid w:val="00A6488C"/>
    <w:rsid w:val="00A64C94"/>
    <w:rsid w:val="00A64DC8"/>
    <w:rsid w:val="00A650B9"/>
    <w:rsid w:val="00A652E7"/>
    <w:rsid w:val="00A65454"/>
    <w:rsid w:val="00A654D0"/>
    <w:rsid w:val="00A65566"/>
    <w:rsid w:val="00A655F7"/>
    <w:rsid w:val="00A657FB"/>
    <w:rsid w:val="00A65983"/>
    <w:rsid w:val="00A65EC8"/>
    <w:rsid w:val="00A65F4E"/>
    <w:rsid w:val="00A6606B"/>
    <w:rsid w:val="00A66093"/>
    <w:rsid w:val="00A661E6"/>
    <w:rsid w:val="00A662B0"/>
    <w:rsid w:val="00A668C1"/>
    <w:rsid w:val="00A668EB"/>
    <w:rsid w:val="00A669F5"/>
    <w:rsid w:val="00A66B84"/>
    <w:rsid w:val="00A6700C"/>
    <w:rsid w:val="00A670D9"/>
    <w:rsid w:val="00A67223"/>
    <w:rsid w:val="00A6744F"/>
    <w:rsid w:val="00A67716"/>
    <w:rsid w:val="00A67A24"/>
    <w:rsid w:val="00A7000C"/>
    <w:rsid w:val="00A7016F"/>
    <w:rsid w:val="00A701D4"/>
    <w:rsid w:val="00A7028A"/>
    <w:rsid w:val="00A702FA"/>
    <w:rsid w:val="00A70495"/>
    <w:rsid w:val="00A7053B"/>
    <w:rsid w:val="00A705F0"/>
    <w:rsid w:val="00A70722"/>
    <w:rsid w:val="00A70820"/>
    <w:rsid w:val="00A70BD8"/>
    <w:rsid w:val="00A713A4"/>
    <w:rsid w:val="00A71641"/>
    <w:rsid w:val="00A718A9"/>
    <w:rsid w:val="00A71915"/>
    <w:rsid w:val="00A71A13"/>
    <w:rsid w:val="00A71C37"/>
    <w:rsid w:val="00A71E85"/>
    <w:rsid w:val="00A7225A"/>
    <w:rsid w:val="00A72643"/>
    <w:rsid w:val="00A726B4"/>
    <w:rsid w:val="00A72A4F"/>
    <w:rsid w:val="00A72A55"/>
    <w:rsid w:val="00A72BAB"/>
    <w:rsid w:val="00A72C88"/>
    <w:rsid w:val="00A72CA3"/>
    <w:rsid w:val="00A72DD3"/>
    <w:rsid w:val="00A72E0E"/>
    <w:rsid w:val="00A72F84"/>
    <w:rsid w:val="00A7303C"/>
    <w:rsid w:val="00A731DC"/>
    <w:rsid w:val="00A7350B"/>
    <w:rsid w:val="00A735B7"/>
    <w:rsid w:val="00A73810"/>
    <w:rsid w:val="00A73A49"/>
    <w:rsid w:val="00A73CD1"/>
    <w:rsid w:val="00A73D4C"/>
    <w:rsid w:val="00A73E99"/>
    <w:rsid w:val="00A73F16"/>
    <w:rsid w:val="00A73FE4"/>
    <w:rsid w:val="00A74106"/>
    <w:rsid w:val="00A74577"/>
    <w:rsid w:val="00A745A4"/>
    <w:rsid w:val="00A746F0"/>
    <w:rsid w:val="00A74730"/>
    <w:rsid w:val="00A74ABD"/>
    <w:rsid w:val="00A74B40"/>
    <w:rsid w:val="00A74B45"/>
    <w:rsid w:val="00A74D2C"/>
    <w:rsid w:val="00A74DCF"/>
    <w:rsid w:val="00A74E8E"/>
    <w:rsid w:val="00A7503D"/>
    <w:rsid w:val="00A75309"/>
    <w:rsid w:val="00A7565D"/>
    <w:rsid w:val="00A75925"/>
    <w:rsid w:val="00A75A34"/>
    <w:rsid w:val="00A75AD9"/>
    <w:rsid w:val="00A75D27"/>
    <w:rsid w:val="00A75E7F"/>
    <w:rsid w:val="00A761AE"/>
    <w:rsid w:val="00A76341"/>
    <w:rsid w:val="00A763EC"/>
    <w:rsid w:val="00A764AD"/>
    <w:rsid w:val="00A7657D"/>
    <w:rsid w:val="00A76AC1"/>
    <w:rsid w:val="00A76C91"/>
    <w:rsid w:val="00A76CBD"/>
    <w:rsid w:val="00A76CCB"/>
    <w:rsid w:val="00A77157"/>
    <w:rsid w:val="00A7789C"/>
    <w:rsid w:val="00A77D31"/>
    <w:rsid w:val="00A77FCF"/>
    <w:rsid w:val="00A800B6"/>
    <w:rsid w:val="00A8028A"/>
    <w:rsid w:val="00A80617"/>
    <w:rsid w:val="00A80813"/>
    <w:rsid w:val="00A80959"/>
    <w:rsid w:val="00A81042"/>
    <w:rsid w:val="00A8139A"/>
    <w:rsid w:val="00A81729"/>
    <w:rsid w:val="00A81A10"/>
    <w:rsid w:val="00A81AF5"/>
    <w:rsid w:val="00A821EC"/>
    <w:rsid w:val="00A8229A"/>
    <w:rsid w:val="00A823E3"/>
    <w:rsid w:val="00A8252E"/>
    <w:rsid w:val="00A82615"/>
    <w:rsid w:val="00A82720"/>
    <w:rsid w:val="00A82B4D"/>
    <w:rsid w:val="00A82D7D"/>
    <w:rsid w:val="00A83605"/>
    <w:rsid w:val="00A83798"/>
    <w:rsid w:val="00A83B1C"/>
    <w:rsid w:val="00A83B7C"/>
    <w:rsid w:val="00A83CA8"/>
    <w:rsid w:val="00A83ED9"/>
    <w:rsid w:val="00A83F6B"/>
    <w:rsid w:val="00A8402D"/>
    <w:rsid w:val="00A84620"/>
    <w:rsid w:val="00A8477C"/>
    <w:rsid w:val="00A84939"/>
    <w:rsid w:val="00A84AC4"/>
    <w:rsid w:val="00A850AC"/>
    <w:rsid w:val="00A85273"/>
    <w:rsid w:val="00A85500"/>
    <w:rsid w:val="00A8562F"/>
    <w:rsid w:val="00A8569D"/>
    <w:rsid w:val="00A857AE"/>
    <w:rsid w:val="00A85804"/>
    <w:rsid w:val="00A85D52"/>
    <w:rsid w:val="00A860FE"/>
    <w:rsid w:val="00A86123"/>
    <w:rsid w:val="00A86218"/>
    <w:rsid w:val="00A86468"/>
    <w:rsid w:val="00A8653F"/>
    <w:rsid w:val="00A86548"/>
    <w:rsid w:val="00A86739"/>
    <w:rsid w:val="00A868F0"/>
    <w:rsid w:val="00A86BE3"/>
    <w:rsid w:val="00A86C76"/>
    <w:rsid w:val="00A86E43"/>
    <w:rsid w:val="00A8718C"/>
    <w:rsid w:val="00A871AF"/>
    <w:rsid w:val="00A87224"/>
    <w:rsid w:val="00A874D3"/>
    <w:rsid w:val="00A87581"/>
    <w:rsid w:val="00A87901"/>
    <w:rsid w:val="00A87D00"/>
    <w:rsid w:val="00A9008A"/>
    <w:rsid w:val="00A9025F"/>
    <w:rsid w:val="00A90303"/>
    <w:rsid w:val="00A9050F"/>
    <w:rsid w:val="00A9080E"/>
    <w:rsid w:val="00A909E4"/>
    <w:rsid w:val="00A90A46"/>
    <w:rsid w:val="00A910B4"/>
    <w:rsid w:val="00A9148F"/>
    <w:rsid w:val="00A9173F"/>
    <w:rsid w:val="00A918A9"/>
    <w:rsid w:val="00A918E0"/>
    <w:rsid w:val="00A91AFB"/>
    <w:rsid w:val="00A91DE3"/>
    <w:rsid w:val="00A91F0B"/>
    <w:rsid w:val="00A9215E"/>
    <w:rsid w:val="00A92689"/>
    <w:rsid w:val="00A92A74"/>
    <w:rsid w:val="00A93257"/>
    <w:rsid w:val="00A9328A"/>
    <w:rsid w:val="00A932B3"/>
    <w:rsid w:val="00A934EF"/>
    <w:rsid w:val="00A93618"/>
    <w:rsid w:val="00A936E1"/>
    <w:rsid w:val="00A936F8"/>
    <w:rsid w:val="00A9370A"/>
    <w:rsid w:val="00A93EA5"/>
    <w:rsid w:val="00A94226"/>
    <w:rsid w:val="00A94544"/>
    <w:rsid w:val="00A94740"/>
    <w:rsid w:val="00A947F3"/>
    <w:rsid w:val="00A948DA"/>
    <w:rsid w:val="00A94900"/>
    <w:rsid w:val="00A94A13"/>
    <w:rsid w:val="00A94EA9"/>
    <w:rsid w:val="00A94F2F"/>
    <w:rsid w:val="00A94F58"/>
    <w:rsid w:val="00A94FD0"/>
    <w:rsid w:val="00A95624"/>
    <w:rsid w:val="00A95776"/>
    <w:rsid w:val="00A95854"/>
    <w:rsid w:val="00A958E4"/>
    <w:rsid w:val="00A95AA9"/>
    <w:rsid w:val="00A95AF9"/>
    <w:rsid w:val="00A961E6"/>
    <w:rsid w:val="00A962BC"/>
    <w:rsid w:val="00A9654B"/>
    <w:rsid w:val="00A965D0"/>
    <w:rsid w:val="00A966C0"/>
    <w:rsid w:val="00A968B4"/>
    <w:rsid w:val="00A96AC6"/>
    <w:rsid w:val="00A97129"/>
    <w:rsid w:val="00A972BA"/>
    <w:rsid w:val="00A97480"/>
    <w:rsid w:val="00A975E3"/>
    <w:rsid w:val="00A97664"/>
    <w:rsid w:val="00A97776"/>
    <w:rsid w:val="00A97CE9"/>
    <w:rsid w:val="00AA01EE"/>
    <w:rsid w:val="00AA04D6"/>
    <w:rsid w:val="00AA04F1"/>
    <w:rsid w:val="00AA07A0"/>
    <w:rsid w:val="00AA0944"/>
    <w:rsid w:val="00AA09FB"/>
    <w:rsid w:val="00AA0BA4"/>
    <w:rsid w:val="00AA0BC8"/>
    <w:rsid w:val="00AA0F00"/>
    <w:rsid w:val="00AA1073"/>
    <w:rsid w:val="00AA1342"/>
    <w:rsid w:val="00AA1436"/>
    <w:rsid w:val="00AA14DB"/>
    <w:rsid w:val="00AA159F"/>
    <w:rsid w:val="00AA1622"/>
    <w:rsid w:val="00AA1854"/>
    <w:rsid w:val="00AA189F"/>
    <w:rsid w:val="00AA191F"/>
    <w:rsid w:val="00AA193A"/>
    <w:rsid w:val="00AA1AF2"/>
    <w:rsid w:val="00AA1B9A"/>
    <w:rsid w:val="00AA1C61"/>
    <w:rsid w:val="00AA1DA4"/>
    <w:rsid w:val="00AA218B"/>
    <w:rsid w:val="00AA23CB"/>
    <w:rsid w:val="00AA23E2"/>
    <w:rsid w:val="00AA246A"/>
    <w:rsid w:val="00AA24B8"/>
    <w:rsid w:val="00AA24DB"/>
    <w:rsid w:val="00AA2827"/>
    <w:rsid w:val="00AA2959"/>
    <w:rsid w:val="00AA29CB"/>
    <w:rsid w:val="00AA2B5E"/>
    <w:rsid w:val="00AA2BA4"/>
    <w:rsid w:val="00AA2C3C"/>
    <w:rsid w:val="00AA32C2"/>
    <w:rsid w:val="00AA3521"/>
    <w:rsid w:val="00AA3568"/>
    <w:rsid w:val="00AA396F"/>
    <w:rsid w:val="00AA3C35"/>
    <w:rsid w:val="00AA3E07"/>
    <w:rsid w:val="00AA3E59"/>
    <w:rsid w:val="00AA43B2"/>
    <w:rsid w:val="00AA4416"/>
    <w:rsid w:val="00AA458C"/>
    <w:rsid w:val="00AA45D5"/>
    <w:rsid w:val="00AA491B"/>
    <w:rsid w:val="00AA4EDF"/>
    <w:rsid w:val="00AA5074"/>
    <w:rsid w:val="00AA51E6"/>
    <w:rsid w:val="00AA534E"/>
    <w:rsid w:val="00AA5392"/>
    <w:rsid w:val="00AA53AC"/>
    <w:rsid w:val="00AA543D"/>
    <w:rsid w:val="00AA5B5E"/>
    <w:rsid w:val="00AA5B72"/>
    <w:rsid w:val="00AA5BD3"/>
    <w:rsid w:val="00AA5D53"/>
    <w:rsid w:val="00AA5E61"/>
    <w:rsid w:val="00AA5F67"/>
    <w:rsid w:val="00AA5FD6"/>
    <w:rsid w:val="00AA628A"/>
    <w:rsid w:val="00AA633B"/>
    <w:rsid w:val="00AA6525"/>
    <w:rsid w:val="00AA6601"/>
    <w:rsid w:val="00AA6953"/>
    <w:rsid w:val="00AA6A4B"/>
    <w:rsid w:val="00AA6C2F"/>
    <w:rsid w:val="00AA7139"/>
    <w:rsid w:val="00AA7225"/>
    <w:rsid w:val="00AA740C"/>
    <w:rsid w:val="00AA74B9"/>
    <w:rsid w:val="00AA7555"/>
    <w:rsid w:val="00AA784F"/>
    <w:rsid w:val="00AA7A04"/>
    <w:rsid w:val="00AA7B3F"/>
    <w:rsid w:val="00AA7CA8"/>
    <w:rsid w:val="00AA7E92"/>
    <w:rsid w:val="00AA7EDF"/>
    <w:rsid w:val="00AB013A"/>
    <w:rsid w:val="00AB017D"/>
    <w:rsid w:val="00AB01DF"/>
    <w:rsid w:val="00AB02E3"/>
    <w:rsid w:val="00AB02F8"/>
    <w:rsid w:val="00AB034D"/>
    <w:rsid w:val="00AB0886"/>
    <w:rsid w:val="00AB0959"/>
    <w:rsid w:val="00AB0B35"/>
    <w:rsid w:val="00AB0BDE"/>
    <w:rsid w:val="00AB0D31"/>
    <w:rsid w:val="00AB0D36"/>
    <w:rsid w:val="00AB1129"/>
    <w:rsid w:val="00AB11AF"/>
    <w:rsid w:val="00AB1345"/>
    <w:rsid w:val="00AB15B0"/>
    <w:rsid w:val="00AB168C"/>
    <w:rsid w:val="00AB171F"/>
    <w:rsid w:val="00AB195E"/>
    <w:rsid w:val="00AB1E18"/>
    <w:rsid w:val="00AB2A10"/>
    <w:rsid w:val="00AB2B88"/>
    <w:rsid w:val="00AB2D40"/>
    <w:rsid w:val="00AB2F82"/>
    <w:rsid w:val="00AB300C"/>
    <w:rsid w:val="00AB3521"/>
    <w:rsid w:val="00AB35FB"/>
    <w:rsid w:val="00AB36EB"/>
    <w:rsid w:val="00AB3739"/>
    <w:rsid w:val="00AB3831"/>
    <w:rsid w:val="00AB384A"/>
    <w:rsid w:val="00AB3A02"/>
    <w:rsid w:val="00AB3B2A"/>
    <w:rsid w:val="00AB3B92"/>
    <w:rsid w:val="00AB3C20"/>
    <w:rsid w:val="00AB3C9D"/>
    <w:rsid w:val="00AB3D33"/>
    <w:rsid w:val="00AB3FB7"/>
    <w:rsid w:val="00AB3FFA"/>
    <w:rsid w:val="00AB41DA"/>
    <w:rsid w:val="00AB43F6"/>
    <w:rsid w:val="00AB4406"/>
    <w:rsid w:val="00AB450F"/>
    <w:rsid w:val="00AB48DE"/>
    <w:rsid w:val="00AB4AD7"/>
    <w:rsid w:val="00AB4AE3"/>
    <w:rsid w:val="00AB4B4D"/>
    <w:rsid w:val="00AB4C27"/>
    <w:rsid w:val="00AB4D4D"/>
    <w:rsid w:val="00AB4DA7"/>
    <w:rsid w:val="00AB4E39"/>
    <w:rsid w:val="00AB560F"/>
    <w:rsid w:val="00AB5951"/>
    <w:rsid w:val="00AB5FF5"/>
    <w:rsid w:val="00AB60E0"/>
    <w:rsid w:val="00AB6175"/>
    <w:rsid w:val="00AB637A"/>
    <w:rsid w:val="00AB6441"/>
    <w:rsid w:val="00AB6580"/>
    <w:rsid w:val="00AB658B"/>
    <w:rsid w:val="00AB684F"/>
    <w:rsid w:val="00AB6C37"/>
    <w:rsid w:val="00AB6C61"/>
    <w:rsid w:val="00AB6D89"/>
    <w:rsid w:val="00AB6E67"/>
    <w:rsid w:val="00AB709C"/>
    <w:rsid w:val="00AB7580"/>
    <w:rsid w:val="00AB7595"/>
    <w:rsid w:val="00AB77E0"/>
    <w:rsid w:val="00AB77EF"/>
    <w:rsid w:val="00AB782E"/>
    <w:rsid w:val="00AB78D6"/>
    <w:rsid w:val="00AB790E"/>
    <w:rsid w:val="00AB79B1"/>
    <w:rsid w:val="00AB7AA2"/>
    <w:rsid w:val="00AB7B83"/>
    <w:rsid w:val="00AB7EFC"/>
    <w:rsid w:val="00AC036D"/>
    <w:rsid w:val="00AC0499"/>
    <w:rsid w:val="00AC0CBD"/>
    <w:rsid w:val="00AC0F55"/>
    <w:rsid w:val="00AC1024"/>
    <w:rsid w:val="00AC13C4"/>
    <w:rsid w:val="00AC14FA"/>
    <w:rsid w:val="00AC1815"/>
    <w:rsid w:val="00AC1BAB"/>
    <w:rsid w:val="00AC1C69"/>
    <w:rsid w:val="00AC2043"/>
    <w:rsid w:val="00AC22B0"/>
    <w:rsid w:val="00AC276B"/>
    <w:rsid w:val="00AC2A0A"/>
    <w:rsid w:val="00AC2A95"/>
    <w:rsid w:val="00AC2CD8"/>
    <w:rsid w:val="00AC2E55"/>
    <w:rsid w:val="00AC2ED7"/>
    <w:rsid w:val="00AC3130"/>
    <w:rsid w:val="00AC3145"/>
    <w:rsid w:val="00AC31AE"/>
    <w:rsid w:val="00AC3209"/>
    <w:rsid w:val="00AC32A2"/>
    <w:rsid w:val="00AC3564"/>
    <w:rsid w:val="00AC3597"/>
    <w:rsid w:val="00AC367D"/>
    <w:rsid w:val="00AC37D9"/>
    <w:rsid w:val="00AC3915"/>
    <w:rsid w:val="00AC3B73"/>
    <w:rsid w:val="00AC3CBB"/>
    <w:rsid w:val="00AC3CBF"/>
    <w:rsid w:val="00AC3CFA"/>
    <w:rsid w:val="00AC4002"/>
    <w:rsid w:val="00AC42AD"/>
    <w:rsid w:val="00AC4D86"/>
    <w:rsid w:val="00AC4DB8"/>
    <w:rsid w:val="00AC4E42"/>
    <w:rsid w:val="00AC51B4"/>
    <w:rsid w:val="00AC5396"/>
    <w:rsid w:val="00AC53D0"/>
    <w:rsid w:val="00AC5427"/>
    <w:rsid w:val="00AC5689"/>
    <w:rsid w:val="00AC5A35"/>
    <w:rsid w:val="00AC6380"/>
    <w:rsid w:val="00AC63FA"/>
    <w:rsid w:val="00AC6481"/>
    <w:rsid w:val="00AC695D"/>
    <w:rsid w:val="00AC69EE"/>
    <w:rsid w:val="00AC6A7B"/>
    <w:rsid w:val="00AC6CB2"/>
    <w:rsid w:val="00AC70EC"/>
    <w:rsid w:val="00AC7435"/>
    <w:rsid w:val="00AC7473"/>
    <w:rsid w:val="00AC764C"/>
    <w:rsid w:val="00AC76F3"/>
    <w:rsid w:val="00AC7904"/>
    <w:rsid w:val="00AC7A02"/>
    <w:rsid w:val="00AC7C74"/>
    <w:rsid w:val="00AC7E2D"/>
    <w:rsid w:val="00AD0037"/>
    <w:rsid w:val="00AD0484"/>
    <w:rsid w:val="00AD06A3"/>
    <w:rsid w:val="00AD0919"/>
    <w:rsid w:val="00AD0CA1"/>
    <w:rsid w:val="00AD0D4D"/>
    <w:rsid w:val="00AD0D7A"/>
    <w:rsid w:val="00AD0E23"/>
    <w:rsid w:val="00AD0E8D"/>
    <w:rsid w:val="00AD1393"/>
    <w:rsid w:val="00AD13C8"/>
    <w:rsid w:val="00AD197F"/>
    <w:rsid w:val="00AD22A1"/>
    <w:rsid w:val="00AD22F2"/>
    <w:rsid w:val="00AD249D"/>
    <w:rsid w:val="00AD2C41"/>
    <w:rsid w:val="00AD3180"/>
    <w:rsid w:val="00AD36FF"/>
    <w:rsid w:val="00AD3886"/>
    <w:rsid w:val="00AD3AD1"/>
    <w:rsid w:val="00AD3B6F"/>
    <w:rsid w:val="00AD482A"/>
    <w:rsid w:val="00AD4907"/>
    <w:rsid w:val="00AD526A"/>
    <w:rsid w:val="00AD53D0"/>
    <w:rsid w:val="00AD5BC1"/>
    <w:rsid w:val="00AD5CA5"/>
    <w:rsid w:val="00AD5DA7"/>
    <w:rsid w:val="00AD5FF7"/>
    <w:rsid w:val="00AD60FE"/>
    <w:rsid w:val="00AD61D3"/>
    <w:rsid w:val="00AD6213"/>
    <w:rsid w:val="00AD62BE"/>
    <w:rsid w:val="00AD6409"/>
    <w:rsid w:val="00AD6830"/>
    <w:rsid w:val="00AD6D89"/>
    <w:rsid w:val="00AD6E0C"/>
    <w:rsid w:val="00AD6E3F"/>
    <w:rsid w:val="00AD6F54"/>
    <w:rsid w:val="00AD7065"/>
    <w:rsid w:val="00AD72DF"/>
    <w:rsid w:val="00AD7672"/>
    <w:rsid w:val="00AD781A"/>
    <w:rsid w:val="00AD7D74"/>
    <w:rsid w:val="00AD7F4C"/>
    <w:rsid w:val="00AE03DE"/>
    <w:rsid w:val="00AE041E"/>
    <w:rsid w:val="00AE0474"/>
    <w:rsid w:val="00AE050D"/>
    <w:rsid w:val="00AE05EA"/>
    <w:rsid w:val="00AE0640"/>
    <w:rsid w:val="00AE07AF"/>
    <w:rsid w:val="00AE098C"/>
    <w:rsid w:val="00AE0B24"/>
    <w:rsid w:val="00AE0D0D"/>
    <w:rsid w:val="00AE106D"/>
    <w:rsid w:val="00AE134B"/>
    <w:rsid w:val="00AE13B5"/>
    <w:rsid w:val="00AE13BF"/>
    <w:rsid w:val="00AE1619"/>
    <w:rsid w:val="00AE1834"/>
    <w:rsid w:val="00AE1955"/>
    <w:rsid w:val="00AE1B21"/>
    <w:rsid w:val="00AE1BCC"/>
    <w:rsid w:val="00AE1F5E"/>
    <w:rsid w:val="00AE2297"/>
    <w:rsid w:val="00AE2395"/>
    <w:rsid w:val="00AE2A5D"/>
    <w:rsid w:val="00AE2D2E"/>
    <w:rsid w:val="00AE3112"/>
    <w:rsid w:val="00AE3128"/>
    <w:rsid w:val="00AE3641"/>
    <w:rsid w:val="00AE36A4"/>
    <w:rsid w:val="00AE36A7"/>
    <w:rsid w:val="00AE3870"/>
    <w:rsid w:val="00AE38C1"/>
    <w:rsid w:val="00AE396F"/>
    <w:rsid w:val="00AE398A"/>
    <w:rsid w:val="00AE3C96"/>
    <w:rsid w:val="00AE4261"/>
    <w:rsid w:val="00AE42A7"/>
    <w:rsid w:val="00AE4328"/>
    <w:rsid w:val="00AE45F5"/>
    <w:rsid w:val="00AE46D0"/>
    <w:rsid w:val="00AE4BC2"/>
    <w:rsid w:val="00AE4CC9"/>
    <w:rsid w:val="00AE5093"/>
    <w:rsid w:val="00AE577D"/>
    <w:rsid w:val="00AE5A0D"/>
    <w:rsid w:val="00AE5BD2"/>
    <w:rsid w:val="00AE5C45"/>
    <w:rsid w:val="00AE6018"/>
    <w:rsid w:val="00AE6396"/>
    <w:rsid w:val="00AE6427"/>
    <w:rsid w:val="00AE6437"/>
    <w:rsid w:val="00AE6AC3"/>
    <w:rsid w:val="00AE6ACD"/>
    <w:rsid w:val="00AE6BAD"/>
    <w:rsid w:val="00AE6C6C"/>
    <w:rsid w:val="00AE6D5E"/>
    <w:rsid w:val="00AE6FF1"/>
    <w:rsid w:val="00AE7121"/>
    <w:rsid w:val="00AE762C"/>
    <w:rsid w:val="00AE786D"/>
    <w:rsid w:val="00AE78F6"/>
    <w:rsid w:val="00AE7A36"/>
    <w:rsid w:val="00AE7DE5"/>
    <w:rsid w:val="00AE7F93"/>
    <w:rsid w:val="00AF0058"/>
    <w:rsid w:val="00AF052B"/>
    <w:rsid w:val="00AF0562"/>
    <w:rsid w:val="00AF06EF"/>
    <w:rsid w:val="00AF0870"/>
    <w:rsid w:val="00AF0937"/>
    <w:rsid w:val="00AF0D47"/>
    <w:rsid w:val="00AF0EEC"/>
    <w:rsid w:val="00AF0FEC"/>
    <w:rsid w:val="00AF105F"/>
    <w:rsid w:val="00AF11AD"/>
    <w:rsid w:val="00AF12DA"/>
    <w:rsid w:val="00AF15DD"/>
    <w:rsid w:val="00AF161A"/>
    <w:rsid w:val="00AF163D"/>
    <w:rsid w:val="00AF166F"/>
    <w:rsid w:val="00AF1C0C"/>
    <w:rsid w:val="00AF1C53"/>
    <w:rsid w:val="00AF1CC2"/>
    <w:rsid w:val="00AF1F1D"/>
    <w:rsid w:val="00AF1FDC"/>
    <w:rsid w:val="00AF2459"/>
    <w:rsid w:val="00AF2545"/>
    <w:rsid w:val="00AF2C13"/>
    <w:rsid w:val="00AF2EEF"/>
    <w:rsid w:val="00AF3041"/>
    <w:rsid w:val="00AF3317"/>
    <w:rsid w:val="00AF3384"/>
    <w:rsid w:val="00AF34D3"/>
    <w:rsid w:val="00AF36B3"/>
    <w:rsid w:val="00AF3747"/>
    <w:rsid w:val="00AF37B4"/>
    <w:rsid w:val="00AF37E5"/>
    <w:rsid w:val="00AF3811"/>
    <w:rsid w:val="00AF3BFE"/>
    <w:rsid w:val="00AF3C17"/>
    <w:rsid w:val="00AF3D42"/>
    <w:rsid w:val="00AF3FD0"/>
    <w:rsid w:val="00AF42E2"/>
    <w:rsid w:val="00AF4614"/>
    <w:rsid w:val="00AF489A"/>
    <w:rsid w:val="00AF4AC7"/>
    <w:rsid w:val="00AF4C9A"/>
    <w:rsid w:val="00AF4E0A"/>
    <w:rsid w:val="00AF4F63"/>
    <w:rsid w:val="00AF4F7E"/>
    <w:rsid w:val="00AF525D"/>
    <w:rsid w:val="00AF53BA"/>
    <w:rsid w:val="00AF5437"/>
    <w:rsid w:val="00AF5779"/>
    <w:rsid w:val="00AF57B5"/>
    <w:rsid w:val="00AF5A13"/>
    <w:rsid w:val="00AF5C62"/>
    <w:rsid w:val="00AF5CBC"/>
    <w:rsid w:val="00AF5FE0"/>
    <w:rsid w:val="00AF62AC"/>
    <w:rsid w:val="00AF6326"/>
    <w:rsid w:val="00AF6476"/>
    <w:rsid w:val="00AF64D8"/>
    <w:rsid w:val="00AF6A98"/>
    <w:rsid w:val="00AF6B32"/>
    <w:rsid w:val="00AF6DAE"/>
    <w:rsid w:val="00AF745F"/>
    <w:rsid w:val="00AF755E"/>
    <w:rsid w:val="00AF782F"/>
    <w:rsid w:val="00AF7B7C"/>
    <w:rsid w:val="00AF7E89"/>
    <w:rsid w:val="00B0046E"/>
    <w:rsid w:val="00B004F7"/>
    <w:rsid w:val="00B008B4"/>
    <w:rsid w:val="00B00CBD"/>
    <w:rsid w:val="00B00F2E"/>
    <w:rsid w:val="00B01449"/>
    <w:rsid w:val="00B015E8"/>
    <w:rsid w:val="00B0160D"/>
    <w:rsid w:val="00B0190F"/>
    <w:rsid w:val="00B01AD3"/>
    <w:rsid w:val="00B022C9"/>
    <w:rsid w:val="00B02321"/>
    <w:rsid w:val="00B02655"/>
    <w:rsid w:val="00B0294F"/>
    <w:rsid w:val="00B02CA6"/>
    <w:rsid w:val="00B02CFF"/>
    <w:rsid w:val="00B03411"/>
    <w:rsid w:val="00B03461"/>
    <w:rsid w:val="00B0346E"/>
    <w:rsid w:val="00B03508"/>
    <w:rsid w:val="00B03520"/>
    <w:rsid w:val="00B03781"/>
    <w:rsid w:val="00B03842"/>
    <w:rsid w:val="00B03AEF"/>
    <w:rsid w:val="00B03BF2"/>
    <w:rsid w:val="00B03C63"/>
    <w:rsid w:val="00B03CBC"/>
    <w:rsid w:val="00B03EDB"/>
    <w:rsid w:val="00B03F37"/>
    <w:rsid w:val="00B0404B"/>
    <w:rsid w:val="00B04268"/>
    <w:rsid w:val="00B042D3"/>
    <w:rsid w:val="00B04603"/>
    <w:rsid w:val="00B046A7"/>
    <w:rsid w:val="00B046BB"/>
    <w:rsid w:val="00B046DD"/>
    <w:rsid w:val="00B0493C"/>
    <w:rsid w:val="00B04A2C"/>
    <w:rsid w:val="00B04A8B"/>
    <w:rsid w:val="00B04C43"/>
    <w:rsid w:val="00B04E31"/>
    <w:rsid w:val="00B05074"/>
    <w:rsid w:val="00B05147"/>
    <w:rsid w:val="00B051F1"/>
    <w:rsid w:val="00B05294"/>
    <w:rsid w:val="00B052D2"/>
    <w:rsid w:val="00B055AC"/>
    <w:rsid w:val="00B05761"/>
    <w:rsid w:val="00B05F61"/>
    <w:rsid w:val="00B0622F"/>
    <w:rsid w:val="00B0624F"/>
    <w:rsid w:val="00B064CC"/>
    <w:rsid w:val="00B06791"/>
    <w:rsid w:val="00B06858"/>
    <w:rsid w:val="00B06CB1"/>
    <w:rsid w:val="00B06E93"/>
    <w:rsid w:val="00B06FFF"/>
    <w:rsid w:val="00B073D2"/>
    <w:rsid w:val="00B077E4"/>
    <w:rsid w:val="00B0793A"/>
    <w:rsid w:val="00B07AD2"/>
    <w:rsid w:val="00B07AEE"/>
    <w:rsid w:val="00B07B62"/>
    <w:rsid w:val="00B101B0"/>
    <w:rsid w:val="00B10901"/>
    <w:rsid w:val="00B10A45"/>
    <w:rsid w:val="00B10B9D"/>
    <w:rsid w:val="00B10C78"/>
    <w:rsid w:val="00B1103E"/>
    <w:rsid w:val="00B11449"/>
    <w:rsid w:val="00B11682"/>
    <w:rsid w:val="00B1181C"/>
    <w:rsid w:val="00B11D3C"/>
    <w:rsid w:val="00B11D9C"/>
    <w:rsid w:val="00B12182"/>
    <w:rsid w:val="00B1239D"/>
    <w:rsid w:val="00B1248B"/>
    <w:rsid w:val="00B12663"/>
    <w:rsid w:val="00B1270F"/>
    <w:rsid w:val="00B12AE8"/>
    <w:rsid w:val="00B12F05"/>
    <w:rsid w:val="00B12F34"/>
    <w:rsid w:val="00B13092"/>
    <w:rsid w:val="00B130AB"/>
    <w:rsid w:val="00B131DC"/>
    <w:rsid w:val="00B139B4"/>
    <w:rsid w:val="00B13CCD"/>
    <w:rsid w:val="00B13E3B"/>
    <w:rsid w:val="00B13E72"/>
    <w:rsid w:val="00B13EF0"/>
    <w:rsid w:val="00B13F31"/>
    <w:rsid w:val="00B13FCF"/>
    <w:rsid w:val="00B140F7"/>
    <w:rsid w:val="00B1440F"/>
    <w:rsid w:val="00B1445B"/>
    <w:rsid w:val="00B144AA"/>
    <w:rsid w:val="00B1451B"/>
    <w:rsid w:val="00B1483F"/>
    <w:rsid w:val="00B1496D"/>
    <w:rsid w:val="00B149C9"/>
    <w:rsid w:val="00B14A49"/>
    <w:rsid w:val="00B14CD9"/>
    <w:rsid w:val="00B14FE4"/>
    <w:rsid w:val="00B15358"/>
    <w:rsid w:val="00B15475"/>
    <w:rsid w:val="00B1555F"/>
    <w:rsid w:val="00B15571"/>
    <w:rsid w:val="00B15663"/>
    <w:rsid w:val="00B159FB"/>
    <w:rsid w:val="00B15A43"/>
    <w:rsid w:val="00B16171"/>
    <w:rsid w:val="00B161A2"/>
    <w:rsid w:val="00B166D7"/>
    <w:rsid w:val="00B16727"/>
    <w:rsid w:val="00B167EA"/>
    <w:rsid w:val="00B168D7"/>
    <w:rsid w:val="00B16FC5"/>
    <w:rsid w:val="00B174D9"/>
    <w:rsid w:val="00B17943"/>
    <w:rsid w:val="00B17BB5"/>
    <w:rsid w:val="00B17C2E"/>
    <w:rsid w:val="00B20216"/>
    <w:rsid w:val="00B20446"/>
    <w:rsid w:val="00B205E0"/>
    <w:rsid w:val="00B2060F"/>
    <w:rsid w:val="00B20810"/>
    <w:rsid w:val="00B208BC"/>
    <w:rsid w:val="00B20B76"/>
    <w:rsid w:val="00B20C60"/>
    <w:rsid w:val="00B20D1E"/>
    <w:rsid w:val="00B20F00"/>
    <w:rsid w:val="00B21044"/>
    <w:rsid w:val="00B211C4"/>
    <w:rsid w:val="00B212B2"/>
    <w:rsid w:val="00B21366"/>
    <w:rsid w:val="00B2138C"/>
    <w:rsid w:val="00B216CC"/>
    <w:rsid w:val="00B21707"/>
    <w:rsid w:val="00B21908"/>
    <w:rsid w:val="00B2232B"/>
    <w:rsid w:val="00B2254E"/>
    <w:rsid w:val="00B22765"/>
    <w:rsid w:val="00B227F0"/>
    <w:rsid w:val="00B22D83"/>
    <w:rsid w:val="00B22E72"/>
    <w:rsid w:val="00B230B2"/>
    <w:rsid w:val="00B2332B"/>
    <w:rsid w:val="00B23511"/>
    <w:rsid w:val="00B23C82"/>
    <w:rsid w:val="00B23CD3"/>
    <w:rsid w:val="00B23D9D"/>
    <w:rsid w:val="00B240AC"/>
    <w:rsid w:val="00B240B6"/>
    <w:rsid w:val="00B240FE"/>
    <w:rsid w:val="00B2418A"/>
    <w:rsid w:val="00B2457A"/>
    <w:rsid w:val="00B247CE"/>
    <w:rsid w:val="00B24A43"/>
    <w:rsid w:val="00B24C00"/>
    <w:rsid w:val="00B24D5E"/>
    <w:rsid w:val="00B24E17"/>
    <w:rsid w:val="00B24FB0"/>
    <w:rsid w:val="00B2570E"/>
    <w:rsid w:val="00B25775"/>
    <w:rsid w:val="00B25D42"/>
    <w:rsid w:val="00B25DEE"/>
    <w:rsid w:val="00B26279"/>
    <w:rsid w:val="00B26454"/>
    <w:rsid w:val="00B266A8"/>
    <w:rsid w:val="00B266D1"/>
    <w:rsid w:val="00B26AD7"/>
    <w:rsid w:val="00B26CD7"/>
    <w:rsid w:val="00B26EC7"/>
    <w:rsid w:val="00B26FE5"/>
    <w:rsid w:val="00B2722E"/>
    <w:rsid w:val="00B273BC"/>
    <w:rsid w:val="00B275F9"/>
    <w:rsid w:val="00B27903"/>
    <w:rsid w:val="00B279FC"/>
    <w:rsid w:val="00B27C77"/>
    <w:rsid w:val="00B27F32"/>
    <w:rsid w:val="00B30149"/>
    <w:rsid w:val="00B304CA"/>
    <w:rsid w:val="00B3061A"/>
    <w:rsid w:val="00B30878"/>
    <w:rsid w:val="00B308EA"/>
    <w:rsid w:val="00B30AC1"/>
    <w:rsid w:val="00B30BBF"/>
    <w:rsid w:val="00B30CAB"/>
    <w:rsid w:val="00B30D49"/>
    <w:rsid w:val="00B312DA"/>
    <w:rsid w:val="00B3132C"/>
    <w:rsid w:val="00B313D0"/>
    <w:rsid w:val="00B31968"/>
    <w:rsid w:val="00B31B85"/>
    <w:rsid w:val="00B31B9E"/>
    <w:rsid w:val="00B31C18"/>
    <w:rsid w:val="00B31C94"/>
    <w:rsid w:val="00B31DA6"/>
    <w:rsid w:val="00B31EA9"/>
    <w:rsid w:val="00B31EAF"/>
    <w:rsid w:val="00B31ED6"/>
    <w:rsid w:val="00B31F11"/>
    <w:rsid w:val="00B322F9"/>
    <w:rsid w:val="00B324D5"/>
    <w:rsid w:val="00B32661"/>
    <w:rsid w:val="00B32AB0"/>
    <w:rsid w:val="00B32F11"/>
    <w:rsid w:val="00B3313B"/>
    <w:rsid w:val="00B33357"/>
    <w:rsid w:val="00B33A85"/>
    <w:rsid w:val="00B33D5F"/>
    <w:rsid w:val="00B33D99"/>
    <w:rsid w:val="00B33EE1"/>
    <w:rsid w:val="00B3415C"/>
    <w:rsid w:val="00B342A2"/>
    <w:rsid w:val="00B34680"/>
    <w:rsid w:val="00B346B6"/>
    <w:rsid w:val="00B34BE3"/>
    <w:rsid w:val="00B35046"/>
    <w:rsid w:val="00B3518F"/>
    <w:rsid w:val="00B35B62"/>
    <w:rsid w:val="00B35B88"/>
    <w:rsid w:val="00B35D16"/>
    <w:rsid w:val="00B35FBA"/>
    <w:rsid w:val="00B35FFA"/>
    <w:rsid w:val="00B36050"/>
    <w:rsid w:val="00B362D3"/>
    <w:rsid w:val="00B362F9"/>
    <w:rsid w:val="00B36320"/>
    <w:rsid w:val="00B36357"/>
    <w:rsid w:val="00B36426"/>
    <w:rsid w:val="00B36DED"/>
    <w:rsid w:val="00B36FD6"/>
    <w:rsid w:val="00B37238"/>
    <w:rsid w:val="00B37316"/>
    <w:rsid w:val="00B37717"/>
    <w:rsid w:val="00B377F1"/>
    <w:rsid w:val="00B379B9"/>
    <w:rsid w:val="00B379C9"/>
    <w:rsid w:val="00B37D75"/>
    <w:rsid w:val="00B37E87"/>
    <w:rsid w:val="00B37FA9"/>
    <w:rsid w:val="00B40141"/>
    <w:rsid w:val="00B40428"/>
    <w:rsid w:val="00B405DD"/>
    <w:rsid w:val="00B407BE"/>
    <w:rsid w:val="00B408CA"/>
    <w:rsid w:val="00B40A3A"/>
    <w:rsid w:val="00B40BE2"/>
    <w:rsid w:val="00B41015"/>
    <w:rsid w:val="00B4107F"/>
    <w:rsid w:val="00B410CA"/>
    <w:rsid w:val="00B4119B"/>
    <w:rsid w:val="00B412B6"/>
    <w:rsid w:val="00B41374"/>
    <w:rsid w:val="00B41582"/>
    <w:rsid w:val="00B41666"/>
    <w:rsid w:val="00B4184A"/>
    <w:rsid w:val="00B41B61"/>
    <w:rsid w:val="00B41C29"/>
    <w:rsid w:val="00B41E33"/>
    <w:rsid w:val="00B42084"/>
    <w:rsid w:val="00B422E6"/>
    <w:rsid w:val="00B428A4"/>
    <w:rsid w:val="00B428B2"/>
    <w:rsid w:val="00B429BD"/>
    <w:rsid w:val="00B42ADD"/>
    <w:rsid w:val="00B42CEC"/>
    <w:rsid w:val="00B42DC3"/>
    <w:rsid w:val="00B42E5B"/>
    <w:rsid w:val="00B43421"/>
    <w:rsid w:val="00B435E9"/>
    <w:rsid w:val="00B435F9"/>
    <w:rsid w:val="00B43906"/>
    <w:rsid w:val="00B43B5E"/>
    <w:rsid w:val="00B43D79"/>
    <w:rsid w:val="00B44143"/>
    <w:rsid w:val="00B44975"/>
    <w:rsid w:val="00B449AB"/>
    <w:rsid w:val="00B44A6C"/>
    <w:rsid w:val="00B44E05"/>
    <w:rsid w:val="00B44FEF"/>
    <w:rsid w:val="00B451B8"/>
    <w:rsid w:val="00B45296"/>
    <w:rsid w:val="00B45307"/>
    <w:rsid w:val="00B453FA"/>
    <w:rsid w:val="00B4588D"/>
    <w:rsid w:val="00B45ABA"/>
    <w:rsid w:val="00B45AE5"/>
    <w:rsid w:val="00B45BF6"/>
    <w:rsid w:val="00B45CF9"/>
    <w:rsid w:val="00B45FE2"/>
    <w:rsid w:val="00B4611E"/>
    <w:rsid w:val="00B4659A"/>
    <w:rsid w:val="00B46803"/>
    <w:rsid w:val="00B46A0F"/>
    <w:rsid w:val="00B46BA7"/>
    <w:rsid w:val="00B47404"/>
    <w:rsid w:val="00B474DC"/>
    <w:rsid w:val="00B47690"/>
    <w:rsid w:val="00B476CE"/>
    <w:rsid w:val="00B47D21"/>
    <w:rsid w:val="00B5004F"/>
    <w:rsid w:val="00B5013E"/>
    <w:rsid w:val="00B502D0"/>
    <w:rsid w:val="00B5087A"/>
    <w:rsid w:val="00B50DC4"/>
    <w:rsid w:val="00B50F27"/>
    <w:rsid w:val="00B511F3"/>
    <w:rsid w:val="00B51274"/>
    <w:rsid w:val="00B51284"/>
    <w:rsid w:val="00B5158C"/>
    <w:rsid w:val="00B522B3"/>
    <w:rsid w:val="00B5286F"/>
    <w:rsid w:val="00B52C37"/>
    <w:rsid w:val="00B52EEB"/>
    <w:rsid w:val="00B53119"/>
    <w:rsid w:val="00B532AE"/>
    <w:rsid w:val="00B532C0"/>
    <w:rsid w:val="00B53376"/>
    <w:rsid w:val="00B534F3"/>
    <w:rsid w:val="00B5353F"/>
    <w:rsid w:val="00B53AC2"/>
    <w:rsid w:val="00B53B5E"/>
    <w:rsid w:val="00B54335"/>
    <w:rsid w:val="00B5444E"/>
    <w:rsid w:val="00B5458C"/>
    <w:rsid w:val="00B54A06"/>
    <w:rsid w:val="00B54CBC"/>
    <w:rsid w:val="00B55013"/>
    <w:rsid w:val="00B55217"/>
    <w:rsid w:val="00B552F0"/>
    <w:rsid w:val="00B555BD"/>
    <w:rsid w:val="00B5577F"/>
    <w:rsid w:val="00B5578A"/>
    <w:rsid w:val="00B558F3"/>
    <w:rsid w:val="00B55B58"/>
    <w:rsid w:val="00B55D6A"/>
    <w:rsid w:val="00B5600F"/>
    <w:rsid w:val="00B5608C"/>
    <w:rsid w:val="00B5645B"/>
    <w:rsid w:val="00B56531"/>
    <w:rsid w:val="00B567D0"/>
    <w:rsid w:val="00B56962"/>
    <w:rsid w:val="00B56A97"/>
    <w:rsid w:val="00B56B79"/>
    <w:rsid w:val="00B56C52"/>
    <w:rsid w:val="00B56FF5"/>
    <w:rsid w:val="00B57088"/>
    <w:rsid w:val="00B575B0"/>
    <w:rsid w:val="00B575D7"/>
    <w:rsid w:val="00B576B3"/>
    <w:rsid w:val="00B57AF1"/>
    <w:rsid w:val="00B57D53"/>
    <w:rsid w:val="00B60077"/>
    <w:rsid w:val="00B60373"/>
    <w:rsid w:val="00B60405"/>
    <w:rsid w:val="00B60ABF"/>
    <w:rsid w:val="00B6117B"/>
    <w:rsid w:val="00B61251"/>
    <w:rsid w:val="00B612A8"/>
    <w:rsid w:val="00B6196E"/>
    <w:rsid w:val="00B61BE8"/>
    <w:rsid w:val="00B61D24"/>
    <w:rsid w:val="00B61F24"/>
    <w:rsid w:val="00B61F91"/>
    <w:rsid w:val="00B62265"/>
    <w:rsid w:val="00B6241C"/>
    <w:rsid w:val="00B625C4"/>
    <w:rsid w:val="00B62636"/>
    <w:rsid w:val="00B62894"/>
    <w:rsid w:val="00B62A38"/>
    <w:rsid w:val="00B62D10"/>
    <w:rsid w:val="00B63855"/>
    <w:rsid w:val="00B638E1"/>
    <w:rsid w:val="00B63CA0"/>
    <w:rsid w:val="00B63DDF"/>
    <w:rsid w:val="00B641ED"/>
    <w:rsid w:val="00B64542"/>
    <w:rsid w:val="00B64670"/>
    <w:rsid w:val="00B64790"/>
    <w:rsid w:val="00B649DC"/>
    <w:rsid w:val="00B64A55"/>
    <w:rsid w:val="00B64C32"/>
    <w:rsid w:val="00B64D37"/>
    <w:rsid w:val="00B64E0E"/>
    <w:rsid w:val="00B64E9E"/>
    <w:rsid w:val="00B650A0"/>
    <w:rsid w:val="00B6527A"/>
    <w:rsid w:val="00B652B9"/>
    <w:rsid w:val="00B6563B"/>
    <w:rsid w:val="00B6563F"/>
    <w:rsid w:val="00B656B2"/>
    <w:rsid w:val="00B6577D"/>
    <w:rsid w:val="00B65A5D"/>
    <w:rsid w:val="00B65A76"/>
    <w:rsid w:val="00B65EF5"/>
    <w:rsid w:val="00B660BF"/>
    <w:rsid w:val="00B66167"/>
    <w:rsid w:val="00B662EF"/>
    <w:rsid w:val="00B663C4"/>
    <w:rsid w:val="00B66588"/>
    <w:rsid w:val="00B6663A"/>
    <w:rsid w:val="00B6667A"/>
    <w:rsid w:val="00B66721"/>
    <w:rsid w:val="00B667E1"/>
    <w:rsid w:val="00B66A25"/>
    <w:rsid w:val="00B67357"/>
    <w:rsid w:val="00B67375"/>
    <w:rsid w:val="00B674E8"/>
    <w:rsid w:val="00B675B9"/>
    <w:rsid w:val="00B675E9"/>
    <w:rsid w:val="00B678E0"/>
    <w:rsid w:val="00B67CCE"/>
    <w:rsid w:val="00B67CE0"/>
    <w:rsid w:val="00B67E8D"/>
    <w:rsid w:val="00B70196"/>
    <w:rsid w:val="00B70215"/>
    <w:rsid w:val="00B7042E"/>
    <w:rsid w:val="00B709C2"/>
    <w:rsid w:val="00B70AE4"/>
    <w:rsid w:val="00B70F7A"/>
    <w:rsid w:val="00B71352"/>
    <w:rsid w:val="00B71567"/>
    <w:rsid w:val="00B71577"/>
    <w:rsid w:val="00B71922"/>
    <w:rsid w:val="00B71957"/>
    <w:rsid w:val="00B719E5"/>
    <w:rsid w:val="00B71C98"/>
    <w:rsid w:val="00B721C3"/>
    <w:rsid w:val="00B72481"/>
    <w:rsid w:val="00B7289B"/>
    <w:rsid w:val="00B7292C"/>
    <w:rsid w:val="00B72D3E"/>
    <w:rsid w:val="00B72E39"/>
    <w:rsid w:val="00B72FCE"/>
    <w:rsid w:val="00B73410"/>
    <w:rsid w:val="00B7353A"/>
    <w:rsid w:val="00B735DC"/>
    <w:rsid w:val="00B73A81"/>
    <w:rsid w:val="00B73B5F"/>
    <w:rsid w:val="00B73B9E"/>
    <w:rsid w:val="00B73D11"/>
    <w:rsid w:val="00B7411F"/>
    <w:rsid w:val="00B743BA"/>
    <w:rsid w:val="00B744A7"/>
    <w:rsid w:val="00B745DC"/>
    <w:rsid w:val="00B74604"/>
    <w:rsid w:val="00B74733"/>
    <w:rsid w:val="00B7479C"/>
    <w:rsid w:val="00B74C7C"/>
    <w:rsid w:val="00B74DB0"/>
    <w:rsid w:val="00B751CC"/>
    <w:rsid w:val="00B7540D"/>
    <w:rsid w:val="00B7553E"/>
    <w:rsid w:val="00B7598F"/>
    <w:rsid w:val="00B759CA"/>
    <w:rsid w:val="00B75A06"/>
    <w:rsid w:val="00B75B86"/>
    <w:rsid w:val="00B75C7A"/>
    <w:rsid w:val="00B76020"/>
    <w:rsid w:val="00B7636C"/>
    <w:rsid w:val="00B763AE"/>
    <w:rsid w:val="00B7645E"/>
    <w:rsid w:val="00B76606"/>
    <w:rsid w:val="00B769E5"/>
    <w:rsid w:val="00B76B65"/>
    <w:rsid w:val="00B76F3C"/>
    <w:rsid w:val="00B76F6B"/>
    <w:rsid w:val="00B77671"/>
    <w:rsid w:val="00B776F6"/>
    <w:rsid w:val="00B7770B"/>
    <w:rsid w:val="00B77E82"/>
    <w:rsid w:val="00B80242"/>
    <w:rsid w:val="00B803D8"/>
    <w:rsid w:val="00B806EF"/>
    <w:rsid w:val="00B80802"/>
    <w:rsid w:val="00B80A29"/>
    <w:rsid w:val="00B80A52"/>
    <w:rsid w:val="00B80E53"/>
    <w:rsid w:val="00B80EF7"/>
    <w:rsid w:val="00B818DC"/>
    <w:rsid w:val="00B819F4"/>
    <w:rsid w:val="00B81AF7"/>
    <w:rsid w:val="00B81B48"/>
    <w:rsid w:val="00B81BCC"/>
    <w:rsid w:val="00B81D2A"/>
    <w:rsid w:val="00B81F38"/>
    <w:rsid w:val="00B822F1"/>
    <w:rsid w:val="00B824E2"/>
    <w:rsid w:val="00B82943"/>
    <w:rsid w:val="00B829F8"/>
    <w:rsid w:val="00B82B1F"/>
    <w:rsid w:val="00B82E18"/>
    <w:rsid w:val="00B82FA6"/>
    <w:rsid w:val="00B82FBA"/>
    <w:rsid w:val="00B83714"/>
    <w:rsid w:val="00B83F37"/>
    <w:rsid w:val="00B83FE8"/>
    <w:rsid w:val="00B84689"/>
    <w:rsid w:val="00B84761"/>
    <w:rsid w:val="00B84BDB"/>
    <w:rsid w:val="00B84EFB"/>
    <w:rsid w:val="00B84FD8"/>
    <w:rsid w:val="00B85047"/>
    <w:rsid w:val="00B85085"/>
    <w:rsid w:val="00B85222"/>
    <w:rsid w:val="00B85366"/>
    <w:rsid w:val="00B85501"/>
    <w:rsid w:val="00B855FC"/>
    <w:rsid w:val="00B85694"/>
    <w:rsid w:val="00B85997"/>
    <w:rsid w:val="00B85AB1"/>
    <w:rsid w:val="00B85FA3"/>
    <w:rsid w:val="00B861BE"/>
    <w:rsid w:val="00B864D2"/>
    <w:rsid w:val="00B8668B"/>
    <w:rsid w:val="00B8674A"/>
    <w:rsid w:val="00B868C2"/>
    <w:rsid w:val="00B8697B"/>
    <w:rsid w:val="00B86D97"/>
    <w:rsid w:val="00B86FB9"/>
    <w:rsid w:val="00B87380"/>
    <w:rsid w:val="00B87471"/>
    <w:rsid w:val="00B87642"/>
    <w:rsid w:val="00B8772F"/>
    <w:rsid w:val="00B8790D"/>
    <w:rsid w:val="00B87974"/>
    <w:rsid w:val="00B879A1"/>
    <w:rsid w:val="00B87AC9"/>
    <w:rsid w:val="00B87B65"/>
    <w:rsid w:val="00B87C8A"/>
    <w:rsid w:val="00B90065"/>
    <w:rsid w:val="00B905EC"/>
    <w:rsid w:val="00B9063A"/>
    <w:rsid w:val="00B90947"/>
    <w:rsid w:val="00B909A0"/>
    <w:rsid w:val="00B90B68"/>
    <w:rsid w:val="00B90E12"/>
    <w:rsid w:val="00B9117F"/>
    <w:rsid w:val="00B9133B"/>
    <w:rsid w:val="00B91576"/>
    <w:rsid w:val="00B917CE"/>
    <w:rsid w:val="00B91955"/>
    <w:rsid w:val="00B91C87"/>
    <w:rsid w:val="00B91DA7"/>
    <w:rsid w:val="00B92A78"/>
    <w:rsid w:val="00B92BC6"/>
    <w:rsid w:val="00B92BCD"/>
    <w:rsid w:val="00B92CA5"/>
    <w:rsid w:val="00B92CCE"/>
    <w:rsid w:val="00B92E60"/>
    <w:rsid w:val="00B93075"/>
    <w:rsid w:val="00B9312B"/>
    <w:rsid w:val="00B933AB"/>
    <w:rsid w:val="00B9356D"/>
    <w:rsid w:val="00B93651"/>
    <w:rsid w:val="00B939BB"/>
    <w:rsid w:val="00B93C8C"/>
    <w:rsid w:val="00B93CD1"/>
    <w:rsid w:val="00B93F40"/>
    <w:rsid w:val="00B940B9"/>
    <w:rsid w:val="00B94151"/>
    <w:rsid w:val="00B942B1"/>
    <w:rsid w:val="00B9441F"/>
    <w:rsid w:val="00B944AC"/>
    <w:rsid w:val="00B9452A"/>
    <w:rsid w:val="00B94A61"/>
    <w:rsid w:val="00B94D1E"/>
    <w:rsid w:val="00B95153"/>
    <w:rsid w:val="00B95231"/>
    <w:rsid w:val="00B95596"/>
    <w:rsid w:val="00B9592B"/>
    <w:rsid w:val="00B95EA5"/>
    <w:rsid w:val="00B95FE4"/>
    <w:rsid w:val="00B96139"/>
    <w:rsid w:val="00B96159"/>
    <w:rsid w:val="00B961FA"/>
    <w:rsid w:val="00B96232"/>
    <w:rsid w:val="00B96381"/>
    <w:rsid w:val="00B9649B"/>
    <w:rsid w:val="00B96734"/>
    <w:rsid w:val="00B969EA"/>
    <w:rsid w:val="00B970D8"/>
    <w:rsid w:val="00B97233"/>
    <w:rsid w:val="00B974FD"/>
    <w:rsid w:val="00B975E2"/>
    <w:rsid w:val="00B97944"/>
    <w:rsid w:val="00B97AA1"/>
    <w:rsid w:val="00B97B70"/>
    <w:rsid w:val="00B97C1D"/>
    <w:rsid w:val="00B97D07"/>
    <w:rsid w:val="00B97E7E"/>
    <w:rsid w:val="00BA0226"/>
    <w:rsid w:val="00BA061B"/>
    <w:rsid w:val="00BA0787"/>
    <w:rsid w:val="00BA0860"/>
    <w:rsid w:val="00BA086E"/>
    <w:rsid w:val="00BA0882"/>
    <w:rsid w:val="00BA09AF"/>
    <w:rsid w:val="00BA0DA1"/>
    <w:rsid w:val="00BA0F1D"/>
    <w:rsid w:val="00BA117C"/>
    <w:rsid w:val="00BA1238"/>
    <w:rsid w:val="00BA131B"/>
    <w:rsid w:val="00BA13E1"/>
    <w:rsid w:val="00BA1567"/>
    <w:rsid w:val="00BA1765"/>
    <w:rsid w:val="00BA18BD"/>
    <w:rsid w:val="00BA20E0"/>
    <w:rsid w:val="00BA2321"/>
    <w:rsid w:val="00BA25E5"/>
    <w:rsid w:val="00BA2719"/>
    <w:rsid w:val="00BA2797"/>
    <w:rsid w:val="00BA2912"/>
    <w:rsid w:val="00BA3065"/>
    <w:rsid w:val="00BA34C5"/>
    <w:rsid w:val="00BA43AA"/>
    <w:rsid w:val="00BA4564"/>
    <w:rsid w:val="00BA45C4"/>
    <w:rsid w:val="00BA4908"/>
    <w:rsid w:val="00BA49E2"/>
    <w:rsid w:val="00BA4B4C"/>
    <w:rsid w:val="00BA4B5C"/>
    <w:rsid w:val="00BA4C27"/>
    <w:rsid w:val="00BA4CD6"/>
    <w:rsid w:val="00BA4E4A"/>
    <w:rsid w:val="00BA4E75"/>
    <w:rsid w:val="00BA551F"/>
    <w:rsid w:val="00BA5562"/>
    <w:rsid w:val="00BA5589"/>
    <w:rsid w:val="00BA56F2"/>
    <w:rsid w:val="00BA5711"/>
    <w:rsid w:val="00BA59AB"/>
    <w:rsid w:val="00BA59C9"/>
    <w:rsid w:val="00BA5E59"/>
    <w:rsid w:val="00BA5ED9"/>
    <w:rsid w:val="00BA60C7"/>
    <w:rsid w:val="00BA6390"/>
    <w:rsid w:val="00BA6910"/>
    <w:rsid w:val="00BA6D32"/>
    <w:rsid w:val="00BA7296"/>
    <w:rsid w:val="00BA72A8"/>
    <w:rsid w:val="00BA73BB"/>
    <w:rsid w:val="00BA7621"/>
    <w:rsid w:val="00BA77D6"/>
    <w:rsid w:val="00BA780E"/>
    <w:rsid w:val="00BA7B9E"/>
    <w:rsid w:val="00BA7CA7"/>
    <w:rsid w:val="00BA7E27"/>
    <w:rsid w:val="00BB060C"/>
    <w:rsid w:val="00BB07D3"/>
    <w:rsid w:val="00BB0827"/>
    <w:rsid w:val="00BB0A25"/>
    <w:rsid w:val="00BB0A71"/>
    <w:rsid w:val="00BB0B4C"/>
    <w:rsid w:val="00BB0BC3"/>
    <w:rsid w:val="00BB0C92"/>
    <w:rsid w:val="00BB0DD0"/>
    <w:rsid w:val="00BB0E4B"/>
    <w:rsid w:val="00BB1010"/>
    <w:rsid w:val="00BB113E"/>
    <w:rsid w:val="00BB1378"/>
    <w:rsid w:val="00BB1399"/>
    <w:rsid w:val="00BB1448"/>
    <w:rsid w:val="00BB1681"/>
    <w:rsid w:val="00BB1803"/>
    <w:rsid w:val="00BB1CED"/>
    <w:rsid w:val="00BB21B7"/>
    <w:rsid w:val="00BB21C2"/>
    <w:rsid w:val="00BB25FA"/>
    <w:rsid w:val="00BB26AD"/>
    <w:rsid w:val="00BB2AD3"/>
    <w:rsid w:val="00BB2C01"/>
    <w:rsid w:val="00BB2D0F"/>
    <w:rsid w:val="00BB2E78"/>
    <w:rsid w:val="00BB31E6"/>
    <w:rsid w:val="00BB3851"/>
    <w:rsid w:val="00BB3AC9"/>
    <w:rsid w:val="00BB3B2B"/>
    <w:rsid w:val="00BB3BA8"/>
    <w:rsid w:val="00BB3F8E"/>
    <w:rsid w:val="00BB42E3"/>
    <w:rsid w:val="00BB43F1"/>
    <w:rsid w:val="00BB456D"/>
    <w:rsid w:val="00BB47A6"/>
    <w:rsid w:val="00BB47E4"/>
    <w:rsid w:val="00BB4892"/>
    <w:rsid w:val="00BB4954"/>
    <w:rsid w:val="00BB4C92"/>
    <w:rsid w:val="00BB4F0C"/>
    <w:rsid w:val="00BB51F2"/>
    <w:rsid w:val="00BB5268"/>
    <w:rsid w:val="00BB52E1"/>
    <w:rsid w:val="00BB5399"/>
    <w:rsid w:val="00BB5764"/>
    <w:rsid w:val="00BB5DC6"/>
    <w:rsid w:val="00BB5EC9"/>
    <w:rsid w:val="00BB6090"/>
    <w:rsid w:val="00BB611B"/>
    <w:rsid w:val="00BB618F"/>
    <w:rsid w:val="00BB628C"/>
    <w:rsid w:val="00BB6AB4"/>
    <w:rsid w:val="00BB6B0F"/>
    <w:rsid w:val="00BB6CD0"/>
    <w:rsid w:val="00BB7188"/>
    <w:rsid w:val="00BB7268"/>
    <w:rsid w:val="00BB728C"/>
    <w:rsid w:val="00BB7547"/>
    <w:rsid w:val="00BB79F5"/>
    <w:rsid w:val="00BB7BC4"/>
    <w:rsid w:val="00BB7F35"/>
    <w:rsid w:val="00BC0304"/>
    <w:rsid w:val="00BC0544"/>
    <w:rsid w:val="00BC08D5"/>
    <w:rsid w:val="00BC0905"/>
    <w:rsid w:val="00BC0A96"/>
    <w:rsid w:val="00BC0CAE"/>
    <w:rsid w:val="00BC0D04"/>
    <w:rsid w:val="00BC0D27"/>
    <w:rsid w:val="00BC104B"/>
    <w:rsid w:val="00BC115D"/>
    <w:rsid w:val="00BC160C"/>
    <w:rsid w:val="00BC1843"/>
    <w:rsid w:val="00BC1BD2"/>
    <w:rsid w:val="00BC1C19"/>
    <w:rsid w:val="00BC1C32"/>
    <w:rsid w:val="00BC2017"/>
    <w:rsid w:val="00BC2811"/>
    <w:rsid w:val="00BC2813"/>
    <w:rsid w:val="00BC2C08"/>
    <w:rsid w:val="00BC2DFA"/>
    <w:rsid w:val="00BC2F09"/>
    <w:rsid w:val="00BC300D"/>
    <w:rsid w:val="00BC30E0"/>
    <w:rsid w:val="00BC3275"/>
    <w:rsid w:val="00BC3468"/>
    <w:rsid w:val="00BC34CE"/>
    <w:rsid w:val="00BC3B30"/>
    <w:rsid w:val="00BC3CD7"/>
    <w:rsid w:val="00BC3E3C"/>
    <w:rsid w:val="00BC3EA7"/>
    <w:rsid w:val="00BC408A"/>
    <w:rsid w:val="00BC47E6"/>
    <w:rsid w:val="00BC49D5"/>
    <w:rsid w:val="00BC4BAC"/>
    <w:rsid w:val="00BC4E87"/>
    <w:rsid w:val="00BC5022"/>
    <w:rsid w:val="00BC51F2"/>
    <w:rsid w:val="00BC5206"/>
    <w:rsid w:val="00BC5587"/>
    <w:rsid w:val="00BC5DF5"/>
    <w:rsid w:val="00BC5E51"/>
    <w:rsid w:val="00BC5FD8"/>
    <w:rsid w:val="00BC6219"/>
    <w:rsid w:val="00BC6277"/>
    <w:rsid w:val="00BC66A2"/>
    <w:rsid w:val="00BC691C"/>
    <w:rsid w:val="00BC6DF3"/>
    <w:rsid w:val="00BC719F"/>
    <w:rsid w:val="00BC736A"/>
    <w:rsid w:val="00BC7729"/>
    <w:rsid w:val="00BC7E6F"/>
    <w:rsid w:val="00BD010D"/>
    <w:rsid w:val="00BD04D2"/>
    <w:rsid w:val="00BD0A76"/>
    <w:rsid w:val="00BD0EAA"/>
    <w:rsid w:val="00BD10BE"/>
    <w:rsid w:val="00BD1162"/>
    <w:rsid w:val="00BD1370"/>
    <w:rsid w:val="00BD14F4"/>
    <w:rsid w:val="00BD1605"/>
    <w:rsid w:val="00BD1730"/>
    <w:rsid w:val="00BD1763"/>
    <w:rsid w:val="00BD1D08"/>
    <w:rsid w:val="00BD1DE2"/>
    <w:rsid w:val="00BD1E4B"/>
    <w:rsid w:val="00BD2016"/>
    <w:rsid w:val="00BD240F"/>
    <w:rsid w:val="00BD2467"/>
    <w:rsid w:val="00BD2640"/>
    <w:rsid w:val="00BD2A8A"/>
    <w:rsid w:val="00BD2C16"/>
    <w:rsid w:val="00BD2D70"/>
    <w:rsid w:val="00BD3133"/>
    <w:rsid w:val="00BD37B5"/>
    <w:rsid w:val="00BD38EA"/>
    <w:rsid w:val="00BD3904"/>
    <w:rsid w:val="00BD4231"/>
    <w:rsid w:val="00BD47CD"/>
    <w:rsid w:val="00BD47DA"/>
    <w:rsid w:val="00BD48DE"/>
    <w:rsid w:val="00BD4911"/>
    <w:rsid w:val="00BD5017"/>
    <w:rsid w:val="00BD534D"/>
    <w:rsid w:val="00BD5F9C"/>
    <w:rsid w:val="00BD61EA"/>
    <w:rsid w:val="00BD64FC"/>
    <w:rsid w:val="00BD68DE"/>
    <w:rsid w:val="00BD6AC2"/>
    <w:rsid w:val="00BD6FB4"/>
    <w:rsid w:val="00BD711A"/>
    <w:rsid w:val="00BD71E0"/>
    <w:rsid w:val="00BD74E9"/>
    <w:rsid w:val="00BD7646"/>
    <w:rsid w:val="00BD7C36"/>
    <w:rsid w:val="00BE00B2"/>
    <w:rsid w:val="00BE02E5"/>
    <w:rsid w:val="00BE038E"/>
    <w:rsid w:val="00BE0763"/>
    <w:rsid w:val="00BE076A"/>
    <w:rsid w:val="00BE0865"/>
    <w:rsid w:val="00BE0D54"/>
    <w:rsid w:val="00BE0DEA"/>
    <w:rsid w:val="00BE0F8E"/>
    <w:rsid w:val="00BE1367"/>
    <w:rsid w:val="00BE1630"/>
    <w:rsid w:val="00BE16C5"/>
    <w:rsid w:val="00BE171C"/>
    <w:rsid w:val="00BE17E6"/>
    <w:rsid w:val="00BE19BA"/>
    <w:rsid w:val="00BE1C81"/>
    <w:rsid w:val="00BE207E"/>
    <w:rsid w:val="00BE217C"/>
    <w:rsid w:val="00BE2828"/>
    <w:rsid w:val="00BE2B8D"/>
    <w:rsid w:val="00BE2D0E"/>
    <w:rsid w:val="00BE2DB9"/>
    <w:rsid w:val="00BE2F4A"/>
    <w:rsid w:val="00BE2FAB"/>
    <w:rsid w:val="00BE3148"/>
    <w:rsid w:val="00BE326A"/>
    <w:rsid w:val="00BE333A"/>
    <w:rsid w:val="00BE336B"/>
    <w:rsid w:val="00BE3582"/>
    <w:rsid w:val="00BE365D"/>
    <w:rsid w:val="00BE3721"/>
    <w:rsid w:val="00BE39A8"/>
    <w:rsid w:val="00BE3AA3"/>
    <w:rsid w:val="00BE3B10"/>
    <w:rsid w:val="00BE4DAE"/>
    <w:rsid w:val="00BE4DCB"/>
    <w:rsid w:val="00BE5271"/>
    <w:rsid w:val="00BE563D"/>
    <w:rsid w:val="00BE595B"/>
    <w:rsid w:val="00BE5AAE"/>
    <w:rsid w:val="00BE5BDD"/>
    <w:rsid w:val="00BE5C65"/>
    <w:rsid w:val="00BE5D3B"/>
    <w:rsid w:val="00BE625A"/>
    <w:rsid w:val="00BE6520"/>
    <w:rsid w:val="00BE6780"/>
    <w:rsid w:val="00BE67F1"/>
    <w:rsid w:val="00BE6B8D"/>
    <w:rsid w:val="00BE6ECD"/>
    <w:rsid w:val="00BE7171"/>
    <w:rsid w:val="00BE717A"/>
    <w:rsid w:val="00BE74A6"/>
    <w:rsid w:val="00BE7A08"/>
    <w:rsid w:val="00BE7A1D"/>
    <w:rsid w:val="00BE7A2C"/>
    <w:rsid w:val="00BE7B36"/>
    <w:rsid w:val="00BE7C01"/>
    <w:rsid w:val="00BE7F5A"/>
    <w:rsid w:val="00BF02DD"/>
    <w:rsid w:val="00BF044E"/>
    <w:rsid w:val="00BF0687"/>
    <w:rsid w:val="00BF0759"/>
    <w:rsid w:val="00BF07E9"/>
    <w:rsid w:val="00BF0857"/>
    <w:rsid w:val="00BF0D34"/>
    <w:rsid w:val="00BF111E"/>
    <w:rsid w:val="00BF14C6"/>
    <w:rsid w:val="00BF1813"/>
    <w:rsid w:val="00BF18BF"/>
    <w:rsid w:val="00BF191A"/>
    <w:rsid w:val="00BF19B9"/>
    <w:rsid w:val="00BF20F0"/>
    <w:rsid w:val="00BF2179"/>
    <w:rsid w:val="00BF23E1"/>
    <w:rsid w:val="00BF257B"/>
    <w:rsid w:val="00BF262D"/>
    <w:rsid w:val="00BF27BB"/>
    <w:rsid w:val="00BF2935"/>
    <w:rsid w:val="00BF2942"/>
    <w:rsid w:val="00BF29B0"/>
    <w:rsid w:val="00BF2B6E"/>
    <w:rsid w:val="00BF3036"/>
    <w:rsid w:val="00BF30E4"/>
    <w:rsid w:val="00BF3160"/>
    <w:rsid w:val="00BF34E7"/>
    <w:rsid w:val="00BF36D4"/>
    <w:rsid w:val="00BF3705"/>
    <w:rsid w:val="00BF3A36"/>
    <w:rsid w:val="00BF3EA6"/>
    <w:rsid w:val="00BF3EAE"/>
    <w:rsid w:val="00BF416A"/>
    <w:rsid w:val="00BF437C"/>
    <w:rsid w:val="00BF46AF"/>
    <w:rsid w:val="00BF495B"/>
    <w:rsid w:val="00BF498B"/>
    <w:rsid w:val="00BF4AB8"/>
    <w:rsid w:val="00BF4AE9"/>
    <w:rsid w:val="00BF4DD7"/>
    <w:rsid w:val="00BF51F4"/>
    <w:rsid w:val="00BF5C63"/>
    <w:rsid w:val="00BF5E38"/>
    <w:rsid w:val="00BF5F9E"/>
    <w:rsid w:val="00BF6123"/>
    <w:rsid w:val="00BF613D"/>
    <w:rsid w:val="00BF6155"/>
    <w:rsid w:val="00BF6429"/>
    <w:rsid w:val="00BF670A"/>
    <w:rsid w:val="00BF699E"/>
    <w:rsid w:val="00BF6C7F"/>
    <w:rsid w:val="00BF6DEB"/>
    <w:rsid w:val="00BF6E5A"/>
    <w:rsid w:val="00BF709D"/>
    <w:rsid w:val="00BF7105"/>
    <w:rsid w:val="00BF715E"/>
    <w:rsid w:val="00BF7396"/>
    <w:rsid w:val="00BF7681"/>
    <w:rsid w:val="00BF7758"/>
    <w:rsid w:val="00BF7860"/>
    <w:rsid w:val="00C00103"/>
    <w:rsid w:val="00C0010C"/>
    <w:rsid w:val="00C0069D"/>
    <w:rsid w:val="00C0070D"/>
    <w:rsid w:val="00C00824"/>
    <w:rsid w:val="00C00AB1"/>
    <w:rsid w:val="00C00B97"/>
    <w:rsid w:val="00C00C77"/>
    <w:rsid w:val="00C00DD9"/>
    <w:rsid w:val="00C00DFE"/>
    <w:rsid w:val="00C00FC9"/>
    <w:rsid w:val="00C01183"/>
    <w:rsid w:val="00C014F6"/>
    <w:rsid w:val="00C0163B"/>
    <w:rsid w:val="00C01789"/>
    <w:rsid w:val="00C01969"/>
    <w:rsid w:val="00C01AF9"/>
    <w:rsid w:val="00C01B97"/>
    <w:rsid w:val="00C01BE3"/>
    <w:rsid w:val="00C01EB9"/>
    <w:rsid w:val="00C0200A"/>
    <w:rsid w:val="00C02C25"/>
    <w:rsid w:val="00C03117"/>
    <w:rsid w:val="00C03294"/>
    <w:rsid w:val="00C032E5"/>
    <w:rsid w:val="00C03411"/>
    <w:rsid w:val="00C0395F"/>
    <w:rsid w:val="00C03A8B"/>
    <w:rsid w:val="00C03BBC"/>
    <w:rsid w:val="00C03E47"/>
    <w:rsid w:val="00C04008"/>
    <w:rsid w:val="00C041C6"/>
    <w:rsid w:val="00C04300"/>
    <w:rsid w:val="00C0446C"/>
    <w:rsid w:val="00C04490"/>
    <w:rsid w:val="00C04982"/>
    <w:rsid w:val="00C04AF3"/>
    <w:rsid w:val="00C04E90"/>
    <w:rsid w:val="00C04F8D"/>
    <w:rsid w:val="00C055A0"/>
    <w:rsid w:val="00C055A9"/>
    <w:rsid w:val="00C05734"/>
    <w:rsid w:val="00C059C1"/>
    <w:rsid w:val="00C05FF1"/>
    <w:rsid w:val="00C06033"/>
    <w:rsid w:val="00C060F7"/>
    <w:rsid w:val="00C0651D"/>
    <w:rsid w:val="00C065E4"/>
    <w:rsid w:val="00C0693B"/>
    <w:rsid w:val="00C06B13"/>
    <w:rsid w:val="00C06B2C"/>
    <w:rsid w:val="00C06B7E"/>
    <w:rsid w:val="00C06D58"/>
    <w:rsid w:val="00C06EE7"/>
    <w:rsid w:val="00C06F18"/>
    <w:rsid w:val="00C0709B"/>
    <w:rsid w:val="00C07344"/>
    <w:rsid w:val="00C07352"/>
    <w:rsid w:val="00C0760F"/>
    <w:rsid w:val="00C0763F"/>
    <w:rsid w:val="00C0781F"/>
    <w:rsid w:val="00C078A6"/>
    <w:rsid w:val="00C07CEA"/>
    <w:rsid w:val="00C07D2F"/>
    <w:rsid w:val="00C1038F"/>
    <w:rsid w:val="00C107DE"/>
    <w:rsid w:val="00C10898"/>
    <w:rsid w:val="00C108C5"/>
    <w:rsid w:val="00C10A86"/>
    <w:rsid w:val="00C11168"/>
    <w:rsid w:val="00C113D5"/>
    <w:rsid w:val="00C11774"/>
    <w:rsid w:val="00C117ED"/>
    <w:rsid w:val="00C11820"/>
    <w:rsid w:val="00C11956"/>
    <w:rsid w:val="00C119AE"/>
    <w:rsid w:val="00C11D36"/>
    <w:rsid w:val="00C11E6B"/>
    <w:rsid w:val="00C11E84"/>
    <w:rsid w:val="00C11FC6"/>
    <w:rsid w:val="00C120C0"/>
    <w:rsid w:val="00C124DE"/>
    <w:rsid w:val="00C1250D"/>
    <w:rsid w:val="00C127F2"/>
    <w:rsid w:val="00C127F5"/>
    <w:rsid w:val="00C129E5"/>
    <w:rsid w:val="00C12AF9"/>
    <w:rsid w:val="00C12C1E"/>
    <w:rsid w:val="00C13104"/>
    <w:rsid w:val="00C13794"/>
    <w:rsid w:val="00C137DD"/>
    <w:rsid w:val="00C137FE"/>
    <w:rsid w:val="00C1382E"/>
    <w:rsid w:val="00C13A3C"/>
    <w:rsid w:val="00C13B0C"/>
    <w:rsid w:val="00C13BBF"/>
    <w:rsid w:val="00C13BC1"/>
    <w:rsid w:val="00C13DA6"/>
    <w:rsid w:val="00C140E7"/>
    <w:rsid w:val="00C14A21"/>
    <w:rsid w:val="00C14B9A"/>
    <w:rsid w:val="00C14C87"/>
    <w:rsid w:val="00C14FDD"/>
    <w:rsid w:val="00C1510C"/>
    <w:rsid w:val="00C15241"/>
    <w:rsid w:val="00C1527E"/>
    <w:rsid w:val="00C15351"/>
    <w:rsid w:val="00C15533"/>
    <w:rsid w:val="00C15F2B"/>
    <w:rsid w:val="00C16023"/>
    <w:rsid w:val="00C16297"/>
    <w:rsid w:val="00C167D7"/>
    <w:rsid w:val="00C1682F"/>
    <w:rsid w:val="00C16A5A"/>
    <w:rsid w:val="00C16B53"/>
    <w:rsid w:val="00C16EEB"/>
    <w:rsid w:val="00C17121"/>
    <w:rsid w:val="00C172EB"/>
    <w:rsid w:val="00C17508"/>
    <w:rsid w:val="00C178B8"/>
    <w:rsid w:val="00C17AB1"/>
    <w:rsid w:val="00C17B5A"/>
    <w:rsid w:val="00C17D16"/>
    <w:rsid w:val="00C17F34"/>
    <w:rsid w:val="00C20168"/>
    <w:rsid w:val="00C201DE"/>
    <w:rsid w:val="00C20381"/>
    <w:rsid w:val="00C20420"/>
    <w:rsid w:val="00C2052E"/>
    <w:rsid w:val="00C208BE"/>
    <w:rsid w:val="00C20AFA"/>
    <w:rsid w:val="00C21045"/>
    <w:rsid w:val="00C21597"/>
    <w:rsid w:val="00C216D3"/>
    <w:rsid w:val="00C216E0"/>
    <w:rsid w:val="00C21948"/>
    <w:rsid w:val="00C21E41"/>
    <w:rsid w:val="00C22180"/>
    <w:rsid w:val="00C2223A"/>
    <w:rsid w:val="00C223ED"/>
    <w:rsid w:val="00C22552"/>
    <w:rsid w:val="00C227AD"/>
    <w:rsid w:val="00C227C6"/>
    <w:rsid w:val="00C227DB"/>
    <w:rsid w:val="00C22B08"/>
    <w:rsid w:val="00C22C06"/>
    <w:rsid w:val="00C22E06"/>
    <w:rsid w:val="00C22EC6"/>
    <w:rsid w:val="00C23172"/>
    <w:rsid w:val="00C2332C"/>
    <w:rsid w:val="00C233F2"/>
    <w:rsid w:val="00C23782"/>
    <w:rsid w:val="00C23849"/>
    <w:rsid w:val="00C238B9"/>
    <w:rsid w:val="00C23AA2"/>
    <w:rsid w:val="00C23B5C"/>
    <w:rsid w:val="00C24016"/>
    <w:rsid w:val="00C240F9"/>
    <w:rsid w:val="00C24220"/>
    <w:rsid w:val="00C24266"/>
    <w:rsid w:val="00C243B3"/>
    <w:rsid w:val="00C244FC"/>
    <w:rsid w:val="00C24713"/>
    <w:rsid w:val="00C2484F"/>
    <w:rsid w:val="00C24B6A"/>
    <w:rsid w:val="00C24DD7"/>
    <w:rsid w:val="00C24E34"/>
    <w:rsid w:val="00C256E5"/>
    <w:rsid w:val="00C25720"/>
    <w:rsid w:val="00C25EE3"/>
    <w:rsid w:val="00C2615F"/>
    <w:rsid w:val="00C261CF"/>
    <w:rsid w:val="00C26366"/>
    <w:rsid w:val="00C26592"/>
    <w:rsid w:val="00C2664C"/>
    <w:rsid w:val="00C267E7"/>
    <w:rsid w:val="00C26C55"/>
    <w:rsid w:val="00C26CBC"/>
    <w:rsid w:val="00C26EA9"/>
    <w:rsid w:val="00C2700B"/>
    <w:rsid w:val="00C27213"/>
    <w:rsid w:val="00C27388"/>
    <w:rsid w:val="00C27536"/>
    <w:rsid w:val="00C276F3"/>
    <w:rsid w:val="00C2770E"/>
    <w:rsid w:val="00C27899"/>
    <w:rsid w:val="00C279E5"/>
    <w:rsid w:val="00C27ACA"/>
    <w:rsid w:val="00C27B28"/>
    <w:rsid w:val="00C27F99"/>
    <w:rsid w:val="00C30574"/>
    <w:rsid w:val="00C305E0"/>
    <w:rsid w:val="00C30916"/>
    <w:rsid w:val="00C30C8F"/>
    <w:rsid w:val="00C30D6E"/>
    <w:rsid w:val="00C30EF4"/>
    <w:rsid w:val="00C31091"/>
    <w:rsid w:val="00C311F3"/>
    <w:rsid w:val="00C31271"/>
    <w:rsid w:val="00C3142E"/>
    <w:rsid w:val="00C31528"/>
    <w:rsid w:val="00C31BAC"/>
    <w:rsid w:val="00C31CA4"/>
    <w:rsid w:val="00C31CB7"/>
    <w:rsid w:val="00C31E59"/>
    <w:rsid w:val="00C320BE"/>
    <w:rsid w:val="00C322C7"/>
    <w:rsid w:val="00C32C0D"/>
    <w:rsid w:val="00C32C84"/>
    <w:rsid w:val="00C32CDD"/>
    <w:rsid w:val="00C32D2D"/>
    <w:rsid w:val="00C33012"/>
    <w:rsid w:val="00C33BA9"/>
    <w:rsid w:val="00C33CA6"/>
    <w:rsid w:val="00C33D76"/>
    <w:rsid w:val="00C33E06"/>
    <w:rsid w:val="00C33E0B"/>
    <w:rsid w:val="00C33ED5"/>
    <w:rsid w:val="00C345CA"/>
    <w:rsid w:val="00C347C1"/>
    <w:rsid w:val="00C34A4B"/>
    <w:rsid w:val="00C34B55"/>
    <w:rsid w:val="00C34CD0"/>
    <w:rsid w:val="00C34F6B"/>
    <w:rsid w:val="00C35913"/>
    <w:rsid w:val="00C35D40"/>
    <w:rsid w:val="00C36090"/>
    <w:rsid w:val="00C36155"/>
    <w:rsid w:val="00C36256"/>
    <w:rsid w:val="00C363A8"/>
    <w:rsid w:val="00C36438"/>
    <w:rsid w:val="00C36A15"/>
    <w:rsid w:val="00C36F08"/>
    <w:rsid w:val="00C370CA"/>
    <w:rsid w:val="00C37320"/>
    <w:rsid w:val="00C37465"/>
    <w:rsid w:val="00C37C38"/>
    <w:rsid w:val="00C37C71"/>
    <w:rsid w:val="00C37F11"/>
    <w:rsid w:val="00C40268"/>
    <w:rsid w:val="00C4038A"/>
    <w:rsid w:val="00C40463"/>
    <w:rsid w:val="00C4056A"/>
    <w:rsid w:val="00C408D0"/>
    <w:rsid w:val="00C40A9D"/>
    <w:rsid w:val="00C40EFF"/>
    <w:rsid w:val="00C41114"/>
    <w:rsid w:val="00C41172"/>
    <w:rsid w:val="00C412DD"/>
    <w:rsid w:val="00C41335"/>
    <w:rsid w:val="00C4176E"/>
    <w:rsid w:val="00C41A03"/>
    <w:rsid w:val="00C41ADD"/>
    <w:rsid w:val="00C41C54"/>
    <w:rsid w:val="00C41F45"/>
    <w:rsid w:val="00C41FE6"/>
    <w:rsid w:val="00C420BC"/>
    <w:rsid w:val="00C42400"/>
    <w:rsid w:val="00C427EC"/>
    <w:rsid w:val="00C4281E"/>
    <w:rsid w:val="00C42B8B"/>
    <w:rsid w:val="00C42C33"/>
    <w:rsid w:val="00C42D5F"/>
    <w:rsid w:val="00C42E2B"/>
    <w:rsid w:val="00C42E39"/>
    <w:rsid w:val="00C42FD4"/>
    <w:rsid w:val="00C42FFB"/>
    <w:rsid w:val="00C43064"/>
    <w:rsid w:val="00C431F9"/>
    <w:rsid w:val="00C43264"/>
    <w:rsid w:val="00C435E6"/>
    <w:rsid w:val="00C4378B"/>
    <w:rsid w:val="00C43A55"/>
    <w:rsid w:val="00C43C0E"/>
    <w:rsid w:val="00C43E7B"/>
    <w:rsid w:val="00C4431B"/>
    <w:rsid w:val="00C443E9"/>
    <w:rsid w:val="00C44B4A"/>
    <w:rsid w:val="00C44E6A"/>
    <w:rsid w:val="00C452BA"/>
    <w:rsid w:val="00C4545B"/>
    <w:rsid w:val="00C4573C"/>
    <w:rsid w:val="00C4580B"/>
    <w:rsid w:val="00C45989"/>
    <w:rsid w:val="00C45D47"/>
    <w:rsid w:val="00C45D61"/>
    <w:rsid w:val="00C46059"/>
    <w:rsid w:val="00C4614F"/>
    <w:rsid w:val="00C46352"/>
    <w:rsid w:val="00C46CFE"/>
    <w:rsid w:val="00C46F11"/>
    <w:rsid w:val="00C4731D"/>
    <w:rsid w:val="00C4735C"/>
    <w:rsid w:val="00C476EB"/>
    <w:rsid w:val="00C4776F"/>
    <w:rsid w:val="00C478D8"/>
    <w:rsid w:val="00C47AB8"/>
    <w:rsid w:val="00C47DA2"/>
    <w:rsid w:val="00C47F26"/>
    <w:rsid w:val="00C47F93"/>
    <w:rsid w:val="00C47FA2"/>
    <w:rsid w:val="00C500C5"/>
    <w:rsid w:val="00C50191"/>
    <w:rsid w:val="00C5020E"/>
    <w:rsid w:val="00C50243"/>
    <w:rsid w:val="00C503B3"/>
    <w:rsid w:val="00C508DE"/>
    <w:rsid w:val="00C50CFC"/>
    <w:rsid w:val="00C50DCE"/>
    <w:rsid w:val="00C5119D"/>
    <w:rsid w:val="00C51419"/>
    <w:rsid w:val="00C51505"/>
    <w:rsid w:val="00C51545"/>
    <w:rsid w:val="00C51551"/>
    <w:rsid w:val="00C51618"/>
    <w:rsid w:val="00C51652"/>
    <w:rsid w:val="00C51F28"/>
    <w:rsid w:val="00C521C7"/>
    <w:rsid w:val="00C52547"/>
    <w:rsid w:val="00C528A6"/>
    <w:rsid w:val="00C5297B"/>
    <w:rsid w:val="00C52B56"/>
    <w:rsid w:val="00C52C23"/>
    <w:rsid w:val="00C52C29"/>
    <w:rsid w:val="00C52CBB"/>
    <w:rsid w:val="00C52CC2"/>
    <w:rsid w:val="00C52E74"/>
    <w:rsid w:val="00C52FDB"/>
    <w:rsid w:val="00C52FFC"/>
    <w:rsid w:val="00C53675"/>
    <w:rsid w:val="00C539F2"/>
    <w:rsid w:val="00C53B02"/>
    <w:rsid w:val="00C54036"/>
    <w:rsid w:val="00C54041"/>
    <w:rsid w:val="00C545D6"/>
    <w:rsid w:val="00C54620"/>
    <w:rsid w:val="00C546C7"/>
    <w:rsid w:val="00C54714"/>
    <w:rsid w:val="00C547D0"/>
    <w:rsid w:val="00C54B7B"/>
    <w:rsid w:val="00C554B5"/>
    <w:rsid w:val="00C55526"/>
    <w:rsid w:val="00C55879"/>
    <w:rsid w:val="00C558E9"/>
    <w:rsid w:val="00C559D1"/>
    <w:rsid w:val="00C55D51"/>
    <w:rsid w:val="00C55DA6"/>
    <w:rsid w:val="00C561A5"/>
    <w:rsid w:val="00C56403"/>
    <w:rsid w:val="00C56577"/>
    <w:rsid w:val="00C565D3"/>
    <w:rsid w:val="00C5669E"/>
    <w:rsid w:val="00C56BB3"/>
    <w:rsid w:val="00C56D51"/>
    <w:rsid w:val="00C56F58"/>
    <w:rsid w:val="00C572B4"/>
    <w:rsid w:val="00C572FF"/>
    <w:rsid w:val="00C57416"/>
    <w:rsid w:val="00C5759D"/>
    <w:rsid w:val="00C575A3"/>
    <w:rsid w:val="00C57880"/>
    <w:rsid w:val="00C57905"/>
    <w:rsid w:val="00C57A00"/>
    <w:rsid w:val="00C57A01"/>
    <w:rsid w:val="00C57CBB"/>
    <w:rsid w:val="00C57D4B"/>
    <w:rsid w:val="00C57D76"/>
    <w:rsid w:val="00C57F60"/>
    <w:rsid w:val="00C603AA"/>
    <w:rsid w:val="00C60899"/>
    <w:rsid w:val="00C60D56"/>
    <w:rsid w:val="00C61424"/>
    <w:rsid w:val="00C61557"/>
    <w:rsid w:val="00C615F1"/>
    <w:rsid w:val="00C61758"/>
    <w:rsid w:val="00C61CF7"/>
    <w:rsid w:val="00C61DB9"/>
    <w:rsid w:val="00C61FCD"/>
    <w:rsid w:val="00C620EB"/>
    <w:rsid w:val="00C621BF"/>
    <w:rsid w:val="00C62525"/>
    <w:rsid w:val="00C62B4B"/>
    <w:rsid w:val="00C62EEC"/>
    <w:rsid w:val="00C631F1"/>
    <w:rsid w:val="00C63391"/>
    <w:rsid w:val="00C636B1"/>
    <w:rsid w:val="00C6393A"/>
    <w:rsid w:val="00C63B10"/>
    <w:rsid w:val="00C63CAD"/>
    <w:rsid w:val="00C63F02"/>
    <w:rsid w:val="00C6422B"/>
    <w:rsid w:val="00C643A4"/>
    <w:rsid w:val="00C64619"/>
    <w:rsid w:val="00C647FD"/>
    <w:rsid w:val="00C64851"/>
    <w:rsid w:val="00C64A77"/>
    <w:rsid w:val="00C64B43"/>
    <w:rsid w:val="00C64EBB"/>
    <w:rsid w:val="00C652D8"/>
    <w:rsid w:val="00C6570B"/>
    <w:rsid w:val="00C65869"/>
    <w:rsid w:val="00C6587A"/>
    <w:rsid w:val="00C65A8C"/>
    <w:rsid w:val="00C660A2"/>
    <w:rsid w:val="00C66137"/>
    <w:rsid w:val="00C6617E"/>
    <w:rsid w:val="00C66330"/>
    <w:rsid w:val="00C66594"/>
    <w:rsid w:val="00C66C53"/>
    <w:rsid w:val="00C66D81"/>
    <w:rsid w:val="00C67164"/>
    <w:rsid w:val="00C679F6"/>
    <w:rsid w:val="00C67A4F"/>
    <w:rsid w:val="00C67BB2"/>
    <w:rsid w:val="00C706F0"/>
    <w:rsid w:val="00C708C7"/>
    <w:rsid w:val="00C708DA"/>
    <w:rsid w:val="00C708F8"/>
    <w:rsid w:val="00C70987"/>
    <w:rsid w:val="00C70A38"/>
    <w:rsid w:val="00C70A64"/>
    <w:rsid w:val="00C70BA0"/>
    <w:rsid w:val="00C70BA3"/>
    <w:rsid w:val="00C70E96"/>
    <w:rsid w:val="00C70FAA"/>
    <w:rsid w:val="00C7128F"/>
    <w:rsid w:val="00C71B0C"/>
    <w:rsid w:val="00C720BE"/>
    <w:rsid w:val="00C720EF"/>
    <w:rsid w:val="00C7218F"/>
    <w:rsid w:val="00C721CA"/>
    <w:rsid w:val="00C72453"/>
    <w:rsid w:val="00C726A6"/>
    <w:rsid w:val="00C727FD"/>
    <w:rsid w:val="00C728C4"/>
    <w:rsid w:val="00C72AB3"/>
    <w:rsid w:val="00C72E04"/>
    <w:rsid w:val="00C72E35"/>
    <w:rsid w:val="00C734E7"/>
    <w:rsid w:val="00C734FF"/>
    <w:rsid w:val="00C737F8"/>
    <w:rsid w:val="00C73E1C"/>
    <w:rsid w:val="00C73F3A"/>
    <w:rsid w:val="00C73F43"/>
    <w:rsid w:val="00C74144"/>
    <w:rsid w:val="00C74381"/>
    <w:rsid w:val="00C74407"/>
    <w:rsid w:val="00C74487"/>
    <w:rsid w:val="00C74DFE"/>
    <w:rsid w:val="00C755D2"/>
    <w:rsid w:val="00C756B4"/>
    <w:rsid w:val="00C757A4"/>
    <w:rsid w:val="00C75925"/>
    <w:rsid w:val="00C75961"/>
    <w:rsid w:val="00C75A44"/>
    <w:rsid w:val="00C75B56"/>
    <w:rsid w:val="00C75BE2"/>
    <w:rsid w:val="00C75C76"/>
    <w:rsid w:val="00C7613D"/>
    <w:rsid w:val="00C76366"/>
    <w:rsid w:val="00C76523"/>
    <w:rsid w:val="00C76696"/>
    <w:rsid w:val="00C767B7"/>
    <w:rsid w:val="00C76BC2"/>
    <w:rsid w:val="00C76D17"/>
    <w:rsid w:val="00C76D64"/>
    <w:rsid w:val="00C76F47"/>
    <w:rsid w:val="00C7741E"/>
    <w:rsid w:val="00C774F1"/>
    <w:rsid w:val="00C7756C"/>
    <w:rsid w:val="00C775B8"/>
    <w:rsid w:val="00C7769E"/>
    <w:rsid w:val="00C77972"/>
    <w:rsid w:val="00C77E91"/>
    <w:rsid w:val="00C80263"/>
    <w:rsid w:val="00C80761"/>
    <w:rsid w:val="00C80D14"/>
    <w:rsid w:val="00C80D63"/>
    <w:rsid w:val="00C8129D"/>
    <w:rsid w:val="00C813CC"/>
    <w:rsid w:val="00C81792"/>
    <w:rsid w:val="00C8198A"/>
    <w:rsid w:val="00C81C41"/>
    <w:rsid w:val="00C81D27"/>
    <w:rsid w:val="00C81FB3"/>
    <w:rsid w:val="00C820BB"/>
    <w:rsid w:val="00C82447"/>
    <w:rsid w:val="00C824F2"/>
    <w:rsid w:val="00C8269B"/>
    <w:rsid w:val="00C82869"/>
    <w:rsid w:val="00C83041"/>
    <w:rsid w:val="00C830CB"/>
    <w:rsid w:val="00C8338B"/>
    <w:rsid w:val="00C833D5"/>
    <w:rsid w:val="00C83585"/>
    <w:rsid w:val="00C835D5"/>
    <w:rsid w:val="00C83714"/>
    <w:rsid w:val="00C839BF"/>
    <w:rsid w:val="00C83A04"/>
    <w:rsid w:val="00C83AE0"/>
    <w:rsid w:val="00C83D32"/>
    <w:rsid w:val="00C84493"/>
    <w:rsid w:val="00C84629"/>
    <w:rsid w:val="00C84E26"/>
    <w:rsid w:val="00C850D3"/>
    <w:rsid w:val="00C85217"/>
    <w:rsid w:val="00C852D3"/>
    <w:rsid w:val="00C853A5"/>
    <w:rsid w:val="00C855B7"/>
    <w:rsid w:val="00C855F0"/>
    <w:rsid w:val="00C856FE"/>
    <w:rsid w:val="00C85D04"/>
    <w:rsid w:val="00C8613A"/>
    <w:rsid w:val="00C863EF"/>
    <w:rsid w:val="00C8660A"/>
    <w:rsid w:val="00C867B2"/>
    <w:rsid w:val="00C8695A"/>
    <w:rsid w:val="00C86DC8"/>
    <w:rsid w:val="00C86DD8"/>
    <w:rsid w:val="00C86E66"/>
    <w:rsid w:val="00C86FD2"/>
    <w:rsid w:val="00C871A5"/>
    <w:rsid w:val="00C872C2"/>
    <w:rsid w:val="00C877CD"/>
    <w:rsid w:val="00C87AF6"/>
    <w:rsid w:val="00C87D3E"/>
    <w:rsid w:val="00C87D72"/>
    <w:rsid w:val="00C87E5E"/>
    <w:rsid w:val="00C87F05"/>
    <w:rsid w:val="00C90013"/>
    <w:rsid w:val="00C9004F"/>
    <w:rsid w:val="00C902AE"/>
    <w:rsid w:val="00C90D07"/>
    <w:rsid w:val="00C90D45"/>
    <w:rsid w:val="00C910D5"/>
    <w:rsid w:val="00C9123A"/>
    <w:rsid w:val="00C912F0"/>
    <w:rsid w:val="00C91535"/>
    <w:rsid w:val="00C91CEA"/>
    <w:rsid w:val="00C91DD9"/>
    <w:rsid w:val="00C91E0C"/>
    <w:rsid w:val="00C91ED4"/>
    <w:rsid w:val="00C91F1C"/>
    <w:rsid w:val="00C92127"/>
    <w:rsid w:val="00C922BF"/>
    <w:rsid w:val="00C9243C"/>
    <w:rsid w:val="00C926B4"/>
    <w:rsid w:val="00C92722"/>
    <w:rsid w:val="00C9273D"/>
    <w:rsid w:val="00C928BA"/>
    <w:rsid w:val="00C92B7B"/>
    <w:rsid w:val="00C92C19"/>
    <w:rsid w:val="00C92CC6"/>
    <w:rsid w:val="00C92CD0"/>
    <w:rsid w:val="00C9304D"/>
    <w:rsid w:val="00C9320D"/>
    <w:rsid w:val="00C93232"/>
    <w:rsid w:val="00C933EE"/>
    <w:rsid w:val="00C9353A"/>
    <w:rsid w:val="00C93708"/>
    <w:rsid w:val="00C9394D"/>
    <w:rsid w:val="00C93AC0"/>
    <w:rsid w:val="00C93C29"/>
    <w:rsid w:val="00C93D08"/>
    <w:rsid w:val="00C93DBB"/>
    <w:rsid w:val="00C93E8E"/>
    <w:rsid w:val="00C93EDB"/>
    <w:rsid w:val="00C93F8C"/>
    <w:rsid w:val="00C94180"/>
    <w:rsid w:val="00C941B8"/>
    <w:rsid w:val="00C9462D"/>
    <w:rsid w:val="00C94775"/>
    <w:rsid w:val="00C947E2"/>
    <w:rsid w:val="00C949AE"/>
    <w:rsid w:val="00C949DE"/>
    <w:rsid w:val="00C94A82"/>
    <w:rsid w:val="00C94BDF"/>
    <w:rsid w:val="00C94CCF"/>
    <w:rsid w:val="00C954DF"/>
    <w:rsid w:val="00C955EE"/>
    <w:rsid w:val="00C955FC"/>
    <w:rsid w:val="00C957A4"/>
    <w:rsid w:val="00C95947"/>
    <w:rsid w:val="00C95A1B"/>
    <w:rsid w:val="00C9606F"/>
    <w:rsid w:val="00C960D3"/>
    <w:rsid w:val="00C9626B"/>
    <w:rsid w:val="00C962B6"/>
    <w:rsid w:val="00C9650A"/>
    <w:rsid w:val="00C96551"/>
    <w:rsid w:val="00C96F8B"/>
    <w:rsid w:val="00C970E8"/>
    <w:rsid w:val="00C971DF"/>
    <w:rsid w:val="00C974C1"/>
    <w:rsid w:val="00C97874"/>
    <w:rsid w:val="00C979F6"/>
    <w:rsid w:val="00C97A01"/>
    <w:rsid w:val="00C97C87"/>
    <w:rsid w:val="00C97CF4"/>
    <w:rsid w:val="00C97D48"/>
    <w:rsid w:val="00C97D6C"/>
    <w:rsid w:val="00C97DEB"/>
    <w:rsid w:val="00CA0025"/>
    <w:rsid w:val="00CA025F"/>
    <w:rsid w:val="00CA086B"/>
    <w:rsid w:val="00CA095C"/>
    <w:rsid w:val="00CA0D37"/>
    <w:rsid w:val="00CA0F53"/>
    <w:rsid w:val="00CA16B6"/>
    <w:rsid w:val="00CA1714"/>
    <w:rsid w:val="00CA1813"/>
    <w:rsid w:val="00CA1847"/>
    <w:rsid w:val="00CA186A"/>
    <w:rsid w:val="00CA18EF"/>
    <w:rsid w:val="00CA1979"/>
    <w:rsid w:val="00CA19FD"/>
    <w:rsid w:val="00CA1A69"/>
    <w:rsid w:val="00CA1E3D"/>
    <w:rsid w:val="00CA2034"/>
    <w:rsid w:val="00CA230A"/>
    <w:rsid w:val="00CA2357"/>
    <w:rsid w:val="00CA2429"/>
    <w:rsid w:val="00CA24DE"/>
    <w:rsid w:val="00CA25CA"/>
    <w:rsid w:val="00CA2858"/>
    <w:rsid w:val="00CA28F2"/>
    <w:rsid w:val="00CA2909"/>
    <w:rsid w:val="00CA2AD7"/>
    <w:rsid w:val="00CA2C1D"/>
    <w:rsid w:val="00CA2C79"/>
    <w:rsid w:val="00CA2C7A"/>
    <w:rsid w:val="00CA2E45"/>
    <w:rsid w:val="00CA2F68"/>
    <w:rsid w:val="00CA347C"/>
    <w:rsid w:val="00CA35B1"/>
    <w:rsid w:val="00CA3832"/>
    <w:rsid w:val="00CA3A42"/>
    <w:rsid w:val="00CA3B27"/>
    <w:rsid w:val="00CA3BB8"/>
    <w:rsid w:val="00CA3ED8"/>
    <w:rsid w:val="00CA3FAA"/>
    <w:rsid w:val="00CA4442"/>
    <w:rsid w:val="00CA483B"/>
    <w:rsid w:val="00CA4B24"/>
    <w:rsid w:val="00CA4ED2"/>
    <w:rsid w:val="00CA4FD8"/>
    <w:rsid w:val="00CA520A"/>
    <w:rsid w:val="00CA5579"/>
    <w:rsid w:val="00CA5694"/>
    <w:rsid w:val="00CA577E"/>
    <w:rsid w:val="00CA5932"/>
    <w:rsid w:val="00CA5977"/>
    <w:rsid w:val="00CA59A6"/>
    <w:rsid w:val="00CA5B92"/>
    <w:rsid w:val="00CA5E03"/>
    <w:rsid w:val="00CA5E1D"/>
    <w:rsid w:val="00CA5EA5"/>
    <w:rsid w:val="00CA5F8D"/>
    <w:rsid w:val="00CA6080"/>
    <w:rsid w:val="00CA60D3"/>
    <w:rsid w:val="00CA611E"/>
    <w:rsid w:val="00CA645F"/>
    <w:rsid w:val="00CA691B"/>
    <w:rsid w:val="00CA6A93"/>
    <w:rsid w:val="00CA6ACD"/>
    <w:rsid w:val="00CA6BE3"/>
    <w:rsid w:val="00CA6D2D"/>
    <w:rsid w:val="00CA6ECD"/>
    <w:rsid w:val="00CA6FCE"/>
    <w:rsid w:val="00CA7039"/>
    <w:rsid w:val="00CA711F"/>
    <w:rsid w:val="00CA724D"/>
    <w:rsid w:val="00CA7376"/>
    <w:rsid w:val="00CA74DB"/>
    <w:rsid w:val="00CA74E1"/>
    <w:rsid w:val="00CA77F3"/>
    <w:rsid w:val="00CA7802"/>
    <w:rsid w:val="00CA78DF"/>
    <w:rsid w:val="00CA7C2B"/>
    <w:rsid w:val="00CA7D04"/>
    <w:rsid w:val="00CA7DDF"/>
    <w:rsid w:val="00CA7E9B"/>
    <w:rsid w:val="00CA7ED5"/>
    <w:rsid w:val="00CB0248"/>
    <w:rsid w:val="00CB0382"/>
    <w:rsid w:val="00CB066D"/>
    <w:rsid w:val="00CB0845"/>
    <w:rsid w:val="00CB08C0"/>
    <w:rsid w:val="00CB0AF0"/>
    <w:rsid w:val="00CB0CFD"/>
    <w:rsid w:val="00CB0E31"/>
    <w:rsid w:val="00CB0F83"/>
    <w:rsid w:val="00CB0FF0"/>
    <w:rsid w:val="00CB11B1"/>
    <w:rsid w:val="00CB13A3"/>
    <w:rsid w:val="00CB16AA"/>
    <w:rsid w:val="00CB1770"/>
    <w:rsid w:val="00CB1A5A"/>
    <w:rsid w:val="00CB1BE5"/>
    <w:rsid w:val="00CB1D71"/>
    <w:rsid w:val="00CB1DA1"/>
    <w:rsid w:val="00CB1E19"/>
    <w:rsid w:val="00CB1F65"/>
    <w:rsid w:val="00CB26D4"/>
    <w:rsid w:val="00CB2C01"/>
    <w:rsid w:val="00CB2C09"/>
    <w:rsid w:val="00CB33B4"/>
    <w:rsid w:val="00CB36BD"/>
    <w:rsid w:val="00CB3937"/>
    <w:rsid w:val="00CB3C77"/>
    <w:rsid w:val="00CB3C85"/>
    <w:rsid w:val="00CB3D3C"/>
    <w:rsid w:val="00CB3D52"/>
    <w:rsid w:val="00CB3E17"/>
    <w:rsid w:val="00CB42CC"/>
    <w:rsid w:val="00CB442B"/>
    <w:rsid w:val="00CB442E"/>
    <w:rsid w:val="00CB49BD"/>
    <w:rsid w:val="00CB4CBE"/>
    <w:rsid w:val="00CB4DAB"/>
    <w:rsid w:val="00CB54CB"/>
    <w:rsid w:val="00CB55F0"/>
    <w:rsid w:val="00CB5AAB"/>
    <w:rsid w:val="00CB5BF8"/>
    <w:rsid w:val="00CB5E45"/>
    <w:rsid w:val="00CB6059"/>
    <w:rsid w:val="00CB617B"/>
    <w:rsid w:val="00CB676C"/>
    <w:rsid w:val="00CB67D9"/>
    <w:rsid w:val="00CB6CB4"/>
    <w:rsid w:val="00CB6F00"/>
    <w:rsid w:val="00CB6FAB"/>
    <w:rsid w:val="00CB72A5"/>
    <w:rsid w:val="00CB7920"/>
    <w:rsid w:val="00CB794E"/>
    <w:rsid w:val="00CB7CC3"/>
    <w:rsid w:val="00CB7EE3"/>
    <w:rsid w:val="00CC0444"/>
    <w:rsid w:val="00CC057D"/>
    <w:rsid w:val="00CC075E"/>
    <w:rsid w:val="00CC0833"/>
    <w:rsid w:val="00CC0928"/>
    <w:rsid w:val="00CC1122"/>
    <w:rsid w:val="00CC1233"/>
    <w:rsid w:val="00CC16D3"/>
    <w:rsid w:val="00CC171D"/>
    <w:rsid w:val="00CC1D09"/>
    <w:rsid w:val="00CC1E93"/>
    <w:rsid w:val="00CC1FF7"/>
    <w:rsid w:val="00CC214D"/>
    <w:rsid w:val="00CC24BF"/>
    <w:rsid w:val="00CC2564"/>
    <w:rsid w:val="00CC25A5"/>
    <w:rsid w:val="00CC25B7"/>
    <w:rsid w:val="00CC2928"/>
    <w:rsid w:val="00CC2943"/>
    <w:rsid w:val="00CC2A63"/>
    <w:rsid w:val="00CC31A4"/>
    <w:rsid w:val="00CC3278"/>
    <w:rsid w:val="00CC345E"/>
    <w:rsid w:val="00CC3473"/>
    <w:rsid w:val="00CC34E1"/>
    <w:rsid w:val="00CC3C6E"/>
    <w:rsid w:val="00CC3CEC"/>
    <w:rsid w:val="00CC3FB7"/>
    <w:rsid w:val="00CC454A"/>
    <w:rsid w:val="00CC4566"/>
    <w:rsid w:val="00CC495C"/>
    <w:rsid w:val="00CC4964"/>
    <w:rsid w:val="00CC4ADD"/>
    <w:rsid w:val="00CC4CFF"/>
    <w:rsid w:val="00CC4F2A"/>
    <w:rsid w:val="00CC51D4"/>
    <w:rsid w:val="00CC5200"/>
    <w:rsid w:val="00CC52DE"/>
    <w:rsid w:val="00CC54A5"/>
    <w:rsid w:val="00CC55D7"/>
    <w:rsid w:val="00CC5629"/>
    <w:rsid w:val="00CC57C6"/>
    <w:rsid w:val="00CC5834"/>
    <w:rsid w:val="00CC5EF9"/>
    <w:rsid w:val="00CC61D1"/>
    <w:rsid w:val="00CC650C"/>
    <w:rsid w:val="00CC679E"/>
    <w:rsid w:val="00CC67CC"/>
    <w:rsid w:val="00CC682C"/>
    <w:rsid w:val="00CC6A62"/>
    <w:rsid w:val="00CC6E26"/>
    <w:rsid w:val="00CC71D8"/>
    <w:rsid w:val="00CC78D4"/>
    <w:rsid w:val="00CC7B18"/>
    <w:rsid w:val="00CC7E67"/>
    <w:rsid w:val="00CC7F2F"/>
    <w:rsid w:val="00CD011C"/>
    <w:rsid w:val="00CD01FF"/>
    <w:rsid w:val="00CD0302"/>
    <w:rsid w:val="00CD04D8"/>
    <w:rsid w:val="00CD066D"/>
    <w:rsid w:val="00CD0D5E"/>
    <w:rsid w:val="00CD0DE7"/>
    <w:rsid w:val="00CD10E3"/>
    <w:rsid w:val="00CD1151"/>
    <w:rsid w:val="00CD11D5"/>
    <w:rsid w:val="00CD151B"/>
    <w:rsid w:val="00CD16DA"/>
    <w:rsid w:val="00CD22E3"/>
    <w:rsid w:val="00CD2650"/>
    <w:rsid w:val="00CD26EC"/>
    <w:rsid w:val="00CD2A63"/>
    <w:rsid w:val="00CD2E45"/>
    <w:rsid w:val="00CD2FFC"/>
    <w:rsid w:val="00CD304A"/>
    <w:rsid w:val="00CD3122"/>
    <w:rsid w:val="00CD3166"/>
    <w:rsid w:val="00CD3385"/>
    <w:rsid w:val="00CD35ED"/>
    <w:rsid w:val="00CD3698"/>
    <w:rsid w:val="00CD3958"/>
    <w:rsid w:val="00CD3B15"/>
    <w:rsid w:val="00CD3C48"/>
    <w:rsid w:val="00CD3EFB"/>
    <w:rsid w:val="00CD4261"/>
    <w:rsid w:val="00CD4C50"/>
    <w:rsid w:val="00CD50E1"/>
    <w:rsid w:val="00CD539A"/>
    <w:rsid w:val="00CD54EC"/>
    <w:rsid w:val="00CD56E9"/>
    <w:rsid w:val="00CD58DB"/>
    <w:rsid w:val="00CD5AD3"/>
    <w:rsid w:val="00CD5B07"/>
    <w:rsid w:val="00CD5EFF"/>
    <w:rsid w:val="00CD5F8C"/>
    <w:rsid w:val="00CD6139"/>
    <w:rsid w:val="00CD659E"/>
    <w:rsid w:val="00CD69A2"/>
    <w:rsid w:val="00CD69BC"/>
    <w:rsid w:val="00CD69E7"/>
    <w:rsid w:val="00CD6A17"/>
    <w:rsid w:val="00CD6A1E"/>
    <w:rsid w:val="00CD6BD8"/>
    <w:rsid w:val="00CD6EFB"/>
    <w:rsid w:val="00CD6FDE"/>
    <w:rsid w:val="00CD7236"/>
    <w:rsid w:val="00CD76D9"/>
    <w:rsid w:val="00CD771E"/>
    <w:rsid w:val="00CD7B03"/>
    <w:rsid w:val="00CD7B20"/>
    <w:rsid w:val="00CD7D89"/>
    <w:rsid w:val="00CE0089"/>
    <w:rsid w:val="00CE019B"/>
    <w:rsid w:val="00CE0764"/>
    <w:rsid w:val="00CE0B2E"/>
    <w:rsid w:val="00CE0C1F"/>
    <w:rsid w:val="00CE0CBA"/>
    <w:rsid w:val="00CE103B"/>
    <w:rsid w:val="00CE127F"/>
    <w:rsid w:val="00CE16D8"/>
    <w:rsid w:val="00CE1766"/>
    <w:rsid w:val="00CE17F5"/>
    <w:rsid w:val="00CE1E4B"/>
    <w:rsid w:val="00CE21CF"/>
    <w:rsid w:val="00CE2211"/>
    <w:rsid w:val="00CE2477"/>
    <w:rsid w:val="00CE24C9"/>
    <w:rsid w:val="00CE2819"/>
    <w:rsid w:val="00CE2A50"/>
    <w:rsid w:val="00CE313E"/>
    <w:rsid w:val="00CE3479"/>
    <w:rsid w:val="00CE3482"/>
    <w:rsid w:val="00CE3BD1"/>
    <w:rsid w:val="00CE47CC"/>
    <w:rsid w:val="00CE4888"/>
    <w:rsid w:val="00CE48BE"/>
    <w:rsid w:val="00CE4D96"/>
    <w:rsid w:val="00CE4F5C"/>
    <w:rsid w:val="00CE5353"/>
    <w:rsid w:val="00CE5489"/>
    <w:rsid w:val="00CE5705"/>
    <w:rsid w:val="00CE574A"/>
    <w:rsid w:val="00CE5855"/>
    <w:rsid w:val="00CE5BB7"/>
    <w:rsid w:val="00CE5E32"/>
    <w:rsid w:val="00CE5E60"/>
    <w:rsid w:val="00CE6407"/>
    <w:rsid w:val="00CE645C"/>
    <w:rsid w:val="00CE68BB"/>
    <w:rsid w:val="00CE6AF6"/>
    <w:rsid w:val="00CE6B2D"/>
    <w:rsid w:val="00CE6B66"/>
    <w:rsid w:val="00CE6BD5"/>
    <w:rsid w:val="00CE6CCC"/>
    <w:rsid w:val="00CE6D43"/>
    <w:rsid w:val="00CE6DB3"/>
    <w:rsid w:val="00CE6E13"/>
    <w:rsid w:val="00CE70A5"/>
    <w:rsid w:val="00CE719B"/>
    <w:rsid w:val="00CE741C"/>
    <w:rsid w:val="00CE7577"/>
    <w:rsid w:val="00CE7591"/>
    <w:rsid w:val="00CE77D6"/>
    <w:rsid w:val="00CE7A56"/>
    <w:rsid w:val="00CE7DCF"/>
    <w:rsid w:val="00CF01E8"/>
    <w:rsid w:val="00CF047C"/>
    <w:rsid w:val="00CF05E4"/>
    <w:rsid w:val="00CF062C"/>
    <w:rsid w:val="00CF06AD"/>
    <w:rsid w:val="00CF06B8"/>
    <w:rsid w:val="00CF0BD6"/>
    <w:rsid w:val="00CF0E1F"/>
    <w:rsid w:val="00CF0EEC"/>
    <w:rsid w:val="00CF1061"/>
    <w:rsid w:val="00CF10A6"/>
    <w:rsid w:val="00CF1220"/>
    <w:rsid w:val="00CF13CA"/>
    <w:rsid w:val="00CF1403"/>
    <w:rsid w:val="00CF16E3"/>
    <w:rsid w:val="00CF16FD"/>
    <w:rsid w:val="00CF1798"/>
    <w:rsid w:val="00CF1DDE"/>
    <w:rsid w:val="00CF1F93"/>
    <w:rsid w:val="00CF2340"/>
    <w:rsid w:val="00CF2931"/>
    <w:rsid w:val="00CF2B0C"/>
    <w:rsid w:val="00CF2B20"/>
    <w:rsid w:val="00CF30F2"/>
    <w:rsid w:val="00CF32FC"/>
    <w:rsid w:val="00CF3583"/>
    <w:rsid w:val="00CF36F6"/>
    <w:rsid w:val="00CF3ADE"/>
    <w:rsid w:val="00CF3AEB"/>
    <w:rsid w:val="00CF3C76"/>
    <w:rsid w:val="00CF4167"/>
    <w:rsid w:val="00CF4538"/>
    <w:rsid w:val="00CF4562"/>
    <w:rsid w:val="00CF4838"/>
    <w:rsid w:val="00CF49BC"/>
    <w:rsid w:val="00CF4C23"/>
    <w:rsid w:val="00CF4D9B"/>
    <w:rsid w:val="00CF55C4"/>
    <w:rsid w:val="00CF5872"/>
    <w:rsid w:val="00CF5A2F"/>
    <w:rsid w:val="00CF5BAF"/>
    <w:rsid w:val="00CF5E51"/>
    <w:rsid w:val="00CF6002"/>
    <w:rsid w:val="00CF6452"/>
    <w:rsid w:val="00CF65A2"/>
    <w:rsid w:val="00CF66E4"/>
    <w:rsid w:val="00CF6797"/>
    <w:rsid w:val="00CF6AAC"/>
    <w:rsid w:val="00CF6AB2"/>
    <w:rsid w:val="00CF6F01"/>
    <w:rsid w:val="00CF6FBD"/>
    <w:rsid w:val="00CF7418"/>
    <w:rsid w:val="00CF7840"/>
    <w:rsid w:val="00CF7849"/>
    <w:rsid w:val="00CF7B95"/>
    <w:rsid w:val="00CF7D1F"/>
    <w:rsid w:val="00D000D5"/>
    <w:rsid w:val="00D0018B"/>
    <w:rsid w:val="00D004BB"/>
    <w:rsid w:val="00D005A8"/>
    <w:rsid w:val="00D00883"/>
    <w:rsid w:val="00D00957"/>
    <w:rsid w:val="00D00A0C"/>
    <w:rsid w:val="00D00B75"/>
    <w:rsid w:val="00D00B79"/>
    <w:rsid w:val="00D00D39"/>
    <w:rsid w:val="00D00F6E"/>
    <w:rsid w:val="00D011E9"/>
    <w:rsid w:val="00D01499"/>
    <w:rsid w:val="00D01554"/>
    <w:rsid w:val="00D015B4"/>
    <w:rsid w:val="00D0167F"/>
    <w:rsid w:val="00D016F5"/>
    <w:rsid w:val="00D01874"/>
    <w:rsid w:val="00D0192E"/>
    <w:rsid w:val="00D01936"/>
    <w:rsid w:val="00D019B7"/>
    <w:rsid w:val="00D01B46"/>
    <w:rsid w:val="00D01D7E"/>
    <w:rsid w:val="00D020DD"/>
    <w:rsid w:val="00D021AB"/>
    <w:rsid w:val="00D023BD"/>
    <w:rsid w:val="00D023D6"/>
    <w:rsid w:val="00D023FD"/>
    <w:rsid w:val="00D024AC"/>
    <w:rsid w:val="00D024C7"/>
    <w:rsid w:val="00D02569"/>
    <w:rsid w:val="00D025D2"/>
    <w:rsid w:val="00D02600"/>
    <w:rsid w:val="00D028BA"/>
    <w:rsid w:val="00D02920"/>
    <w:rsid w:val="00D03011"/>
    <w:rsid w:val="00D034C5"/>
    <w:rsid w:val="00D036B1"/>
    <w:rsid w:val="00D03732"/>
    <w:rsid w:val="00D037B5"/>
    <w:rsid w:val="00D0396E"/>
    <w:rsid w:val="00D03AFD"/>
    <w:rsid w:val="00D03B7F"/>
    <w:rsid w:val="00D03D16"/>
    <w:rsid w:val="00D03EC7"/>
    <w:rsid w:val="00D04410"/>
    <w:rsid w:val="00D044EA"/>
    <w:rsid w:val="00D046BD"/>
    <w:rsid w:val="00D046D3"/>
    <w:rsid w:val="00D048A8"/>
    <w:rsid w:val="00D048EA"/>
    <w:rsid w:val="00D04CCC"/>
    <w:rsid w:val="00D04F78"/>
    <w:rsid w:val="00D050B6"/>
    <w:rsid w:val="00D057F4"/>
    <w:rsid w:val="00D05DAD"/>
    <w:rsid w:val="00D06299"/>
    <w:rsid w:val="00D0636D"/>
    <w:rsid w:val="00D0647D"/>
    <w:rsid w:val="00D0668E"/>
    <w:rsid w:val="00D067C7"/>
    <w:rsid w:val="00D06906"/>
    <w:rsid w:val="00D06EF4"/>
    <w:rsid w:val="00D06F61"/>
    <w:rsid w:val="00D07123"/>
    <w:rsid w:val="00D072F2"/>
    <w:rsid w:val="00D07665"/>
    <w:rsid w:val="00D07727"/>
    <w:rsid w:val="00D07953"/>
    <w:rsid w:val="00D07995"/>
    <w:rsid w:val="00D07A69"/>
    <w:rsid w:val="00D07CAB"/>
    <w:rsid w:val="00D1066A"/>
    <w:rsid w:val="00D1071B"/>
    <w:rsid w:val="00D108EC"/>
    <w:rsid w:val="00D1092C"/>
    <w:rsid w:val="00D112BD"/>
    <w:rsid w:val="00D11715"/>
    <w:rsid w:val="00D11957"/>
    <w:rsid w:val="00D11968"/>
    <w:rsid w:val="00D119B6"/>
    <w:rsid w:val="00D11CCC"/>
    <w:rsid w:val="00D1232F"/>
    <w:rsid w:val="00D1240D"/>
    <w:rsid w:val="00D1290D"/>
    <w:rsid w:val="00D12EAD"/>
    <w:rsid w:val="00D1308C"/>
    <w:rsid w:val="00D133B5"/>
    <w:rsid w:val="00D134C9"/>
    <w:rsid w:val="00D135A3"/>
    <w:rsid w:val="00D135D5"/>
    <w:rsid w:val="00D136DF"/>
    <w:rsid w:val="00D1376D"/>
    <w:rsid w:val="00D1395C"/>
    <w:rsid w:val="00D13CB4"/>
    <w:rsid w:val="00D13DC7"/>
    <w:rsid w:val="00D1419A"/>
    <w:rsid w:val="00D141A0"/>
    <w:rsid w:val="00D14377"/>
    <w:rsid w:val="00D14549"/>
    <w:rsid w:val="00D14693"/>
    <w:rsid w:val="00D1496C"/>
    <w:rsid w:val="00D14989"/>
    <w:rsid w:val="00D14A0D"/>
    <w:rsid w:val="00D1507B"/>
    <w:rsid w:val="00D150B3"/>
    <w:rsid w:val="00D15157"/>
    <w:rsid w:val="00D1518D"/>
    <w:rsid w:val="00D1520D"/>
    <w:rsid w:val="00D15360"/>
    <w:rsid w:val="00D1563E"/>
    <w:rsid w:val="00D156DA"/>
    <w:rsid w:val="00D157CD"/>
    <w:rsid w:val="00D1582D"/>
    <w:rsid w:val="00D15B9E"/>
    <w:rsid w:val="00D15FC0"/>
    <w:rsid w:val="00D16080"/>
    <w:rsid w:val="00D164C7"/>
    <w:rsid w:val="00D16618"/>
    <w:rsid w:val="00D167A8"/>
    <w:rsid w:val="00D1680F"/>
    <w:rsid w:val="00D16848"/>
    <w:rsid w:val="00D168D3"/>
    <w:rsid w:val="00D169BA"/>
    <w:rsid w:val="00D16A61"/>
    <w:rsid w:val="00D16A63"/>
    <w:rsid w:val="00D16C1B"/>
    <w:rsid w:val="00D16DBC"/>
    <w:rsid w:val="00D1707A"/>
    <w:rsid w:val="00D172DB"/>
    <w:rsid w:val="00D1793F"/>
    <w:rsid w:val="00D17963"/>
    <w:rsid w:val="00D17B00"/>
    <w:rsid w:val="00D17D51"/>
    <w:rsid w:val="00D17E93"/>
    <w:rsid w:val="00D17F7A"/>
    <w:rsid w:val="00D17FCE"/>
    <w:rsid w:val="00D20240"/>
    <w:rsid w:val="00D208A7"/>
    <w:rsid w:val="00D208D5"/>
    <w:rsid w:val="00D20D55"/>
    <w:rsid w:val="00D213C4"/>
    <w:rsid w:val="00D2161E"/>
    <w:rsid w:val="00D21667"/>
    <w:rsid w:val="00D217EE"/>
    <w:rsid w:val="00D218AD"/>
    <w:rsid w:val="00D21E00"/>
    <w:rsid w:val="00D21E23"/>
    <w:rsid w:val="00D22025"/>
    <w:rsid w:val="00D2217E"/>
    <w:rsid w:val="00D221AD"/>
    <w:rsid w:val="00D2246A"/>
    <w:rsid w:val="00D226B2"/>
    <w:rsid w:val="00D2272A"/>
    <w:rsid w:val="00D22993"/>
    <w:rsid w:val="00D22D72"/>
    <w:rsid w:val="00D22ED1"/>
    <w:rsid w:val="00D23232"/>
    <w:rsid w:val="00D23236"/>
    <w:rsid w:val="00D234C0"/>
    <w:rsid w:val="00D2354F"/>
    <w:rsid w:val="00D23632"/>
    <w:rsid w:val="00D2364E"/>
    <w:rsid w:val="00D2372C"/>
    <w:rsid w:val="00D23858"/>
    <w:rsid w:val="00D23A72"/>
    <w:rsid w:val="00D23FB7"/>
    <w:rsid w:val="00D241A1"/>
    <w:rsid w:val="00D2443A"/>
    <w:rsid w:val="00D248AA"/>
    <w:rsid w:val="00D24983"/>
    <w:rsid w:val="00D24BD1"/>
    <w:rsid w:val="00D24C98"/>
    <w:rsid w:val="00D24D05"/>
    <w:rsid w:val="00D24D62"/>
    <w:rsid w:val="00D24EC0"/>
    <w:rsid w:val="00D250C7"/>
    <w:rsid w:val="00D25197"/>
    <w:rsid w:val="00D2593E"/>
    <w:rsid w:val="00D259FE"/>
    <w:rsid w:val="00D25BB1"/>
    <w:rsid w:val="00D25D75"/>
    <w:rsid w:val="00D25EDB"/>
    <w:rsid w:val="00D261B3"/>
    <w:rsid w:val="00D26310"/>
    <w:rsid w:val="00D26CBD"/>
    <w:rsid w:val="00D26D0F"/>
    <w:rsid w:val="00D27635"/>
    <w:rsid w:val="00D278CF"/>
    <w:rsid w:val="00D27D48"/>
    <w:rsid w:val="00D27DF6"/>
    <w:rsid w:val="00D27DFE"/>
    <w:rsid w:val="00D27F34"/>
    <w:rsid w:val="00D302E1"/>
    <w:rsid w:val="00D306BD"/>
    <w:rsid w:val="00D306CD"/>
    <w:rsid w:val="00D3072C"/>
    <w:rsid w:val="00D30903"/>
    <w:rsid w:val="00D30C12"/>
    <w:rsid w:val="00D30C8A"/>
    <w:rsid w:val="00D30DA8"/>
    <w:rsid w:val="00D30E70"/>
    <w:rsid w:val="00D30EC6"/>
    <w:rsid w:val="00D3112D"/>
    <w:rsid w:val="00D31169"/>
    <w:rsid w:val="00D31307"/>
    <w:rsid w:val="00D3132F"/>
    <w:rsid w:val="00D313D3"/>
    <w:rsid w:val="00D316A4"/>
    <w:rsid w:val="00D318C2"/>
    <w:rsid w:val="00D319EA"/>
    <w:rsid w:val="00D31C42"/>
    <w:rsid w:val="00D31D43"/>
    <w:rsid w:val="00D31F9C"/>
    <w:rsid w:val="00D3203E"/>
    <w:rsid w:val="00D321CB"/>
    <w:rsid w:val="00D323F4"/>
    <w:rsid w:val="00D32543"/>
    <w:rsid w:val="00D325F8"/>
    <w:rsid w:val="00D32E8B"/>
    <w:rsid w:val="00D32FAD"/>
    <w:rsid w:val="00D3309D"/>
    <w:rsid w:val="00D33398"/>
    <w:rsid w:val="00D3373A"/>
    <w:rsid w:val="00D338CB"/>
    <w:rsid w:val="00D33C43"/>
    <w:rsid w:val="00D33E0A"/>
    <w:rsid w:val="00D340E1"/>
    <w:rsid w:val="00D34396"/>
    <w:rsid w:val="00D344B9"/>
    <w:rsid w:val="00D3469F"/>
    <w:rsid w:val="00D34930"/>
    <w:rsid w:val="00D34AC9"/>
    <w:rsid w:val="00D34B2E"/>
    <w:rsid w:val="00D34C88"/>
    <w:rsid w:val="00D34CF0"/>
    <w:rsid w:val="00D34DDB"/>
    <w:rsid w:val="00D353BA"/>
    <w:rsid w:val="00D3550A"/>
    <w:rsid w:val="00D357A0"/>
    <w:rsid w:val="00D35DFA"/>
    <w:rsid w:val="00D35F9A"/>
    <w:rsid w:val="00D366EF"/>
    <w:rsid w:val="00D36C90"/>
    <w:rsid w:val="00D36D20"/>
    <w:rsid w:val="00D36DEE"/>
    <w:rsid w:val="00D36EA2"/>
    <w:rsid w:val="00D36EB8"/>
    <w:rsid w:val="00D3709E"/>
    <w:rsid w:val="00D371FE"/>
    <w:rsid w:val="00D375E2"/>
    <w:rsid w:val="00D37661"/>
    <w:rsid w:val="00D3766A"/>
    <w:rsid w:val="00D37794"/>
    <w:rsid w:val="00D377CA"/>
    <w:rsid w:val="00D37840"/>
    <w:rsid w:val="00D37B36"/>
    <w:rsid w:val="00D37C01"/>
    <w:rsid w:val="00D37DC1"/>
    <w:rsid w:val="00D40404"/>
    <w:rsid w:val="00D40424"/>
    <w:rsid w:val="00D405B3"/>
    <w:rsid w:val="00D40629"/>
    <w:rsid w:val="00D40B1A"/>
    <w:rsid w:val="00D40CF6"/>
    <w:rsid w:val="00D40D86"/>
    <w:rsid w:val="00D40E4C"/>
    <w:rsid w:val="00D412F2"/>
    <w:rsid w:val="00D4133E"/>
    <w:rsid w:val="00D414C0"/>
    <w:rsid w:val="00D419A6"/>
    <w:rsid w:val="00D41B5F"/>
    <w:rsid w:val="00D41BCD"/>
    <w:rsid w:val="00D41EE6"/>
    <w:rsid w:val="00D4202D"/>
    <w:rsid w:val="00D421EC"/>
    <w:rsid w:val="00D42207"/>
    <w:rsid w:val="00D42254"/>
    <w:rsid w:val="00D42701"/>
    <w:rsid w:val="00D429B1"/>
    <w:rsid w:val="00D42B25"/>
    <w:rsid w:val="00D42E4E"/>
    <w:rsid w:val="00D4318E"/>
    <w:rsid w:val="00D4323C"/>
    <w:rsid w:val="00D4345A"/>
    <w:rsid w:val="00D4357E"/>
    <w:rsid w:val="00D43682"/>
    <w:rsid w:val="00D43BE9"/>
    <w:rsid w:val="00D43CF8"/>
    <w:rsid w:val="00D4489A"/>
    <w:rsid w:val="00D44B6F"/>
    <w:rsid w:val="00D4508D"/>
    <w:rsid w:val="00D450A7"/>
    <w:rsid w:val="00D450D7"/>
    <w:rsid w:val="00D45202"/>
    <w:rsid w:val="00D45473"/>
    <w:rsid w:val="00D4552F"/>
    <w:rsid w:val="00D455B0"/>
    <w:rsid w:val="00D45802"/>
    <w:rsid w:val="00D458A7"/>
    <w:rsid w:val="00D45A21"/>
    <w:rsid w:val="00D45D56"/>
    <w:rsid w:val="00D45D5B"/>
    <w:rsid w:val="00D463E9"/>
    <w:rsid w:val="00D4660F"/>
    <w:rsid w:val="00D46851"/>
    <w:rsid w:val="00D4690C"/>
    <w:rsid w:val="00D46A83"/>
    <w:rsid w:val="00D475E5"/>
    <w:rsid w:val="00D479BC"/>
    <w:rsid w:val="00D47C15"/>
    <w:rsid w:val="00D47DCB"/>
    <w:rsid w:val="00D47E13"/>
    <w:rsid w:val="00D47FA0"/>
    <w:rsid w:val="00D5007F"/>
    <w:rsid w:val="00D5030F"/>
    <w:rsid w:val="00D50513"/>
    <w:rsid w:val="00D5059B"/>
    <w:rsid w:val="00D505D0"/>
    <w:rsid w:val="00D5087C"/>
    <w:rsid w:val="00D509D7"/>
    <w:rsid w:val="00D50E49"/>
    <w:rsid w:val="00D5109E"/>
    <w:rsid w:val="00D510A8"/>
    <w:rsid w:val="00D5134A"/>
    <w:rsid w:val="00D514A7"/>
    <w:rsid w:val="00D5156A"/>
    <w:rsid w:val="00D516F0"/>
    <w:rsid w:val="00D51828"/>
    <w:rsid w:val="00D519C9"/>
    <w:rsid w:val="00D51AB1"/>
    <w:rsid w:val="00D51B7D"/>
    <w:rsid w:val="00D51DFD"/>
    <w:rsid w:val="00D520F0"/>
    <w:rsid w:val="00D5219B"/>
    <w:rsid w:val="00D5225F"/>
    <w:rsid w:val="00D523C3"/>
    <w:rsid w:val="00D5281A"/>
    <w:rsid w:val="00D52FD4"/>
    <w:rsid w:val="00D532EE"/>
    <w:rsid w:val="00D53770"/>
    <w:rsid w:val="00D538F4"/>
    <w:rsid w:val="00D53E3A"/>
    <w:rsid w:val="00D53FC1"/>
    <w:rsid w:val="00D54115"/>
    <w:rsid w:val="00D54655"/>
    <w:rsid w:val="00D5478C"/>
    <w:rsid w:val="00D54C36"/>
    <w:rsid w:val="00D54DA9"/>
    <w:rsid w:val="00D54E3A"/>
    <w:rsid w:val="00D54FA5"/>
    <w:rsid w:val="00D55176"/>
    <w:rsid w:val="00D5528C"/>
    <w:rsid w:val="00D55337"/>
    <w:rsid w:val="00D5568E"/>
    <w:rsid w:val="00D55EB7"/>
    <w:rsid w:val="00D560FE"/>
    <w:rsid w:val="00D56386"/>
    <w:rsid w:val="00D56415"/>
    <w:rsid w:val="00D5647F"/>
    <w:rsid w:val="00D56521"/>
    <w:rsid w:val="00D565D1"/>
    <w:rsid w:val="00D565D9"/>
    <w:rsid w:val="00D56653"/>
    <w:rsid w:val="00D56827"/>
    <w:rsid w:val="00D56B88"/>
    <w:rsid w:val="00D56DC2"/>
    <w:rsid w:val="00D5744D"/>
    <w:rsid w:val="00D57647"/>
    <w:rsid w:val="00D57747"/>
    <w:rsid w:val="00D57E2E"/>
    <w:rsid w:val="00D57FA9"/>
    <w:rsid w:val="00D600E3"/>
    <w:rsid w:val="00D60310"/>
    <w:rsid w:val="00D60705"/>
    <w:rsid w:val="00D60C61"/>
    <w:rsid w:val="00D6133C"/>
    <w:rsid w:val="00D613EA"/>
    <w:rsid w:val="00D613EF"/>
    <w:rsid w:val="00D61495"/>
    <w:rsid w:val="00D619C1"/>
    <w:rsid w:val="00D61E0A"/>
    <w:rsid w:val="00D61E43"/>
    <w:rsid w:val="00D62273"/>
    <w:rsid w:val="00D62431"/>
    <w:rsid w:val="00D625E0"/>
    <w:rsid w:val="00D62908"/>
    <w:rsid w:val="00D62A69"/>
    <w:rsid w:val="00D63BB4"/>
    <w:rsid w:val="00D64169"/>
    <w:rsid w:val="00D6431D"/>
    <w:rsid w:val="00D643C9"/>
    <w:rsid w:val="00D64575"/>
    <w:rsid w:val="00D64A3E"/>
    <w:rsid w:val="00D64A7F"/>
    <w:rsid w:val="00D64C69"/>
    <w:rsid w:val="00D64CE6"/>
    <w:rsid w:val="00D64D9A"/>
    <w:rsid w:val="00D64EC8"/>
    <w:rsid w:val="00D65002"/>
    <w:rsid w:val="00D6510D"/>
    <w:rsid w:val="00D6554F"/>
    <w:rsid w:val="00D65A62"/>
    <w:rsid w:val="00D65A6C"/>
    <w:rsid w:val="00D65D87"/>
    <w:rsid w:val="00D65DA0"/>
    <w:rsid w:val="00D66008"/>
    <w:rsid w:val="00D6615B"/>
    <w:rsid w:val="00D661AF"/>
    <w:rsid w:val="00D661BE"/>
    <w:rsid w:val="00D66306"/>
    <w:rsid w:val="00D66488"/>
    <w:rsid w:val="00D66775"/>
    <w:rsid w:val="00D668D7"/>
    <w:rsid w:val="00D66A8B"/>
    <w:rsid w:val="00D66CB6"/>
    <w:rsid w:val="00D66CE6"/>
    <w:rsid w:val="00D6797E"/>
    <w:rsid w:val="00D679BC"/>
    <w:rsid w:val="00D67C42"/>
    <w:rsid w:val="00D701B7"/>
    <w:rsid w:val="00D7054D"/>
    <w:rsid w:val="00D7073E"/>
    <w:rsid w:val="00D70923"/>
    <w:rsid w:val="00D70B5A"/>
    <w:rsid w:val="00D710C6"/>
    <w:rsid w:val="00D711F0"/>
    <w:rsid w:val="00D712A9"/>
    <w:rsid w:val="00D71397"/>
    <w:rsid w:val="00D713A6"/>
    <w:rsid w:val="00D7154F"/>
    <w:rsid w:val="00D71AB5"/>
    <w:rsid w:val="00D720CC"/>
    <w:rsid w:val="00D72359"/>
    <w:rsid w:val="00D723A9"/>
    <w:rsid w:val="00D727F6"/>
    <w:rsid w:val="00D72846"/>
    <w:rsid w:val="00D729E5"/>
    <w:rsid w:val="00D72A55"/>
    <w:rsid w:val="00D72E07"/>
    <w:rsid w:val="00D7310C"/>
    <w:rsid w:val="00D7322C"/>
    <w:rsid w:val="00D73236"/>
    <w:rsid w:val="00D73415"/>
    <w:rsid w:val="00D7341E"/>
    <w:rsid w:val="00D7355C"/>
    <w:rsid w:val="00D73944"/>
    <w:rsid w:val="00D73978"/>
    <w:rsid w:val="00D739AC"/>
    <w:rsid w:val="00D73ADC"/>
    <w:rsid w:val="00D73B6C"/>
    <w:rsid w:val="00D73EF3"/>
    <w:rsid w:val="00D73F6D"/>
    <w:rsid w:val="00D73FE8"/>
    <w:rsid w:val="00D74182"/>
    <w:rsid w:val="00D74198"/>
    <w:rsid w:val="00D746BB"/>
    <w:rsid w:val="00D74E41"/>
    <w:rsid w:val="00D7503F"/>
    <w:rsid w:val="00D750A3"/>
    <w:rsid w:val="00D752A9"/>
    <w:rsid w:val="00D75628"/>
    <w:rsid w:val="00D7569B"/>
    <w:rsid w:val="00D756C4"/>
    <w:rsid w:val="00D75858"/>
    <w:rsid w:val="00D75866"/>
    <w:rsid w:val="00D763BD"/>
    <w:rsid w:val="00D764DC"/>
    <w:rsid w:val="00D76594"/>
    <w:rsid w:val="00D765FF"/>
    <w:rsid w:val="00D76A98"/>
    <w:rsid w:val="00D76C1B"/>
    <w:rsid w:val="00D76CF8"/>
    <w:rsid w:val="00D76E5E"/>
    <w:rsid w:val="00D76F0C"/>
    <w:rsid w:val="00D775AC"/>
    <w:rsid w:val="00D7766B"/>
    <w:rsid w:val="00D77A40"/>
    <w:rsid w:val="00D77AAC"/>
    <w:rsid w:val="00D77E63"/>
    <w:rsid w:val="00D77F3E"/>
    <w:rsid w:val="00D77FD5"/>
    <w:rsid w:val="00D77FF1"/>
    <w:rsid w:val="00D80153"/>
    <w:rsid w:val="00D805D3"/>
    <w:rsid w:val="00D80612"/>
    <w:rsid w:val="00D807BC"/>
    <w:rsid w:val="00D80A22"/>
    <w:rsid w:val="00D80AB1"/>
    <w:rsid w:val="00D80AD7"/>
    <w:rsid w:val="00D80C4D"/>
    <w:rsid w:val="00D80FF0"/>
    <w:rsid w:val="00D81261"/>
    <w:rsid w:val="00D81376"/>
    <w:rsid w:val="00D813C9"/>
    <w:rsid w:val="00D81530"/>
    <w:rsid w:val="00D81797"/>
    <w:rsid w:val="00D81872"/>
    <w:rsid w:val="00D81DD1"/>
    <w:rsid w:val="00D81F06"/>
    <w:rsid w:val="00D820B9"/>
    <w:rsid w:val="00D820E9"/>
    <w:rsid w:val="00D8218F"/>
    <w:rsid w:val="00D82631"/>
    <w:rsid w:val="00D82858"/>
    <w:rsid w:val="00D829A6"/>
    <w:rsid w:val="00D82ABF"/>
    <w:rsid w:val="00D82DC2"/>
    <w:rsid w:val="00D82DEB"/>
    <w:rsid w:val="00D83426"/>
    <w:rsid w:val="00D83620"/>
    <w:rsid w:val="00D838F0"/>
    <w:rsid w:val="00D83BF5"/>
    <w:rsid w:val="00D849A7"/>
    <w:rsid w:val="00D84C95"/>
    <w:rsid w:val="00D84F1F"/>
    <w:rsid w:val="00D84F74"/>
    <w:rsid w:val="00D85018"/>
    <w:rsid w:val="00D854E3"/>
    <w:rsid w:val="00D85783"/>
    <w:rsid w:val="00D85869"/>
    <w:rsid w:val="00D85FEC"/>
    <w:rsid w:val="00D8627F"/>
    <w:rsid w:val="00D862E1"/>
    <w:rsid w:val="00D8632B"/>
    <w:rsid w:val="00D8645C"/>
    <w:rsid w:val="00D86478"/>
    <w:rsid w:val="00D864C9"/>
    <w:rsid w:val="00D866D0"/>
    <w:rsid w:val="00D86B63"/>
    <w:rsid w:val="00D86E4C"/>
    <w:rsid w:val="00D87348"/>
    <w:rsid w:val="00D87A09"/>
    <w:rsid w:val="00D901C2"/>
    <w:rsid w:val="00D90277"/>
    <w:rsid w:val="00D9049E"/>
    <w:rsid w:val="00D9075A"/>
    <w:rsid w:val="00D90874"/>
    <w:rsid w:val="00D908CF"/>
    <w:rsid w:val="00D9091D"/>
    <w:rsid w:val="00D90C59"/>
    <w:rsid w:val="00D90CA2"/>
    <w:rsid w:val="00D90D66"/>
    <w:rsid w:val="00D90D72"/>
    <w:rsid w:val="00D90E27"/>
    <w:rsid w:val="00D91079"/>
    <w:rsid w:val="00D91211"/>
    <w:rsid w:val="00D912CE"/>
    <w:rsid w:val="00D913B0"/>
    <w:rsid w:val="00D91420"/>
    <w:rsid w:val="00D91561"/>
    <w:rsid w:val="00D91C8B"/>
    <w:rsid w:val="00D91F82"/>
    <w:rsid w:val="00D92040"/>
    <w:rsid w:val="00D92361"/>
    <w:rsid w:val="00D92630"/>
    <w:rsid w:val="00D92713"/>
    <w:rsid w:val="00D92727"/>
    <w:rsid w:val="00D92825"/>
    <w:rsid w:val="00D92E9F"/>
    <w:rsid w:val="00D93121"/>
    <w:rsid w:val="00D9318A"/>
    <w:rsid w:val="00D931A3"/>
    <w:rsid w:val="00D931E4"/>
    <w:rsid w:val="00D932A3"/>
    <w:rsid w:val="00D932E4"/>
    <w:rsid w:val="00D93397"/>
    <w:rsid w:val="00D933BA"/>
    <w:rsid w:val="00D93533"/>
    <w:rsid w:val="00D936CC"/>
    <w:rsid w:val="00D93A7C"/>
    <w:rsid w:val="00D93D7A"/>
    <w:rsid w:val="00D945D2"/>
    <w:rsid w:val="00D947CE"/>
    <w:rsid w:val="00D94A6C"/>
    <w:rsid w:val="00D94C5C"/>
    <w:rsid w:val="00D94C8A"/>
    <w:rsid w:val="00D95931"/>
    <w:rsid w:val="00D95AC2"/>
    <w:rsid w:val="00D95F34"/>
    <w:rsid w:val="00D95F59"/>
    <w:rsid w:val="00D9615D"/>
    <w:rsid w:val="00D96212"/>
    <w:rsid w:val="00D963BE"/>
    <w:rsid w:val="00D964EB"/>
    <w:rsid w:val="00D96691"/>
    <w:rsid w:val="00D96840"/>
    <w:rsid w:val="00D9686E"/>
    <w:rsid w:val="00D968A1"/>
    <w:rsid w:val="00D96F1D"/>
    <w:rsid w:val="00D97298"/>
    <w:rsid w:val="00D9736C"/>
    <w:rsid w:val="00D9747F"/>
    <w:rsid w:val="00DA002E"/>
    <w:rsid w:val="00DA0075"/>
    <w:rsid w:val="00DA01A3"/>
    <w:rsid w:val="00DA054D"/>
    <w:rsid w:val="00DA0C32"/>
    <w:rsid w:val="00DA0D02"/>
    <w:rsid w:val="00DA1489"/>
    <w:rsid w:val="00DA16E8"/>
    <w:rsid w:val="00DA181B"/>
    <w:rsid w:val="00DA1C4A"/>
    <w:rsid w:val="00DA1D13"/>
    <w:rsid w:val="00DA1E45"/>
    <w:rsid w:val="00DA1E6F"/>
    <w:rsid w:val="00DA207E"/>
    <w:rsid w:val="00DA224D"/>
    <w:rsid w:val="00DA2524"/>
    <w:rsid w:val="00DA2828"/>
    <w:rsid w:val="00DA28B8"/>
    <w:rsid w:val="00DA2AEE"/>
    <w:rsid w:val="00DA2B64"/>
    <w:rsid w:val="00DA2B9E"/>
    <w:rsid w:val="00DA2C19"/>
    <w:rsid w:val="00DA2EBB"/>
    <w:rsid w:val="00DA335B"/>
    <w:rsid w:val="00DA3765"/>
    <w:rsid w:val="00DA380B"/>
    <w:rsid w:val="00DA3998"/>
    <w:rsid w:val="00DA3CCC"/>
    <w:rsid w:val="00DA3E80"/>
    <w:rsid w:val="00DA3F82"/>
    <w:rsid w:val="00DA409B"/>
    <w:rsid w:val="00DA44A5"/>
    <w:rsid w:val="00DA44B1"/>
    <w:rsid w:val="00DA4643"/>
    <w:rsid w:val="00DA48C7"/>
    <w:rsid w:val="00DA4F14"/>
    <w:rsid w:val="00DA5970"/>
    <w:rsid w:val="00DA5A75"/>
    <w:rsid w:val="00DA5E53"/>
    <w:rsid w:val="00DA5F60"/>
    <w:rsid w:val="00DA6904"/>
    <w:rsid w:val="00DA69F0"/>
    <w:rsid w:val="00DA6A88"/>
    <w:rsid w:val="00DA6AED"/>
    <w:rsid w:val="00DA6D4B"/>
    <w:rsid w:val="00DA7010"/>
    <w:rsid w:val="00DA7141"/>
    <w:rsid w:val="00DA7937"/>
    <w:rsid w:val="00DA7C9D"/>
    <w:rsid w:val="00DA7EED"/>
    <w:rsid w:val="00DA7FCE"/>
    <w:rsid w:val="00DB03EE"/>
    <w:rsid w:val="00DB04D5"/>
    <w:rsid w:val="00DB0556"/>
    <w:rsid w:val="00DB0658"/>
    <w:rsid w:val="00DB06CE"/>
    <w:rsid w:val="00DB0952"/>
    <w:rsid w:val="00DB0B9F"/>
    <w:rsid w:val="00DB0C26"/>
    <w:rsid w:val="00DB0CC4"/>
    <w:rsid w:val="00DB0F28"/>
    <w:rsid w:val="00DB12D6"/>
    <w:rsid w:val="00DB1396"/>
    <w:rsid w:val="00DB142A"/>
    <w:rsid w:val="00DB15A4"/>
    <w:rsid w:val="00DB1782"/>
    <w:rsid w:val="00DB1A29"/>
    <w:rsid w:val="00DB1A8C"/>
    <w:rsid w:val="00DB1C59"/>
    <w:rsid w:val="00DB1CFA"/>
    <w:rsid w:val="00DB1FE9"/>
    <w:rsid w:val="00DB20C1"/>
    <w:rsid w:val="00DB20F8"/>
    <w:rsid w:val="00DB22BC"/>
    <w:rsid w:val="00DB22D8"/>
    <w:rsid w:val="00DB23D5"/>
    <w:rsid w:val="00DB24FF"/>
    <w:rsid w:val="00DB261A"/>
    <w:rsid w:val="00DB292D"/>
    <w:rsid w:val="00DB29CC"/>
    <w:rsid w:val="00DB2A02"/>
    <w:rsid w:val="00DB31B6"/>
    <w:rsid w:val="00DB32CB"/>
    <w:rsid w:val="00DB34A3"/>
    <w:rsid w:val="00DB34AF"/>
    <w:rsid w:val="00DB3668"/>
    <w:rsid w:val="00DB37F7"/>
    <w:rsid w:val="00DB3D39"/>
    <w:rsid w:val="00DB3EDE"/>
    <w:rsid w:val="00DB401E"/>
    <w:rsid w:val="00DB424B"/>
    <w:rsid w:val="00DB42A9"/>
    <w:rsid w:val="00DB460C"/>
    <w:rsid w:val="00DB4799"/>
    <w:rsid w:val="00DB48C6"/>
    <w:rsid w:val="00DB4AB0"/>
    <w:rsid w:val="00DB5050"/>
    <w:rsid w:val="00DB5579"/>
    <w:rsid w:val="00DB5914"/>
    <w:rsid w:val="00DB5926"/>
    <w:rsid w:val="00DB5B1D"/>
    <w:rsid w:val="00DB5DF5"/>
    <w:rsid w:val="00DB5E2A"/>
    <w:rsid w:val="00DB5E62"/>
    <w:rsid w:val="00DB5F7F"/>
    <w:rsid w:val="00DB6052"/>
    <w:rsid w:val="00DB6649"/>
    <w:rsid w:val="00DB6775"/>
    <w:rsid w:val="00DB67B3"/>
    <w:rsid w:val="00DB6DB2"/>
    <w:rsid w:val="00DB6EE9"/>
    <w:rsid w:val="00DB7213"/>
    <w:rsid w:val="00DB75DF"/>
    <w:rsid w:val="00DB7677"/>
    <w:rsid w:val="00DB7813"/>
    <w:rsid w:val="00DB7A1A"/>
    <w:rsid w:val="00DB7B17"/>
    <w:rsid w:val="00DB7CAC"/>
    <w:rsid w:val="00DB7D04"/>
    <w:rsid w:val="00DB7E88"/>
    <w:rsid w:val="00DB7F77"/>
    <w:rsid w:val="00DC063D"/>
    <w:rsid w:val="00DC0B82"/>
    <w:rsid w:val="00DC0BC5"/>
    <w:rsid w:val="00DC0C30"/>
    <w:rsid w:val="00DC0C93"/>
    <w:rsid w:val="00DC0D1D"/>
    <w:rsid w:val="00DC10A7"/>
    <w:rsid w:val="00DC14E0"/>
    <w:rsid w:val="00DC1553"/>
    <w:rsid w:val="00DC167C"/>
    <w:rsid w:val="00DC1843"/>
    <w:rsid w:val="00DC1B1F"/>
    <w:rsid w:val="00DC1CB0"/>
    <w:rsid w:val="00DC1D47"/>
    <w:rsid w:val="00DC21AF"/>
    <w:rsid w:val="00DC266E"/>
    <w:rsid w:val="00DC26EB"/>
    <w:rsid w:val="00DC29DE"/>
    <w:rsid w:val="00DC2D95"/>
    <w:rsid w:val="00DC30F4"/>
    <w:rsid w:val="00DC311E"/>
    <w:rsid w:val="00DC36C3"/>
    <w:rsid w:val="00DC3989"/>
    <w:rsid w:val="00DC39A4"/>
    <w:rsid w:val="00DC3BDE"/>
    <w:rsid w:val="00DC3C5D"/>
    <w:rsid w:val="00DC3DC0"/>
    <w:rsid w:val="00DC4142"/>
    <w:rsid w:val="00DC44FA"/>
    <w:rsid w:val="00DC461E"/>
    <w:rsid w:val="00DC46A3"/>
    <w:rsid w:val="00DC4786"/>
    <w:rsid w:val="00DC482C"/>
    <w:rsid w:val="00DC482D"/>
    <w:rsid w:val="00DC489D"/>
    <w:rsid w:val="00DC4B15"/>
    <w:rsid w:val="00DC4B26"/>
    <w:rsid w:val="00DC4C25"/>
    <w:rsid w:val="00DC4DAB"/>
    <w:rsid w:val="00DC4F51"/>
    <w:rsid w:val="00DC4FD2"/>
    <w:rsid w:val="00DC526A"/>
    <w:rsid w:val="00DC52E0"/>
    <w:rsid w:val="00DC55AB"/>
    <w:rsid w:val="00DC5AC2"/>
    <w:rsid w:val="00DC5F18"/>
    <w:rsid w:val="00DC625F"/>
    <w:rsid w:val="00DC649C"/>
    <w:rsid w:val="00DC6578"/>
    <w:rsid w:val="00DC6804"/>
    <w:rsid w:val="00DC6855"/>
    <w:rsid w:val="00DC6857"/>
    <w:rsid w:val="00DC6883"/>
    <w:rsid w:val="00DC6A82"/>
    <w:rsid w:val="00DC6BA5"/>
    <w:rsid w:val="00DC744E"/>
    <w:rsid w:val="00DC7558"/>
    <w:rsid w:val="00DC7744"/>
    <w:rsid w:val="00DC7BA1"/>
    <w:rsid w:val="00DC7BB3"/>
    <w:rsid w:val="00DC7D66"/>
    <w:rsid w:val="00DC7EE2"/>
    <w:rsid w:val="00DD00CF"/>
    <w:rsid w:val="00DD0306"/>
    <w:rsid w:val="00DD0A80"/>
    <w:rsid w:val="00DD0BA8"/>
    <w:rsid w:val="00DD0C3D"/>
    <w:rsid w:val="00DD0DD5"/>
    <w:rsid w:val="00DD0EEB"/>
    <w:rsid w:val="00DD12F6"/>
    <w:rsid w:val="00DD1364"/>
    <w:rsid w:val="00DD1807"/>
    <w:rsid w:val="00DD1B8F"/>
    <w:rsid w:val="00DD1C4C"/>
    <w:rsid w:val="00DD1F3A"/>
    <w:rsid w:val="00DD2294"/>
    <w:rsid w:val="00DD2343"/>
    <w:rsid w:val="00DD243D"/>
    <w:rsid w:val="00DD29BB"/>
    <w:rsid w:val="00DD2C7B"/>
    <w:rsid w:val="00DD2F62"/>
    <w:rsid w:val="00DD2FA9"/>
    <w:rsid w:val="00DD3428"/>
    <w:rsid w:val="00DD3695"/>
    <w:rsid w:val="00DD36C1"/>
    <w:rsid w:val="00DD3964"/>
    <w:rsid w:val="00DD3A2E"/>
    <w:rsid w:val="00DD3AF5"/>
    <w:rsid w:val="00DD3BF4"/>
    <w:rsid w:val="00DD4287"/>
    <w:rsid w:val="00DD4CDB"/>
    <w:rsid w:val="00DD4D2C"/>
    <w:rsid w:val="00DD4F88"/>
    <w:rsid w:val="00DD4FB8"/>
    <w:rsid w:val="00DD5370"/>
    <w:rsid w:val="00DD5374"/>
    <w:rsid w:val="00DD548E"/>
    <w:rsid w:val="00DD568F"/>
    <w:rsid w:val="00DD5918"/>
    <w:rsid w:val="00DD5922"/>
    <w:rsid w:val="00DD597A"/>
    <w:rsid w:val="00DD5AEC"/>
    <w:rsid w:val="00DD5CC5"/>
    <w:rsid w:val="00DD5F0B"/>
    <w:rsid w:val="00DD5FF1"/>
    <w:rsid w:val="00DD60A2"/>
    <w:rsid w:val="00DD615B"/>
    <w:rsid w:val="00DD619D"/>
    <w:rsid w:val="00DD626A"/>
    <w:rsid w:val="00DD641C"/>
    <w:rsid w:val="00DD6518"/>
    <w:rsid w:val="00DD65DB"/>
    <w:rsid w:val="00DD66CB"/>
    <w:rsid w:val="00DD6A44"/>
    <w:rsid w:val="00DD6A52"/>
    <w:rsid w:val="00DD7022"/>
    <w:rsid w:val="00DD7170"/>
    <w:rsid w:val="00DD718D"/>
    <w:rsid w:val="00DD7256"/>
    <w:rsid w:val="00DD7C46"/>
    <w:rsid w:val="00DD7FE1"/>
    <w:rsid w:val="00DE0116"/>
    <w:rsid w:val="00DE038C"/>
    <w:rsid w:val="00DE040C"/>
    <w:rsid w:val="00DE0691"/>
    <w:rsid w:val="00DE09B4"/>
    <w:rsid w:val="00DE0E48"/>
    <w:rsid w:val="00DE1031"/>
    <w:rsid w:val="00DE1056"/>
    <w:rsid w:val="00DE106D"/>
    <w:rsid w:val="00DE1073"/>
    <w:rsid w:val="00DE107D"/>
    <w:rsid w:val="00DE113F"/>
    <w:rsid w:val="00DE1628"/>
    <w:rsid w:val="00DE1A10"/>
    <w:rsid w:val="00DE1A63"/>
    <w:rsid w:val="00DE1A69"/>
    <w:rsid w:val="00DE1A75"/>
    <w:rsid w:val="00DE1DBC"/>
    <w:rsid w:val="00DE223E"/>
    <w:rsid w:val="00DE2350"/>
    <w:rsid w:val="00DE235E"/>
    <w:rsid w:val="00DE28C9"/>
    <w:rsid w:val="00DE2A71"/>
    <w:rsid w:val="00DE2C2E"/>
    <w:rsid w:val="00DE329B"/>
    <w:rsid w:val="00DE3B37"/>
    <w:rsid w:val="00DE41EE"/>
    <w:rsid w:val="00DE444C"/>
    <w:rsid w:val="00DE4649"/>
    <w:rsid w:val="00DE4752"/>
    <w:rsid w:val="00DE4926"/>
    <w:rsid w:val="00DE4980"/>
    <w:rsid w:val="00DE49F2"/>
    <w:rsid w:val="00DE4A7E"/>
    <w:rsid w:val="00DE4AD2"/>
    <w:rsid w:val="00DE4B0C"/>
    <w:rsid w:val="00DE51BF"/>
    <w:rsid w:val="00DE5620"/>
    <w:rsid w:val="00DE570C"/>
    <w:rsid w:val="00DE57B0"/>
    <w:rsid w:val="00DE5AA4"/>
    <w:rsid w:val="00DE5B3D"/>
    <w:rsid w:val="00DE5BEC"/>
    <w:rsid w:val="00DE5DFB"/>
    <w:rsid w:val="00DE6116"/>
    <w:rsid w:val="00DE626C"/>
    <w:rsid w:val="00DE62FC"/>
    <w:rsid w:val="00DE64F0"/>
    <w:rsid w:val="00DE65BA"/>
    <w:rsid w:val="00DE68AC"/>
    <w:rsid w:val="00DE6AD8"/>
    <w:rsid w:val="00DE6BB1"/>
    <w:rsid w:val="00DE7050"/>
    <w:rsid w:val="00DE70FD"/>
    <w:rsid w:val="00DE74C9"/>
    <w:rsid w:val="00DE75B2"/>
    <w:rsid w:val="00DE7B12"/>
    <w:rsid w:val="00DE7C4E"/>
    <w:rsid w:val="00DE7CF2"/>
    <w:rsid w:val="00DE7D1B"/>
    <w:rsid w:val="00DF0136"/>
    <w:rsid w:val="00DF04CF"/>
    <w:rsid w:val="00DF0E45"/>
    <w:rsid w:val="00DF0FAB"/>
    <w:rsid w:val="00DF12C7"/>
    <w:rsid w:val="00DF14AB"/>
    <w:rsid w:val="00DF162A"/>
    <w:rsid w:val="00DF16D6"/>
    <w:rsid w:val="00DF1A33"/>
    <w:rsid w:val="00DF1CB1"/>
    <w:rsid w:val="00DF1D5E"/>
    <w:rsid w:val="00DF1ED9"/>
    <w:rsid w:val="00DF20AE"/>
    <w:rsid w:val="00DF20F0"/>
    <w:rsid w:val="00DF2215"/>
    <w:rsid w:val="00DF23B9"/>
    <w:rsid w:val="00DF247A"/>
    <w:rsid w:val="00DF2914"/>
    <w:rsid w:val="00DF291E"/>
    <w:rsid w:val="00DF2A45"/>
    <w:rsid w:val="00DF2BB2"/>
    <w:rsid w:val="00DF2BB7"/>
    <w:rsid w:val="00DF3084"/>
    <w:rsid w:val="00DF3178"/>
    <w:rsid w:val="00DF365A"/>
    <w:rsid w:val="00DF3705"/>
    <w:rsid w:val="00DF37F2"/>
    <w:rsid w:val="00DF3890"/>
    <w:rsid w:val="00DF38D3"/>
    <w:rsid w:val="00DF38E3"/>
    <w:rsid w:val="00DF3956"/>
    <w:rsid w:val="00DF3D58"/>
    <w:rsid w:val="00DF3E1E"/>
    <w:rsid w:val="00DF418D"/>
    <w:rsid w:val="00DF427C"/>
    <w:rsid w:val="00DF4B19"/>
    <w:rsid w:val="00DF4B9D"/>
    <w:rsid w:val="00DF4D25"/>
    <w:rsid w:val="00DF4DF4"/>
    <w:rsid w:val="00DF50DC"/>
    <w:rsid w:val="00DF51F4"/>
    <w:rsid w:val="00DF52F2"/>
    <w:rsid w:val="00DF5704"/>
    <w:rsid w:val="00DF580E"/>
    <w:rsid w:val="00DF59C5"/>
    <w:rsid w:val="00DF5B9F"/>
    <w:rsid w:val="00DF5BBF"/>
    <w:rsid w:val="00DF5C2A"/>
    <w:rsid w:val="00DF5E70"/>
    <w:rsid w:val="00DF5F3E"/>
    <w:rsid w:val="00DF62D3"/>
    <w:rsid w:val="00DF640A"/>
    <w:rsid w:val="00DF6716"/>
    <w:rsid w:val="00DF68B1"/>
    <w:rsid w:val="00DF68C8"/>
    <w:rsid w:val="00DF7150"/>
    <w:rsid w:val="00DF7AB6"/>
    <w:rsid w:val="00DF7BB4"/>
    <w:rsid w:val="00DF7CBE"/>
    <w:rsid w:val="00DF7D77"/>
    <w:rsid w:val="00DF7E11"/>
    <w:rsid w:val="00DF7E12"/>
    <w:rsid w:val="00DF7EA5"/>
    <w:rsid w:val="00DF7FBC"/>
    <w:rsid w:val="00E0004C"/>
    <w:rsid w:val="00E001A2"/>
    <w:rsid w:val="00E00300"/>
    <w:rsid w:val="00E00733"/>
    <w:rsid w:val="00E009AE"/>
    <w:rsid w:val="00E00B76"/>
    <w:rsid w:val="00E017BB"/>
    <w:rsid w:val="00E019D6"/>
    <w:rsid w:val="00E01A50"/>
    <w:rsid w:val="00E01B50"/>
    <w:rsid w:val="00E01BE0"/>
    <w:rsid w:val="00E01C68"/>
    <w:rsid w:val="00E01D14"/>
    <w:rsid w:val="00E01F6B"/>
    <w:rsid w:val="00E01FD3"/>
    <w:rsid w:val="00E022A0"/>
    <w:rsid w:val="00E02432"/>
    <w:rsid w:val="00E025DE"/>
    <w:rsid w:val="00E0260F"/>
    <w:rsid w:val="00E02762"/>
    <w:rsid w:val="00E028B1"/>
    <w:rsid w:val="00E029F8"/>
    <w:rsid w:val="00E02E62"/>
    <w:rsid w:val="00E02FAB"/>
    <w:rsid w:val="00E03001"/>
    <w:rsid w:val="00E0318E"/>
    <w:rsid w:val="00E0338D"/>
    <w:rsid w:val="00E03483"/>
    <w:rsid w:val="00E0361A"/>
    <w:rsid w:val="00E03896"/>
    <w:rsid w:val="00E03D99"/>
    <w:rsid w:val="00E03E2F"/>
    <w:rsid w:val="00E04069"/>
    <w:rsid w:val="00E04236"/>
    <w:rsid w:val="00E0431A"/>
    <w:rsid w:val="00E04457"/>
    <w:rsid w:val="00E04531"/>
    <w:rsid w:val="00E04A8D"/>
    <w:rsid w:val="00E05388"/>
    <w:rsid w:val="00E053D0"/>
    <w:rsid w:val="00E054ED"/>
    <w:rsid w:val="00E05808"/>
    <w:rsid w:val="00E05C50"/>
    <w:rsid w:val="00E05CB5"/>
    <w:rsid w:val="00E05D6C"/>
    <w:rsid w:val="00E05E15"/>
    <w:rsid w:val="00E0644D"/>
    <w:rsid w:val="00E06722"/>
    <w:rsid w:val="00E0678E"/>
    <w:rsid w:val="00E06937"/>
    <w:rsid w:val="00E06952"/>
    <w:rsid w:val="00E069C9"/>
    <w:rsid w:val="00E06A4F"/>
    <w:rsid w:val="00E06C14"/>
    <w:rsid w:val="00E06C45"/>
    <w:rsid w:val="00E06C95"/>
    <w:rsid w:val="00E06E58"/>
    <w:rsid w:val="00E073C0"/>
    <w:rsid w:val="00E07478"/>
    <w:rsid w:val="00E074A2"/>
    <w:rsid w:val="00E07515"/>
    <w:rsid w:val="00E077C5"/>
    <w:rsid w:val="00E078D3"/>
    <w:rsid w:val="00E07E53"/>
    <w:rsid w:val="00E10311"/>
    <w:rsid w:val="00E10550"/>
    <w:rsid w:val="00E105D0"/>
    <w:rsid w:val="00E10652"/>
    <w:rsid w:val="00E10A4B"/>
    <w:rsid w:val="00E10AA3"/>
    <w:rsid w:val="00E10CBE"/>
    <w:rsid w:val="00E10E11"/>
    <w:rsid w:val="00E10E3A"/>
    <w:rsid w:val="00E11053"/>
    <w:rsid w:val="00E11202"/>
    <w:rsid w:val="00E115E8"/>
    <w:rsid w:val="00E11655"/>
    <w:rsid w:val="00E11C8C"/>
    <w:rsid w:val="00E11E86"/>
    <w:rsid w:val="00E11F00"/>
    <w:rsid w:val="00E122FB"/>
    <w:rsid w:val="00E1285A"/>
    <w:rsid w:val="00E12B2C"/>
    <w:rsid w:val="00E12E10"/>
    <w:rsid w:val="00E12F64"/>
    <w:rsid w:val="00E12F9F"/>
    <w:rsid w:val="00E131BC"/>
    <w:rsid w:val="00E13369"/>
    <w:rsid w:val="00E13909"/>
    <w:rsid w:val="00E13967"/>
    <w:rsid w:val="00E13ADA"/>
    <w:rsid w:val="00E13C32"/>
    <w:rsid w:val="00E13E61"/>
    <w:rsid w:val="00E13E77"/>
    <w:rsid w:val="00E13E98"/>
    <w:rsid w:val="00E13EF8"/>
    <w:rsid w:val="00E1430F"/>
    <w:rsid w:val="00E1446D"/>
    <w:rsid w:val="00E14557"/>
    <w:rsid w:val="00E1461F"/>
    <w:rsid w:val="00E1469C"/>
    <w:rsid w:val="00E14BEC"/>
    <w:rsid w:val="00E14C78"/>
    <w:rsid w:val="00E14C87"/>
    <w:rsid w:val="00E14CB6"/>
    <w:rsid w:val="00E14CFE"/>
    <w:rsid w:val="00E14F8E"/>
    <w:rsid w:val="00E14F99"/>
    <w:rsid w:val="00E14F9E"/>
    <w:rsid w:val="00E1504B"/>
    <w:rsid w:val="00E15159"/>
    <w:rsid w:val="00E1536F"/>
    <w:rsid w:val="00E15494"/>
    <w:rsid w:val="00E1550A"/>
    <w:rsid w:val="00E15960"/>
    <w:rsid w:val="00E16770"/>
    <w:rsid w:val="00E16909"/>
    <w:rsid w:val="00E16B8C"/>
    <w:rsid w:val="00E16D13"/>
    <w:rsid w:val="00E16F06"/>
    <w:rsid w:val="00E1712B"/>
    <w:rsid w:val="00E1719A"/>
    <w:rsid w:val="00E1777F"/>
    <w:rsid w:val="00E179AB"/>
    <w:rsid w:val="00E179D9"/>
    <w:rsid w:val="00E17A4D"/>
    <w:rsid w:val="00E17A71"/>
    <w:rsid w:val="00E204A0"/>
    <w:rsid w:val="00E20749"/>
    <w:rsid w:val="00E209EE"/>
    <w:rsid w:val="00E21990"/>
    <w:rsid w:val="00E21E7C"/>
    <w:rsid w:val="00E21EB7"/>
    <w:rsid w:val="00E220F9"/>
    <w:rsid w:val="00E22153"/>
    <w:rsid w:val="00E22230"/>
    <w:rsid w:val="00E222A4"/>
    <w:rsid w:val="00E223BC"/>
    <w:rsid w:val="00E22700"/>
    <w:rsid w:val="00E2330E"/>
    <w:rsid w:val="00E235FB"/>
    <w:rsid w:val="00E238CC"/>
    <w:rsid w:val="00E23A16"/>
    <w:rsid w:val="00E23A17"/>
    <w:rsid w:val="00E23EBC"/>
    <w:rsid w:val="00E242C3"/>
    <w:rsid w:val="00E2454A"/>
    <w:rsid w:val="00E245C0"/>
    <w:rsid w:val="00E249B6"/>
    <w:rsid w:val="00E25251"/>
    <w:rsid w:val="00E258FD"/>
    <w:rsid w:val="00E25922"/>
    <w:rsid w:val="00E25A8B"/>
    <w:rsid w:val="00E25A97"/>
    <w:rsid w:val="00E25D40"/>
    <w:rsid w:val="00E25DCD"/>
    <w:rsid w:val="00E2624E"/>
    <w:rsid w:val="00E262A4"/>
    <w:rsid w:val="00E264AA"/>
    <w:rsid w:val="00E2680D"/>
    <w:rsid w:val="00E26990"/>
    <w:rsid w:val="00E26E23"/>
    <w:rsid w:val="00E2725A"/>
    <w:rsid w:val="00E2734C"/>
    <w:rsid w:val="00E27415"/>
    <w:rsid w:val="00E27494"/>
    <w:rsid w:val="00E276DF"/>
    <w:rsid w:val="00E27BB9"/>
    <w:rsid w:val="00E27C19"/>
    <w:rsid w:val="00E27F82"/>
    <w:rsid w:val="00E30009"/>
    <w:rsid w:val="00E300FD"/>
    <w:rsid w:val="00E3018D"/>
    <w:rsid w:val="00E301C7"/>
    <w:rsid w:val="00E301E1"/>
    <w:rsid w:val="00E30428"/>
    <w:rsid w:val="00E30874"/>
    <w:rsid w:val="00E31169"/>
    <w:rsid w:val="00E31193"/>
    <w:rsid w:val="00E311E2"/>
    <w:rsid w:val="00E311EF"/>
    <w:rsid w:val="00E31417"/>
    <w:rsid w:val="00E314C9"/>
    <w:rsid w:val="00E31677"/>
    <w:rsid w:val="00E316F1"/>
    <w:rsid w:val="00E31E6F"/>
    <w:rsid w:val="00E31ECB"/>
    <w:rsid w:val="00E31F23"/>
    <w:rsid w:val="00E32322"/>
    <w:rsid w:val="00E328B6"/>
    <w:rsid w:val="00E32A4F"/>
    <w:rsid w:val="00E32B39"/>
    <w:rsid w:val="00E32CF5"/>
    <w:rsid w:val="00E32DAA"/>
    <w:rsid w:val="00E32E7C"/>
    <w:rsid w:val="00E33142"/>
    <w:rsid w:val="00E33444"/>
    <w:rsid w:val="00E3345B"/>
    <w:rsid w:val="00E3353D"/>
    <w:rsid w:val="00E338EA"/>
    <w:rsid w:val="00E339C9"/>
    <w:rsid w:val="00E33B38"/>
    <w:rsid w:val="00E33C7C"/>
    <w:rsid w:val="00E33C95"/>
    <w:rsid w:val="00E33FDA"/>
    <w:rsid w:val="00E34672"/>
    <w:rsid w:val="00E3497C"/>
    <w:rsid w:val="00E3506C"/>
    <w:rsid w:val="00E3518A"/>
    <w:rsid w:val="00E355A8"/>
    <w:rsid w:val="00E35A8E"/>
    <w:rsid w:val="00E35FE5"/>
    <w:rsid w:val="00E364A0"/>
    <w:rsid w:val="00E36916"/>
    <w:rsid w:val="00E36C26"/>
    <w:rsid w:val="00E36C58"/>
    <w:rsid w:val="00E36DB3"/>
    <w:rsid w:val="00E36FB9"/>
    <w:rsid w:val="00E371E8"/>
    <w:rsid w:val="00E3724B"/>
    <w:rsid w:val="00E3726F"/>
    <w:rsid w:val="00E374DF"/>
    <w:rsid w:val="00E3750C"/>
    <w:rsid w:val="00E37577"/>
    <w:rsid w:val="00E37643"/>
    <w:rsid w:val="00E3772E"/>
    <w:rsid w:val="00E3777F"/>
    <w:rsid w:val="00E377C6"/>
    <w:rsid w:val="00E379FC"/>
    <w:rsid w:val="00E37BBC"/>
    <w:rsid w:val="00E37E67"/>
    <w:rsid w:val="00E4001D"/>
    <w:rsid w:val="00E401BE"/>
    <w:rsid w:val="00E4038D"/>
    <w:rsid w:val="00E405D0"/>
    <w:rsid w:val="00E40CEB"/>
    <w:rsid w:val="00E40D24"/>
    <w:rsid w:val="00E412DF"/>
    <w:rsid w:val="00E4183D"/>
    <w:rsid w:val="00E41D5F"/>
    <w:rsid w:val="00E4213C"/>
    <w:rsid w:val="00E4223D"/>
    <w:rsid w:val="00E426D9"/>
    <w:rsid w:val="00E42822"/>
    <w:rsid w:val="00E42C6C"/>
    <w:rsid w:val="00E42CB1"/>
    <w:rsid w:val="00E42E96"/>
    <w:rsid w:val="00E43288"/>
    <w:rsid w:val="00E4331A"/>
    <w:rsid w:val="00E43374"/>
    <w:rsid w:val="00E43419"/>
    <w:rsid w:val="00E4349E"/>
    <w:rsid w:val="00E43689"/>
    <w:rsid w:val="00E437DC"/>
    <w:rsid w:val="00E43CE0"/>
    <w:rsid w:val="00E43F1D"/>
    <w:rsid w:val="00E43FB0"/>
    <w:rsid w:val="00E440E5"/>
    <w:rsid w:val="00E4428C"/>
    <w:rsid w:val="00E44687"/>
    <w:rsid w:val="00E44913"/>
    <w:rsid w:val="00E4495D"/>
    <w:rsid w:val="00E44A8E"/>
    <w:rsid w:val="00E44ADA"/>
    <w:rsid w:val="00E44B00"/>
    <w:rsid w:val="00E44BD4"/>
    <w:rsid w:val="00E44ED6"/>
    <w:rsid w:val="00E452DC"/>
    <w:rsid w:val="00E4578B"/>
    <w:rsid w:val="00E45A2B"/>
    <w:rsid w:val="00E45B44"/>
    <w:rsid w:val="00E45BF7"/>
    <w:rsid w:val="00E45F43"/>
    <w:rsid w:val="00E460D7"/>
    <w:rsid w:val="00E461FC"/>
    <w:rsid w:val="00E463CC"/>
    <w:rsid w:val="00E46553"/>
    <w:rsid w:val="00E46BCC"/>
    <w:rsid w:val="00E4724D"/>
    <w:rsid w:val="00E472A1"/>
    <w:rsid w:val="00E472E3"/>
    <w:rsid w:val="00E4732D"/>
    <w:rsid w:val="00E473D2"/>
    <w:rsid w:val="00E47530"/>
    <w:rsid w:val="00E47818"/>
    <w:rsid w:val="00E479AA"/>
    <w:rsid w:val="00E47AD7"/>
    <w:rsid w:val="00E47B9D"/>
    <w:rsid w:val="00E47E0E"/>
    <w:rsid w:val="00E47FD5"/>
    <w:rsid w:val="00E50002"/>
    <w:rsid w:val="00E50450"/>
    <w:rsid w:val="00E50557"/>
    <w:rsid w:val="00E50578"/>
    <w:rsid w:val="00E505C3"/>
    <w:rsid w:val="00E50760"/>
    <w:rsid w:val="00E507FA"/>
    <w:rsid w:val="00E509AF"/>
    <w:rsid w:val="00E50DB1"/>
    <w:rsid w:val="00E50FD1"/>
    <w:rsid w:val="00E50FE9"/>
    <w:rsid w:val="00E5107F"/>
    <w:rsid w:val="00E51438"/>
    <w:rsid w:val="00E5149E"/>
    <w:rsid w:val="00E51799"/>
    <w:rsid w:val="00E518EF"/>
    <w:rsid w:val="00E51971"/>
    <w:rsid w:val="00E5215F"/>
    <w:rsid w:val="00E5220A"/>
    <w:rsid w:val="00E5237B"/>
    <w:rsid w:val="00E523F3"/>
    <w:rsid w:val="00E528B2"/>
    <w:rsid w:val="00E529DB"/>
    <w:rsid w:val="00E52AB6"/>
    <w:rsid w:val="00E52C66"/>
    <w:rsid w:val="00E52DA1"/>
    <w:rsid w:val="00E52F91"/>
    <w:rsid w:val="00E536B2"/>
    <w:rsid w:val="00E53B2E"/>
    <w:rsid w:val="00E53C74"/>
    <w:rsid w:val="00E53D8B"/>
    <w:rsid w:val="00E53FB0"/>
    <w:rsid w:val="00E5420F"/>
    <w:rsid w:val="00E545C4"/>
    <w:rsid w:val="00E54905"/>
    <w:rsid w:val="00E54BA7"/>
    <w:rsid w:val="00E552A4"/>
    <w:rsid w:val="00E5536E"/>
    <w:rsid w:val="00E555B5"/>
    <w:rsid w:val="00E55A23"/>
    <w:rsid w:val="00E55A4C"/>
    <w:rsid w:val="00E55ABA"/>
    <w:rsid w:val="00E55D14"/>
    <w:rsid w:val="00E55DCC"/>
    <w:rsid w:val="00E55E9F"/>
    <w:rsid w:val="00E55F0F"/>
    <w:rsid w:val="00E55FE9"/>
    <w:rsid w:val="00E56285"/>
    <w:rsid w:val="00E56286"/>
    <w:rsid w:val="00E5645B"/>
    <w:rsid w:val="00E56A25"/>
    <w:rsid w:val="00E56C1F"/>
    <w:rsid w:val="00E570AF"/>
    <w:rsid w:val="00E57212"/>
    <w:rsid w:val="00E57431"/>
    <w:rsid w:val="00E57543"/>
    <w:rsid w:val="00E5766E"/>
    <w:rsid w:val="00E57685"/>
    <w:rsid w:val="00E57746"/>
    <w:rsid w:val="00E577EF"/>
    <w:rsid w:val="00E579A8"/>
    <w:rsid w:val="00E57C42"/>
    <w:rsid w:val="00E57D80"/>
    <w:rsid w:val="00E6019A"/>
    <w:rsid w:val="00E6027A"/>
    <w:rsid w:val="00E602C6"/>
    <w:rsid w:val="00E6054D"/>
    <w:rsid w:val="00E6088E"/>
    <w:rsid w:val="00E60BFA"/>
    <w:rsid w:val="00E60DCD"/>
    <w:rsid w:val="00E60ED5"/>
    <w:rsid w:val="00E60F28"/>
    <w:rsid w:val="00E6107C"/>
    <w:rsid w:val="00E610B8"/>
    <w:rsid w:val="00E6116A"/>
    <w:rsid w:val="00E612A5"/>
    <w:rsid w:val="00E61378"/>
    <w:rsid w:val="00E61D95"/>
    <w:rsid w:val="00E61E72"/>
    <w:rsid w:val="00E622F7"/>
    <w:rsid w:val="00E62634"/>
    <w:rsid w:val="00E62661"/>
    <w:rsid w:val="00E626E8"/>
    <w:rsid w:val="00E62D33"/>
    <w:rsid w:val="00E62F2B"/>
    <w:rsid w:val="00E62F4E"/>
    <w:rsid w:val="00E630FE"/>
    <w:rsid w:val="00E63535"/>
    <w:rsid w:val="00E63605"/>
    <w:rsid w:val="00E637B0"/>
    <w:rsid w:val="00E63B18"/>
    <w:rsid w:val="00E646D0"/>
    <w:rsid w:val="00E64788"/>
    <w:rsid w:val="00E6480F"/>
    <w:rsid w:val="00E6482A"/>
    <w:rsid w:val="00E64907"/>
    <w:rsid w:val="00E6490C"/>
    <w:rsid w:val="00E64D8B"/>
    <w:rsid w:val="00E64F15"/>
    <w:rsid w:val="00E652D5"/>
    <w:rsid w:val="00E653E9"/>
    <w:rsid w:val="00E658CA"/>
    <w:rsid w:val="00E6592E"/>
    <w:rsid w:val="00E65C63"/>
    <w:rsid w:val="00E65DED"/>
    <w:rsid w:val="00E65E92"/>
    <w:rsid w:val="00E6635C"/>
    <w:rsid w:val="00E664ED"/>
    <w:rsid w:val="00E6683A"/>
    <w:rsid w:val="00E66A85"/>
    <w:rsid w:val="00E66B8B"/>
    <w:rsid w:val="00E66B96"/>
    <w:rsid w:val="00E66DED"/>
    <w:rsid w:val="00E66E02"/>
    <w:rsid w:val="00E66F0E"/>
    <w:rsid w:val="00E67121"/>
    <w:rsid w:val="00E67471"/>
    <w:rsid w:val="00E67544"/>
    <w:rsid w:val="00E6795D"/>
    <w:rsid w:val="00E67D20"/>
    <w:rsid w:val="00E70048"/>
    <w:rsid w:val="00E70808"/>
    <w:rsid w:val="00E7089C"/>
    <w:rsid w:val="00E70BA1"/>
    <w:rsid w:val="00E70F89"/>
    <w:rsid w:val="00E70FC5"/>
    <w:rsid w:val="00E715EE"/>
    <w:rsid w:val="00E716DE"/>
    <w:rsid w:val="00E71831"/>
    <w:rsid w:val="00E71934"/>
    <w:rsid w:val="00E72099"/>
    <w:rsid w:val="00E720CA"/>
    <w:rsid w:val="00E722DF"/>
    <w:rsid w:val="00E72438"/>
    <w:rsid w:val="00E72465"/>
    <w:rsid w:val="00E724A3"/>
    <w:rsid w:val="00E730A8"/>
    <w:rsid w:val="00E73116"/>
    <w:rsid w:val="00E73197"/>
    <w:rsid w:val="00E731F0"/>
    <w:rsid w:val="00E731F1"/>
    <w:rsid w:val="00E73348"/>
    <w:rsid w:val="00E735E3"/>
    <w:rsid w:val="00E737AB"/>
    <w:rsid w:val="00E73B5E"/>
    <w:rsid w:val="00E740D2"/>
    <w:rsid w:val="00E744FE"/>
    <w:rsid w:val="00E74735"/>
    <w:rsid w:val="00E74971"/>
    <w:rsid w:val="00E74AE3"/>
    <w:rsid w:val="00E74FDC"/>
    <w:rsid w:val="00E75216"/>
    <w:rsid w:val="00E7537F"/>
    <w:rsid w:val="00E7547D"/>
    <w:rsid w:val="00E754F0"/>
    <w:rsid w:val="00E75736"/>
    <w:rsid w:val="00E75771"/>
    <w:rsid w:val="00E757D2"/>
    <w:rsid w:val="00E75BD1"/>
    <w:rsid w:val="00E75C0C"/>
    <w:rsid w:val="00E75C78"/>
    <w:rsid w:val="00E762A9"/>
    <w:rsid w:val="00E763AF"/>
    <w:rsid w:val="00E7665F"/>
    <w:rsid w:val="00E7670D"/>
    <w:rsid w:val="00E76C1C"/>
    <w:rsid w:val="00E77869"/>
    <w:rsid w:val="00E77A39"/>
    <w:rsid w:val="00E77B5E"/>
    <w:rsid w:val="00E77B91"/>
    <w:rsid w:val="00E77D0F"/>
    <w:rsid w:val="00E80344"/>
    <w:rsid w:val="00E8039E"/>
    <w:rsid w:val="00E80465"/>
    <w:rsid w:val="00E805EA"/>
    <w:rsid w:val="00E806B8"/>
    <w:rsid w:val="00E807C4"/>
    <w:rsid w:val="00E80AE2"/>
    <w:rsid w:val="00E80BD7"/>
    <w:rsid w:val="00E80CA3"/>
    <w:rsid w:val="00E80CB6"/>
    <w:rsid w:val="00E80FA3"/>
    <w:rsid w:val="00E8105B"/>
    <w:rsid w:val="00E8164A"/>
    <w:rsid w:val="00E816D3"/>
    <w:rsid w:val="00E81717"/>
    <w:rsid w:val="00E8171C"/>
    <w:rsid w:val="00E81828"/>
    <w:rsid w:val="00E81849"/>
    <w:rsid w:val="00E819D0"/>
    <w:rsid w:val="00E81C6F"/>
    <w:rsid w:val="00E81CB0"/>
    <w:rsid w:val="00E81DCE"/>
    <w:rsid w:val="00E81E77"/>
    <w:rsid w:val="00E8204B"/>
    <w:rsid w:val="00E8255B"/>
    <w:rsid w:val="00E828D9"/>
    <w:rsid w:val="00E82F94"/>
    <w:rsid w:val="00E82FD9"/>
    <w:rsid w:val="00E8305E"/>
    <w:rsid w:val="00E8308B"/>
    <w:rsid w:val="00E83459"/>
    <w:rsid w:val="00E83809"/>
    <w:rsid w:val="00E83A8F"/>
    <w:rsid w:val="00E83AF7"/>
    <w:rsid w:val="00E83B37"/>
    <w:rsid w:val="00E83BF9"/>
    <w:rsid w:val="00E83CCF"/>
    <w:rsid w:val="00E83D26"/>
    <w:rsid w:val="00E83DBC"/>
    <w:rsid w:val="00E83F6E"/>
    <w:rsid w:val="00E8404B"/>
    <w:rsid w:val="00E846D1"/>
    <w:rsid w:val="00E847ED"/>
    <w:rsid w:val="00E84853"/>
    <w:rsid w:val="00E84A17"/>
    <w:rsid w:val="00E84C8F"/>
    <w:rsid w:val="00E84ED8"/>
    <w:rsid w:val="00E85EB5"/>
    <w:rsid w:val="00E86034"/>
    <w:rsid w:val="00E866D9"/>
    <w:rsid w:val="00E8675E"/>
    <w:rsid w:val="00E86DD6"/>
    <w:rsid w:val="00E86EF3"/>
    <w:rsid w:val="00E86F07"/>
    <w:rsid w:val="00E86F0A"/>
    <w:rsid w:val="00E870D1"/>
    <w:rsid w:val="00E870FE"/>
    <w:rsid w:val="00E871FE"/>
    <w:rsid w:val="00E87760"/>
    <w:rsid w:val="00E877B8"/>
    <w:rsid w:val="00E87C2D"/>
    <w:rsid w:val="00E87D1B"/>
    <w:rsid w:val="00E87E4B"/>
    <w:rsid w:val="00E9008D"/>
    <w:rsid w:val="00E903A0"/>
    <w:rsid w:val="00E9086D"/>
    <w:rsid w:val="00E908A1"/>
    <w:rsid w:val="00E909AE"/>
    <w:rsid w:val="00E909BC"/>
    <w:rsid w:val="00E90DDF"/>
    <w:rsid w:val="00E90E4A"/>
    <w:rsid w:val="00E910A6"/>
    <w:rsid w:val="00E91778"/>
    <w:rsid w:val="00E91B00"/>
    <w:rsid w:val="00E91FFF"/>
    <w:rsid w:val="00E92299"/>
    <w:rsid w:val="00E92516"/>
    <w:rsid w:val="00E9251D"/>
    <w:rsid w:val="00E926F0"/>
    <w:rsid w:val="00E92DC6"/>
    <w:rsid w:val="00E92F32"/>
    <w:rsid w:val="00E9316F"/>
    <w:rsid w:val="00E93253"/>
    <w:rsid w:val="00E93326"/>
    <w:rsid w:val="00E939F0"/>
    <w:rsid w:val="00E93B2E"/>
    <w:rsid w:val="00E94083"/>
    <w:rsid w:val="00E94163"/>
    <w:rsid w:val="00E94175"/>
    <w:rsid w:val="00E94224"/>
    <w:rsid w:val="00E9429E"/>
    <w:rsid w:val="00E942C5"/>
    <w:rsid w:val="00E9477B"/>
    <w:rsid w:val="00E948DE"/>
    <w:rsid w:val="00E94982"/>
    <w:rsid w:val="00E94A34"/>
    <w:rsid w:val="00E94AB8"/>
    <w:rsid w:val="00E94AF4"/>
    <w:rsid w:val="00E94C8E"/>
    <w:rsid w:val="00E94CAF"/>
    <w:rsid w:val="00E9510B"/>
    <w:rsid w:val="00E95183"/>
    <w:rsid w:val="00E951D5"/>
    <w:rsid w:val="00E952E6"/>
    <w:rsid w:val="00E95472"/>
    <w:rsid w:val="00E95870"/>
    <w:rsid w:val="00E95BFF"/>
    <w:rsid w:val="00E95DE4"/>
    <w:rsid w:val="00E9600C"/>
    <w:rsid w:val="00E9604A"/>
    <w:rsid w:val="00E962F8"/>
    <w:rsid w:val="00E962FA"/>
    <w:rsid w:val="00E964C0"/>
    <w:rsid w:val="00E9667C"/>
    <w:rsid w:val="00E9668A"/>
    <w:rsid w:val="00E9672C"/>
    <w:rsid w:val="00E9685F"/>
    <w:rsid w:val="00E96AAE"/>
    <w:rsid w:val="00E96E59"/>
    <w:rsid w:val="00E97359"/>
    <w:rsid w:val="00E97658"/>
    <w:rsid w:val="00E9784D"/>
    <w:rsid w:val="00E97876"/>
    <w:rsid w:val="00E978AB"/>
    <w:rsid w:val="00E9792D"/>
    <w:rsid w:val="00E97B44"/>
    <w:rsid w:val="00E97B8A"/>
    <w:rsid w:val="00E97B8E"/>
    <w:rsid w:val="00E97C54"/>
    <w:rsid w:val="00E97CA9"/>
    <w:rsid w:val="00E97D99"/>
    <w:rsid w:val="00E97E7A"/>
    <w:rsid w:val="00EA01CF"/>
    <w:rsid w:val="00EA0311"/>
    <w:rsid w:val="00EA034B"/>
    <w:rsid w:val="00EA03F9"/>
    <w:rsid w:val="00EA0432"/>
    <w:rsid w:val="00EA0491"/>
    <w:rsid w:val="00EA062D"/>
    <w:rsid w:val="00EA0D0A"/>
    <w:rsid w:val="00EA0E58"/>
    <w:rsid w:val="00EA1058"/>
    <w:rsid w:val="00EA10EA"/>
    <w:rsid w:val="00EA129D"/>
    <w:rsid w:val="00EA13E0"/>
    <w:rsid w:val="00EA14A8"/>
    <w:rsid w:val="00EA1536"/>
    <w:rsid w:val="00EA1902"/>
    <w:rsid w:val="00EA1D50"/>
    <w:rsid w:val="00EA1FB5"/>
    <w:rsid w:val="00EA222B"/>
    <w:rsid w:val="00EA2284"/>
    <w:rsid w:val="00EA27BB"/>
    <w:rsid w:val="00EA27FA"/>
    <w:rsid w:val="00EA2B49"/>
    <w:rsid w:val="00EA3475"/>
    <w:rsid w:val="00EA35F4"/>
    <w:rsid w:val="00EA394B"/>
    <w:rsid w:val="00EA394F"/>
    <w:rsid w:val="00EA3BD3"/>
    <w:rsid w:val="00EA3DD1"/>
    <w:rsid w:val="00EA3EE9"/>
    <w:rsid w:val="00EA3F86"/>
    <w:rsid w:val="00EA42A9"/>
    <w:rsid w:val="00EA4574"/>
    <w:rsid w:val="00EA48C8"/>
    <w:rsid w:val="00EA4D40"/>
    <w:rsid w:val="00EA4EFD"/>
    <w:rsid w:val="00EA50A1"/>
    <w:rsid w:val="00EA5414"/>
    <w:rsid w:val="00EA542E"/>
    <w:rsid w:val="00EA5809"/>
    <w:rsid w:val="00EA5DEE"/>
    <w:rsid w:val="00EA5DF9"/>
    <w:rsid w:val="00EA61E9"/>
    <w:rsid w:val="00EA641F"/>
    <w:rsid w:val="00EA658E"/>
    <w:rsid w:val="00EA65B4"/>
    <w:rsid w:val="00EA6775"/>
    <w:rsid w:val="00EA68EF"/>
    <w:rsid w:val="00EA6A10"/>
    <w:rsid w:val="00EA6B4A"/>
    <w:rsid w:val="00EA6CA8"/>
    <w:rsid w:val="00EA6E98"/>
    <w:rsid w:val="00EA6EF0"/>
    <w:rsid w:val="00EA71BF"/>
    <w:rsid w:val="00EA74E1"/>
    <w:rsid w:val="00EA75E5"/>
    <w:rsid w:val="00EA768C"/>
    <w:rsid w:val="00EA7A0C"/>
    <w:rsid w:val="00EA7CA7"/>
    <w:rsid w:val="00EB000D"/>
    <w:rsid w:val="00EB01C3"/>
    <w:rsid w:val="00EB0317"/>
    <w:rsid w:val="00EB097F"/>
    <w:rsid w:val="00EB0B8E"/>
    <w:rsid w:val="00EB0BA9"/>
    <w:rsid w:val="00EB12CD"/>
    <w:rsid w:val="00EB1889"/>
    <w:rsid w:val="00EB18F9"/>
    <w:rsid w:val="00EB190E"/>
    <w:rsid w:val="00EB1B69"/>
    <w:rsid w:val="00EB1E62"/>
    <w:rsid w:val="00EB1EDC"/>
    <w:rsid w:val="00EB206F"/>
    <w:rsid w:val="00EB219C"/>
    <w:rsid w:val="00EB2379"/>
    <w:rsid w:val="00EB2729"/>
    <w:rsid w:val="00EB27FB"/>
    <w:rsid w:val="00EB2A2D"/>
    <w:rsid w:val="00EB2E6E"/>
    <w:rsid w:val="00EB32D4"/>
    <w:rsid w:val="00EB333A"/>
    <w:rsid w:val="00EB3372"/>
    <w:rsid w:val="00EB35BF"/>
    <w:rsid w:val="00EB36E8"/>
    <w:rsid w:val="00EB39BC"/>
    <w:rsid w:val="00EB3A11"/>
    <w:rsid w:val="00EB3D60"/>
    <w:rsid w:val="00EB3ED8"/>
    <w:rsid w:val="00EB415C"/>
    <w:rsid w:val="00EB4472"/>
    <w:rsid w:val="00EB48CA"/>
    <w:rsid w:val="00EB4D07"/>
    <w:rsid w:val="00EB4F9F"/>
    <w:rsid w:val="00EB50B2"/>
    <w:rsid w:val="00EB54D7"/>
    <w:rsid w:val="00EB55DF"/>
    <w:rsid w:val="00EB5CF3"/>
    <w:rsid w:val="00EB5E44"/>
    <w:rsid w:val="00EB5F26"/>
    <w:rsid w:val="00EB61F4"/>
    <w:rsid w:val="00EB6200"/>
    <w:rsid w:val="00EB65B8"/>
    <w:rsid w:val="00EB689A"/>
    <w:rsid w:val="00EB6912"/>
    <w:rsid w:val="00EB6CD5"/>
    <w:rsid w:val="00EB6CDF"/>
    <w:rsid w:val="00EB70B9"/>
    <w:rsid w:val="00EB715B"/>
    <w:rsid w:val="00EB7205"/>
    <w:rsid w:val="00EB76B8"/>
    <w:rsid w:val="00EB7FAD"/>
    <w:rsid w:val="00EC0085"/>
    <w:rsid w:val="00EC0339"/>
    <w:rsid w:val="00EC051A"/>
    <w:rsid w:val="00EC0839"/>
    <w:rsid w:val="00EC095C"/>
    <w:rsid w:val="00EC0B38"/>
    <w:rsid w:val="00EC0C9E"/>
    <w:rsid w:val="00EC0D0C"/>
    <w:rsid w:val="00EC0D45"/>
    <w:rsid w:val="00EC0E09"/>
    <w:rsid w:val="00EC10F7"/>
    <w:rsid w:val="00EC1129"/>
    <w:rsid w:val="00EC14AC"/>
    <w:rsid w:val="00EC1AD1"/>
    <w:rsid w:val="00EC21B5"/>
    <w:rsid w:val="00EC225D"/>
    <w:rsid w:val="00EC28EE"/>
    <w:rsid w:val="00EC28FE"/>
    <w:rsid w:val="00EC2BCF"/>
    <w:rsid w:val="00EC2EBD"/>
    <w:rsid w:val="00EC316E"/>
    <w:rsid w:val="00EC3741"/>
    <w:rsid w:val="00EC3DF5"/>
    <w:rsid w:val="00EC3F0C"/>
    <w:rsid w:val="00EC4008"/>
    <w:rsid w:val="00EC4039"/>
    <w:rsid w:val="00EC4163"/>
    <w:rsid w:val="00EC4381"/>
    <w:rsid w:val="00EC43BE"/>
    <w:rsid w:val="00EC4689"/>
    <w:rsid w:val="00EC46D2"/>
    <w:rsid w:val="00EC472A"/>
    <w:rsid w:val="00EC4790"/>
    <w:rsid w:val="00EC491D"/>
    <w:rsid w:val="00EC4942"/>
    <w:rsid w:val="00EC4BD0"/>
    <w:rsid w:val="00EC50EC"/>
    <w:rsid w:val="00EC523C"/>
    <w:rsid w:val="00EC5251"/>
    <w:rsid w:val="00EC52A7"/>
    <w:rsid w:val="00EC5386"/>
    <w:rsid w:val="00EC57D0"/>
    <w:rsid w:val="00EC5965"/>
    <w:rsid w:val="00EC657A"/>
    <w:rsid w:val="00EC657C"/>
    <w:rsid w:val="00EC6A15"/>
    <w:rsid w:val="00EC6A49"/>
    <w:rsid w:val="00EC6B78"/>
    <w:rsid w:val="00EC7438"/>
    <w:rsid w:val="00EC75AC"/>
    <w:rsid w:val="00EC7B76"/>
    <w:rsid w:val="00EC7C79"/>
    <w:rsid w:val="00EC7E77"/>
    <w:rsid w:val="00ED0019"/>
    <w:rsid w:val="00ED01CC"/>
    <w:rsid w:val="00ED021A"/>
    <w:rsid w:val="00ED07C4"/>
    <w:rsid w:val="00ED0D35"/>
    <w:rsid w:val="00ED0EB4"/>
    <w:rsid w:val="00ED0FF8"/>
    <w:rsid w:val="00ED132D"/>
    <w:rsid w:val="00ED13D8"/>
    <w:rsid w:val="00ED1540"/>
    <w:rsid w:val="00ED18B1"/>
    <w:rsid w:val="00ED194F"/>
    <w:rsid w:val="00ED1975"/>
    <w:rsid w:val="00ED1A01"/>
    <w:rsid w:val="00ED1BEA"/>
    <w:rsid w:val="00ED1C09"/>
    <w:rsid w:val="00ED1C3D"/>
    <w:rsid w:val="00ED1C41"/>
    <w:rsid w:val="00ED1D49"/>
    <w:rsid w:val="00ED1EE2"/>
    <w:rsid w:val="00ED1F8A"/>
    <w:rsid w:val="00ED2083"/>
    <w:rsid w:val="00ED20EC"/>
    <w:rsid w:val="00ED2101"/>
    <w:rsid w:val="00ED2163"/>
    <w:rsid w:val="00ED228B"/>
    <w:rsid w:val="00ED23A0"/>
    <w:rsid w:val="00ED26D9"/>
    <w:rsid w:val="00ED2816"/>
    <w:rsid w:val="00ED2892"/>
    <w:rsid w:val="00ED2A91"/>
    <w:rsid w:val="00ED2DA6"/>
    <w:rsid w:val="00ED2F24"/>
    <w:rsid w:val="00ED2FFD"/>
    <w:rsid w:val="00ED30B8"/>
    <w:rsid w:val="00ED30C4"/>
    <w:rsid w:val="00ED321C"/>
    <w:rsid w:val="00ED327C"/>
    <w:rsid w:val="00ED32E2"/>
    <w:rsid w:val="00ED38F4"/>
    <w:rsid w:val="00ED39D9"/>
    <w:rsid w:val="00ED3DD6"/>
    <w:rsid w:val="00ED3EDD"/>
    <w:rsid w:val="00ED44E3"/>
    <w:rsid w:val="00ED49E4"/>
    <w:rsid w:val="00ED49EA"/>
    <w:rsid w:val="00ED4A76"/>
    <w:rsid w:val="00ED4C65"/>
    <w:rsid w:val="00ED4F23"/>
    <w:rsid w:val="00ED5409"/>
    <w:rsid w:val="00ED57A8"/>
    <w:rsid w:val="00ED59C4"/>
    <w:rsid w:val="00ED5ACE"/>
    <w:rsid w:val="00ED609A"/>
    <w:rsid w:val="00ED628D"/>
    <w:rsid w:val="00ED64DD"/>
    <w:rsid w:val="00ED64F1"/>
    <w:rsid w:val="00ED67BF"/>
    <w:rsid w:val="00ED6B26"/>
    <w:rsid w:val="00ED6C53"/>
    <w:rsid w:val="00ED6C5B"/>
    <w:rsid w:val="00ED6C67"/>
    <w:rsid w:val="00ED71F4"/>
    <w:rsid w:val="00ED7A9A"/>
    <w:rsid w:val="00ED7CF3"/>
    <w:rsid w:val="00ED7D40"/>
    <w:rsid w:val="00ED7EB1"/>
    <w:rsid w:val="00EE011C"/>
    <w:rsid w:val="00EE044F"/>
    <w:rsid w:val="00EE0A29"/>
    <w:rsid w:val="00EE0B62"/>
    <w:rsid w:val="00EE0FF7"/>
    <w:rsid w:val="00EE1128"/>
    <w:rsid w:val="00EE112F"/>
    <w:rsid w:val="00EE1390"/>
    <w:rsid w:val="00EE1B14"/>
    <w:rsid w:val="00EE209B"/>
    <w:rsid w:val="00EE226C"/>
    <w:rsid w:val="00EE24ED"/>
    <w:rsid w:val="00EE269A"/>
    <w:rsid w:val="00EE26BA"/>
    <w:rsid w:val="00EE2AD5"/>
    <w:rsid w:val="00EE2FA6"/>
    <w:rsid w:val="00EE3064"/>
    <w:rsid w:val="00EE30C8"/>
    <w:rsid w:val="00EE340B"/>
    <w:rsid w:val="00EE342E"/>
    <w:rsid w:val="00EE365D"/>
    <w:rsid w:val="00EE3727"/>
    <w:rsid w:val="00EE38F6"/>
    <w:rsid w:val="00EE3A8F"/>
    <w:rsid w:val="00EE3D76"/>
    <w:rsid w:val="00EE41E0"/>
    <w:rsid w:val="00EE4278"/>
    <w:rsid w:val="00EE4434"/>
    <w:rsid w:val="00EE48CE"/>
    <w:rsid w:val="00EE4CC8"/>
    <w:rsid w:val="00EE51B6"/>
    <w:rsid w:val="00EE54BC"/>
    <w:rsid w:val="00EE55EF"/>
    <w:rsid w:val="00EE58E6"/>
    <w:rsid w:val="00EE5D85"/>
    <w:rsid w:val="00EE5E8A"/>
    <w:rsid w:val="00EE5E92"/>
    <w:rsid w:val="00EE61ED"/>
    <w:rsid w:val="00EE62E0"/>
    <w:rsid w:val="00EE676C"/>
    <w:rsid w:val="00EE67E6"/>
    <w:rsid w:val="00EE69E7"/>
    <w:rsid w:val="00EE6B56"/>
    <w:rsid w:val="00EE6EE0"/>
    <w:rsid w:val="00EE6F31"/>
    <w:rsid w:val="00EE73EF"/>
    <w:rsid w:val="00EE7663"/>
    <w:rsid w:val="00EE76C0"/>
    <w:rsid w:val="00EE76FA"/>
    <w:rsid w:val="00EE775E"/>
    <w:rsid w:val="00EF0239"/>
    <w:rsid w:val="00EF03AA"/>
    <w:rsid w:val="00EF03E4"/>
    <w:rsid w:val="00EF0402"/>
    <w:rsid w:val="00EF0428"/>
    <w:rsid w:val="00EF0566"/>
    <w:rsid w:val="00EF067E"/>
    <w:rsid w:val="00EF0A50"/>
    <w:rsid w:val="00EF0D1C"/>
    <w:rsid w:val="00EF0F4D"/>
    <w:rsid w:val="00EF1101"/>
    <w:rsid w:val="00EF11CF"/>
    <w:rsid w:val="00EF12A2"/>
    <w:rsid w:val="00EF1503"/>
    <w:rsid w:val="00EF15D0"/>
    <w:rsid w:val="00EF168D"/>
    <w:rsid w:val="00EF1915"/>
    <w:rsid w:val="00EF195B"/>
    <w:rsid w:val="00EF196D"/>
    <w:rsid w:val="00EF1AC0"/>
    <w:rsid w:val="00EF1EFD"/>
    <w:rsid w:val="00EF1FF0"/>
    <w:rsid w:val="00EF200C"/>
    <w:rsid w:val="00EF21EF"/>
    <w:rsid w:val="00EF21F0"/>
    <w:rsid w:val="00EF24E2"/>
    <w:rsid w:val="00EF26D0"/>
    <w:rsid w:val="00EF2A42"/>
    <w:rsid w:val="00EF2BB3"/>
    <w:rsid w:val="00EF2CDF"/>
    <w:rsid w:val="00EF301F"/>
    <w:rsid w:val="00EF30CD"/>
    <w:rsid w:val="00EF3746"/>
    <w:rsid w:val="00EF3749"/>
    <w:rsid w:val="00EF3A1C"/>
    <w:rsid w:val="00EF3C98"/>
    <w:rsid w:val="00EF41D8"/>
    <w:rsid w:val="00EF41FD"/>
    <w:rsid w:val="00EF4A8C"/>
    <w:rsid w:val="00EF4DC0"/>
    <w:rsid w:val="00EF4F54"/>
    <w:rsid w:val="00EF5156"/>
    <w:rsid w:val="00EF521F"/>
    <w:rsid w:val="00EF5444"/>
    <w:rsid w:val="00EF55B4"/>
    <w:rsid w:val="00EF55DC"/>
    <w:rsid w:val="00EF5D9F"/>
    <w:rsid w:val="00EF6412"/>
    <w:rsid w:val="00EF645D"/>
    <w:rsid w:val="00EF69AA"/>
    <w:rsid w:val="00EF6E5C"/>
    <w:rsid w:val="00EF79AB"/>
    <w:rsid w:val="00EF7D11"/>
    <w:rsid w:val="00EF7EA9"/>
    <w:rsid w:val="00F0012D"/>
    <w:rsid w:val="00F0019F"/>
    <w:rsid w:val="00F002E2"/>
    <w:rsid w:val="00F005B3"/>
    <w:rsid w:val="00F008DD"/>
    <w:rsid w:val="00F00C2F"/>
    <w:rsid w:val="00F00CB9"/>
    <w:rsid w:val="00F00D33"/>
    <w:rsid w:val="00F011E7"/>
    <w:rsid w:val="00F013A8"/>
    <w:rsid w:val="00F014CE"/>
    <w:rsid w:val="00F0152E"/>
    <w:rsid w:val="00F016A7"/>
    <w:rsid w:val="00F01750"/>
    <w:rsid w:val="00F0186D"/>
    <w:rsid w:val="00F01BD2"/>
    <w:rsid w:val="00F01F62"/>
    <w:rsid w:val="00F0222D"/>
    <w:rsid w:val="00F02407"/>
    <w:rsid w:val="00F0256D"/>
    <w:rsid w:val="00F0258B"/>
    <w:rsid w:val="00F0264F"/>
    <w:rsid w:val="00F0279A"/>
    <w:rsid w:val="00F02D01"/>
    <w:rsid w:val="00F02F2A"/>
    <w:rsid w:val="00F031D8"/>
    <w:rsid w:val="00F03AAD"/>
    <w:rsid w:val="00F03C54"/>
    <w:rsid w:val="00F03CF1"/>
    <w:rsid w:val="00F03DED"/>
    <w:rsid w:val="00F04176"/>
    <w:rsid w:val="00F041A0"/>
    <w:rsid w:val="00F04278"/>
    <w:rsid w:val="00F04323"/>
    <w:rsid w:val="00F043CC"/>
    <w:rsid w:val="00F04807"/>
    <w:rsid w:val="00F04ACE"/>
    <w:rsid w:val="00F04BC2"/>
    <w:rsid w:val="00F04C31"/>
    <w:rsid w:val="00F04C99"/>
    <w:rsid w:val="00F04E6C"/>
    <w:rsid w:val="00F04E83"/>
    <w:rsid w:val="00F04F50"/>
    <w:rsid w:val="00F05036"/>
    <w:rsid w:val="00F05193"/>
    <w:rsid w:val="00F052BE"/>
    <w:rsid w:val="00F05604"/>
    <w:rsid w:val="00F059FC"/>
    <w:rsid w:val="00F05E18"/>
    <w:rsid w:val="00F05E86"/>
    <w:rsid w:val="00F06332"/>
    <w:rsid w:val="00F06522"/>
    <w:rsid w:val="00F06701"/>
    <w:rsid w:val="00F0698C"/>
    <w:rsid w:val="00F06CEB"/>
    <w:rsid w:val="00F06D73"/>
    <w:rsid w:val="00F06FAE"/>
    <w:rsid w:val="00F06FE5"/>
    <w:rsid w:val="00F07053"/>
    <w:rsid w:val="00F07119"/>
    <w:rsid w:val="00F07742"/>
    <w:rsid w:val="00F07753"/>
    <w:rsid w:val="00F07C44"/>
    <w:rsid w:val="00F07F4C"/>
    <w:rsid w:val="00F102A3"/>
    <w:rsid w:val="00F10940"/>
    <w:rsid w:val="00F109BF"/>
    <w:rsid w:val="00F10A8D"/>
    <w:rsid w:val="00F10D32"/>
    <w:rsid w:val="00F10ED4"/>
    <w:rsid w:val="00F10FA9"/>
    <w:rsid w:val="00F11019"/>
    <w:rsid w:val="00F11259"/>
    <w:rsid w:val="00F1130B"/>
    <w:rsid w:val="00F11754"/>
    <w:rsid w:val="00F117EA"/>
    <w:rsid w:val="00F1180E"/>
    <w:rsid w:val="00F11C63"/>
    <w:rsid w:val="00F11D57"/>
    <w:rsid w:val="00F11DA5"/>
    <w:rsid w:val="00F11DBA"/>
    <w:rsid w:val="00F12205"/>
    <w:rsid w:val="00F122A6"/>
    <w:rsid w:val="00F126E6"/>
    <w:rsid w:val="00F12E52"/>
    <w:rsid w:val="00F13179"/>
    <w:rsid w:val="00F1322C"/>
    <w:rsid w:val="00F1323F"/>
    <w:rsid w:val="00F133A4"/>
    <w:rsid w:val="00F13833"/>
    <w:rsid w:val="00F13993"/>
    <w:rsid w:val="00F139D6"/>
    <w:rsid w:val="00F13DF1"/>
    <w:rsid w:val="00F14015"/>
    <w:rsid w:val="00F144E2"/>
    <w:rsid w:val="00F14710"/>
    <w:rsid w:val="00F14AC9"/>
    <w:rsid w:val="00F14D21"/>
    <w:rsid w:val="00F14E8D"/>
    <w:rsid w:val="00F14EFC"/>
    <w:rsid w:val="00F1546E"/>
    <w:rsid w:val="00F154AB"/>
    <w:rsid w:val="00F15643"/>
    <w:rsid w:val="00F158ED"/>
    <w:rsid w:val="00F15BC2"/>
    <w:rsid w:val="00F15C65"/>
    <w:rsid w:val="00F15CB8"/>
    <w:rsid w:val="00F160F7"/>
    <w:rsid w:val="00F16386"/>
    <w:rsid w:val="00F16494"/>
    <w:rsid w:val="00F16606"/>
    <w:rsid w:val="00F16735"/>
    <w:rsid w:val="00F167BF"/>
    <w:rsid w:val="00F16928"/>
    <w:rsid w:val="00F16CEA"/>
    <w:rsid w:val="00F16F45"/>
    <w:rsid w:val="00F16F9F"/>
    <w:rsid w:val="00F172DF"/>
    <w:rsid w:val="00F17313"/>
    <w:rsid w:val="00F173A5"/>
    <w:rsid w:val="00F175EA"/>
    <w:rsid w:val="00F17B70"/>
    <w:rsid w:val="00F17D2F"/>
    <w:rsid w:val="00F20056"/>
    <w:rsid w:val="00F2016A"/>
    <w:rsid w:val="00F20273"/>
    <w:rsid w:val="00F20565"/>
    <w:rsid w:val="00F20777"/>
    <w:rsid w:val="00F2078C"/>
    <w:rsid w:val="00F20791"/>
    <w:rsid w:val="00F20A82"/>
    <w:rsid w:val="00F20AD1"/>
    <w:rsid w:val="00F21010"/>
    <w:rsid w:val="00F2106B"/>
    <w:rsid w:val="00F211DC"/>
    <w:rsid w:val="00F212EB"/>
    <w:rsid w:val="00F21427"/>
    <w:rsid w:val="00F216DE"/>
    <w:rsid w:val="00F21880"/>
    <w:rsid w:val="00F21884"/>
    <w:rsid w:val="00F21A4C"/>
    <w:rsid w:val="00F221B9"/>
    <w:rsid w:val="00F22338"/>
    <w:rsid w:val="00F223C7"/>
    <w:rsid w:val="00F2240E"/>
    <w:rsid w:val="00F225F4"/>
    <w:rsid w:val="00F226A1"/>
    <w:rsid w:val="00F227D0"/>
    <w:rsid w:val="00F22C53"/>
    <w:rsid w:val="00F22D23"/>
    <w:rsid w:val="00F22D73"/>
    <w:rsid w:val="00F22DAD"/>
    <w:rsid w:val="00F23368"/>
    <w:rsid w:val="00F23931"/>
    <w:rsid w:val="00F23937"/>
    <w:rsid w:val="00F23BA7"/>
    <w:rsid w:val="00F23D3F"/>
    <w:rsid w:val="00F23E83"/>
    <w:rsid w:val="00F24052"/>
    <w:rsid w:val="00F24192"/>
    <w:rsid w:val="00F241D5"/>
    <w:rsid w:val="00F2449D"/>
    <w:rsid w:val="00F24596"/>
    <w:rsid w:val="00F246B8"/>
    <w:rsid w:val="00F24786"/>
    <w:rsid w:val="00F248EF"/>
    <w:rsid w:val="00F24ABB"/>
    <w:rsid w:val="00F25493"/>
    <w:rsid w:val="00F259DA"/>
    <w:rsid w:val="00F25EA1"/>
    <w:rsid w:val="00F25F3F"/>
    <w:rsid w:val="00F25FEC"/>
    <w:rsid w:val="00F26212"/>
    <w:rsid w:val="00F2631C"/>
    <w:rsid w:val="00F264BC"/>
    <w:rsid w:val="00F2655D"/>
    <w:rsid w:val="00F2694A"/>
    <w:rsid w:val="00F26BB8"/>
    <w:rsid w:val="00F26C2D"/>
    <w:rsid w:val="00F26D19"/>
    <w:rsid w:val="00F26E4E"/>
    <w:rsid w:val="00F26F88"/>
    <w:rsid w:val="00F27032"/>
    <w:rsid w:val="00F27256"/>
    <w:rsid w:val="00F27339"/>
    <w:rsid w:val="00F2741C"/>
    <w:rsid w:val="00F274AF"/>
    <w:rsid w:val="00F27748"/>
    <w:rsid w:val="00F277E6"/>
    <w:rsid w:val="00F278E0"/>
    <w:rsid w:val="00F27DAB"/>
    <w:rsid w:val="00F303EA"/>
    <w:rsid w:val="00F304DB"/>
    <w:rsid w:val="00F30725"/>
    <w:rsid w:val="00F30AD9"/>
    <w:rsid w:val="00F30CC8"/>
    <w:rsid w:val="00F3124C"/>
    <w:rsid w:val="00F3187C"/>
    <w:rsid w:val="00F31886"/>
    <w:rsid w:val="00F31D83"/>
    <w:rsid w:val="00F31F0E"/>
    <w:rsid w:val="00F31F3C"/>
    <w:rsid w:val="00F31F77"/>
    <w:rsid w:val="00F3201E"/>
    <w:rsid w:val="00F3223C"/>
    <w:rsid w:val="00F3231C"/>
    <w:rsid w:val="00F32400"/>
    <w:rsid w:val="00F326F0"/>
    <w:rsid w:val="00F32B1A"/>
    <w:rsid w:val="00F32B44"/>
    <w:rsid w:val="00F32BB8"/>
    <w:rsid w:val="00F32D0B"/>
    <w:rsid w:val="00F32D52"/>
    <w:rsid w:val="00F32FB3"/>
    <w:rsid w:val="00F334BE"/>
    <w:rsid w:val="00F33718"/>
    <w:rsid w:val="00F33751"/>
    <w:rsid w:val="00F33819"/>
    <w:rsid w:val="00F3388C"/>
    <w:rsid w:val="00F3389C"/>
    <w:rsid w:val="00F339C2"/>
    <w:rsid w:val="00F33AC4"/>
    <w:rsid w:val="00F33E94"/>
    <w:rsid w:val="00F340C3"/>
    <w:rsid w:val="00F344E7"/>
    <w:rsid w:val="00F348D6"/>
    <w:rsid w:val="00F34BC9"/>
    <w:rsid w:val="00F34C90"/>
    <w:rsid w:val="00F34CD8"/>
    <w:rsid w:val="00F34E14"/>
    <w:rsid w:val="00F34E55"/>
    <w:rsid w:val="00F34F28"/>
    <w:rsid w:val="00F3523E"/>
    <w:rsid w:val="00F35314"/>
    <w:rsid w:val="00F3538C"/>
    <w:rsid w:val="00F354E0"/>
    <w:rsid w:val="00F356BC"/>
    <w:rsid w:val="00F35739"/>
    <w:rsid w:val="00F358BB"/>
    <w:rsid w:val="00F36071"/>
    <w:rsid w:val="00F36287"/>
    <w:rsid w:val="00F36485"/>
    <w:rsid w:val="00F364B1"/>
    <w:rsid w:val="00F365B9"/>
    <w:rsid w:val="00F366E6"/>
    <w:rsid w:val="00F36914"/>
    <w:rsid w:val="00F3692B"/>
    <w:rsid w:val="00F36C1F"/>
    <w:rsid w:val="00F36D72"/>
    <w:rsid w:val="00F36FD9"/>
    <w:rsid w:val="00F3708E"/>
    <w:rsid w:val="00F3714A"/>
    <w:rsid w:val="00F37496"/>
    <w:rsid w:val="00F37814"/>
    <w:rsid w:val="00F37F21"/>
    <w:rsid w:val="00F37FC4"/>
    <w:rsid w:val="00F40670"/>
    <w:rsid w:val="00F40A5E"/>
    <w:rsid w:val="00F40B17"/>
    <w:rsid w:val="00F41126"/>
    <w:rsid w:val="00F415AC"/>
    <w:rsid w:val="00F41669"/>
    <w:rsid w:val="00F417A2"/>
    <w:rsid w:val="00F417E4"/>
    <w:rsid w:val="00F41C65"/>
    <w:rsid w:val="00F41CB2"/>
    <w:rsid w:val="00F41E4B"/>
    <w:rsid w:val="00F42017"/>
    <w:rsid w:val="00F42092"/>
    <w:rsid w:val="00F420A4"/>
    <w:rsid w:val="00F423BE"/>
    <w:rsid w:val="00F424F3"/>
    <w:rsid w:val="00F4268C"/>
    <w:rsid w:val="00F42CC8"/>
    <w:rsid w:val="00F42DA5"/>
    <w:rsid w:val="00F432DA"/>
    <w:rsid w:val="00F437CC"/>
    <w:rsid w:val="00F438EE"/>
    <w:rsid w:val="00F43ACB"/>
    <w:rsid w:val="00F43ACC"/>
    <w:rsid w:val="00F43B3D"/>
    <w:rsid w:val="00F44198"/>
    <w:rsid w:val="00F441DE"/>
    <w:rsid w:val="00F4457C"/>
    <w:rsid w:val="00F44927"/>
    <w:rsid w:val="00F4498D"/>
    <w:rsid w:val="00F44BE2"/>
    <w:rsid w:val="00F44EB5"/>
    <w:rsid w:val="00F4507A"/>
    <w:rsid w:val="00F45693"/>
    <w:rsid w:val="00F45700"/>
    <w:rsid w:val="00F45731"/>
    <w:rsid w:val="00F457AF"/>
    <w:rsid w:val="00F45877"/>
    <w:rsid w:val="00F459D5"/>
    <w:rsid w:val="00F45A06"/>
    <w:rsid w:val="00F45B78"/>
    <w:rsid w:val="00F45BD2"/>
    <w:rsid w:val="00F45EA1"/>
    <w:rsid w:val="00F45EE5"/>
    <w:rsid w:val="00F460CD"/>
    <w:rsid w:val="00F464F0"/>
    <w:rsid w:val="00F46578"/>
    <w:rsid w:val="00F466A5"/>
    <w:rsid w:val="00F46B96"/>
    <w:rsid w:val="00F46CC4"/>
    <w:rsid w:val="00F46CCF"/>
    <w:rsid w:val="00F46D06"/>
    <w:rsid w:val="00F46DB6"/>
    <w:rsid w:val="00F46F20"/>
    <w:rsid w:val="00F47582"/>
    <w:rsid w:val="00F47674"/>
    <w:rsid w:val="00F47D69"/>
    <w:rsid w:val="00F47DFA"/>
    <w:rsid w:val="00F47E19"/>
    <w:rsid w:val="00F50068"/>
    <w:rsid w:val="00F50285"/>
    <w:rsid w:val="00F50493"/>
    <w:rsid w:val="00F506D0"/>
    <w:rsid w:val="00F507B2"/>
    <w:rsid w:val="00F50FDA"/>
    <w:rsid w:val="00F514A2"/>
    <w:rsid w:val="00F51502"/>
    <w:rsid w:val="00F51B59"/>
    <w:rsid w:val="00F51E99"/>
    <w:rsid w:val="00F52088"/>
    <w:rsid w:val="00F52393"/>
    <w:rsid w:val="00F52711"/>
    <w:rsid w:val="00F52ADD"/>
    <w:rsid w:val="00F52AEF"/>
    <w:rsid w:val="00F52E22"/>
    <w:rsid w:val="00F52E6C"/>
    <w:rsid w:val="00F531C3"/>
    <w:rsid w:val="00F533E4"/>
    <w:rsid w:val="00F53854"/>
    <w:rsid w:val="00F5389F"/>
    <w:rsid w:val="00F53DC8"/>
    <w:rsid w:val="00F53EB9"/>
    <w:rsid w:val="00F54327"/>
    <w:rsid w:val="00F54367"/>
    <w:rsid w:val="00F545EB"/>
    <w:rsid w:val="00F54771"/>
    <w:rsid w:val="00F54B72"/>
    <w:rsid w:val="00F54CF8"/>
    <w:rsid w:val="00F5531E"/>
    <w:rsid w:val="00F5544F"/>
    <w:rsid w:val="00F554A8"/>
    <w:rsid w:val="00F554C8"/>
    <w:rsid w:val="00F55665"/>
    <w:rsid w:val="00F55676"/>
    <w:rsid w:val="00F556B3"/>
    <w:rsid w:val="00F55A58"/>
    <w:rsid w:val="00F55C33"/>
    <w:rsid w:val="00F55FE4"/>
    <w:rsid w:val="00F56005"/>
    <w:rsid w:val="00F56171"/>
    <w:rsid w:val="00F5643E"/>
    <w:rsid w:val="00F569B1"/>
    <w:rsid w:val="00F56DB1"/>
    <w:rsid w:val="00F56F34"/>
    <w:rsid w:val="00F56F64"/>
    <w:rsid w:val="00F56FFC"/>
    <w:rsid w:val="00F570D8"/>
    <w:rsid w:val="00F57385"/>
    <w:rsid w:val="00F57394"/>
    <w:rsid w:val="00F573F5"/>
    <w:rsid w:val="00F57527"/>
    <w:rsid w:val="00F57A32"/>
    <w:rsid w:val="00F57E23"/>
    <w:rsid w:val="00F60036"/>
    <w:rsid w:val="00F601A5"/>
    <w:rsid w:val="00F602E2"/>
    <w:rsid w:val="00F605D4"/>
    <w:rsid w:val="00F60ACA"/>
    <w:rsid w:val="00F60C01"/>
    <w:rsid w:val="00F60FB2"/>
    <w:rsid w:val="00F614B2"/>
    <w:rsid w:val="00F6156C"/>
    <w:rsid w:val="00F6157D"/>
    <w:rsid w:val="00F615F7"/>
    <w:rsid w:val="00F61909"/>
    <w:rsid w:val="00F61C6F"/>
    <w:rsid w:val="00F6214D"/>
    <w:rsid w:val="00F62294"/>
    <w:rsid w:val="00F6236F"/>
    <w:rsid w:val="00F62435"/>
    <w:rsid w:val="00F62517"/>
    <w:rsid w:val="00F62A62"/>
    <w:rsid w:val="00F62B91"/>
    <w:rsid w:val="00F62DDB"/>
    <w:rsid w:val="00F63347"/>
    <w:rsid w:val="00F63653"/>
    <w:rsid w:val="00F63A12"/>
    <w:rsid w:val="00F63C41"/>
    <w:rsid w:val="00F63FD1"/>
    <w:rsid w:val="00F644B1"/>
    <w:rsid w:val="00F64513"/>
    <w:rsid w:val="00F647E5"/>
    <w:rsid w:val="00F64ACB"/>
    <w:rsid w:val="00F64B9C"/>
    <w:rsid w:val="00F64D28"/>
    <w:rsid w:val="00F64F9E"/>
    <w:rsid w:val="00F650A8"/>
    <w:rsid w:val="00F650D8"/>
    <w:rsid w:val="00F65204"/>
    <w:rsid w:val="00F6542E"/>
    <w:rsid w:val="00F65A02"/>
    <w:rsid w:val="00F65A34"/>
    <w:rsid w:val="00F65A5F"/>
    <w:rsid w:val="00F65BC2"/>
    <w:rsid w:val="00F65D2B"/>
    <w:rsid w:val="00F65D55"/>
    <w:rsid w:val="00F65D87"/>
    <w:rsid w:val="00F65E49"/>
    <w:rsid w:val="00F65EB9"/>
    <w:rsid w:val="00F661C1"/>
    <w:rsid w:val="00F662C2"/>
    <w:rsid w:val="00F66470"/>
    <w:rsid w:val="00F66490"/>
    <w:rsid w:val="00F66A6D"/>
    <w:rsid w:val="00F66A7E"/>
    <w:rsid w:val="00F66AF3"/>
    <w:rsid w:val="00F66FFB"/>
    <w:rsid w:val="00F673DF"/>
    <w:rsid w:val="00F67464"/>
    <w:rsid w:val="00F677AB"/>
    <w:rsid w:val="00F678E1"/>
    <w:rsid w:val="00F67AAE"/>
    <w:rsid w:val="00F67AF5"/>
    <w:rsid w:val="00F67D6D"/>
    <w:rsid w:val="00F67F51"/>
    <w:rsid w:val="00F7011C"/>
    <w:rsid w:val="00F702AF"/>
    <w:rsid w:val="00F704A4"/>
    <w:rsid w:val="00F7087D"/>
    <w:rsid w:val="00F709AE"/>
    <w:rsid w:val="00F70DC0"/>
    <w:rsid w:val="00F70EA4"/>
    <w:rsid w:val="00F71154"/>
    <w:rsid w:val="00F7194E"/>
    <w:rsid w:val="00F719C5"/>
    <w:rsid w:val="00F71A8D"/>
    <w:rsid w:val="00F71BDD"/>
    <w:rsid w:val="00F71D96"/>
    <w:rsid w:val="00F71F50"/>
    <w:rsid w:val="00F722BF"/>
    <w:rsid w:val="00F72393"/>
    <w:rsid w:val="00F72525"/>
    <w:rsid w:val="00F72578"/>
    <w:rsid w:val="00F725AB"/>
    <w:rsid w:val="00F7263C"/>
    <w:rsid w:val="00F7266E"/>
    <w:rsid w:val="00F728CC"/>
    <w:rsid w:val="00F72B2F"/>
    <w:rsid w:val="00F72B3B"/>
    <w:rsid w:val="00F72E76"/>
    <w:rsid w:val="00F72F9B"/>
    <w:rsid w:val="00F73072"/>
    <w:rsid w:val="00F731DB"/>
    <w:rsid w:val="00F731E5"/>
    <w:rsid w:val="00F732E2"/>
    <w:rsid w:val="00F73967"/>
    <w:rsid w:val="00F73995"/>
    <w:rsid w:val="00F73A2E"/>
    <w:rsid w:val="00F73A84"/>
    <w:rsid w:val="00F73B51"/>
    <w:rsid w:val="00F73BAD"/>
    <w:rsid w:val="00F73D0E"/>
    <w:rsid w:val="00F74178"/>
    <w:rsid w:val="00F7442B"/>
    <w:rsid w:val="00F746AF"/>
    <w:rsid w:val="00F74795"/>
    <w:rsid w:val="00F74E15"/>
    <w:rsid w:val="00F7505E"/>
    <w:rsid w:val="00F752DE"/>
    <w:rsid w:val="00F752FE"/>
    <w:rsid w:val="00F7534A"/>
    <w:rsid w:val="00F7544B"/>
    <w:rsid w:val="00F754F7"/>
    <w:rsid w:val="00F75B55"/>
    <w:rsid w:val="00F75C0E"/>
    <w:rsid w:val="00F75C74"/>
    <w:rsid w:val="00F75CAE"/>
    <w:rsid w:val="00F75EA6"/>
    <w:rsid w:val="00F7613B"/>
    <w:rsid w:val="00F76377"/>
    <w:rsid w:val="00F7638E"/>
    <w:rsid w:val="00F765FB"/>
    <w:rsid w:val="00F76629"/>
    <w:rsid w:val="00F76841"/>
    <w:rsid w:val="00F76A96"/>
    <w:rsid w:val="00F76B1D"/>
    <w:rsid w:val="00F76D19"/>
    <w:rsid w:val="00F76D6E"/>
    <w:rsid w:val="00F76D9D"/>
    <w:rsid w:val="00F76DB5"/>
    <w:rsid w:val="00F7740D"/>
    <w:rsid w:val="00F77507"/>
    <w:rsid w:val="00F77611"/>
    <w:rsid w:val="00F77A4F"/>
    <w:rsid w:val="00F77C21"/>
    <w:rsid w:val="00F77E09"/>
    <w:rsid w:val="00F77E77"/>
    <w:rsid w:val="00F80309"/>
    <w:rsid w:val="00F80496"/>
    <w:rsid w:val="00F80531"/>
    <w:rsid w:val="00F80639"/>
    <w:rsid w:val="00F80B36"/>
    <w:rsid w:val="00F80C5B"/>
    <w:rsid w:val="00F80DC4"/>
    <w:rsid w:val="00F80FA2"/>
    <w:rsid w:val="00F810DB"/>
    <w:rsid w:val="00F81127"/>
    <w:rsid w:val="00F811A6"/>
    <w:rsid w:val="00F81469"/>
    <w:rsid w:val="00F81485"/>
    <w:rsid w:val="00F81617"/>
    <w:rsid w:val="00F81751"/>
    <w:rsid w:val="00F81EC3"/>
    <w:rsid w:val="00F81FBC"/>
    <w:rsid w:val="00F82144"/>
    <w:rsid w:val="00F8222D"/>
    <w:rsid w:val="00F82273"/>
    <w:rsid w:val="00F8229C"/>
    <w:rsid w:val="00F823AF"/>
    <w:rsid w:val="00F8258E"/>
    <w:rsid w:val="00F82749"/>
    <w:rsid w:val="00F82919"/>
    <w:rsid w:val="00F82B58"/>
    <w:rsid w:val="00F82EAB"/>
    <w:rsid w:val="00F83125"/>
    <w:rsid w:val="00F832D6"/>
    <w:rsid w:val="00F83942"/>
    <w:rsid w:val="00F83D64"/>
    <w:rsid w:val="00F83F16"/>
    <w:rsid w:val="00F83F61"/>
    <w:rsid w:val="00F83FE3"/>
    <w:rsid w:val="00F84273"/>
    <w:rsid w:val="00F846C1"/>
    <w:rsid w:val="00F84802"/>
    <w:rsid w:val="00F84B37"/>
    <w:rsid w:val="00F84B4B"/>
    <w:rsid w:val="00F84DD8"/>
    <w:rsid w:val="00F85371"/>
    <w:rsid w:val="00F855CA"/>
    <w:rsid w:val="00F85604"/>
    <w:rsid w:val="00F857A0"/>
    <w:rsid w:val="00F857D5"/>
    <w:rsid w:val="00F85885"/>
    <w:rsid w:val="00F8605B"/>
    <w:rsid w:val="00F866BB"/>
    <w:rsid w:val="00F86854"/>
    <w:rsid w:val="00F868E2"/>
    <w:rsid w:val="00F86AA2"/>
    <w:rsid w:val="00F86AD2"/>
    <w:rsid w:val="00F86B0A"/>
    <w:rsid w:val="00F86B1E"/>
    <w:rsid w:val="00F86D12"/>
    <w:rsid w:val="00F86F20"/>
    <w:rsid w:val="00F87108"/>
    <w:rsid w:val="00F8710E"/>
    <w:rsid w:val="00F87141"/>
    <w:rsid w:val="00F87222"/>
    <w:rsid w:val="00F872C2"/>
    <w:rsid w:val="00F8733B"/>
    <w:rsid w:val="00F873E7"/>
    <w:rsid w:val="00F874FC"/>
    <w:rsid w:val="00F878B1"/>
    <w:rsid w:val="00F878C6"/>
    <w:rsid w:val="00F878E9"/>
    <w:rsid w:val="00F878FB"/>
    <w:rsid w:val="00F87920"/>
    <w:rsid w:val="00F87C91"/>
    <w:rsid w:val="00F87EF4"/>
    <w:rsid w:val="00F90045"/>
    <w:rsid w:val="00F90077"/>
    <w:rsid w:val="00F901F9"/>
    <w:rsid w:val="00F90360"/>
    <w:rsid w:val="00F90946"/>
    <w:rsid w:val="00F90AFB"/>
    <w:rsid w:val="00F90CAF"/>
    <w:rsid w:val="00F90D1A"/>
    <w:rsid w:val="00F90F11"/>
    <w:rsid w:val="00F91164"/>
    <w:rsid w:val="00F914B9"/>
    <w:rsid w:val="00F91585"/>
    <w:rsid w:val="00F92CC5"/>
    <w:rsid w:val="00F92DDE"/>
    <w:rsid w:val="00F931F0"/>
    <w:rsid w:val="00F93314"/>
    <w:rsid w:val="00F9338C"/>
    <w:rsid w:val="00F9339E"/>
    <w:rsid w:val="00F933B2"/>
    <w:rsid w:val="00F93411"/>
    <w:rsid w:val="00F93536"/>
    <w:rsid w:val="00F935C5"/>
    <w:rsid w:val="00F93821"/>
    <w:rsid w:val="00F93850"/>
    <w:rsid w:val="00F938B9"/>
    <w:rsid w:val="00F93AD5"/>
    <w:rsid w:val="00F93C45"/>
    <w:rsid w:val="00F940D9"/>
    <w:rsid w:val="00F940E4"/>
    <w:rsid w:val="00F947A0"/>
    <w:rsid w:val="00F94C80"/>
    <w:rsid w:val="00F94D5B"/>
    <w:rsid w:val="00F94E42"/>
    <w:rsid w:val="00F94F09"/>
    <w:rsid w:val="00F95289"/>
    <w:rsid w:val="00F952D3"/>
    <w:rsid w:val="00F95310"/>
    <w:rsid w:val="00F9546D"/>
    <w:rsid w:val="00F95704"/>
    <w:rsid w:val="00F95869"/>
    <w:rsid w:val="00F95BF7"/>
    <w:rsid w:val="00F95D9E"/>
    <w:rsid w:val="00F96101"/>
    <w:rsid w:val="00F96415"/>
    <w:rsid w:val="00F96697"/>
    <w:rsid w:val="00F9686D"/>
    <w:rsid w:val="00F969A7"/>
    <w:rsid w:val="00F96ACA"/>
    <w:rsid w:val="00F96B5A"/>
    <w:rsid w:val="00F96B97"/>
    <w:rsid w:val="00F9771A"/>
    <w:rsid w:val="00F97805"/>
    <w:rsid w:val="00F97883"/>
    <w:rsid w:val="00F97937"/>
    <w:rsid w:val="00F97A10"/>
    <w:rsid w:val="00F97B71"/>
    <w:rsid w:val="00F97C1F"/>
    <w:rsid w:val="00F97CC5"/>
    <w:rsid w:val="00F97D19"/>
    <w:rsid w:val="00F97E44"/>
    <w:rsid w:val="00F97E45"/>
    <w:rsid w:val="00F97EFA"/>
    <w:rsid w:val="00FA0087"/>
    <w:rsid w:val="00FA02CB"/>
    <w:rsid w:val="00FA02DB"/>
    <w:rsid w:val="00FA0386"/>
    <w:rsid w:val="00FA03BC"/>
    <w:rsid w:val="00FA03C1"/>
    <w:rsid w:val="00FA047B"/>
    <w:rsid w:val="00FA055B"/>
    <w:rsid w:val="00FA06CC"/>
    <w:rsid w:val="00FA090C"/>
    <w:rsid w:val="00FA0BFC"/>
    <w:rsid w:val="00FA0C5C"/>
    <w:rsid w:val="00FA0D63"/>
    <w:rsid w:val="00FA0D96"/>
    <w:rsid w:val="00FA0E48"/>
    <w:rsid w:val="00FA0F44"/>
    <w:rsid w:val="00FA0FAA"/>
    <w:rsid w:val="00FA13E7"/>
    <w:rsid w:val="00FA148B"/>
    <w:rsid w:val="00FA175B"/>
    <w:rsid w:val="00FA1D08"/>
    <w:rsid w:val="00FA1D70"/>
    <w:rsid w:val="00FA2135"/>
    <w:rsid w:val="00FA249A"/>
    <w:rsid w:val="00FA278A"/>
    <w:rsid w:val="00FA27DF"/>
    <w:rsid w:val="00FA282B"/>
    <w:rsid w:val="00FA28B3"/>
    <w:rsid w:val="00FA2D5D"/>
    <w:rsid w:val="00FA2E04"/>
    <w:rsid w:val="00FA2E74"/>
    <w:rsid w:val="00FA3068"/>
    <w:rsid w:val="00FA32F5"/>
    <w:rsid w:val="00FA3478"/>
    <w:rsid w:val="00FA352C"/>
    <w:rsid w:val="00FA3593"/>
    <w:rsid w:val="00FA3641"/>
    <w:rsid w:val="00FA3936"/>
    <w:rsid w:val="00FA3A0C"/>
    <w:rsid w:val="00FA3EF1"/>
    <w:rsid w:val="00FA40DD"/>
    <w:rsid w:val="00FA4915"/>
    <w:rsid w:val="00FA496D"/>
    <w:rsid w:val="00FA4B92"/>
    <w:rsid w:val="00FA4C3E"/>
    <w:rsid w:val="00FA50F0"/>
    <w:rsid w:val="00FA51C4"/>
    <w:rsid w:val="00FA522B"/>
    <w:rsid w:val="00FA531E"/>
    <w:rsid w:val="00FA55AE"/>
    <w:rsid w:val="00FA56EA"/>
    <w:rsid w:val="00FA5729"/>
    <w:rsid w:val="00FA5783"/>
    <w:rsid w:val="00FA5C05"/>
    <w:rsid w:val="00FA5D34"/>
    <w:rsid w:val="00FA5E85"/>
    <w:rsid w:val="00FA5F75"/>
    <w:rsid w:val="00FA5FED"/>
    <w:rsid w:val="00FA63F9"/>
    <w:rsid w:val="00FA6445"/>
    <w:rsid w:val="00FA6663"/>
    <w:rsid w:val="00FA67EE"/>
    <w:rsid w:val="00FA67F0"/>
    <w:rsid w:val="00FA697B"/>
    <w:rsid w:val="00FA6A45"/>
    <w:rsid w:val="00FA70AF"/>
    <w:rsid w:val="00FA71D5"/>
    <w:rsid w:val="00FA7245"/>
    <w:rsid w:val="00FA73B2"/>
    <w:rsid w:val="00FA75D2"/>
    <w:rsid w:val="00FA77D6"/>
    <w:rsid w:val="00FA7891"/>
    <w:rsid w:val="00FA7D1E"/>
    <w:rsid w:val="00FA7F54"/>
    <w:rsid w:val="00FA7F9C"/>
    <w:rsid w:val="00FB02CC"/>
    <w:rsid w:val="00FB037C"/>
    <w:rsid w:val="00FB063D"/>
    <w:rsid w:val="00FB0643"/>
    <w:rsid w:val="00FB0758"/>
    <w:rsid w:val="00FB0DD4"/>
    <w:rsid w:val="00FB0F05"/>
    <w:rsid w:val="00FB13DB"/>
    <w:rsid w:val="00FB144F"/>
    <w:rsid w:val="00FB14CC"/>
    <w:rsid w:val="00FB167C"/>
    <w:rsid w:val="00FB1955"/>
    <w:rsid w:val="00FB1A34"/>
    <w:rsid w:val="00FB1CEC"/>
    <w:rsid w:val="00FB1D38"/>
    <w:rsid w:val="00FB216C"/>
    <w:rsid w:val="00FB2275"/>
    <w:rsid w:val="00FB2676"/>
    <w:rsid w:val="00FB2D10"/>
    <w:rsid w:val="00FB2D84"/>
    <w:rsid w:val="00FB2E7C"/>
    <w:rsid w:val="00FB2FAE"/>
    <w:rsid w:val="00FB2FDE"/>
    <w:rsid w:val="00FB322B"/>
    <w:rsid w:val="00FB36DA"/>
    <w:rsid w:val="00FB3763"/>
    <w:rsid w:val="00FB37F4"/>
    <w:rsid w:val="00FB37FC"/>
    <w:rsid w:val="00FB3A99"/>
    <w:rsid w:val="00FB3AA0"/>
    <w:rsid w:val="00FB3AE3"/>
    <w:rsid w:val="00FB402F"/>
    <w:rsid w:val="00FB4139"/>
    <w:rsid w:val="00FB43B2"/>
    <w:rsid w:val="00FB4645"/>
    <w:rsid w:val="00FB4847"/>
    <w:rsid w:val="00FB4AE2"/>
    <w:rsid w:val="00FB4CA8"/>
    <w:rsid w:val="00FB4CCF"/>
    <w:rsid w:val="00FB4FF1"/>
    <w:rsid w:val="00FB51F9"/>
    <w:rsid w:val="00FB52FA"/>
    <w:rsid w:val="00FB5618"/>
    <w:rsid w:val="00FB57E1"/>
    <w:rsid w:val="00FB5815"/>
    <w:rsid w:val="00FB5B91"/>
    <w:rsid w:val="00FB5EF2"/>
    <w:rsid w:val="00FB606B"/>
    <w:rsid w:val="00FB610E"/>
    <w:rsid w:val="00FB611C"/>
    <w:rsid w:val="00FB6229"/>
    <w:rsid w:val="00FB6290"/>
    <w:rsid w:val="00FB650F"/>
    <w:rsid w:val="00FB673D"/>
    <w:rsid w:val="00FB684C"/>
    <w:rsid w:val="00FB689A"/>
    <w:rsid w:val="00FB69FC"/>
    <w:rsid w:val="00FB6ABC"/>
    <w:rsid w:val="00FB6C72"/>
    <w:rsid w:val="00FB6E10"/>
    <w:rsid w:val="00FB73A1"/>
    <w:rsid w:val="00FB779B"/>
    <w:rsid w:val="00FB787C"/>
    <w:rsid w:val="00FB7E8E"/>
    <w:rsid w:val="00FB7F3B"/>
    <w:rsid w:val="00FC042D"/>
    <w:rsid w:val="00FC0457"/>
    <w:rsid w:val="00FC053B"/>
    <w:rsid w:val="00FC07ED"/>
    <w:rsid w:val="00FC08FA"/>
    <w:rsid w:val="00FC0DFF"/>
    <w:rsid w:val="00FC0F88"/>
    <w:rsid w:val="00FC1032"/>
    <w:rsid w:val="00FC1212"/>
    <w:rsid w:val="00FC1651"/>
    <w:rsid w:val="00FC1771"/>
    <w:rsid w:val="00FC1A51"/>
    <w:rsid w:val="00FC1A7A"/>
    <w:rsid w:val="00FC1AF1"/>
    <w:rsid w:val="00FC1C39"/>
    <w:rsid w:val="00FC1C72"/>
    <w:rsid w:val="00FC22E1"/>
    <w:rsid w:val="00FC252D"/>
    <w:rsid w:val="00FC25B5"/>
    <w:rsid w:val="00FC2669"/>
    <w:rsid w:val="00FC285E"/>
    <w:rsid w:val="00FC2981"/>
    <w:rsid w:val="00FC2A23"/>
    <w:rsid w:val="00FC2A57"/>
    <w:rsid w:val="00FC2A58"/>
    <w:rsid w:val="00FC2A71"/>
    <w:rsid w:val="00FC2BEC"/>
    <w:rsid w:val="00FC2D13"/>
    <w:rsid w:val="00FC2EFA"/>
    <w:rsid w:val="00FC2F0E"/>
    <w:rsid w:val="00FC2F7F"/>
    <w:rsid w:val="00FC304C"/>
    <w:rsid w:val="00FC3263"/>
    <w:rsid w:val="00FC3271"/>
    <w:rsid w:val="00FC32AD"/>
    <w:rsid w:val="00FC337C"/>
    <w:rsid w:val="00FC33D6"/>
    <w:rsid w:val="00FC3672"/>
    <w:rsid w:val="00FC37AF"/>
    <w:rsid w:val="00FC37D6"/>
    <w:rsid w:val="00FC3D55"/>
    <w:rsid w:val="00FC42FD"/>
    <w:rsid w:val="00FC4361"/>
    <w:rsid w:val="00FC43E6"/>
    <w:rsid w:val="00FC4970"/>
    <w:rsid w:val="00FC4AB2"/>
    <w:rsid w:val="00FC4AEC"/>
    <w:rsid w:val="00FC4CF7"/>
    <w:rsid w:val="00FC5309"/>
    <w:rsid w:val="00FC5461"/>
    <w:rsid w:val="00FC54B8"/>
    <w:rsid w:val="00FC5689"/>
    <w:rsid w:val="00FC5DDE"/>
    <w:rsid w:val="00FC5DF7"/>
    <w:rsid w:val="00FC5FE1"/>
    <w:rsid w:val="00FC60A7"/>
    <w:rsid w:val="00FC6354"/>
    <w:rsid w:val="00FC688E"/>
    <w:rsid w:val="00FC6ADC"/>
    <w:rsid w:val="00FC6EB9"/>
    <w:rsid w:val="00FC6F54"/>
    <w:rsid w:val="00FC6FD5"/>
    <w:rsid w:val="00FC734F"/>
    <w:rsid w:val="00FC77E3"/>
    <w:rsid w:val="00FC796B"/>
    <w:rsid w:val="00FC79BD"/>
    <w:rsid w:val="00FC7A3C"/>
    <w:rsid w:val="00FC7CAB"/>
    <w:rsid w:val="00FC7CB2"/>
    <w:rsid w:val="00FC7E0F"/>
    <w:rsid w:val="00FC7FE4"/>
    <w:rsid w:val="00FD0124"/>
    <w:rsid w:val="00FD01C3"/>
    <w:rsid w:val="00FD0546"/>
    <w:rsid w:val="00FD068B"/>
    <w:rsid w:val="00FD0713"/>
    <w:rsid w:val="00FD0B2F"/>
    <w:rsid w:val="00FD0B67"/>
    <w:rsid w:val="00FD0DE6"/>
    <w:rsid w:val="00FD0E68"/>
    <w:rsid w:val="00FD0F8B"/>
    <w:rsid w:val="00FD1245"/>
    <w:rsid w:val="00FD1452"/>
    <w:rsid w:val="00FD170F"/>
    <w:rsid w:val="00FD1781"/>
    <w:rsid w:val="00FD186B"/>
    <w:rsid w:val="00FD1896"/>
    <w:rsid w:val="00FD1987"/>
    <w:rsid w:val="00FD1C14"/>
    <w:rsid w:val="00FD1F58"/>
    <w:rsid w:val="00FD207D"/>
    <w:rsid w:val="00FD20C3"/>
    <w:rsid w:val="00FD29E9"/>
    <w:rsid w:val="00FD2E41"/>
    <w:rsid w:val="00FD3044"/>
    <w:rsid w:val="00FD34E3"/>
    <w:rsid w:val="00FD3668"/>
    <w:rsid w:val="00FD38D2"/>
    <w:rsid w:val="00FD39A6"/>
    <w:rsid w:val="00FD3D15"/>
    <w:rsid w:val="00FD3E7F"/>
    <w:rsid w:val="00FD3ED3"/>
    <w:rsid w:val="00FD3F1F"/>
    <w:rsid w:val="00FD4191"/>
    <w:rsid w:val="00FD429C"/>
    <w:rsid w:val="00FD4578"/>
    <w:rsid w:val="00FD4EF4"/>
    <w:rsid w:val="00FD50B5"/>
    <w:rsid w:val="00FD549E"/>
    <w:rsid w:val="00FD554A"/>
    <w:rsid w:val="00FD57F1"/>
    <w:rsid w:val="00FD5868"/>
    <w:rsid w:val="00FD5968"/>
    <w:rsid w:val="00FD59B6"/>
    <w:rsid w:val="00FD62FF"/>
    <w:rsid w:val="00FD63BE"/>
    <w:rsid w:val="00FD640F"/>
    <w:rsid w:val="00FD6605"/>
    <w:rsid w:val="00FD6654"/>
    <w:rsid w:val="00FD668E"/>
    <w:rsid w:val="00FD69B9"/>
    <w:rsid w:val="00FD6E7D"/>
    <w:rsid w:val="00FD6FAB"/>
    <w:rsid w:val="00FD7153"/>
    <w:rsid w:val="00FD743C"/>
    <w:rsid w:val="00FD74BE"/>
    <w:rsid w:val="00FD75E5"/>
    <w:rsid w:val="00FD7657"/>
    <w:rsid w:val="00FD76C0"/>
    <w:rsid w:val="00FD76C5"/>
    <w:rsid w:val="00FD777B"/>
    <w:rsid w:val="00FD77BE"/>
    <w:rsid w:val="00FD7959"/>
    <w:rsid w:val="00FD7A5A"/>
    <w:rsid w:val="00FD7AF0"/>
    <w:rsid w:val="00FD7EA7"/>
    <w:rsid w:val="00FE0173"/>
    <w:rsid w:val="00FE02BF"/>
    <w:rsid w:val="00FE08B2"/>
    <w:rsid w:val="00FE0DA0"/>
    <w:rsid w:val="00FE0DB3"/>
    <w:rsid w:val="00FE1128"/>
    <w:rsid w:val="00FE168D"/>
    <w:rsid w:val="00FE18C1"/>
    <w:rsid w:val="00FE1B0B"/>
    <w:rsid w:val="00FE1B56"/>
    <w:rsid w:val="00FE1F4F"/>
    <w:rsid w:val="00FE1F5A"/>
    <w:rsid w:val="00FE1FC0"/>
    <w:rsid w:val="00FE229B"/>
    <w:rsid w:val="00FE22FB"/>
    <w:rsid w:val="00FE2319"/>
    <w:rsid w:val="00FE2515"/>
    <w:rsid w:val="00FE2592"/>
    <w:rsid w:val="00FE27CA"/>
    <w:rsid w:val="00FE2B57"/>
    <w:rsid w:val="00FE2DC5"/>
    <w:rsid w:val="00FE2F6A"/>
    <w:rsid w:val="00FE31DA"/>
    <w:rsid w:val="00FE3487"/>
    <w:rsid w:val="00FE349C"/>
    <w:rsid w:val="00FE34B8"/>
    <w:rsid w:val="00FE37F6"/>
    <w:rsid w:val="00FE3C42"/>
    <w:rsid w:val="00FE3E7C"/>
    <w:rsid w:val="00FE3E91"/>
    <w:rsid w:val="00FE3F17"/>
    <w:rsid w:val="00FE404E"/>
    <w:rsid w:val="00FE47AB"/>
    <w:rsid w:val="00FE4821"/>
    <w:rsid w:val="00FE57DE"/>
    <w:rsid w:val="00FE583B"/>
    <w:rsid w:val="00FE5846"/>
    <w:rsid w:val="00FE59D3"/>
    <w:rsid w:val="00FE5BF9"/>
    <w:rsid w:val="00FE5D85"/>
    <w:rsid w:val="00FE5D8B"/>
    <w:rsid w:val="00FE6241"/>
    <w:rsid w:val="00FE640B"/>
    <w:rsid w:val="00FE6AE9"/>
    <w:rsid w:val="00FE7235"/>
    <w:rsid w:val="00FE72BD"/>
    <w:rsid w:val="00FE77F3"/>
    <w:rsid w:val="00FE7C37"/>
    <w:rsid w:val="00FE7D80"/>
    <w:rsid w:val="00FE7DE2"/>
    <w:rsid w:val="00FF0318"/>
    <w:rsid w:val="00FF081E"/>
    <w:rsid w:val="00FF0DD5"/>
    <w:rsid w:val="00FF0F4C"/>
    <w:rsid w:val="00FF0F6E"/>
    <w:rsid w:val="00FF13AE"/>
    <w:rsid w:val="00FF1AC7"/>
    <w:rsid w:val="00FF2063"/>
    <w:rsid w:val="00FF2216"/>
    <w:rsid w:val="00FF23F2"/>
    <w:rsid w:val="00FF2A15"/>
    <w:rsid w:val="00FF2A3D"/>
    <w:rsid w:val="00FF2C0D"/>
    <w:rsid w:val="00FF2C3E"/>
    <w:rsid w:val="00FF2C51"/>
    <w:rsid w:val="00FF2E57"/>
    <w:rsid w:val="00FF3079"/>
    <w:rsid w:val="00FF318E"/>
    <w:rsid w:val="00FF3371"/>
    <w:rsid w:val="00FF3AFA"/>
    <w:rsid w:val="00FF3D22"/>
    <w:rsid w:val="00FF3E6E"/>
    <w:rsid w:val="00FF3F6E"/>
    <w:rsid w:val="00FF403D"/>
    <w:rsid w:val="00FF4232"/>
    <w:rsid w:val="00FF43EE"/>
    <w:rsid w:val="00FF45A7"/>
    <w:rsid w:val="00FF48F6"/>
    <w:rsid w:val="00FF49A5"/>
    <w:rsid w:val="00FF4B17"/>
    <w:rsid w:val="00FF4C99"/>
    <w:rsid w:val="00FF4F30"/>
    <w:rsid w:val="00FF4FE9"/>
    <w:rsid w:val="00FF5070"/>
    <w:rsid w:val="00FF5299"/>
    <w:rsid w:val="00FF52E8"/>
    <w:rsid w:val="00FF53EF"/>
    <w:rsid w:val="00FF587A"/>
    <w:rsid w:val="00FF5996"/>
    <w:rsid w:val="00FF5A9D"/>
    <w:rsid w:val="00FF5CFE"/>
    <w:rsid w:val="00FF5F6B"/>
    <w:rsid w:val="00FF6150"/>
    <w:rsid w:val="00FF62D6"/>
    <w:rsid w:val="00FF6383"/>
    <w:rsid w:val="00FF65A8"/>
    <w:rsid w:val="00FF689B"/>
    <w:rsid w:val="00FF68A6"/>
    <w:rsid w:val="00FF7460"/>
    <w:rsid w:val="00FF7643"/>
    <w:rsid w:val="00FF77D2"/>
    <w:rsid w:val="00FF7842"/>
    <w:rsid w:val="00FF794C"/>
    <w:rsid w:val="00FF7B38"/>
    <w:rsid w:val="00FF7FF9"/>
    <w:rsid w:val="02063FE0"/>
    <w:rsid w:val="072F2CD8"/>
    <w:rsid w:val="0A1B49A5"/>
    <w:rsid w:val="0B6401BF"/>
    <w:rsid w:val="0C3FB2A6"/>
    <w:rsid w:val="0EFD7DD9"/>
    <w:rsid w:val="10B33874"/>
    <w:rsid w:val="15435BF2"/>
    <w:rsid w:val="211A595D"/>
    <w:rsid w:val="22B60C01"/>
    <w:rsid w:val="2A7F14C7"/>
    <w:rsid w:val="308D3CB6"/>
    <w:rsid w:val="31FB7710"/>
    <w:rsid w:val="378E0036"/>
    <w:rsid w:val="408467AF"/>
    <w:rsid w:val="40BE1148"/>
    <w:rsid w:val="423441AD"/>
    <w:rsid w:val="446724B7"/>
    <w:rsid w:val="48B41258"/>
    <w:rsid w:val="4C950EB3"/>
    <w:rsid w:val="4D5C53F9"/>
    <w:rsid w:val="51160A18"/>
    <w:rsid w:val="549038BE"/>
    <w:rsid w:val="54AA3DF7"/>
    <w:rsid w:val="56783672"/>
    <w:rsid w:val="5FB47C92"/>
    <w:rsid w:val="6072134A"/>
    <w:rsid w:val="60CD61E0"/>
    <w:rsid w:val="65302F12"/>
    <w:rsid w:val="66D435C2"/>
    <w:rsid w:val="6AC33838"/>
    <w:rsid w:val="6E7E1055"/>
    <w:rsid w:val="72124434"/>
    <w:rsid w:val="750A6BCA"/>
    <w:rsid w:val="77877D29"/>
    <w:rsid w:val="787466AD"/>
    <w:rsid w:val="78D7094F"/>
    <w:rsid w:val="7D5804B4"/>
    <w:rsid w:val="7ED60925"/>
    <w:rsid w:val="7FBD0C23"/>
    <w:rsid w:val="7FE874E8"/>
    <w:rsid w:val="9FEF91B9"/>
    <w:rsid w:val="FFF7A375"/>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t" stroke="t">
      <v:fill type="gradient" on="t" angle="90" focussize="0f,0f" focusposition="0f,0f">
        <o:fill type="gradientUnscaled" v:ext="backwardCompatible"/>
      </v:fill>
      <v:stroke weight="1.25pt" color="#739CC3"/>
    </o:shapedefaults>
    <o:shapelayout v:ext="edit">
      <o:idmap v:ext="edit" data="1"/>
      <o:rules v:ext="edit">
        <o:r id="V:Rule1" type="connector" idref="#AutoShape 81"/>
        <o:r id="V:Rule2" type="connector" idref="#AutoShape 83"/>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9"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iPriority="99" w:semiHidden="0" w:name="Body Text"/>
    <w:lsdException w:unhideWhenUsed="0" w:uiPriority="0" w:semiHidden="0" w:name="Body Text Indent"/>
    <w:lsdException w:qFormat="1"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99"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99" w:semiHidden="0" w:name="Strong"/>
    <w:lsdException w:qFormat="1" w:unhideWhenUsed="0" w:uiPriority="20" w:semiHidden="0" w:name="Emphasis"/>
    <w:lsdException w:qFormat="1" w:unhideWhenUsed="0" w:uiPriority="99" w:name="Document Map"/>
    <w:lsdException w:qFormat="1" w:unhideWhenUsed="0"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qFormat="1" w:unhideWhenUsed="0" w:uiPriority="99"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99" w:name="Balloon Text"/>
    <w:lsdException w:qFormat="1" w:unhideWhenUsed="0" w:uiPriority="59" w:semiHidden="0" w:name="Table Grid"/>
    <w:lsdException w:qFormat="1"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91"/>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92"/>
    <w:qFormat/>
    <w:uiPriority w:val="0"/>
    <w:pPr>
      <w:keepNext/>
      <w:keepLines/>
      <w:numPr>
        <w:ilvl w:val="0"/>
        <w:numId w:val="1"/>
      </w:numPr>
      <w:spacing w:before="260" w:after="260" w:line="416" w:lineRule="auto"/>
      <w:outlineLvl w:val="1"/>
    </w:pPr>
    <w:rPr>
      <w:rFonts w:ascii="Arial" w:hAnsi="Arial"/>
      <w:b/>
      <w:bCs/>
      <w:sz w:val="24"/>
      <w:szCs w:val="32"/>
    </w:rPr>
  </w:style>
  <w:style w:type="paragraph" w:styleId="4">
    <w:name w:val="heading 3"/>
    <w:basedOn w:val="1"/>
    <w:next w:val="1"/>
    <w:link w:val="114"/>
    <w:qFormat/>
    <w:uiPriority w:val="0"/>
    <w:pPr>
      <w:keepNext/>
      <w:keepLines/>
      <w:spacing w:before="260" w:after="260" w:line="416" w:lineRule="auto"/>
      <w:outlineLvl w:val="2"/>
    </w:pPr>
    <w:rPr>
      <w:b/>
      <w:bCs/>
      <w:sz w:val="32"/>
      <w:szCs w:val="32"/>
    </w:rPr>
  </w:style>
  <w:style w:type="paragraph" w:styleId="5">
    <w:name w:val="heading 4"/>
    <w:basedOn w:val="1"/>
    <w:next w:val="1"/>
    <w:link w:val="107"/>
    <w:qFormat/>
    <w:uiPriority w:val="9"/>
    <w:pPr>
      <w:keepNext/>
      <w:keepLines/>
      <w:spacing w:before="280" w:after="290" w:line="376" w:lineRule="auto"/>
      <w:outlineLvl w:val="3"/>
    </w:pPr>
    <w:rPr>
      <w:rFonts w:ascii="Cambria" w:hAnsi="Cambria"/>
      <w:b/>
      <w:bCs/>
      <w:sz w:val="28"/>
      <w:szCs w:val="28"/>
    </w:rPr>
  </w:style>
  <w:style w:type="paragraph" w:styleId="6">
    <w:name w:val="heading 5"/>
    <w:basedOn w:val="1"/>
    <w:next w:val="1"/>
    <w:link w:val="93"/>
    <w:qFormat/>
    <w:uiPriority w:val="9"/>
    <w:pPr>
      <w:keepNext/>
      <w:keepLines/>
      <w:spacing w:before="280" w:after="290" w:line="376" w:lineRule="auto"/>
      <w:outlineLvl w:val="4"/>
    </w:pPr>
    <w:rPr>
      <w:rFonts w:ascii="Calibri" w:hAnsi="Calibri"/>
      <w:b/>
      <w:bCs/>
      <w:sz w:val="28"/>
      <w:szCs w:val="28"/>
    </w:rPr>
  </w:style>
  <w:style w:type="paragraph" w:styleId="7">
    <w:name w:val="heading 6"/>
    <w:basedOn w:val="1"/>
    <w:next w:val="1"/>
    <w:link w:val="102"/>
    <w:qFormat/>
    <w:uiPriority w:val="9"/>
    <w:pPr>
      <w:keepNext/>
      <w:keepLines/>
      <w:spacing w:before="240" w:after="64" w:line="320" w:lineRule="auto"/>
      <w:outlineLvl w:val="5"/>
    </w:pPr>
    <w:rPr>
      <w:rFonts w:ascii="Cambria" w:hAnsi="Cambria"/>
      <w:b/>
      <w:bCs/>
      <w:sz w:val="24"/>
    </w:rPr>
  </w:style>
  <w:style w:type="paragraph" w:styleId="8">
    <w:name w:val="heading 7"/>
    <w:basedOn w:val="1"/>
    <w:next w:val="1"/>
    <w:link w:val="118"/>
    <w:qFormat/>
    <w:uiPriority w:val="9"/>
    <w:pPr>
      <w:keepNext/>
      <w:keepLines/>
      <w:spacing w:before="240" w:after="64" w:line="320" w:lineRule="auto"/>
      <w:outlineLvl w:val="6"/>
    </w:pPr>
    <w:rPr>
      <w:rFonts w:ascii="Calibri" w:hAnsi="Calibri"/>
      <w:b/>
      <w:bCs/>
      <w:sz w:val="24"/>
    </w:rPr>
  </w:style>
  <w:style w:type="paragraph" w:styleId="9">
    <w:name w:val="heading 8"/>
    <w:basedOn w:val="1"/>
    <w:next w:val="1"/>
    <w:link w:val="108"/>
    <w:qFormat/>
    <w:uiPriority w:val="9"/>
    <w:pPr>
      <w:keepNext/>
      <w:keepLines/>
      <w:spacing w:before="240" w:after="64" w:line="320" w:lineRule="auto"/>
      <w:outlineLvl w:val="7"/>
    </w:pPr>
    <w:rPr>
      <w:rFonts w:ascii="Cambria" w:hAnsi="Cambria"/>
      <w:sz w:val="24"/>
    </w:rPr>
  </w:style>
  <w:style w:type="paragraph" w:styleId="10">
    <w:name w:val="heading 9"/>
    <w:basedOn w:val="1"/>
    <w:next w:val="1"/>
    <w:link w:val="97"/>
    <w:qFormat/>
    <w:uiPriority w:val="9"/>
    <w:pPr>
      <w:keepNext/>
      <w:keepLines/>
      <w:spacing w:before="240" w:after="64" w:line="320" w:lineRule="auto"/>
      <w:outlineLvl w:val="8"/>
    </w:pPr>
    <w:rPr>
      <w:rFonts w:ascii="Cambria" w:hAnsi="Cambria"/>
      <w:szCs w:val="21"/>
    </w:rPr>
  </w:style>
  <w:style w:type="character" w:default="1" w:styleId="40">
    <w:name w:val="Default Paragraph Font"/>
    <w:unhideWhenUsed/>
    <w:qFormat/>
    <w:uiPriority w:val="1"/>
  </w:style>
  <w:style w:type="table" w:default="1" w:styleId="37">
    <w:name w:val="Normal Table"/>
    <w:unhideWhenUsed/>
    <w:qFormat/>
    <w:uiPriority w:val="99"/>
    <w:tblPr>
      <w:tblCellMar>
        <w:top w:w="0" w:type="dxa"/>
        <w:left w:w="108" w:type="dxa"/>
        <w:bottom w:w="0" w:type="dxa"/>
        <w:right w:w="108" w:type="dxa"/>
      </w:tblCellMar>
    </w:tblPr>
  </w:style>
  <w:style w:type="paragraph" w:styleId="11">
    <w:name w:val="toc 7"/>
    <w:basedOn w:val="1"/>
    <w:next w:val="1"/>
    <w:qFormat/>
    <w:uiPriority w:val="39"/>
    <w:pPr>
      <w:ind w:left="1260"/>
      <w:jc w:val="left"/>
    </w:pPr>
    <w:rPr>
      <w:rFonts w:ascii="Calibri" w:hAnsi="Calibri"/>
      <w:sz w:val="18"/>
      <w:szCs w:val="18"/>
    </w:rPr>
  </w:style>
  <w:style w:type="paragraph" w:styleId="12">
    <w:name w:val="caption"/>
    <w:basedOn w:val="1"/>
    <w:next w:val="1"/>
    <w:qFormat/>
    <w:uiPriority w:val="0"/>
    <w:pPr>
      <w:jc w:val="center"/>
    </w:pPr>
    <w:rPr>
      <w:rFonts w:hAnsi="宋体" w:eastAsia="黑体"/>
      <w:color w:val="000000"/>
      <w:sz w:val="20"/>
      <w:szCs w:val="21"/>
    </w:rPr>
  </w:style>
  <w:style w:type="paragraph" w:styleId="13">
    <w:name w:val="Document Map"/>
    <w:basedOn w:val="1"/>
    <w:link w:val="103"/>
    <w:semiHidden/>
    <w:qFormat/>
    <w:uiPriority w:val="99"/>
    <w:pPr>
      <w:shd w:val="clear" w:color="auto" w:fill="000080"/>
    </w:pPr>
  </w:style>
  <w:style w:type="paragraph" w:styleId="14">
    <w:name w:val="annotation text"/>
    <w:basedOn w:val="1"/>
    <w:link w:val="101"/>
    <w:qFormat/>
    <w:uiPriority w:val="99"/>
    <w:pPr>
      <w:jc w:val="left"/>
    </w:pPr>
  </w:style>
  <w:style w:type="paragraph" w:styleId="15">
    <w:name w:val="Body Text"/>
    <w:basedOn w:val="1"/>
    <w:link w:val="95"/>
    <w:unhideWhenUsed/>
    <w:qFormat/>
    <w:uiPriority w:val="99"/>
    <w:pPr>
      <w:snapToGrid w:val="0"/>
      <w:spacing w:after="120" w:line="360" w:lineRule="auto"/>
      <w:ind w:firstLine="200" w:firstLineChars="200"/>
    </w:pPr>
    <w:rPr>
      <w:sz w:val="24"/>
    </w:rPr>
  </w:style>
  <w:style w:type="paragraph" w:styleId="16">
    <w:name w:val="List Continue"/>
    <w:basedOn w:val="1"/>
    <w:qFormat/>
    <w:uiPriority w:val="0"/>
    <w:pPr>
      <w:spacing w:after="120"/>
      <w:ind w:left="420" w:leftChars="200"/>
    </w:pPr>
  </w:style>
  <w:style w:type="paragraph" w:styleId="17">
    <w:name w:val="toc 5"/>
    <w:basedOn w:val="1"/>
    <w:next w:val="1"/>
    <w:qFormat/>
    <w:uiPriority w:val="39"/>
    <w:pPr>
      <w:ind w:left="840"/>
      <w:jc w:val="left"/>
    </w:pPr>
    <w:rPr>
      <w:rFonts w:ascii="Calibri" w:hAnsi="Calibri"/>
      <w:sz w:val="18"/>
      <w:szCs w:val="18"/>
    </w:rPr>
  </w:style>
  <w:style w:type="paragraph" w:styleId="18">
    <w:name w:val="toc 3"/>
    <w:basedOn w:val="1"/>
    <w:next w:val="1"/>
    <w:qFormat/>
    <w:uiPriority w:val="39"/>
    <w:pPr>
      <w:ind w:left="840" w:leftChars="400"/>
    </w:pPr>
  </w:style>
  <w:style w:type="paragraph" w:styleId="19">
    <w:name w:val="Plain Text"/>
    <w:basedOn w:val="1"/>
    <w:link w:val="117"/>
    <w:qFormat/>
    <w:uiPriority w:val="99"/>
    <w:rPr>
      <w:rFonts w:ascii="宋体" w:hAnsi="Courier New" w:cs="Courier New"/>
      <w:szCs w:val="21"/>
    </w:rPr>
  </w:style>
  <w:style w:type="paragraph" w:styleId="20">
    <w:name w:val="toc 8"/>
    <w:basedOn w:val="1"/>
    <w:next w:val="1"/>
    <w:qFormat/>
    <w:uiPriority w:val="39"/>
    <w:pPr>
      <w:ind w:left="1470"/>
      <w:jc w:val="left"/>
    </w:pPr>
    <w:rPr>
      <w:rFonts w:ascii="Calibri" w:hAnsi="Calibri"/>
      <w:sz w:val="18"/>
      <w:szCs w:val="18"/>
    </w:rPr>
  </w:style>
  <w:style w:type="paragraph" w:styleId="21">
    <w:name w:val="Date"/>
    <w:basedOn w:val="1"/>
    <w:next w:val="1"/>
    <w:link w:val="110"/>
    <w:qFormat/>
    <w:uiPriority w:val="99"/>
    <w:pPr>
      <w:ind w:left="100" w:leftChars="2500"/>
    </w:pPr>
  </w:style>
  <w:style w:type="paragraph" w:styleId="22">
    <w:name w:val="Body Text Indent 2"/>
    <w:basedOn w:val="1"/>
    <w:qFormat/>
    <w:uiPriority w:val="0"/>
    <w:pPr>
      <w:tabs>
        <w:tab w:val="left" w:pos="90"/>
        <w:tab w:val="left" w:pos="4320"/>
      </w:tabs>
      <w:autoSpaceDE w:val="0"/>
      <w:autoSpaceDN w:val="0"/>
      <w:adjustRightInd w:val="0"/>
      <w:ind w:hanging="360"/>
      <w:jc w:val="left"/>
    </w:pPr>
    <w:rPr>
      <w:rFonts w:ascii="宋体"/>
      <w:kern w:val="0"/>
      <w:sz w:val="24"/>
      <w:szCs w:val="20"/>
    </w:rPr>
  </w:style>
  <w:style w:type="paragraph" w:styleId="23">
    <w:name w:val="Balloon Text"/>
    <w:basedOn w:val="1"/>
    <w:link w:val="94"/>
    <w:semiHidden/>
    <w:qFormat/>
    <w:uiPriority w:val="99"/>
    <w:rPr>
      <w:sz w:val="18"/>
      <w:szCs w:val="18"/>
    </w:rPr>
  </w:style>
  <w:style w:type="paragraph" w:styleId="24">
    <w:name w:val="footer"/>
    <w:basedOn w:val="1"/>
    <w:link w:val="109"/>
    <w:qFormat/>
    <w:uiPriority w:val="99"/>
    <w:pPr>
      <w:tabs>
        <w:tab w:val="center" w:pos="4153"/>
        <w:tab w:val="right" w:pos="8306"/>
      </w:tabs>
      <w:snapToGrid w:val="0"/>
      <w:jc w:val="left"/>
    </w:pPr>
    <w:rPr>
      <w:sz w:val="18"/>
      <w:szCs w:val="18"/>
    </w:rPr>
  </w:style>
  <w:style w:type="paragraph" w:styleId="25">
    <w:name w:val="header"/>
    <w:basedOn w:val="1"/>
    <w:link w:val="115"/>
    <w:qFormat/>
    <w:uiPriority w:val="99"/>
    <w:pPr>
      <w:pBdr>
        <w:bottom w:val="single" w:color="auto" w:sz="6" w:space="1"/>
      </w:pBdr>
      <w:tabs>
        <w:tab w:val="center" w:pos="4153"/>
        <w:tab w:val="right" w:pos="8306"/>
      </w:tabs>
      <w:snapToGrid w:val="0"/>
      <w:jc w:val="center"/>
    </w:pPr>
    <w:rPr>
      <w:sz w:val="18"/>
      <w:szCs w:val="18"/>
    </w:rPr>
  </w:style>
  <w:style w:type="paragraph" w:styleId="26">
    <w:name w:val="toc 1"/>
    <w:basedOn w:val="1"/>
    <w:next w:val="1"/>
    <w:qFormat/>
    <w:uiPriority w:val="39"/>
    <w:pPr>
      <w:tabs>
        <w:tab w:val="right" w:leader="dot" w:pos="8296"/>
      </w:tabs>
      <w:spacing w:line="360" w:lineRule="auto"/>
    </w:pPr>
    <w:rPr>
      <w:b/>
      <w:sz w:val="24"/>
    </w:rPr>
  </w:style>
  <w:style w:type="paragraph" w:styleId="27">
    <w:name w:val="toc 4"/>
    <w:basedOn w:val="1"/>
    <w:next w:val="1"/>
    <w:qFormat/>
    <w:uiPriority w:val="39"/>
    <w:pPr>
      <w:ind w:left="630"/>
      <w:jc w:val="left"/>
    </w:pPr>
    <w:rPr>
      <w:rFonts w:ascii="Calibri" w:hAnsi="Calibri"/>
      <w:sz w:val="18"/>
      <w:szCs w:val="18"/>
    </w:rPr>
  </w:style>
  <w:style w:type="paragraph" w:styleId="28">
    <w:name w:val="List"/>
    <w:basedOn w:val="1"/>
    <w:qFormat/>
    <w:uiPriority w:val="0"/>
    <w:pPr>
      <w:ind w:left="200" w:hanging="200" w:hangingChars="200"/>
    </w:pPr>
  </w:style>
  <w:style w:type="paragraph" w:styleId="29">
    <w:name w:val="toc 6"/>
    <w:basedOn w:val="1"/>
    <w:next w:val="1"/>
    <w:qFormat/>
    <w:uiPriority w:val="39"/>
    <w:pPr>
      <w:ind w:left="1050"/>
      <w:jc w:val="left"/>
    </w:pPr>
    <w:rPr>
      <w:rFonts w:ascii="Calibri" w:hAnsi="Calibri"/>
      <w:sz w:val="18"/>
      <w:szCs w:val="18"/>
    </w:rPr>
  </w:style>
  <w:style w:type="paragraph" w:styleId="30">
    <w:name w:val="toc 2"/>
    <w:basedOn w:val="1"/>
    <w:next w:val="1"/>
    <w:qFormat/>
    <w:uiPriority w:val="39"/>
    <w:pPr>
      <w:tabs>
        <w:tab w:val="left" w:pos="1050"/>
        <w:tab w:val="right" w:leader="dot" w:pos="8296"/>
      </w:tabs>
      <w:spacing w:line="360" w:lineRule="auto"/>
      <w:ind w:left="420" w:leftChars="200"/>
    </w:pPr>
  </w:style>
  <w:style w:type="paragraph" w:styleId="31">
    <w:name w:val="toc 9"/>
    <w:basedOn w:val="1"/>
    <w:next w:val="1"/>
    <w:qFormat/>
    <w:uiPriority w:val="39"/>
    <w:pPr>
      <w:ind w:left="1680"/>
      <w:jc w:val="left"/>
    </w:pPr>
    <w:rPr>
      <w:rFonts w:ascii="Calibri" w:hAnsi="Calibri"/>
      <w:sz w:val="18"/>
      <w:szCs w:val="18"/>
    </w:rPr>
  </w:style>
  <w:style w:type="paragraph" w:styleId="32">
    <w:name w:val="Body Text 2"/>
    <w:basedOn w:val="1"/>
    <w:qFormat/>
    <w:uiPriority w:val="0"/>
    <w:pPr>
      <w:spacing w:after="120" w:line="480" w:lineRule="auto"/>
    </w:pPr>
  </w:style>
  <w:style w:type="paragraph" w:styleId="33">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34">
    <w:name w:val="Title"/>
    <w:basedOn w:val="1"/>
    <w:next w:val="1"/>
    <w:link w:val="100"/>
    <w:qFormat/>
    <w:uiPriority w:val="0"/>
    <w:pPr>
      <w:spacing w:before="240" w:after="60"/>
      <w:jc w:val="center"/>
      <w:outlineLvl w:val="0"/>
    </w:pPr>
    <w:rPr>
      <w:rFonts w:ascii="Cambria" w:hAnsi="Cambria"/>
      <w:b/>
      <w:bCs/>
      <w:sz w:val="32"/>
      <w:szCs w:val="32"/>
    </w:rPr>
  </w:style>
  <w:style w:type="paragraph" w:styleId="35">
    <w:name w:val="annotation subject"/>
    <w:basedOn w:val="14"/>
    <w:next w:val="14"/>
    <w:link w:val="106"/>
    <w:semiHidden/>
    <w:qFormat/>
    <w:uiPriority w:val="99"/>
    <w:rPr>
      <w:b/>
      <w:bCs/>
    </w:rPr>
  </w:style>
  <w:style w:type="paragraph" w:styleId="36">
    <w:name w:val="Body Text First Indent"/>
    <w:basedOn w:val="15"/>
    <w:link w:val="104"/>
    <w:unhideWhenUsed/>
    <w:qFormat/>
    <w:uiPriority w:val="99"/>
    <w:pPr>
      <w:ind w:firstLine="420" w:firstLineChars="100"/>
    </w:pPr>
  </w:style>
  <w:style w:type="table" w:styleId="38">
    <w:name w:val="Table Grid"/>
    <w:basedOn w:val="37"/>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39">
    <w:name w:val="Table Theme"/>
    <w:basedOn w:val="3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1">
    <w:name w:val="Strong"/>
    <w:qFormat/>
    <w:uiPriority w:val="99"/>
    <w:rPr>
      <w:b/>
      <w:bCs/>
    </w:rPr>
  </w:style>
  <w:style w:type="character" w:styleId="42">
    <w:name w:val="page number"/>
    <w:basedOn w:val="40"/>
    <w:qFormat/>
    <w:uiPriority w:val="0"/>
  </w:style>
  <w:style w:type="character" w:styleId="43">
    <w:name w:val="FollowedHyperlink"/>
    <w:qFormat/>
    <w:uiPriority w:val="99"/>
    <w:rPr>
      <w:rFonts w:cs="Times New Roman"/>
      <w:color w:val="800080"/>
      <w:u w:val="single"/>
    </w:rPr>
  </w:style>
  <w:style w:type="character" w:styleId="44">
    <w:name w:val="Emphasis"/>
    <w:qFormat/>
    <w:uiPriority w:val="20"/>
    <w:rPr>
      <w:color w:val="CC0033"/>
    </w:rPr>
  </w:style>
  <w:style w:type="character" w:styleId="45">
    <w:name w:val="Hyperlink"/>
    <w:qFormat/>
    <w:uiPriority w:val="99"/>
    <w:rPr>
      <w:color w:val="0000FF"/>
      <w:u w:val="single"/>
    </w:rPr>
  </w:style>
  <w:style w:type="character" w:styleId="46">
    <w:name w:val="annotation reference"/>
    <w:qFormat/>
    <w:uiPriority w:val="99"/>
    <w:rPr>
      <w:sz w:val="21"/>
      <w:szCs w:val="21"/>
    </w:rPr>
  </w:style>
  <w:style w:type="paragraph" w:customStyle="1" w:styleId="47">
    <w:name w:val="条文 3"/>
    <w:next w:val="1"/>
    <w:qFormat/>
    <w:uiPriority w:val="0"/>
    <w:pPr>
      <w:numPr>
        <w:ilvl w:val="3"/>
        <w:numId w:val="2"/>
      </w:numPr>
      <w:spacing w:line="310" w:lineRule="exact"/>
    </w:pPr>
    <w:rPr>
      <w:rFonts w:ascii="Times New Roman" w:hAnsi="Times New Roman" w:eastAsia="黑体" w:cs="Times New Roman"/>
      <w:sz w:val="21"/>
      <w:lang w:val="en-US" w:eastAsia="zh-CN" w:bidi="ar-SA"/>
    </w:rPr>
  </w:style>
  <w:style w:type="paragraph" w:customStyle="1" w:styleId="48">
    <w:name w:val="正文1"/>
    <w:basedOn w:val="1"/>
    <w:qFormat/>
    <w:uiPriority w:val="0"/>
    <w:pPr>
      <w:ind w:firstLine="480" w:firstLineChars="200"/>
    </w:pPr>
    <w:rPr>
      <w:sz w:val="24"/>
    </w:rPr>
  </w:style>
  <w:style w:type="paragraph" w:customStyle="1" w:styleId="49">
    <w:name w:val="一级条标题"/>
    <w:next w:val="1"/>
    <w:link w:val="98"/>
    <w:qFormat/>
    <w:uiPriority w:val="0"/>
    <w:pPr>
      <w:outlineLvl w:val="2"/>
    </w:pPr>
    <w:rPr>
      <w:rFonts w:ascii="黑体" w:hAnsi="Times New Roman" w:eastAsia="黑体" w:cs="Times New Roman"/>
      <w:sz w:val="21"/>
      <w:lang w:val="en-US" w:eastAsia="zh-CN" w:bidi="ar-SA"/>
    </w:rPr>
  </w:style>
  <w:style w:type="paragraph" w:customStyle="1" w:styleId="50">
    <w:name w:val="条文 4"/>
    <w:next w:val="1"/>
    <w:qFormat/>
    <w:uiPriority w:val="0"/>
    <w:pPr>
      <w:numPr>
        <w:ilvl w:val="4"/>
        <w:numId w:val="2"/>
      </w:numPr>
      <w:spacing w:line="310" w:lineRule="exact"/>
    </w:pPr>
    <w:rPr>
      <w:rFonts w:ascii="Times New Roman" w:hAnsi="Times New Roman" w:eastAsia="黑体" w:cs="Times New Roman"/>
      <w:sz w:val="21"/>
      <w:lang w:val="en-US" w:eastAsia="zh-CN" w:bidi="ar-SA"/>
    </w:rPr>
  </w:style>
  <w:style w:type="paragraph" w:customStyle="1" w:styleId="51">
    <w:name w:val="No Spacing"/>
    <w:qFormat/>
    <w:uiPriority w:val="1"/>
    <w:pPr>
      <w:widowControl w:val="0"/>
      <w:jc w:val="both"/>
    </w:pPr>
    <w:rPr>
      <w:rFonts w:ascii="Calibri" w:hAnsi="Calibri" w:eastAsia="宋体" w:cs="Times New Roman"/>
      <w:kern w:val="2"/>
      <w:sz w:val="21"/>
      <w:szCs w:val="22"/>
      <w:lang w:val="en-US" w:eastAsia="zh-CN" w:bidi="ar-SA"/>
    </w:rPr>
  </w:style>
  <w:style w:type="paragraph" w:customStyle="1" w:styleId="52">
    <w:name w:val="其他标准称谓"/>
    <w:qFormat/>
    <w:uiPriority w:val="99"/>
    <w:pPr>
      <w:spacing w:line="240" w:lineRule="atLeast"/>
      <w:jc w:val="distribute"/>
    </w:pPr>
    <w:rPr>
      <w:rFonts w:ascii="黑体" w:hAnsi="宋体" w:eastAsia="黑体" w:cs="Times New Roman"/>
      <w:sz w:val="52"/>
      <w:szCs w:val="52"/>
      <w:lang w:val="en-US" w:eastAsia="zh-CN" w:bidi="ar-SA"/>
    </w:rPr>
  </w:style>
  <w:style w:type="paragraph" w:customStyle="1" w:styleId="53">
    <w:name w:val="Char2"/>
    <w:basedOn w:val="1"/>
    <w:qFormat/>
    <w:uiPriority w:val="0"/>
    <w:pPr>
      <w:tabs>
        <w:tab w:val="left" w:pos="4665"/>
        <w:tab w:val="left" w:pos="8970"/>
      </w:tabs>
      <w:ind w:firstLine="400"/>
    </w:pPr>
    <w:rPr>
      <w:rFonts w:ascii="Tahoma" w:hAnsi="Tahoma" w:cs="Tahoma"/>
      <w:sz w:val="24"/>
    </w:rPr>
  </w:style>
  <w:style w:type="paragraph" w:customStyle="1" w:styleId="54">
    <w:name w:val="Char"/>
    <w:basedOn w:val="1"/>
    <w:qFormat/>
    <w:uiPriority w:val="0"/>
    <w:pPr>
      <w:tabs>
        <w:tab w:val="left" w:pos="4665"/>
        <w:tab w:val="left" w:pos="8970"/>
      </w:tabs>
      <w:ind w:firstLine="400"/>
    </w:pPr>
    <w:rPr>
      <w:rFonts w:ascii="Tahoma" w:hAnsi="Tahoma"/>
      <w:sz w:val="24"/>
      <w:szCs w:val="20"/>
    </w:rPr>
  </w:style>
  <w:style w:type="paragraph" w:customStyle="1" w:styleId="55">
    <w:name w:val="条文 图"/>
    <w:next w:val="1"/>
    <w:qFormat/>
    <w:uiPriority w:val="0"/>
    <w:pPr>
      <w:numPr>
        <w:ilvl w:val="7"/>
        <w:numId w:val="2"/>
      </w:numPr>
      <w:jc w:val="center"/>
    </w:pPr>
    <w:rPr>
      <w:rFonts w:ascii="Times New Roman" w:hAnsi="Times New Roman" w:eastAsia="黑体" w:cs="Times New Roman"/>
      <w:sz w:val="21"/>
      <w:lang w:val="en-US" w:eastAsia="zh-CN" w:bidi="ar-SA"/>
    </w:rPr>
  </w:style>
  <w:style w:type="paragraph" w:customStyle="1" w:styleId="56">
    <w:name w:val="文献分类号"/>
    <w:basedOn w:val="57"/>
    <w:next w:val="57"/>
    <w:qFormat/>
    <w:uiPriority w:val="99"/>
    <w:rPr>
      <w:color w:val="auto"/>
    </w:rPr>
  </w:style>
  <w:style w:type="paragraph" w:customStyle="1" w:styleId="57">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58">
    <w:name w:val="Char Char Char Char"/>
    <w:basedOn w:val="1"/>
    <w:qFormat/>
    <w:uiPriority w:val="0"/>
    <w:pPr>
      <w:tabs>
        <w:tab w:val="left" w:pos="4665"/>
        <w:tab w:val="left" w:pos="8970"/>
      </w:tabs>
      <w:ind w:firstLine="400"/>
    </w:pPr>
    <w:rPr>
      <w:rFonts w:ascii="Tahoma" w:hAnsi="Tahoma" w:cs="Tahoma"/>
      <w:sz w:val="24"/>
    </w:rPr>
  </w:style>
  <w:style w:type="paragraph" w:customStyle="1" w:styleId="59">
    <w:name w:val="四级条标题"/>
    <w:basedOn w:val="60"/>
    <w:next w:val="62"/>
    <w:qFormat/>
    <w:uiPriority w:val="0"/>
    <w:pPr>
      <w:outlineLvl w:val="5"/>
    </w:pPr>
  </w:style>
  <w:style w:type="paragraph" w:customStyle="1" w:styleId="60">
    <w:name w:val="三级条标题"/>
    <w:basedOn w:val="61"/>
    <w:next w:val="62"/>
    <w:qFormat/>
    <w:uiPriority w:val="0"/>
    <w:pPr>
      <w:ind w:left="0"/>
      <w:outlineLvl w:val="4"/>
    </w:pPr>
  </w:style>
  <w:style w:type="paragraph" w:customStyle="1" w:styleId="61">
    <w:name w:val="二级条标题"/>
    <w:basedOn w:val="49"/>
    <w:next w:val="62"/>
    <w:qFormat/>
    <w:uiPriority w:val="0"/>
    <w:pPr>
      <w:spacing w:before="50" w:beforeLines="50" w:after="50" w:afterLines="50"/>
      <w:ind w:left="630"/>
      <w:outlineLvl w:val="3"/>
    </w:pPr>
    <w:rPr>
      <w:szCs w:val="21"/>
    </w:rPr>
  </w:style>
  <w:style w:type="paragraph" w:customStyle="1" w:styleId="62">
    <w:name w:val="段"/>
    <w:qFormat/>
    <w:uiPriority w:val="0"/>
    <w:pPr>
      <w:autoSpaceDE w:val="0"/>
      <w:autoSpaceDN w:val="0"/>
      <w:ind w:firstLine="200" w:firstLineChars="200"/>
      <w:jc w:val="both"/>
    </w:pPr>
    <w:rPr>
      <w:rFonts w:ascii="宋体" w:hAnsi="Times New Roman" w:eastAsia="宋体" w:cs="Times New Roman"/>
      <w:sz w:val="21"/>
      <w:szCs w:val="21"/>
      <w:lang w:val="en-US" w:eastAsia="zh-CN" w:bidi="ar-SA"/>
    </w:rPr>
  </w:style>
  <w:style w:type="paragraph" w:customStyle="1" w:styleId="63">
    <w:name w:val="条文 5"/>
    <w:next w:val="1"/>
    <w:qFormat/>
    <w:uiPriority w:val="0"/>
    <w:pPr>
      <w:numPr>
        <w:ilvl w:val="5"/>
        <w:numId w:val="2"/>
      </w:numPr>
      <w:spacing w:line="310" w:lineRule="exact"/>
    </w:pPr>
    <w:rPr>
      <w:rFonts w:ascii="Times New Roman" w:hAnsi="Times New Roman" w:eastAsia="黑体" w:cs="Times New Roman"/>
      <w:sz w:val="21"/>
      <w:lang w:val="en-US" w:eastAsia="zh-CN" w:bidi="ar-SA"/>
    </w:rPr>
  </w:style>
  <w:style w:type="paragraph" w:customStyle="1" w:styleId="64">
    <w:name w:val="封面标准号1"/>
    <w:qFormat/>
    <w:uiPriority w:val="0"/>
    <w:pPr>
      <w:widowControl w:val="0"/>
      <w:kinsoku w:val="0"/>
      <w:overflowPunct w:val="0"/>
      <w:autoSpaceDE w:val="0"/>
      <w:autoSpaceDN w:val="0"/>
      <w:spacing w:before="308"/>
      <w:jc w:val="right"/>
      <w:textAlignment w:val="center"/>
    </w:pPr>
    <w:rPr>
      <w:rFonts w:ascii="Times New Roman" w:hAnsi="Times New Roman" w:eastAsia="宋体" w:cs="Times New Roman"/>
      <w:sz w:val="28"/>
      <w:szCs w:val="28"/>
      <w:lang w:val="en-US" w:eastAsia="zh-CN" w:bidi="ar-SA"/>
    </w:rPr>
  </w:style>
  <w:style w:type="paragraph" w:customStyle="1" w:styleId="65">
    <w:name w:val="发布日期"/>
    <w:basedOn w:val="57"/>
    <w:next w:val="57"/>
    <w:qFormat/>
    <w:uiPriority w:val="99"/>
    <w:rPr>
      <w:color w:val="auto"/>
    </w:rPr>
  </w:style>
  <w:style w:type="paragraph" w:customStyle="1" w:styleId="66">
    <w:name w:val="Char Char Char Char1"/>
    <w:basedOn w:val="1"/>
    <w:qFormat/>
    <w:uiPriority w:val="0"/>
    <w:pPr>
      <w:tabs>
        <w:tab w:val="left" w:pos="4665"/>
        <w:tab w:val="left" w:pos="8970"/>
      </w:tabs>
      <w:ind w:firstLine="400"/>
    </w:pPr>
    <w:rPr>
      <w:rFonts w:ascii="Tahoma" w:hAnsi="Tahoma" w:cs="Tahoma"/>
      <w:sz w:val="24"/>
    </w:rPr>
  </w:style>
  <w:style w:type="paragraph" w:customStyle="1" w:styleId="67">
    <w:name w:val="五级条标题"/>
    <w:basedOn w:val="59"/>
    <w:next w:val="62"/>
    <w:qFormat/>
    <w:uiPriority w:val="0"/>
    <w:pPr>
      <w:outlineLvl w:val="6"/>
    </w:pPr>
  </w:style>
  <w:style w:type="paragraph" w:customStyle="1" w:styleId="68">
    <w:name w:val="条文 1"/>
    <w:next w:val="1"/>
    <w:qFormat/>
    <w:uiPriority w:val="0"/>
    <w:pPr>
      <w:numPr>
        <w:ilvl w:val="1"/>
        <w:numId w:val="2"/>
      </w:numPr>
      <w:spacing w:line="310" w:lineRule="exact"/>
    </w:pPr>
    <w:rPr>
      <w:rFonts w:ascii="Times New Roman" w:hAnsi="Times New Roman" w:eastAsia="黑体" w:cs="Times New Roman"/>
      <w:sz w:val="21"/>
      <w:lang w:val="en-US" w:eastAsia="zh-CN" w:bidi="ar-SA"/>
    </w:rPr>
  </w:style>
  <w:style w:type="paragraph" w:customStyle="1" w:styleId="69">
    <w:name w:val="Char1"/>
    <w:basedOn w:val="1"/>
    <w:qFormat/>
    <w:uiPriority w:val="99"/>
    <w:pPr>
      <w:tabs>
        <w:tab w:val="left" w:pos="360"/>
      </w:tabs>
    </w:pPr>
    <w:rPr>
      <w:sz w:val="24"/>
    </w:rPr>
  </w:style>
  <w:style w:type="paragraph" w:customStyle="1" w:styleId="70">
    <w:name w:val="条文 表"/>
    <w:next w:val="1"/>
    <w:qFormat/>
    <w:uiPriority w:val="0"/>
    <w:pPr>
      <w:numPr>
        <w:ilvl w:val="6"/>
        <w:numId w:val="2"/>
      </w:numPr>
      <w:jc w:val="center"/>
    </w:pPr>
    <w:rPr>
      <w:rFonts w:ascii="Times New Roman" w:hAnsi="Times New Roman" w:eastAsia="黑体" w:cs="Times New Roman"/>
      <w:sz w:val="21"/>
      <w:lang w:val="en-US" w:eastAsia="zh-CN" w:bidi="ar-SA"/>
    </w:rPr>
  </w:style>
  <w:style w:type="paragraph" w:customStyle="1" w:styleId="71">
    <w:name w:val="标准标志"/>
    <w:basedOn w:val="57"/>
    <w:next w:val="57"/>
    <w:qFormat/>
    <w:uiPriority w:val="99"/>
    <w:rPr>
      <w:color w:val="auto"/>
    </w:rPr>
  </w:style>
  <w:style w:type="paragraph" w:customStyle="1" w:styleId="72">
    <w:name w:val="条文 0"/>
    <w:next w:val="1"/>
    <w:qFormat/>
    <w:uiPriority w:val="0"/>
    <w:pPr>
      <w:numPr>
        <w:ilvl w:val="0"/>
        <w:numId w:val="2"/>
      </w:numPr>
      <w:spacing w:before="240" w:after="240"/>
    </w:pPr>
    <w:rPr>
      <w:rFonts w:ascii="Times New Roman" w:hAnsi="Times New Roman" w:eastAsia="黑体" w:cs="Times New Roman"/>
      <w:sz w:val="21"/>
      <w:lang w:val="en-US" w:eastAsia="zh-CN" w:bidi="ar-SA"/>
    </w:rPr>
  </w:style>
  <w:style w:type="paragraph" w:customStyle="1" w:styleId="73">
    <w:name w:val="封面标准英文名称"/>
    <w:qFormat/>
    <w:uiPriority w:val="0"/>
    <w:pPr>
      <w:widowControl w:val="0"/>
      <w:spacing w:before="370" w:line="400" w:lineRule="exact"/>
      <w:jc w:val="center"/>
    </w:pPr>
    <w:rPr>
      <w:rFonts w:ascii="Times New Roman" w:hAnsi="Times New Roman" w:eastAsia="宋体" w:cs="Times New Roman"/>
      <w:sz w:val="28"/>
      <w:szCs w:val="28"/>
      <w:lang w:val="en-US" w:eastAsia="zh-CN" w:bidi="ar-SA"/>
    </w:rPr>
  </w:style>
  <w:style w:type="paragraph" w:customStyle="1" w:styleId="74">
    <w:name w:val="Char Char3"/>
    <w:basedOn w:val="1"/>
    <w:qFormat/>
    <w:uiPriority w:val="0"/>
    <w:pPr>
      <w:tabs>
        <w:tab w:val="left" w:pos="4665"/>
        <w:tab w:val="left" w:pos="8970"/>
      </w:tabs>
      <w:ind w:firstLine="400"/>
    </w:pPr>
    <w:rPr>
      <w:rFonts w:ascii="Tahoma" w:hAnsi="Tahoma" w:cs="Tahoma"/>
      <w:sz w:val="24"/>
    </w:rPr>
  </w:style>
  <w:style w:type="paragraph" w:customStyle="1" w:styleId="75">
    <w:name w:val="Char Char1 Char Char Char"/>
    <w:basedOn w:val="1"/>
    <w:qFormat/>
    <w:uiPriority w:val="0"/>
  </w:style>
  <w:style w:type="paragraph" w:customStyle="1" w:styleId="76">
    <w:name w:val="表头"/>
    <w:qFormat/>
    <w:uiPriority w:val="0"/>
    <w:pPr>
      <w:keepNext/>
      <w:jc w:val="center"/>
    </w:pPr>
    <w:rPr>
      <w:rFonts w:ascii="Times New Roman" w:hAnsi="Times New Roman" w:eastAsia="黑体" w:cs="Arial"/>
      <w:kern w:val="2"/>
      <w:sz w:val="18"/>
      <w:szCs w:val="18"/>
      <w:lang w:val="en-US" w:eastAsia="zh-CN" w:bidi="ar-SA"/>
    </w:rPr>
  </w:style>
  <w:style w:type="paragraph" w:customStyle="1" w:styleId="77">
    <w:name w:val="Char3"/>
    <w:basedOn w:val="1"/>
    <w:qFormat/>
    <w:uiPriority w:val="0"/>
    <w:pPr>
      <w:tabs>
        <w:tab w:val="left" w:pos="4665"/>
        <w:tab w:val="left" w:pos="8970"/>
      </w:tabs>
      <w:ind w:firstLine="400"/>
    </w:pPr>
    <w:rPr>
      <w:rFonts w:ascii="Tahoma" w:hAnsi="Tahoma" w:cs="Tahoma"/>
      <w:sz w:val="24"/>
    </w:rPr>
  </w:style>
  <w:style w:type="paragraph" w:customStyle="1" w:styleId="78">
    <w:name w:val="List Paragraph"/>
    <w:basedOn w:val="1"/>
    <w:link w:val="112"/>
    <w:qFormat/>
    <w:uiPriority w:val="34"/>
    <w:pPr>
      <w:ind w:firstLine="420" w:firstLineChars="200"/>
    </w:pPr>
  </w:style>
  <w:style w:type="paragraph" w:customStyle="1" w:styleId="79">
    <w:name w:val="Char Char1"/>
    <w:basedOn w:val="1"/>
    <w:qFormat/>
    <w:uiPriority w:val="0"/>
    <w:pPr>
      <w:tabs>
        <w:tab w:val="left" w:pos="4665"/>
        <w:tab w:val="left" w:pos="8970"/>
      </w:tabs>
      <w:ind w:firstLine="400"/>
    </w:pPr>
    <w:rPr>
      <w:rFonts w:ascii="Tahoma" w:hAnsi="Tahoma" w:cs="Tahoma"/>
      <w:sz w:val="24"/>
    </w:rPr>
  </w:style>
  <w:style w:type="paragraph" w:customStyle="1" w:styleId="80">
    <w:name w:val="正文+缩进"/>
    <w:basedOn w:val="1"/>
    <w:qFormat/>
    <w:uiPriority w:val="0"/>
    <w:pPr>
      <w:snapToGrid w:val="0"/>
      <w:spacing w:line="360" w:lineRule="auto"/>
      <w:ind w:firstLine="480" w:firstLineChars="200"/>
      <w:jc w:val="left"/>
    </w:pPr>
    <w:rPr>
      <w:sz w:val="24"/>
      <w:szCs w:val="21"/>
    </w:rPr>
  </w:style>
  <w:style w:type="paragraph" w:customStyle="1" w:styleId="81">
    <w:name w:val="实施日期"/>
    <w:basedOn w:val="57"/>
    <w:next w:val="57"/>
    <w:qFormat/>
    <w:uiPriority w:val="99"/>
    <w:rPr>
      <w:color w:val="auto"/>
    </w:rPr>
  </w:style>
  <w:style w:type="paragraph" w:customStyle="1" w:styleId="82">
    <w:name w:val="封面标准名称"/>
    <w:basedOn w:val="57"/>
    <w:next w:val="57"/>
    <w:qFormat/>
    <w:uiPriority w:val="99"/>
    <w:rPr>
      <w:color w:val="auto"/>
    </w:rPr>
  </w:style>
  <w:style w:type="paragraph" w:customStyle="1" w:styleId="83">
    <w:name w:val="条文 2"/>
    <w:next w:val="1"/>
    <w:qFormat/>
    <w:uiPriority w:val="0"/>
    <w:pPr>
      <w:numPr>
        <w:ilvl w:val="2"/>
        <w:numId w:val="2"/>
      </w:numPr>
      <w:spacing w:line="310" w:lineRule="exact"/>
    </w:pPr>
    <w:rPr>
      <w:rFonts w:ascii="Times New Roman" w:hAnsi="Times New Roman" w:eastAsia="黑体" w:cs="Times New Roman"/>
      <w:sz w:val="21"/>
      <w:lang w:val="en-US" w:eastAsia="zh-CN" w:bidi="ar-SA"/>
    </w:rPr>
  </w:style>
  <w:style w:type="paragraph" w:customStyle="1" w:styleId="84">
    <w:name w:val="Revision"/>
    <w:semiHidden/>
    <w:qFormat/>
    <w:uiPriority w:val="99"/>
    <w:rPr>
      <w:rFonts w:ascii="Times New Roman" w:hAnsi="Times New Roman" w:eastAsia="宋体" w:cs="Times New Roman"/>
      <w:kern w:val="2"/>
      <w:sz w:val="21"/>
      <w:szCs w:val="24"/>
      <w:lang w:val="en-US" w:eastAsia="zh-CN" w:bidi="ar-SA"/>
    </w:rPr>
  </w:style>
  <w:style w:type="paragraph" w:customStyle="1" w:styleId="85">
    <w:name w:val="TOC Heading"/>
    <w:basedOn w:val="2"/>
    <w:next w:val="1"/>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86">
    <w:name w:val="段落正文"/>
    <w:basedOn w:val="1"/>
    <w:qFormat/>
    <w:uiPriority w:val="99"/>
    <w:pPr>
      <w:spacing w:line="300" w:lineRule="auto"/>
      <w:ind w:firstLine="482" w:firstLineChars="200"/>
    </w:pPr>
    <w:rPr>
      <w:sz w:val="24"/>
    </w:rPr>
  </w:style>
  <w:style w:type="paragraph" w:customStyle="1" w:styleId="87">
    <w:name w:val="条文"/>
    <w:basedOn w:val="1"/>
    <w:link w:val="119"/>
    <w:qFormat/>
    <w:uiPriority w:val="0"/>
    <w:pPr>
      <w:adjustRightInd w:val="0"/>
      <w:spacing w:line="300" w:lineRule="auto"/>
      <w:ind w:firstLine="200" w:firstLineChars="200"/>
      <w:outlineLvl w:val="2"/>
    </w:pPr>
    <w:rPr>
      <w:sz w:val="24"/>
    </w:rPr>
  </w:style>
  <w:style w:type="paragraph" w:customStyle="1" w:styleId="88">
    <w:name w:val="a"/>
    <w:basedOn w:val="1"/>
    <w:qFormat/>
    <w:uiPriority w:val="99"/>
    <w:pPr>
      <w:widowControl/>
      <w:spacing w:before="100" w:beforeAutospacing="1" w:after="100" w:afterAutospacing="1"/>
      <w:jc w:val="left"/>
    </w:pPr>
    <w:rPr>
      <w:rFonts w:ascii="宋体" w:hAnsi="宋体" w:cs="宋体"/>
      <w:kern w:val="0"/>
      <w:sz w:val="24"/>
    </w:rPr>
  </w:style>
  <w:style w:type="paragraph" w:customStyle="1" w:styleId="89">
    <w:name w:val="p23"/>
    <w:basedOn w:val="1"/>
    <w:qFormat/>
    <w:uiPriority w:val="99"/>
    <w:pPr>
      <w:widowControl/>
      <w:jc w:val="left"/>
    </w:pPr>
    <w:rPr>
      <w:kern w:val="0"/>
      <w:szCs w:val="21"/>
    </w:rPr>
  </w:style>
  <w:style w:type="character" w:customStyle="1" w:styleId="90">
    <w:name w:val="Char Char2"/>
    <w:qFormat/>
    <w:locked/>
    <w:uiPriority w:val="0"/>
    <w:rPr>
      <w:rFonts w:ascii="宋体" w:hAnsi="Courier New" w:eastAsia="宋体" w:cs="Courier New"/>
      <w:kern w:val="2"/>
      <w:sz w:val="21"/>
      <w:szCs w:val="21"/>
      <w:lang w:val="en-US" w:eastAsia="zh-CN" w:bidi="ar-SA"/>
    </w:rPr>
  </w:style>
  <w:style w:type="character" w:customStyle="1" w:styleId="91">
    <w:name w:val="标题 1 Char"/>
    <w:link w:val="2"/>
    <w:qFormat/>
    <w:uiPriority w:val="0"/>
    <w:rPr>
      <w:rFonts w:eastAsia="宋体"/>
      <w:b/>
      <w:bCs/>
      <w:kern w:val="44"/>
      <w:sz w:val="44"/>
      <w:szCs w:val="44"/>
      <w:lang w:val="en-US" w:eastAsia="zh-CN" w:bidi="ar-SA"/>
    </w:rPr>
  </w:style>
  <w:style w:type="character" w:customStyle="1" w:styleId="92">
    <w:name w:val="标题 2 Char"/>
    <w:link w:val="3"/>
    <w:qFormat/>
    <w:uiPriority w:val="0"/>
    <w:rPr>
      <w:rFonts w:ascii="Arial" w:hAnsi="Arial"/>
      <w:b/>
      <w:bCs/>
      <w:kern w:val="2"/>
      <w:sz w:val="24"/>
      <w:szCs w:val="32"/>
    </w:rPr>
  </w:style>
  <w:style w:type="character" w:customStyle="1" w:styleId="93">
    <w:name w:val="标题 5 Char"/>
    <w:link w:val="6"/>
    <w:qFormat/>
    <w:uiPriority w:val="9"/>
    <w:rPr>
      <w:rFonts w:ascii="Calibri" w:hAnsi="Calibri"/>
      <w:b/>
      <w:bCs/>
      <w:kern w:val="2"/>
      <w:sz w:val="28"/>
      <w:szCs w:val="28"/>
    </w:rPr>
  </w:style>
  <w:style w:type="character" w:customStyle="1" w:styleId="94">
    <w:name w:val="批注框文本 Char"/>
    <w:link w:val="23"/>
    <w:semiHidden/>
    <w:qFormat/>
    <w:locked/>
    <w:uiPriority w:val="99"/>
    <w:rPr>
      <w:kern w:val="2"/>
      <w:sz w:val="18"/>
      <w:szCs w:val="18"/>
    </w:rPr>
  </w:style>
  <w:style w:type="character" w:customStyle="1" w:styleId="95">
    <w:name w:val="正文文本 Char"/>
    <w:link w:val="15"/>
    <w:qFormat/>
    <w:uiPriority w:val="99"/>
    <w:rPr>
      <w:kern w:val="2"/>
      <w:sz w:val="24"/>
      <w:szCs w:val="24"/>
    </w:rPr>
  </w:style>
  <w:style w:type="character" w:customStyle="1" w:styleId="96">
    <w:name w:val="nfont14black1"/>
    <w:qFormat/>
    <w:uiPriority w:val="0"/>
    <w:rPr>
      <w:rFonts w:cs="Times New Roman"/>
      <w:color w:val="000000"/>
      <w:sz w:val="21"/>
      <w:szCs w:val="21"/>
    </w:rPr>
  </w:style>
  <w:style w:type="character" w:customStyle="1" w:styleId="97">
    <w:name w:val="标题 9 Char"/>
    <w:link w:val="10"/>
    <w:qFormat/>
    <w:uiPriority w:val="9"/>
    <w:rPr>
      <w:rFonts w:ascii="Cambria" w:hAnsi="Cambria"/>
      <w:kern w:val="2"/>
      <w:sz w:val="21"/>
      <w:szCs w:val="21"/>
    </w:rPr>
  </w:style>
  <w:style w:type="character" w:customStyle="1" w:styleId="98">
    <w:name w:val="一级条标题 Char"/>
    <w:link w:val="49"/>
    <w:qFormat/>
    <w:locked/>
    <w:uiPriority w:val="0"/>
    <w:rPr>
      <w:rFonts w:ascii="黑体" w:eastAsia="黑体"/>
      <w:sz w:val="21"/>
      <w:lang w:val="en-US" w:eastAsia="zh-CN" w:bidi="ar-SA"/>
    </w:rPr>
  </w:style>
  <w:style w:type="character" w:customStyle="1" w:styleId="99">
    <w:name w:val="Char Char"/>
    <w:semiHidden/>
    <w:qFormat/>
    <w:uiPriority w:val="0"/>
    <w:rPr>
      <w:rFonts w:ascii="宋体" w:hAnsi="Courier New" w:eastAsia="宋体" w:cs="Courier New"/>
      <w:szCs w:val="21"/>
    </w:rPr>
  </w:style>
  <w:style w:type="character" w:customStyle="1" w:styleId="100">
    <w:name w:val="标题 Char"/>
    <w:link w:val="34"/>
    <w:qFormat/>
    <w:uiPriority w:val="0"/>
    <w:rPr>
      <w:rFonts w:ascii="Cambria" w:hAnsi="Cambria"/>
      <w:b/>
      <w:bCs/>
      <w:kern w:val="2"/>
      <w:sz w:val="32"/>
      <w:szCs w:val="32"/>
    </w:rPr>
  </w:style>
  <w:style w:type="character" w:customStyle="1" w:styleId="101">
    <w:name w:val="批注文字 Char"/>
    <w:link w:val="14"/>
    <w:qFormat/>
    <w:locked/>
    <w:uiPriority w:val="99"/>
    <w:rPr>
      <w:kern w:val="2"/>
      <w:sz w:val="21"/>
      <w:szCs w:val="24"/>
    </w:rPr>
  </w:style>
  <w:style w:type="character" w:customStyle="1" w:styleId="102">
    <w:name w:val="标题 6 Char"/>
    <w:link w:val="7"/>
    <w:qFormat/>
    <w:uiPriority w:val="9"/>
    <w:rPr>
      <w:rFonts w:ascii="Cambria" w:hAnsi="Cambria"/>
      <w:b/>
      <w:bCs/>
      <w:kern w:val="2"/>
      <w:sz w:val="24"/>
      <w:szCs w:val="24"/>
    </w:rPr>
  </w:style>
  <w:style w:type="character" w:customStyle="1" w:styleId="103">
    <w:name w:val="文档结构图 Char"/>
    <w:link w:val="13"/>
    <w:semiHidden/>
    <w:qFormat/>
    <w:locked/>
    <w:uiPriority w:val="99"/>
    <w:rPr>
      <w:kern w:val="2"/>
      <w:sz w:val="21"/>
      <w:szCs w:val="24"/>
      <w:shd w:val="clear" w:color="auto" w:fill="000080"/>
    </w:rPr>
  </w:style>
  <w:style w:type="character" w:customStyle="1" w:styleId="104">
    <w:name w:val="正文首行缩进 Char"/>
    <w:basedOn w:val="95"/>
    <w:link w:val="36"/>
    <w:qFormat/>
    <w:uiPriority w:val="99"/>
    <w:rPr>
      <w:kern w:val="2"/>
      <w:sz w:val="24"/>
      <w:szCs w:val="24"/>
    </w:rPr>
  </w:style>
  <w:style w:type="character" w:customStyle="1" w:styleId="105">
    <w:name w:val="Char Char5"/>
    <w:qFormat/>
    <w:uiPriority w:val="0"/>
    <w:rPr>
      <w:rFonts w:ascii="Times New Roman" w:hAnsi="Times New Roman" w:eastAsia="宋体" w:cs="Times New Roman"/>
      <w:b/>
      <w:bCs/>
      <w:kern w:val="44"/>
      <w:sz w:val="44"/>
      <w:szCs w:val="44"/>
    </w:rPr>
  </w:style>
  <w:style w:type="character" w:customStyle="1" w:styleId="106">
    <w:name w:val="批注主题 Char"/>
    <w:link w:val="35"/>
    <w:semiHidden/>
    <w:qFormat/>
    <w:locked/>
    <w:uiPriority w:val="99"/>
    <w:rPr>
      <w:b/>
      <w:bCs/>
      <w:kern w:val="2"/>
      <w:sz w:val="21"/>
      <w:szCs w:val="24"/>
    </w:rPr>
  </w:style>
  <w:style w:type="character" w:customStyle="1" w:styleId="107">
    <w:name w:val="标题 4 Char"/>
    <w:link w:val="5"/>
    <w:qFormat/>
    <w:uiPriority w:val="9"/>
    <w:rPr>
      <w:rFonts w:ascii="Cambria" w:hAnsi="Cambria"/>
      <w:b/>
      <w:bCs/>
      <w:kern w:val="2"/>
      <w:sz w:val="28"/>
      <w:szCs w:val="28"/>
    </w:rPr>
  </w:style>
  <w:style w:type="character" w:customStyle="1" w:styleId="108">
    <w:name w:val="标题 8 Char"/>
    <w:link w:val="9"/>
    <w:qFormat/>
    <w:uiPriority w:val="9"/>
    <w:rPr>
      <w:rFonts w:ascii="Cambria" w:hAnsi="Cambria"/>
      <w:kern w:val="2"/>
      <w:sz w:val="24"/>
      <w:szCs w:val="24"/>
    </w:rPr>
  </w:style>
  <w:style w:type="character" w:customStyle="1" w:styleId="109">
    <w:name w:val="页脚 Char"/>
    <w:link w:val="24"/>
    <w:qFormat/>
    <w:uiPriority w:val="99"/>
    <w:rPr>
      <w:kern w:val="2"/>
      <w:sz w:val="18"/>
      <w:szCs w:val="18"/>
    </w:rPr>
  </w:style>
  <w:style w:type="character" w:customStyle="1" w:styleId="110">
    <w:name w:val="日期 Char"/>
    <w:link w:val="21"/>
    <w:qFormat/>
    <w:locked/>
    <w:uiPriority w:val="99"/>
    <w:rPr>
      <w:kern w:val="2"/>
      <w:sz w:val="21"/>
      <w:szCs w:val="24"/>
    </w:rPr>
  </w:style>
  <w:style w:type="character" w:customStyle="1" w:styleId="111">
    <w:name w:val="fn"/>
    <w:qFormat/>
    <w:uiPriority w:val="99"/>
    <w:rPr>
      <w:rFonts w:cs="Times New Roman"/>
    </w:rPr>
  </w:style>
  <w:style w:type="character" w:customStyle="1" w:styleId="112">
    <w:name w:val="列出段落 Char"/>
    <w:link w:val="78"/>
    <w:qFormat/>
    <w:uiPriority w:val="34"/>
    <w:rPr>
      <w:kern w:val="2"/>
      <w:sz w:val="21"/>
      <w:szCs w:val="24"/>
    </w:rPr>
  </w:style>
  <w:style w:type="character" w:customStyle="1" w:styleId="113">
    <w:name w:val="Char Char4"/>
    <w:qFormat/>
    <w:uiPriority w:val="0"/>
    <w:rPr>
      <w:rFonts w:ascii="Arial" w:hAnsi="Arial" w:eastAsia="黑体" w:cs="Times New Roman"/>
      <w:b/>
      <w:bCs/>
      <w:sz w:val="32"/>
      <w:szCs w:val="32"/>
    </w:rPr>
  </w:style>
  <w:style w:type="character" w:customStyle="1" w:styleId="114">
    <w:name w:val="标题 3 Char"/>
    <w:link w:val="4"/>
    <w:qFormat/>
    <w:locked/>
    <w:uiPriority w:val="0"/>
    <w:rPr>
      <w:b/>
      <w:bCs/>
      <w:kern w:val="2"/>
      <w:sz w:val="32"/>
      <w:szCs w:val="32"/>
    </w:rPr>
  </w:style>
  <w:style w:type="character" w:customStyle="1" w:styleId="115">
    <w:name w:val="页眉 Char"/>
    <w:link w:val="25"/>
    <w:qFormat/>
    <w:locked/>
    <w:uiPriority w:val="99"/>
    <w:rPr>
      <w:kern w:val="2"/>
      <w:sz w:val="18"/>
      <w:szCs w:val="18"/>
    </w:rPr>
  </w:style>
  <w:style w:type="character" w:customStyle="1" w:styleId="116">
    <w:name w:val="Placeholder Text"/>
    <w:semiHidden/>
    <w:qFormat/>
    <w:uiPriority w:val="99"/>
    <w:rPr>
      <w:color w:val="808080"/>
    </w:rPr>
  </w:style>
  <w:style w:type="character" w:customStyle="1" w:styleId="117">
    <w:name w:val="纯文本 Char"/>
    <w:link w:val="19"/>
    <w:qFormat/>
    <w:uiPriority w:val="99"/>
    <w:rPr>
      <w:rFonts w:ascii="宋体" w:hAnsi="Courier New" w:eastAsia="宋体" w:cs="Courier New"/>
      <w:kern w:val="2"/>
      <w:sz w:val="21"/>
      <w:szCs w:val="21"/>
      <w:lang w:val="en-US" w:eastAsia="zh-CN" w:bidi="ar-SA"/>
    </w:rPr>
  </w:style>
  <w:style w:type="character" w:customStyle="1" w:styleId="118">
    <w:name w:val="标题 7 Char"/>
    <w:link w:val="8"/>
    <w:qFormat/>
    <w:uiPriority w:val="9"/>
    <w:rPr>
      <w:rFonts w:ascii="Calibri" w:hAnsi="Calibri"/>
      <w:b/>
      <w:bCs/>
      <w:kern w:val="2"/>
      <w:sz w:val="24"/>
      <w:szCs w:val="24"/>
    </w:rPr>
  </w:style>
  <w:style w:type="character" w:customStyle="1" w:styleId="119">
    <w:name w:val="条文 Char"/>
    <w:link w:val="87"/>
    <w:qFormat/>
    <w:uiPriority w:val="0"/>
    <w:rPr>
      <w:kern w:val="2"/>
      <w:sz w:val="24"/>
      <w:szCs w:val="24"/>
    </w:rPr>
  </w:style>
  <w:style w:type="table" w:customStyle="1" w:styleId="120">
    <w:name w:val="浅色底纹1"/>
    <w:basedOn w:val="37"/>
    <w:qFormat/>
    <w:uiPriority w:val="60"/>
    <w:rPr>
      <w:rFonts w:ascii="Calibri" w:hAnsi="Calibri"/>
      <w:color w:val="000000"/>
    </w:rPr>
    <w:tblPr>
      <w:tblBorders>
        <w:top w:val="single" w:color="000000" w:sz="8" w:space="0"/>
        <w:bottom w:val="single" w:color="000000" w:sz="8" w:space="0"/>
      </w:tblBorders>
      <w:tblCellMar>
        <w:top w:w="0" w:type="dxa"/>
        <w:left w:w="108" w:type="dxa"/>
        <w:bottom w:w="0" w:type="dxa"/>
        <w:right w:w="108" w:type="dxa"/>
      </w:tblCellMar>
    </w:tblPr>
    <w:tblStylePr w:type="firstRow">
      <w:pPr>
        <w:spacing w:before="0" w:after="0" w:line="240" w:lineRule="auto"/>
      </w:pPr>
      <w:rPr>
        <w:b/>
        <w:bCs/>
      </w:rPr>
      <w:tcPr>
        <w:tcBorders>
          <w:top w:val="single" w:color="000000" w:sz="8" w:space="0"/>
          <w:left w:val="nil"/>
          <w:bottom w:val="single" w:color="000000" w:sz="8" w:space="0"/>
          <w:right w:val="nil"/>
          <w:insideH w:val="nil"/>
          <w:insideV w:val="nil"/>
          <w:tl2br w:val="nil"/>
          <w:tr2bl w:val="nil"/>
        </w:tcBorders>
      </w:tcPr>
    </w:tblStylePr>
    <w:tblStylePr w:type="lastRow">
      <w:pPr>
        <w:spacing w:before="0" w:after="0" w:line="240" w:lineRule="auto"/>
      </w:pPr>
      <w:rPr>
        <w:b/>
        <w:bCs/>
      </w:rPr>
      <w:tcPr>
        <w:tcBorders>
          <w:top w:val="single" w:color="000000" w:sz="8" w:space="0"/>
          <w:left w:val="nil"/>
          <w:bottom w:val="single" w:color="000000" w:sz="8" w:space="0"/>
          <w:right w:val="nil"/>
          <w:insideH w:val="nil"/>
          <w:insideV w:val="nil"/>
          <w:tl2br w:val="nil"/>
          <w:tr2bl w:val="nil"/>
        </w:tcBorders>
      </w:tcPr>
    </w:tblStylePr>
    <w:tblStylePr w:type="firstCol">
      <w:rPr>
        <w:b/>
        <w:bCs/>
      </w:rPr>
    </w:tblStylePr>
    <w:tblStylePr w:type="lastCol">
      <w:rPr>
        <w:b/>
        <w:bCs/>
      </w:rPr>
    </w:tblStylePr>
    <w:tblStylePr w:type="band1Vert">
      <w:tcPr>
        <w:tcBorders>
          <w:top w:val="nil"/>
          <w:left w:val="nil"/>
          <w:bottom w:val="nil"/>
          <w:right w:val="nil"/>
          <w:insideH w:val="nil"/>
          <w:insideV w:val="nil"/>
          <w:tl2br w:val="nil"/>
          <w:tr2bl w:val="nil"/>
        </w:tcBorders>
        <w:shd w:val="clear" w:color="auto" w:fill="C0C0C0"/>
      </w:tcPr>
    </w:tblStylePr>
    <w:tblStylePr w:type="band1Horz">
      <w:tcPr>
        <w:tcBorders>
          <w:top w:val="nil"/>
          <w:left w:val="nil"/>
          <w:bottom w:val="nil"/>
          <w:right w:val="nil"/>
          <w:insideH w:val="nil"/>
          <w:insideV w:val="nil"/>
          <w:tl2br w:val="nil"/>
          <w:tr2bl w:val="nil"/>
        </w:tcBorders>
        <w:shd w:val="clear" w:color="auto" w:fill="C0C0C0"/>
      </w:tcPr>
    </w:tblStylePr>
  </w:style>
</w:styles>
</file>

<file path=word/_rels/document.xml.rels><?xml version="1.0" encoding="UTF-8" standalone="yes"?>
<Relationships xmlns="http://schemas.openxmlformats.org/package/2006/relationships"><Relationship Id="rId9" Type="http://schemas.openxmlformats.org/officeDocument/2006/relationships/oleObject" Target="embeddings/oleObject1.bin"/><Relationship Id="rId8" Type="http://schemas.openxmlformats.org/officeDocument/2006/relationships/image" Target="media/image2.wmf"/><Relationship Id="rId7" Type="http://schemas.openxmlformats.org/officeDocument/2006/relationships/image" Target="media/image1.emf"/><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9" Type="http://schemas.openxmlformats.org/officeDocument/2006/relationships/fontTable" Target="fontTable.xml"/><Relationship Id="rId28" Type="http://schemas.openxmlformats.org/officeDocument/2006/relationships/numbering" Target="numbering.xml"/><Relationship Id="rId27" Type="http://schemas.openxmlformats.org/officeDocument/2006/relationships/customXml" Target="../customXml/item1.xml"/><Relationship Id="rId26" Type="http://schemas.openxmlformats.org/officeDocument/2006/relationships/image" Target="media/image12.wmf"/><Relationship Id="rId25" Type="http://schemas.openxmlformats.org/officeDocument/2006/relationships/oleObject" Target="embeddings/oleObject8.bin"/><Relationship Id="rId24" Type="http://schemas.openxmlformats.org/officeDocument/2006/relationships/image" Target="media/image11.wmf"/><Relationship Id="rId23" Type="http://schemas.openxmlformats.org/officeDocument/2006/relationships/oleObject" Target="embeddings/oleObject7.bin"/><Relationship Id="rId22" Type="http://schemas.openxmlformats.org/officeDocument/2006/relationships/image" Target="media/image10.wmf"/><Relationship Id="rId21" Type="http://schemas.openxmlformats.org/officeDocument/2006/relationships/oleObject" Target="embeddings/oleObject6.bin"/><Relationship Id="rId20" Type="http://schemas.openxmlformats.org/officeDocument/2006/relationships/image" Target="media/image9.wmf"/><Relationship Id="rId2" Type="http://schemas.openxmlformats.org/officeDocument/2006/relationships/settings" Target="settings.xml"/><Relationship Id="rId19" Type="http://schemas.openxmlformats.org/officeDocument/2006/relationships/oleObject" Target="embeddings/oleObject5.bin"/><Relationship Id="rId18" Type="http://schemas.openxmlformats.org/officeDocument/2006/relationships/image" Target="media/image8.wmf"/><Relationship Id="rId17" Type="http://schemas.openxmlformats.org/officeDocument/2006/relationships/oleObject" Target="embeddings/oleObject4.bin"/><Relationship Id="rId16" Type="http://schemas.openxmlformats.org/officeDocument/2006/relationships/image" Target="media/image7.wmf"/><Relationship Id="rId15" Type="http://schemas.openxmlformats.org/officeDocument/2006/relationships/oleObject" Target="embeddings/oleObject3.bin"/><Relationship Id="rId14" Type="http://schemas.openxmlformats.org/officeDocument/2006/relationships/image" Target="media/image6.wmf"/><Relationship Id="rId13" Type="http://schemas.openxmlformats.org/officeDocument/2006/relationships/image" Target="media/image5.wmf"/><Relationship Id="rId12" Type="http://schemas.openxmlformats.org/officeDocument/2006/relationships/image" Target="media/image4.wmf"/><Relationship Id="rId11" Type="http://schemas.openxmlformats.org/officeDocument/2006/relationships/oleObject" Target="embeddings/oleObject2.bin"/><Relationship Id="rId10" Type="http://schemas.openxmlformats.org/officeDocument/2006/relationships/image" Target="media/image3.wmf"/><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Info spid="_x0000_s1027"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10690</Words>
  <Characters>60935</Characters>
  <Lines>507</Lines>
  <Paragraphs>142</Paragraphs>
  <TotalTime>0</TotalTime>
  <ScaleCrop>false</ScaleCrop>
  <LinksUpToDate>false</LinksUpToDate>
  <CharactersWithSpaces>0</CharactersWithSpaces>
  <Application>WPS Office_11.8.2.10458_F1E327BC-269C-435d-A152-05C5408002CA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2015-12-15T11:11:00Z</dcterms:created>
  <dc:creator>liping</dc:creator>
  <cp:lastModifiedBy>L.Jie</cp:lastModifiedBy>
  <cp:lastPrinted>2016-06-20T06:59:00Z</cp:lastPrinted>
  <dcterms:modified xsi:type="dcterms:W3CDTF">2025-08-27T16:37:32Z</dcterms:modified>
  <dc:title>子合同22</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2052-11.8.2.10458</vt:lpwstr>
  </property>
</Properties>
</file>