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3"/>
        <w:ind w:left="0" w:leftChars="0" w:firstLine="0" w:firstLineChars="0"/>
        <w:rPr>
          <w:rFonts w:hint="eastAsia"/>
          <w:lang w:eastAsia="zh-CN"/>
        </w:rPr>
      </w:pPr>
      <w:r>
        <w:rPr>
          <w:rFonts w:hint="eastAsia"/>
          <w:lang w:eastAsia="zh-CN"/>
        </w:rPr>
        <w:t>附件：</w:t>
      </w:r>
    </w:p>
    <w:p>
      <w:pPr>
        <w:pStyle w:val="9"/>
        <w:rPr>
          <w:rFonts w:hint="eastAsia"/>
        </w:rPr>
      </w:pPr>
    </w:p>
    <w:p>
      <w:pPr>
        <w:pStyle w:val="9"/>
        <w:rPr>
          <w:rFonts w:hint="eastAsia"/>
          <w:sz w:val="40"/>
          <w:szCs w:val="40"/>
        </w:rPr>
      </w:pPr>
      <w:r>
        <w:rPr>
          <w:rFonts w:hint="eastAsia"/>
          <w:sz w:val="40"/>
          <w:szCs w:val="40"/>
        </w:rPr>
        <w:t>2020年深圳市建筑施工领域“安全生产月”和</w:t>
      </w:r>
    </w:p>
    <w:p>
      <w:pPr>
        <w:pStyle w:val="9"/>
        <w:rPr>
          <w:rFonts w:hint="eastAsia"/>
          <w:sz w:val="40"/>
          <w:szCs w:val="40"/>
        </w:rPr>
      </w:pPr>
      <w:r>
        <w:rPr>
          <w:rFonts w:hint="eastAsia"/>
          <w:sz w:val="40"/>
          <w:szCs w:val="40"/>
        </w:rPr>
        <w:t>“安全生产万里行”网上观摩示范项目</w:t>
      </w:r>
    </w:p>
    <w:p>
      <w:pPr>
        <w:pStyle w:val="9"/>
        <w:rPr>
          <w:rFonts w:hint="eastAsia"/>
        </w:rPr>
      </w:pPr>
    </w:p>
    <w:p>
      <w:pPr>
        <w:pStyle w:val="13"/>
        <w:rPr>
          <w:rFonts w:hint="eastAsia"/>
          <w:lang w:eastAsia="zh-CN"/>
        </w:rPr>
      </w:pPr>
      <w:r>
        <w:rPr>
          <w:rFonts w:hint="eastAsia"/>
        </w:rPr>
        <w:t>一、深圳市长</w:t>
      </w:r>
      <w:r>
        <w:rPr>
          <w:rFonts w:hint="eastAsia"/>
          <w:lang w:eastAsia="zh-CN"/>
        </w:rPr>
        <w:t>圳</w:t>
      </w:r>
      <w:r>
        <w:rPr>
          <w:rFonts w:hint="eastAsia"/>
        </w:rPr>
        <w:t>公共住房及其附属工程总承包（EPC</w:t>
      </w:r>
      <w:r>
        <w:rPr>
          <w:rFonts w:hint="eastAsia"/>
          <w:lang w:eastAsia="zh-CN"/>
        </w:rPr>
        <w:t>）项目</w:t>
      </w:r>
    </w:p>
    <w:p>
      <w:pPr>
        <w:pStyle w:val="15"/>
        <w:rPr>
          <w:rFonts w:hint="eastAsia"/>
          <w:lang w:eastAsia="zh-CN"/>
        </w:rPr>
      </w:pPr>
      <w:r>
        <w:rPr>
          <w:rFonts w:hint="eastAsia"/>
          <w:lang w:eastAsia="zh-CN"/>
        </w:rPr>
        <w:t>（一）项目基本信息</w:t>
      </w:r>
    </w:p>
    <w:p>
      <w:pPr>
        <w:pStyle w:val="7"/>
        <w:rPr>
          <w:rFonts w:hint="eastAsia"/>
          <w:lang w:eastAsia="zh-CN"/>
        </w:rPr>
      </w:pPr>
      <w:r>
        <w:rPr>
          <w:rFonts w:hint="eastAsia"/>
          <w:lang w:eastAsia="zh-CN"/>
        </w:rPr>
        <w:t>建设单位：深圳市住房保障署</w:t>
      </w:r>
    </w:p>
    <w:p>
      <w:pPr>
        <w:pStyle w:val="7"/>
        <w:rPr>
          <w:rFonts w:hint="eastAsia"/>
          <w:lang w:eastAsia="zh-CN"/>
        </w:rPr>
      </w:pPr>
      <w:r>
        <w:rPr>
          <w:rFonts w:hint="eastAsia"/>
          <w:lang w:eastAsia="zh-CN"/>
        </w:rPr>
        <w:t>施工单位：中建科技集团有限公司</w:t>
      </w:r>
    </w:p>
    <w:p>
      <w:pPr>
        <w:pStyle w:val="7"/>
        <w:rPr>
          <w:rFonts w:hint="eastAsia"/>
        </w:rPr>
      </w:pPr>
      <w:r>
        <w:rPr>
          <w:rFonts w:hint="eastAsia"/>
          <w:lang w:eastAsia="zh-CN"/>
        </w:rPr>
        <w:t>工程地点：</w:t>
      </w:r>
      <w:r>
        <w:rPr>
          <w:rFonts w:hint="eastAsia"/>
        </w:rPr>
        <w:t>深圳市光明区凤凰城，南临侨路西科裕</w:t>
      </w:r>
    </w:p>
    <w:p>
      <w:pPr>
        <w:pStyle w:val="7"/>
        <w:rPr>
          <w:rFonts w:hint="eastAsia"/>
          <w:lang w:val="en-US" w:eastAsia="zh-CN"/>
        </w:rPr>
      </w:pPr>
      <w:r>
        <w:rPr>
          <w:rFonts w:hint="eastAsia"/>
          <w:lang w:eastAsia="zh-CN"/>
        </w:rPr>
        <w:t>建筑面积：</w:t>
      </w:r>
      <w:r>
        <w:rPr>
          <w:rFonts w:hint="eastAsia"/>
          <w:lang w:val="en-US" w:eastAsia="zh-CN"/>
        </w:rPr>
        <w:t>115万平方米</w:t>
      </w:r>
    </w:p>
    <w:p>
      <w:pPr>
        <w:pStyle w:val="15"/>
        <w:rPr>
          <w:rFonts w:hint="eastAsia"/>
          <w:lang w:val="en-US" w:eastAsia="zh-CN"/>
        </w:rPr>
      </w:pPr>
      <w:r>
        <w:rPr>
          <w:rFonts w:hint="eastAsia"/>
          <w:lang w:val="en-US" w:eastAsia="zh-CN"/>
        </w:rPr>
        <w:t>（二）网上观摩活动开始时间</w:t>
      </w:r>
    </w:p>
    <w:p>
      <w:pPr>
        <w:pStyle w:val="7"/>
        <w:rPr>
          <w:rFonts w:hint="eastAsia"/>
          <w:lang w:val="en-US" w:eastAsia="zh-CN"/>
        </w:rPr>
      </w:pPr>
      <w:r>
        <w:rPr>
          <w:rFonts w:hint="eastAsia"/>
          <w:b/>
          <w:bCs/>
          <w:lang w:val="en-US" w:eastAsia="zh-CN"/>
        </w:rPr>
        <w:t>2020年6月17日9:30</w:t>
      </w:r>
      <w:r>
        <w:rPr>
          <w:rFonts w:hint="eastAsia"/>
          <w:lang w:val="en-US" w:eastAsia="zh-CN"/>
        </w:rPr>
        <w:t>（9：30举办启动仪式，同步线上直播，仪式结束后线上观摩活动继续）。</w:t>
      </w:r>
    </w:p>
    <w:p>
      <w:pPr>
        <w:pStyle w:val="15"/>
        <w:rPr>
          <w:rFonts w:hint="eastAsia"/>
          <w:lang w:val="en-US" w:eastAsia="zh-CN"/>
        </w:rPr>
      </w:pPr>
      <w:r>
        <w:rPr>
          <w:rFonts w:hint="eastAsia"/>
          <w:lang w:val="en-US" w:eastAsia="zh-CN"/>
        </w:rPr>
        <w:t>（三）观摩亮点</w:t>
      </w:r>
    </w:p>
    <w:p>
      <w:pPr>
        <w:pStyle w:val="7"/>
      </w:pPr>
      <w:r>
        <w:t>1</w:t>
      </w:r>
      <w:r>
        <w:rPr>
          <w:rFonts w:hint="eastAsia"/>
        </w:rPr>
        <w:t>、长圳建筑科技展示馆</w:t>
      </w:r>
      <w:r>
        <w:rPr>
          <w:rFonts w:hint="eastAsia"/>
          <w:lang w:eastAsia="zh-CN"/>
        </w:rPr>
        <w:t>。</w:t>
      </w:r>
      <w:r>
        <w:rPr>
          <w:rFonts w:hint="eastAsia"/>
        </w:rPr>
        <w:t>集中展示介绍项目定位目标、管理模式、设计、科研、示范技术、智能化建造、装配式装修、智慧建造平台等基本情况及优秀做法。</w:t>
      </w:r>
    </w:p>
    <w:p>
      <w:pPr>
        <w:pStyle w:val="7"/>
      </w:pPr>
      <w:r>
        <w:rPr>
          <w:rFonts w:hint="eastAsia"/>
        </w:rPr>
        <w:t>2、施工现场集中展示区</w:t>
      </w:r>
      <w:r>
        <w:rPr>
          <w:rFonts w:hint="eastAsia"/>
          <w:lang w:eastAsia="zh-CN"/>
        </w:rPr>
        <w:t>。</w:t>
      </w:r>
      <w:r>
        <w:rPr>
          <w:rFonts w:hint="eastAsia"/>
        </w:rPr>
        <w:t>详细展示在党建引领、R</w:t>
      </w:r>
      <w:r>
        <w:t>EMPC</w:t>
      </w:r>
      <w:r>
        <w:rPr>
          <w:rFonts w:hint="eastAsia"/>
        </w:rPr>
        <w:t>（科技研发为安全监管提供技术支撑、设计先导为安全实施保驾护航、智能化工厂促进安全管理、统一集采为安全提供物资保障、创新施工管理夯实安全生产）工程总承包管理模式、未来城市人居环境研究等方面的亮点。同时设置安全体验馆、质量样板间，在体验安全事故，警示安全行为的同时，学习交流优秀质量做法。</w:t>
      </w:r>
    </w:p>
    <w:p>
      <w:pPr>
        <w:pStyle w:val="7"/>
      </w:pPr>
      <w:r>
        <w:t>3</w:t>
      </w:r>
      <w:r>
        <w:rPr>
          <w:rFonts w:hint="eastAsia"/>
        </w:rPr>
        <w:t>、长圳项目生活区—中建科技·科寓</w:t>
      </w:r>
      <w:r>
        <w:rPr>
          <w:rFonts w:hint="eastAsia"/>
          <w:lang w:eastAsia="zh-CN"/>
        </w:rPr>
        <w:t>。</w:t>
      </w:r>
      <w:r>
        <w:rPr>
          <w:rFonts w:hint="eastAsia"/>
        </w:rPr>
        <w:t>中建科技在培养产业化工人的同时，注重提供优质的后勤保障。中建科技·科寓是装配式建筑的一次重大创新，是对物业化管理模式的重要探索和突破，改变了工人生活区</w:t>
      </w:r>
      <w:r>
        <w:rPr>
          <w:rFonts w:hint="eastAsia"/>
          <w:lang w:val="en-US" w:eastAsia="zh-CN"/>
        </w:rPr>
        <w:t>传统</w:t>
      </w:r>
      <w:r>
        <w:rPr>
          <w:rFonts w:hint="eastAsia"/>
        </w:rPr>
        <w:t>定义和认知，科寓建设不仅能满足工人基本的日常生活需求，而且非常注重生活区的人文及环境建设，通过一系列精细化、人文化的生活设施及管理方式，给一线产业工人带来回家的感觉。</w:t>
      </w:r>
    </w:p>
    <w:p>
      <w:pPr>
        <w:pStyle w:val="15"/>
      </w:pPr>
      <w:r>
        <w:rPr>
          <w:rFonts w:hint="eastAsia"/>
          <w:lang w:eastAsia="zh-CN"/>
        </w:rPr>
        <w:t>（四）网上观摩</w:t>
      </w:r>
      <w:r>
        <w:rPr>
          <w:rFonts w:hint="eastAsia"/>
        </w:rPr>
        <w:t>活动链接</w:t>
      </w:r>
    </w:p>
    <w:p>
      <w:pPr>
        <w:pStyle w:val="7"/>
      </w:pPr>
      <w:r>
        <w:rPr>
          <w:rFonts w:hint="eastAsia"/>
          <w:lang w:eastAsia="zh-CN"/>
        </w:rPr>
        <w:t>请扫描以下二维码，进入观摩</w:t>
      </w:r>
      <w:r>
        <w:rPr>
          <w:rFonts w:hint="eastAsia"/>
        </w:rPr>
        <w:t>活动线上直播（含照片直播、V</w:t>
      </w:r>
      <w:r>
        <w:t>R</w:t>
      </w:r>
      <w:r>
        <w:rPr>
          <w:rFonts w:hint="eastAsia"/>
        </w:rPr>
        <w:t>全景、视频、观摩介绍）入口：</w:t>
      </w:r>
    </w:p>
    <w:p>
      <w:pPr>
        <w:pStyle w:val="10"/>
      </w:pPr>
      <w:r>
        <w:drawing>
          <wp:inline distT="0" distB="0" distL="114300" distR="114300">
            <wp:extent cx="1424940" cy="14249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24940" cy="1424940"/>
                    </a:xfrm>
                    <a:prstGeom prst="rect">
                      <a:avLst/>
                    </a:prstGeom>
                    <a:noFill/>
                    <a:ln w="9525">
                      <a:noFill/>
                    </a:ln>
                  </pic:spPr>
                </pic:pic>
              </a:graphicData>
            </a:graphic>
          </wp:inline>
        </w:drawing>
      </w:r>
    </w:p>
    <w:p>
      <w:pPr>
        <w:pStyle w:val="13"/>
        <w:rPr>
          <w:rFonts w:hint="eastAsia"/>
          <w:lang w:val="en-US" w:eastAsia="zh-CN"/>
        </w:rPr>
      </w:pPr>
    </w:p>
    <w:p>
      <w:pPr>
        <w:pStyle w:val="13"/>
        <w:rPr>
          <w:rFonts w:hint="eastAsia"/>
          <w:lang w:val="en-US" w:eastAsia="zh-CN"/>
        </w:rPr>
      </w:pPr>
      <w:r>
        <w:rPr>
          <w:rFonts w:hint="eastAsia"/>
          <w:lang w:val="en-US" w:eastAsia="zh-CN"/>
        </w:rPr>
        <w:t>二、深圳机场卫星厅及其配套工程项目</w:t>
      </w:r>
    </w:p>
    <w:p>
      <w:pPr>
        <w:pStyle w:val="15"/>
        <w:rPr>
          <w:rFonts w:hint="eastAsia"/>
          <w:lang w:val="en-US" w:eastAsia="zh-CN"/>
        </w:rPr>
      </w:pPr>
      <w:r>
        <w:rPr>
          <w:rFonts w:hint="eastAsia"/>
          <w:lang w:val="en-US" w:eastAsia="zh-CN"/>
        </w:rPr>
        <w:t>（一）项目基本信息</w:t>
      </w:r>
    </w:p>
    <w:p>
      <w:pPr>
        <w:pStyle w:val="7"/>
        <w:rPr>
          <w:rFonts w:hint="eastAsia"/>
          <w:lang w:val="en-US" w:eastAsia="zh-CN"/>
        </w:rPr>
      </w:pPr>
      <w:r>
        <w:rPr>
          <w:rFonts w:hint="eastAsia"/>
          <w:lang w:val="en-US" w:eastAsia="zh-CN"/>
        </w:rPr>
        <w:t>建设单位：深圳市机场股份有限公司</w:t>
      </w:r>
    </w:p>
    <w:p>
      <w:pPr>
        <w:pStyle w:val="7"/>
        <w:rPr>
          <w:rFonts w:hint="eastAsia"/>
          <w:lang w:val="en-US" w:eastAsia="zh-CN"/>
        </w:rPr>
      </w:pPr>
      <w:r>
        <w:rPr>
          <w:rFonts w:hint="eastAsia"/>
          <w:lang w:val="en-US" w:eastAsia="zh-CN"/>
        </w:rPr>
        <w:t>施工单位：中国建筑股份有限公司</w:t>
      </w:r>
    </w:p>
    <w:p>
      <w:pPr>
        <w:pStyle w:val="7"/>
        <w:rPr>
          <w:rFonts w:hint="eastAsia"/>
          <w:lang w:val="en-US" w:eastAsia="zh-CN"/>
        </w:rPr>
      </w:pPr>
      <w:r>
        <w:rPr>
          <w:rFonts w:hint="eastAsia"/>
          <w:lang w:val="en-US" w:eastAsia="zh-CN"/>
        </w:rPr>
        <w:t>工程地点：深圳市宝安区福永街道深圳机场T3航站楼北侧</w:t>
      </w:r>
    </w:p>
    <w:p>
      <w:pPr>
        <w:pStyle w:val="7"/>
        <w:rPr>
          <w:rFonts w:hint="eastAsia"/>
          <w:lang w:val="en-US" w:eastAsia="zh-CN"/>
        </w:rPr>
      </w:pPr>
      <w:r>
        <w:rPr>
          <w:rFonts w:hint="eastAsia"/>
          <w:lang w:val="en-US" w:eastAsia="zh-CN"/>
        </w:rPr>
        <w:t>建筑面积：23.89万平方米</w:t>
      </w:r>
    </w:p>
    <w:p>
      <w:pPr>
        <w:pStyle w:val="15"/>
        <w:rPr>
          <w:rFonts w:hint="eastAsia"/>
          <w:lang w:val="en-US" w:eastAsia="zh-CN"/>
        </w:rPr>
      </w:pPr>
      <w:r>
        <w:rPr>
          <w:rFonts w:hint="eastAsia"/>
          <w:lang w:val="en-US" w:eastAsia="zh-CN"/>
        </w:rPr>
        <w:t>（二）网上观摩时间及入口</w:t>
      </w:r>
    </w:p>
    <w:p>
      <w:pPr>
        <w:pStyle w:val="7"/>
        <w:rPr>
          <w:rFonts w:hint="eastAsia"/>
          <w:lang w:val="en-US" w:eastAsia="zh-CN"/>
        </w:rPr>
      </w:pPr>
      <w:r>
        <w:rPr>
          <w:rFonts w:hint="eastAsia"/>
          <w:lang w:val="en-US" w:eastAsia="zh-CN"/>
        </w:rPr>
        <w:t>另行通知。</w:t>
      </w:r>
    </w:p>
    <w:p>
      <w:pPr>
        <w:pStyle w:val="15"/>
        <w:rPr>
          <w:rFonts w:hint="eastAsia"/>
          <w:lang w:val="en-US" w:eastAsia="zh-CN"/>
        </w:rPr>
      </w:pPr>
      <w:r>
        <w:rPr>
          <w:rFonts w:hint="eastAsia"/>
          <w:lang w:val="en-US" w:eastAsia="zh-CN"/>
        </w:rPr>
        <w:t>（三）观摩亮点</w:t>
      </w:r>
    </w:p>
    <w:p>
      <w:pPr>
        <w:pStyle w:val="7"/>
        <w:rPr>
          <w:rFonts w:hint="eastAsia"/>
          <w:lang w:val="en-US" w:eastAsia="zh-CN"/>
        </w:rPr>
      </w:pPr>
      <w:r>
        <w:rPr>
          <w:rFonts w:hint="eastAsia"/>
          <w:lang w:val="en-US" w:eastAsia="zh-CN"/>
        </w:rPr>
        <w:t>1、绿色施工——建筑废弃物处理中心</w:t>
      </w:r>
    </w:p>
    <w:p>
      <w:pPr>
        <w:pStyle w:val="7"/>
        <w:rPr>
          <w:rFonts w:hint="eastAsia"/>
          <w:lang w:val="en-US" w:eastAsia="zh-CN"/>
        </w:rPr>
      </w:pPr>
      <w:r>
        <w:rPr>
          <w:rFonts w:hint="eastAsia"/>
          <w:lang w:val="en-US" w:eastAsia="zh-CN"/>
        </w:rPr>
        <w:t>项目在施工过程中将产生大量混凝土废弃物，主要来源包括：既有隧道、既有地连墙及混凝土撑、临时道路、堆场、加工厂、场内道路等。本项目在施工现场设置了“建筑废弃物减量化破碎车间+再生石粉自动压砖车间+再生混凝土搅拌站”相结合的方式，来对整个项目施工过程中产生的</w:t>
      </w:r>
      <w:bookmarkStart w:id="0" w:name="_GoBack"/>
      <w:bookmarkEnd w:id="0"/>
      <w:r>
        <w:rPr>
          <w:rFonts w:hint="eastAsia"/>
          <w:lang w:val="en-US" w:eastAsia="zh-CN"/>
        </w:rPr>
        <w:t>固体建筑垃圾进行减量化和资源化综合处理。</w:t>
      </w:r>
    </w:p>
    <w:p>
      <w:pPr>
        <w:pStyle w:val="7"/>
        <w:rPr>
          <w:rFonts w:hint="eastAsia"/>
          <w:lang w:val="en-US" w:eastAsia="zh-CN"/>
        </w:rPr>
      </w:pPr>
      <w:r>
        <w:rPr>
          <w:rFonts w:hint="eastAsia"/>
          <w:lang w:val="en-US" w:eastAsia="zh-CN"/>
        </w:rPr>
        <w:t>2、绿色施工——皮带运输机</w:t>
      </w:r>
    </w:p>
    <w:p>
      <w:pPr>
        <w:pStyle w:val="7"/>
        <w:rPr>
          <w:rFonts w:hint="eastAsia"/>
          <w:lang w:val="en-US" w:eastAsia="zh-CN"/>
        </w:rPr>
      </w:pPr>
      <w:r>
        <w:rPr>
          <w:rFonts w:hint="eastAsia"/>
          <w:lang w:val="en-US" w:eastAsia="zh-CN"/>
        </w:rPr>
        <w:t>深圳机场卫星厅及其配套工程包括卫星厅、捷运及行李隧道、车辆基地及制冷站，土（石）方外运方量总计约114 万m³，计划单日最大出土量高达1.6m³。受场地及环境影响，传统渣土车外运方式已不能满足本项目要求。项目在经过多方案比选后，选定了采用皮带机运输土石方辅助运输出土的方案。</w:t>
      </w:r>
    </w:p>
    <w:p>
      <w:pPr>
        <w:pStyle w:val="7"/>
        <w:rPr>
          <w:rFonts w:hint="eastAsia"/>
          <w:lang w:val="en-US" w:eastAsia="zh-CN"/>
        </w:rPr>
      </w:pPr>
      <w:r>
        <w:rPr>
          <w:rFonts w:hint="eastAsia"/>
          <w:lang w:val="en-US" w:eastAsia="zh-CN"/>
        </w:rPr>
        <w:t>3、绿色施工——废水回收系统</w:t>
      </w:r>
    </w:p>
    <w:p>
      <w:pPr>
        <w:pStyle w:val="7"/>
        <w:rPr>
          <w:rFonts w:hint="eastAsia"/>
          <w:lang w:val="en-US" w:eastAsia="zh-CN"/>
        </w:rPr>
      </w:pPr>
      <w:r>
        <w:rPr>
          <w:rFonts w:hint="eastAsia"/>
          <w:lang w:val="en-US" w:eastAsia="zh-CN"/>
        </w:rPr>
        <w:t>项目通过对场内的雨水、地下水、经处理的污水等进行抽排、引流，汇集。然后经过沉淀池沉淀，水泵提升回收至水箱存放再利用。整个系统内的水主要用于现场洒水降尘及道路冲洗等。此方式既能解决一部分排水排污问题，又可节约水资源，最终实现绿色施工要求。</w:t>
      </w:r>
    </w:p>
    <w:p>
      <w:pPr>
        <w:pStyle w:val="7"/>
        <w:rPr>
          <w:rFonts w:hint="eastAsia"/>
          <w:lang w:val="en-US" w:eastAsia="zh-CN"/>
        </w:rPr>
      </w:pPr>
      <w:r>
        <w:rPr>
          <w:rFonts w:hint="eastAsia"/>
          <w:lang w:val="en-US" w:eastAsia="zh-CN"/>
        </w:rPr>
        <w:t>4、绿色施工——一体化污水处理系统</w:t>
      </w:r>
    </w:p>
    <w:p>
      <w:pPr>
        <w:pStyle w:val="7"/>
        <w:rPr>
          <w:rFonts w:hint="eastAsia"/>
          <w:lang w:val="en-US" w:eastAsia="zh-CN"/>
        </w:rPr>
      </w:pPr>
      <w:r>
        <w:rPr>
          <w:rFonts w:hint="eastAsia"/>
          <w:lang w:val="en-US" w:eastAsia="zh-CN"/>
        </w:rPr>
        <w:t>项目采用了膜分离技术与传统污水生物处理技术有机结合的产物，普遍认为其性能稳定、效果好、出水水质好。该技术的特点是以超、微滤膜分离过程取代传统活性污泥处理过程中的泥水重力沉降分离过程。项目主要将此设备用于生活区、现场厕所污水的收集处理。</w:t>
      </w:r>
    </w:p>
    <w:p>
      <w:pPr>
        <w:pStyle w:val="7"/>
        <w:rPr>
          <w:rFonts w:hint="eastAsia"/>
          <w:lang w:val="en-US" w:eastAsia="zh-CN"/>
        </w:rPr>
      </w:pPr>
      <w:r>
        <w:rPr>
          <w:rFonts w:hint="eastAsia"/>
          <w:lang w:val="en-US" w:eastAsia="zh-CN"/>
        </w:rPr>
        <w:t>5.脚手架管理、模板支架管理、安全防护、扬尘治理、应急管理、行为安全之星活动、智慧工地应用等。</w:t>
      </w:r>
    </w:p>
    <w:p>
      <w:pPr>
        <w:pStyle w:val="13"/>
        <w:rPr>
          <w:rFonts w:hint="eastAsia"/>
          <w:lang w:val="en-US" w:eastAsia="zh-CN"/>
        </w:rPr>
      </w:pPr>
      <w:r>
        <w:rPr>
          <w:rFonts w:hint="eastAsia"/>
          <w:lang w:val="en-US" w:eastAsia="zh-CN"/>
        </w:rPr>
        <w:t>三、城脉金融中心大厦总承包工程</w:t>
      </w:r>
    </w:p>
    <w:p>
      <w:pPr>
        <w:pStyle w:val="15"/>
        <w:rPr>
          <w:rFonts w:hint="eastAsia"/>
          <w:lang w:val="en-US" w:eastAsia="zh-CN"/>
        </w:rPr>
      </w:pPr>
      <w:r>
        <w:rPr>
          <w:rFonts w:hint="eastAsia"/>
          <w:lang w:val="en-US" w:eastAsia="zh-CN"/>
        </w:rPr>
        <w:t>（一）项目基本信息</w:t>
      </w:r>
    </w:p>
    <w:p>
      <w:pPr>
        <w:pStyle w:val="7"/>
        <w:rPr>
          <w:rFonts w:hint="eastAsia"/>
          <w:lang w:val="en-US" w:eastAsia="zh-CN"/>
        </w:rPr>
      </w:pPr>
      <w:r>
        <w:rPr>
          <w:rFonts w:hint="eastAsia"/>
          <w:lang w:val="en-US" w:eastAsia="zh-CN"/>
        </w:rPr>
        <w:t>建设单位：深圳市脉远地产有限公司</w:t>
      </w:r>
    </w:p>
    <w:p>
      <w:pPr>
        <w:pStyle w:val="7"/>
        <w:rPr>
          <w:rFonts w:hint="eastAsia"/>
          <w:lang w:val="en-US" w:eastAsia="zh-CN"/>
        </w:rPr>
      </w:pPr>
      <w:r>
        <w:rPr>
          <w:rFonts w:hint="eastAsia"/>
          <w:lang w:val="en-US" w:eastAsia="zh-CN"/>
        </w:rPr>
        <w:t>施工单位：中建三局集团有限公司</w:t>
      </w:r>
    </w:p>
    <w:p>
      <w:pPr>
        <w:pStyle w:val="7"/>
        <w:rPr>
          <w:rFonts w:hint="eastAsia"/>
          <w:lang w:val="en-US" w:eastAsia="zh-CN"/>
        </w:rPr>
      </w:pPr>
      <w:r>
        <w:rPr>
          <w:rFonts w:hint="eastAsia"/>
          <w:lang w:val="en-US" w:eastAsia="zh-CN"/>
        </w:rPr>
        <w:t>工程地点：深圳市罗湖区红岭北路东侧，桃园路南侧</w:t>
      </w:r>
    </w:p>
    <w:p>
      <w:pPr>
        <w:pStyle w:val="7"/>
        <w:rPr>
          <w:rFonts w:hint="eastAsia"/>
          <w:lang w:val="en-US" w:eastAsia="zh-CN"/>
        </w:rPr>
      </w:pPr>
      <w:r>
        <w:rPr>
          <w:rFonts w:hint="eastAsia"/>
          <w:lang w:val="en-US" w:eastAsia="zh-CN"/>
        </w:rPr>
        <w:t>建筑面积：21万平米</w:t>
      </w:r>
    </w:p>
    <w:p>
      <w:pPr>
        <w:pStyle w:val="15"/>
        <w:rPr>
          <w:rFonts w:hint="eastAsia"/>
          <w:lang w:val="en-US" w:eastAsia="zh-CN"/>
        </w:rPr>
      </w:pPr>
      <w:r>
        <w:rPr>
          <w:rFonts w:hint="eastAsia"/>
          <w:lang w:val="en-US" w:eastAsia="zh-CN"/>
        </w:rPr>
        <w:t>（二）网上观摩时间及入口</w:t>
      </w:r>
    </w:p>
    <w:p>
      <w:pPr>
        <w:pStyle w:val="7"/>
        <w:rPr>
          <w:rFonts w:hint="eastAsia"/>
          <w:lang w:val="en-US" w:eastAsia="zh-CN"/>
        </w:rPr>
      </w:pPr>
      <w:r>
        <w:rPr>
          <w:rFonts w:hint="eastAsia"/>
          <w:lang w:val="en-US" w:eastAsia="zh-CN"/>
        </w:rPr>
        <w:t>另行通知。</w:t>
      </w:r>
    </w:p>
    <w:p>
      <w:pPr>
        <w:pStyle w:val="15"/>
        <w:rPr>
          <w:rFonts w:hint="eastAsia"/>
          <w:lang w:val="en-US" w:eastAsia="zh-CN"/>
        </w:rPr>
      </w:pPr>
      <w:r>
        <w:rPr>
          <w:rFonts w:hint="eastAsia"/>
          <w:lang w:val="en-US" w:eastAsia="zh-CN"/>
        </w:rPr>
        <w:t>（三）观摩亮点</w:t>
      </w:r>
    </w:p>
    <w:p>
      <w:pPr>
        <w:pStyle w:val="7"/>
        <w:rPr>
          <w:rFonts w:hint="eastAsia"/>
          <w:lang w:val="en-US" w:eastAsia="zh-CN"/>
        </w:rPr>
      </w:pPr>
      <w:r>
        <w:rPr>
          <w:rFonts w:hint="eastAsia"/>
          <w:lang w:val="en-US" w:eastAsia="zh-CN"/>
        </w:rPr>
        <w:t>1、党建引领展示</w:t>
      </w:r>
    </w:p>
    <w:p>
      <w:pPr>
        <w:pStyle w:val="7"/>
        <w:rPr>
          <w:rFonts w:hint="eastAsia"/>
          <w:lang w:val="en-US" w:eastAsia="zh-CN"/>
        </w:rPr>
      </w:pPr>
      <w:r>
        <w:rPr>
          <w:rFonts w:hint="eastAsia"/>
          <w:lang w:val="en-US" w:eastAsia="zh-CN"/>
        </w:rPr>
        <w:t>（1）学习习近平总书记关于安全生产的重要论述。</w:t>
      </w:r>
    </w:p>
    <w:p>
      <w:pPr>
        <w:pStyle w:val="7"/>
        <w:rPr>
          <w:rFonts w:hint="eastAsia"/>
          <w:lang w:val="en-US" w:eastAsia="zh-CN"/>
        </w:rPr>
      </w:pPr>
      <w:r>
        <w:rPr>
          <w:rFonts w:hint="eastAsia"/>
          <w:lang w:val="en-US" w:eastAsia="zh-CN"/>
        </w:rPr>
        <w:t>（2）从“使命担当”、“中国速度”、“平凡英雄”展示两山精神。</w:t>
      </w:r>
    </w:p>
    <w:p>
      <w:pPr>
        <w:pStyle w:val="7"/>
        <w:rPr>
          <w:rFonts w:hint="eastAsia"/>
          <w:lang w:val="en-US" w:eastAsia="zh-CN"/>
        </w:rPr>
      </w:pPr>
      <w:r>
        <w:rPr>
          <w:rFonts w:hint="eastAsia"/>
          <w:lang w:val="en-US" w:eastAsia="zh-CN"/>
        </w:rPr>
        <w:t>（3）团队建设。这个部分实际上是项目基本情况及项目团队开展党建、团建等活动的集中展示。</w:t>
      </w:r>
    </w:p>
    <w:p>
      <w:pPr>
        <w:pStyle w:val="7"/>
        <w:rPr>
          <w:rFonts w:hint="eastAsia"/>
          <w:lang w:val="en-US" w:eastAsia="zh-CN"/>
        </w:rPr>
      </w:pPr>
      <w:r>
        <w:rPr>
          <w:rFonts w:hint="eastAsia"/>
          <w:lang w:val="en-US" w:eastAsia="zh-CN"/>
        </w:rPr>
        <w:t>2、安全管理展示</w:t>
      </w:r>
    </w:p>
    <w:p>
      <w:pPr>
        <w:pStyle w:val="7"/>
        <w:rPr>
          <w:rFonts w:hint="eastAsia"/>
          <w:lang w:val="en-US" w:eastAsia="zh-CN"/>
        </w:rPr>
      </w:pPr>
      <w:r>
        <w:rPr>
          <w:rFonts w:hint="eastAsia"/>
          <w:lang w:val="en-US" w:eastAsia="zh-CN"/>
        </w:rPr>
        <w:t>（1）安全管理体系建设与安全管理团队培养展示。</w:t>
      </w:r>
    </w:p>
    <w:p>
      <w:pPr>
        <w:pStyle w:val="7"/>
        <w:rPr>
          <w:rFonts w:hint="eastAsia"/>
          <w:lang w:val="en-US" w:eastAsia="zh-CN"/>
        </w:rPr>
      </w:pPr>
      <w:r>
        <w:rPr>
          <w:rFonts w:hint="eastAsia"/>
          <w:lang w:val="en-US" w:eastAsia="zh-CN"/>
        </w:rPr>
        <w:t>（2）疫情防控与复工复产管理展示。</w:t>
      </w:r>
    </w:p>
    <w:p>
      <w:pPr>
        <w:pStyle w:val="7"/>
        <w:rPr>
          <w:rFonts w:hint="eastAsia"/>
          <w:lang w:val="en-US" w:eastAsia="zh-CN"/>
        </w:rPr>
      </w:pPr>
      <w:r>
        <w:rPr>
          <w:rFonts w:hint="eastAsia"/>
          <w:lang w:val="en-US" w:eastAsia="zh-CN"/>
        </w:rPr>
        <w:t>（3）安全标准化管理展示。如安全防护、大型设备管理、安全文明施工管理展示。</w:t>
      </w:r>
    </w:p>
    <w:p>
      <w:pPr>
        <w:pStyle w:val="7"/>
        <w:rPr>
          <w:rFonts w:hint="eastAsia"/>
          <w:lang w:val="en-US" w:eastAsia="zh-CN"/>
        </w:rPr>
      </w:pPr>
      <w:r>
        <w:rPr>
          <w:rFonts w:hint="eastAsia"/>
          <w:lang w:val="en-US" w:eastAsia="zh-CN"/>
        </w:rPr>
        <w:t>（4）安全创新管理展示。应用信息化手段如智能监管平台、“检到位”等开展现场管理。</w:t>
      </w:r>
    </w:p>
    <w:p>
      <w:pPr>
        <w:pStyle w:val="7"/>
        <w:rPr>
          <w:rFonts w:hint="eastAsia"/>
          <w:lang w:val="en-US" w:eastAsia="zh-CN"/>
        </w:rPr>
      </w:pPr>
      <w:r>
        <w:rPr>
          <w:rFonts w:hint="eastAsia"/>
          <w:lang w:val="en-US" w:eastAsia="zh-CN"/>
        </w:rPr>
        <w:t>3、质量管理展示</w:t>
      </w:r>
    </w:p>
    <w:p>
      <w:pPr>
        <w:pStyle w:val="7"/>
        <w:rPr>
          <w:rFonts w:hint="eastAsia"/>
          <w:lang w:val="en-US" w:eastAsia="zh-CN"/>
        </w:rPr>
      </w:pPr>
      <w:r>
        <w:rPr>
          <w:rFonts w:hint="eastAsia"/>
          <w:lang w:val="en-US" w:eastAsia="zh-CN"/>
        </w:rPr>
        <w:t>分“质量标准化”和“质量精细化”两个部分对项目的质量管理体系、样板引路、实测实量、原材管理等方面进行展示。</w:t>
      </w:r>
    </w:p>
    <w:p>
      <w:pPr>
        <w:pStyle w:val="7"/>
        <w:rPr>
          <w:rFonts w:hint="eastAsia"/>
          <w:lang w:val="en-US" w:eastAsia="zh-CN"/>
        </w:rPr>
      </w:pPr>
      <w:r>
        <w:rPr>
          <w:rFonts w:hint="eastAsia"/>
          <w:lang w:val="en-US" w:eastAsia="zh-CN"/>
        </w:rPr>
        <w:t>4、工艺与技术展示</w:t>
      </w:r>
    </w:p>
    <w:p>
      <w:pPr>
        <w:pStyle w:val="7"/>
        <w:rPr>
          <w:rFonts w:hint="eastAsia"/>
          <w:lang w:val="en-US" w:eastAsia="zh-CN"/>
        </w:rPr>
      </w:pPr>
      <w:r>
        <w:rPr>
          <w:rFonts w:hint="eastAsia"/>
          <w:lang w:val="en-US" w:eastAsia="zh-CN"/>
        </w:rPr>
        <w:t>针对项目应用新工艺、新技术对安全管理促进的展示，对项目使用顶模等新型技术亮点和难点进行展示。</w:t>
      </w:r>
    </w:p>
    <w:sectPr>
      <w:headerReference r:id="rId4" w:type="first"/>
      <w:footerReference r:id="rId6" w:type="first"/>
      <w:headerReference r:id="rId3" w:type="default"/>
      <w:footerReference r:id="rId5" w:type="default"/>
      <w:pgSz w:w="11906" w:h="16838"/>
      <w:pgMar w:top="2041" w:right="1531" w:bottom="1871" w:left="1587" w:header="851" w:footer="1417" w:gutter="0"/>
      <w:pgNumType w:fmt="numberInDash"/>
      <w:cols w:space="720" w:num="1"/>
      <w:titlePg/>
      <w:rtlGutter w:val="0"/>
      <w:docGrid w:type="lines" w:linePitch="316" w:charSpace="0"/>
    </w:sectPr>
  </w:body>
</w:document>
</file>

<file path=word/customizations.xml><?xml version="1.0" encoding="utf-8"?>
<wne:tcg xmlns:r="http://schemas.openxmlformats.org/officeDocument/2006/relationships" xmlns:wne="http://schemas.microsoft.com/office/word/2006/wordml">
  <wne:keymaps>
    <wne:keymap wne:kcmPrimary="0450">
      <wne:acd wne:acdName="acd0"/>
    </wne:keymap>
    <wne:keymap wne:kcmPrimary="0431">
      <wne:acd wne:acdName="acd1"/>
    </wne:keymap>
    <wne:keymap wne:kcmPrimary="0454">
      <wne:acd wne:acdName="acd2"/>
    </wne:keymap>
    <wne:keymap wne:kcmPrimary="0446">
      <wne:acd wne:acdName="acd3"/>
    </wne:keymap>
    <wne:keymap wne:kcmPrimary="0451">
      <wne:acd wne:acdName="acd4"/>
    </wne:keymap>
    <wne:keymap wne:kcmPrimary="0447">
      <wne:acd wne:acdName="acd5"/>
    </wne:keymap>
    <wne:keymap wne:kcmPrimary="0432">
      <wne:acd wne:acdName="acd6"/>
    </wne:keymap>
    <wne:keymap wne:kcmPrimary="0430">
      <wne:acd wne:acdName="acd7"/>
    </wne:keymap>
    <wne:keymap wne:kcmPrimary="044C">
      <wne:acd wne:acdName="acd8"/>
    </wne:keymap>
    <wne:keymap wne:kcmPrimary="045A">
      <wne:acd wne:acdName="acd9"/>
    </wne:keymap>
    <wne:keymap wne:kcmPrimary="0458">
      <wne:acd wne:acdName="acd10"/>
    </wne:keymap>
    <wne:keymap wne:kcmPrimary="0434">
      <wne:acd wne:acdName="acd11"/>
    </wne:keymap>
    <wne:keymap wne:kcmPrimary="0444">
      <wne:acd wne:acdName="acd12"/>
    </wne:keymap>
    <wne:keymap wne:kcmPrimary="0433">
      <wne:acd wne:acdName="acd13"/>
    </wne:keymap>
    <wne:keymap wne:kcmPrimary="0450">
      <wne:fci wne:fciName="ApplyStyleName" wne:swArg="0000"/>
    </wne:keymap>
    <wne:keymap wne:kcmPrimary="0430">
      <wne:fci wne:fciName="ApplyStyleName" wne:swArg="0000"/>
    </wne:keymap>
    <wne:keymap wne:kcmPrimary="044C">
      <wne:fci wne:fciName="ApplyStyleName" wne:swArg="0000"/>
    </wne:keymap>
    <wne:keymap wne:kcmPrimary="0451">
      <wne:fci wne:fciName="ApplyStyleName" wne:swArg="0000"/>
    </wne:keymap>
    <wne:keymap wne:kcmPrimary="045A">
      <wne:fci wne:fciName="ApplyStyleName" wne:swArg="0000"/>
    </wne:keymap>
    <wne:keymap wne:kcmPrimary="0432">
      <wne:fci wne:fciName="ApplyStyleName" wne:swArg="0000"/>
    </wne:keymap>
    <wne:keymap wne:kcmPrimary="0454">
      <wne:fci wne:fciName="ApplyStyleName" wne:swArg="0000"/>
    </wne:keymap>
    <wne:keymap wne:kcmPrimary="0458">
      <wne:fci wne:fciName="ApplyStyleName" wne:swArg="0000"/>
    </wne:keymap>
    <wne:keymap wne:kcmPrimary="0433">
      <wne:fci wne:fciName="ApplyStyleName" wne:swArg="0000"/>
    </wne:keymap>
    <wne:keymap wne:kcmPrimary="0431">
      <wne:fci wne:fciName="ApplyStyleName" wne:swArg="0000"/>
    </wne:keymap>
    <wne:keymap wne:kcmPrimary="0446">
      <wne:fci wne:fciName="ApplyStyleName" wne:swArg="0000"/>
    </wne:keymap>
    <wne:keymap wne:kcmPrimary="0444">
      <wne:fci wne:fciName="ApplyStyleName" wne:swArg="0000"/>
    </wne:keymap>
    <wne:keymap wne:kcmPrimary="0447">
      <wne:fci wne:fciName="ApplyStyleName" wne:swArg="0000"/>
    </wne:keymap>
    <wne:keymap wne:kcmPrimary="0434">
      <wne:fci wne:fciName="ApplyStyleName" wne:swArg="0000"/>
    </wne:keymap>
    <wne:keymap wne:kcmPrimary="0431">
      <wne:fci wne:fciName="ApplyStyleName" wne:swArg="0000"/>
    </wne:keymap>
    <wne:keymap wne:kcmPrimary="0451">
      <wne:fci wne:fciName="ApplyStyleName" wne:swArg="0000"/>
    </wne:keymap>
    <wne:keymap wne:kcmPrimary="0430">
      <wne:fci wne:fciName="ApplyStyleName" wne:swArg="0000"/>
    </wne:keymap>
    <wne:keymap wne:kcmPrimary="0454">
      <wne:fci wne:fciName="ApplyStyleName" wne:swArg="0000"/>
    </wne:keymap>
    <wne:keymap wne:kcmPrimary="0447">
      <wne:fci wne:fciName="ApplyStyleName" wne:swArg="0000"/>
    </wne:keymap>
    <wne:keymap wne:kcmPrimary="0432">
      <wne:fci wne:fciName="ApplyStyleName" wne:swArg="0000"/>
    </wne:keymap>
    <wne:keymap wne:kcmPrimary="045A">
      <wne:fci wne:fciName="ApplyStyleName" wne:swArg="0000"/>
    </wne:keymap>
    <wne:keymap wne:kcmPrimary="0450">
      <wne:fci wne:fciName="ApplyStyleName" wne:swArg="0000"/>
    </wne:keymap>
    <wne:keymap wne:kcmPrimary="0458">
      <wne:fci wne:fciName="ApplyStyleName" wne:swArg="0000"/>
    </wne:keymap>
    <wne:keymap wne:kcmPrimary="0446">
      <wne:fci wne:fciName="ApplyStyleName" wne:swArg="0000"/>
    </wne:keymap>
    <wne:keymap wne:kcmPrimary="0444">
      <wne:fci wne:fciName="ApplyStyleName" wne:swArg="0000"/>
    </wne:keymap>
    <wne:keymap wne:kcmPrimary="0433">
      <wne:fci wne:fciName="ApplyStyleName" wne:swArg="0000"/>
    </wne:keymap>
    <wne:keymap wne:kcmPrimary="0434">
      <wne:fci wne:fciName="ApplyStyleName" wne:swArg="0000"/>
    </wne:keymap>
    <wne:keymap wne:kcmPrimary="044C">
      <wne:fci wne:fciName="ApplyStyleName" wne:swArg="0000"/>
    </wne:keymap>
  </wne:keymaps>
  <wne:acds>
    <wne:acd wne:argValue="AgBCAFQAUAA=" wne:acdName="acd0" wne:fciIndexBasedOn="0065"/>
    <wne:acd wne:argValue="AgBCAFQAMAAxAA==" wne:acdName="acd1" wne:fciIndexBasedOn="0065"/>
    <wne:acd wne:argValue="AgBCAF8AVABBAEkA" wne:acdName="acd2" wne:fciIndexBasedOn="0065"/>
    <wne:acd wne:argValue="AgB5mCZ7" wne:acdName="acd3" wne:fciIndexBasedOn="0065"/>
    <wne:acd wne:argValue="AgBCADEAJns=" wne:acdName="acd4" wne:fciIndexBasedOn="0065"/>
    <wne:acd wne:argValue="AgBCAEcA" wne:acdName="acd5" wne:fciIndexBasedOn="0065"/>
    <wne:acd wne:argValue="AgBCAFQAMAAyAA==" wne:acdName="acd6" wne:fciIndexBasedOn="0065"/>
    <wne:acd wne:argValue="AgBCAFQAMAAwAA==" wne:acdName="acd7" wne:fciIndexBasedOn="0065"/>
    <wne:acd wne:argValue="AgBCAGwAdQBlAA==" wne:acdName="acd8" wne:fciIndexBasedOn="0065"/>
    <wne:acd wne:argValue="AgBCAFoAVwBGAFMA" wne:acdName="acd9" wne:fciIndexBasedOn="0065"/>
    <wne:acd wne:argValue="AgBCAFgAWgA=" wne:acdName="acd10" wne:fciIndexBasedOn="0065"/>
    <wne:acd wne:argValue="AgBCAFQAMAA0AA==" wne:acdName="acd11" wne:fciIndexBasedOn="0065"/>
    <wne:acd wne:argValue="AgBQAG8AaQBuAHQA" wne:acdName="acd12" wne:fciIndexBasedOn="0065"/>
    <wne:acd wne:argValue="AgBCAFQAMAAzAA==" wne:acdName="acd1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wp:posOffset>
              </wp:positionV>
              <wp:extent cx="831850" cy="230505"/>
              <wp:effectExtent l="0" t="0" r="0" b="0"/>
              <wp:wrapNone/>
              <wp:docPr id="2" name="文本框 30"/>
              <wp:cNvGraphicFramePr/>
              <a:graphic xmlns:a="http://schemas.openxmlformats.org/drawingml/2006/main">
                <a:graphicData uri="http://schemas.microsoft.com/office/word/2010/wordprocessingShape">
                  <wps:wsp>
                    <wps:cNvSpPr txBox="1"/>
                    <wps:spPr>
                      <a:xfrm>
                        <a:off x="0" y="0"/>
                        <a:ext cx="831850" cy="230505"/>
                      </a:xfrm>
                      <a:prstGeom prst="rect">
                        <a:avLst/>
                      </a:prstGeom>
                      <a:noFill/>
                      <a:ln w="9525">
                        <a:noFill/>
                      </a:ln>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square" lIns="0" tIns="0" rIns="0" bIns="0" upright="0"/>
                  </wps:wsp>
                </a:graphicData>
              </a:graphic>
            </wp:anchor>
          </w:drawing>
        </mc:Choice>
        <mc:Fallback>
          <w:pict>
            <v:shape id="文本框 30" o:spid="_x0000_s1026" o:spt="202" type="#_x0000_t202" style="position:absolute;left:0pt;margin-top:0.4pt;height:18.15pt;width:65.5pt;mso-position-horizontal:outside;mso-position-horizontal-relative:margin;z-index:251659264;mso-width-relative:page;mso-height-relative:page;" filled="f" stroked="f" coordsize="21600,21600" o:gfxdata="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UovTz9IAAAAE&#10;AQAADwAAAAAAAAABACAAAAA4AAAAZHJzL2Rvd25yZXYueG1sUEsBAhQAFAAAAAgAh07iQIUJ57HT&#10;AQAAlQMAAA4AAAAAAAAAAQAgAAAANwEAAGRycy9lMm9Eb2MueG1sUEsFBgAAAAAGAAYAWQEAAHwF&#10;AAAAAA==&#10;">
              <v:fill on="f" focussize="0,0"/>
              <v:stroke on="f"/>
              <v:imagedata o:title=""/>
              <o:lock v:ext="edit" aspectratio="f"/>
              <v:textbox inset="0mm,0mm,0mm,0mm">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3D0E0"/>
    <w:multiLevelType w:val="singleLevel"/>
    <w:tmpl w:val="5B03D0E0"/>
    <w:lvl w:ilvl="0" w:tentative="0">
      <w:start w:val="1"/>
      <w:numFmt w:val="bullet"/>
      <w:pStyle w:val="6"/>
      <w:lvlText w:val="►"/>
      <w:lvlJc w:val="left"/>
      <w:pPr>
        <w:tabs>
          <w:tab w:val="left" w:pos="420"/>
        </w:tabs>
        <w:ind w:left="420" w:hanging="420"/>
      </w:pPr>
      <w:rPr>
        <w:rFonts w:hint="default" w:ascii="Arial" w:hAnsi="Arial" w:cs="Arial"/>
      </w:rPr>
    </w:lvl>
  </w:abstractNum>
  <w:abstractNum w:abstractNumId="1">
    <w:nsid w:val="5B03D0F8"/>
    <w:multiLevelType w:val="singleLevel"/>
    <w:tmpl w:val="5B03D0F8"/>
    <w:lvl w:ilvl="0" w:tentative="0">
      <w:start w:val="1"/>
      <w:numFmt w:val="bullet"/>
      <w:pStyle w:val="14"/>
      <w:lvlText w:val=""/>
      <w:lvlJc w:val="left"/>
      <w:pPr>
        <w:tabs>
          <w:tab w:val="left" w:pos="420"/>
        </w:tabs>
        <w:ind w:left="420" w:hanging="420"/>
      </w:pPr>
      <w:rPr>
        <w:rFonts w:hint="default" w:ascii="Wingdings" w:hAnsi="Wingdings"/>
      </w:rPr>
    </w:lvl>
  </w:abstractNum>
  <w:abstractNum w:abstractNumId="2">
    <w:nsid w:val="5BBEF265"/>
    <w:multiLevelType w:val="singleLevel"/>
    <w:tmpl w:val="5BBEF265"/>
    <w:lvl w:ilvl="0" w:tentative="0">
      <w:start w:val="1"/>
      <w:numFmt w:val="chineseCounting"/>
      <w:pStyle w:val="12"/>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81"/>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A31BF"/>
    <w:rsid w:val="00485C1C"/>
    <w:rsid w:val="006D7742"/>
    <w:rsid w:val="00AB1693"/>
    <w:rsid w:val="01777760"/>
    <w:rsid w:val="017C600D"/>
    <w:rsid w:val="04F7326E"/>
    <w:rsid w:val="06340ADC"/>
    <w:rsid w:val="07C3194E"/>
    <w:rsid w:val="07CB2BB8"/>
    <w:rsid w:val="07EA31BF"/>
    <w:rsid w:val="07FE0B88"/>
    <w:rsid w:val="08D87811"/>
    <w:rsid w:val="0A1111ED"/>
    <w:rsid w:val="0A46243C"/>
    <w:rsid w:val="0A4E0C00"/>
    <w:rsid w:val="0B6A660E"/>
    <w:rsid w:val="0B893BF4"/>
    <w:rsid w:val="0C9F417C"/>
    <w:rsid w:val="0D8D7910"/>
    <w:rsid w:val="0F700671"/>
    <w:rsid w:val="10E550A9"/>
    <w:rsid w:val="11452B4F"/>
    <w:rsid w:val="11B26A42"/>
    <w:rsid w:val="12180BBD"/>
    <w:rsid w:val="140041F8"/>
    <w:rsid w:val="14124C0E"/>
    <w:rsid w:val="14F942AC"/>
    <w:rsid w:val="14FE2365"/>
    <w:rsid w:val="16437D9A"/>
    <w:rsid w:val="17A20448"/>
    <w:rsid w:val="17ED5587"/>
    <w:rsid w:val="184F43CE"/>
    <w:rsid w:val="18713950"/>
    <w:rsid w:val="199930E0"/>
    <w:rsid w:val="19D53BAF"/>
    <w:rsid w:val="1BCE689B"/>
    <w:rsid w:val="1D590569"/>
    <w:rsid w:val="1D734DE0"/>
    <w:rsid w:val="1D7C2CCC"/>
    <w:rsid w:val="1ED03ACA"/>
    <w:rsid w:val="1FB50629"/>
    <w:rsid w:val="223448E5"/>
    <w:rsid w:val="225B3219"/>
    <w:rsid w:val="22D110E1"/>
    <w:rsid w:val="2377323E"/>
    <w:rsid w:val="243510E8"/>
    <w:rsid w:val="253848B8"/>
    <w:rsid w:val="25F9579F"/>
    <w:rsid w:val="260B4387"/>
    <w:rsid w:val="263578BE"/>
    <w:rsid w:val="26B4682E"/>
    <w:rsid w:val="27BE062A"/>
    <w:rsid w:val="28297701"/>
    <w:rsid w:val="28B41D66"/>
    <w:rsid w:val="29671ACD"/>
    <w:rsid w:val="29AB24AA"/>
    <w:rsid w:val="29B53DB1"/>
    <w:rsid w:val="2A1724EA"/>
    <w:rsid w:val="2BDB7F3A"/>
    <w:rsid w:val="2E540CCA"/>
    <w:rsid w:val="2F257BE7"/>
    <w:rsid w:val="2FA43DAC"/>
    <w:rsid w:val="308D5A59"/>
    <w:rsid w:val="32E71522"/>
    <w:rsid w:val="339448A5"/>
    <w:rsid w:val="33AA5687"/>
    <w:rsid w:val="34A22665"/>
    <w:rsid w:val="35644A6C"/>
    <w:rsid w:val="35D231D8"/>
    <w:rsid w:val="36F33C0B"/>
    <w:rsid w:val="3775168B"/>
    <w:rsid w:val="39857292"/>
    <w:rsid w:val="3A4C7E85"/>
    <w:rsid w:val="3A6E6DEA"/>
    <w:rsid w:val="3A947EFE"/>
    <w:rsid w:val="3B083FBE"/>
    <w:rsid w:val="3BA37854"/>
    <w:rsid w:val="3CE13DBC"/>
    <w:rsid w:val="3D15722F"/>
    <w:rsid w:val="3E30195C"/>
    <w:rsid w:val="3F4C084B"/>
    <w:rsid w:val="4119609B"/>
    <w:rsid w:val="41531C40"/>
    <w:rsid w:val="41FE3E0F"/>
    <w:rsid w:val="42C11812"/>
    <w:rsid w:val="43394340"/>
    <w:rsid w:val="4402047A"/>
    <w:rsid w:val="441659D2"/>
    <w:rsid w:val="450D652D"/>
    <w:rsid w:val="46C25E7F"/>
    <w:rsid w:val="475A7E39"/>
    <w:rsid w:val="482D6FE0"/>
    <w:rsid w:val="48F11FB7"/>
    <w:rsid w:val="49024FE9"/>
    <w:rsid w:val="4923386B"/>
    <w:rsid w:val="49883AD1"/>
    <w:rsid w:val="4A447263"/>
    <w:rsid w:val="4A4A4B72"/>
    <w:rsid w:val="4ADC7C7C"/>
    <w:rsid w:val="4B00559A"/>
    <w:rsid w:val="4B187AAA"/>
    <w:rsid w:val="4B7F0992"/>
    <w:rsid w:val="5043141C"/>
    <w:rsid w:val="507433A8"/>
    <w:rsid w:val="50A109CE"/>
    <w:rsid w:val="512B5A0C"/>
    <w:rsid w:val="51340213"/>
    <w:rsid w:val="520C0C38"/>
    <w:rsid w:val="523A23E2"/>
    <w:rsid w:val="52987160"/>
    <w:rsid w:val="541F6411"/>
    <w:rsid w:val="57986339"/>
    <w:rsid w:val="57E84ECC"/>
    <w:rsid w:val="585F3CF0"/>
    <w:rsid w:val="586941AA"/>
    <w:rsid w:val="59821F6D"/>
    <w:rsid w:val="59C44795"/>
    <w:rsid w:val="5A880BA3"/>
    <w:rsid w:val="5C6F1F20"/>
    <w:rsid w:val="60670FDF"/>
    <w:rsid w:val="62247105"/>
    <w:rsid w:val="622631BF"/>
    <w:rsid w:val="628237A3"/>
    <w:rsid w:val="629616EA"/>
    <w:rsid w:val="64642EC7"/>
    <w:rsid w:val="64853311"/>
    <w:rsid w:val="658C7E20"/>
    <w:rsid w:val="65DA3EE9"/>
    <w:rsid w:val="67046310"/>
    <w:rsid w:val="67EC3D6B"/>
    <w:rsid w:val="69DB007A"/>
    <w:rsid w:val="6A4D3EE8"/>
    <w:rsid w:val="6B30315D"/>
    <w:rsid w:val="6DD7624E"/>
    <w:rsid w:val="6DE446DA"/>
    <w:rsid w:val="6EAC22BC"/>
    <w:rsid w:val="6EC87C6E"/>
    <w:rsid w:val="6FC25EE1"/>
    <w:rsid w:val="6FF16B23"/>
    <w:rsid w:val="702F3C1B"/>
    <w:rsid w:val="70365454"/>
    <w:rsid w:val="71642E12"/>
    <w:rsid w:val="7187387B"/>
    <w:rsid w:val="71C51099"/>
    <w:rsid w:val="7278324F"/>
    <w:rsid w:val="72EA1C3C"/>
    <w:rsid w:val="732743DA"/>
    <w:rsid w:val="73451ECF"/>
    <w:rsid w:val="743F146C"/>
    <w:rsid w:val="74E219AE"/>
    <w:rsid w:val="74FD0D8C"/>
    <w:rsid w:val="76453C4D"/>
    <w:rsid w:val="7774026E"/>
    <w:rsid w:val="778A1B9B"/>
    <w:rsid w:val="785B7A2E"/>
    <w:rsid w:val="78ED0033"/>
    <w:rsid w:val="791E17DB"/>
    <w:rsid w:val="7A9E1E33"/>
    <w:rsid w:val="7C6D705E"/>
    <w:rsid w:val="7D836A2E"/>
    <w:rsid w:val="7E23276A"/>
    <w:rsid w:val="7F7032D6"/>
    <w:rsid w:val="7FBC791E"/>
    <w:rsid w:val="DFFF4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nhideWhenUsed/>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Point"/>
    <w:basedOn w:val="7"/>
    <w:next w:val="7"/>
    <w:qFormat/>
    <w:uiPriority w:val="0"/>
    <w:pPr>
      <w:numPr>
        <w:ilvl w:val="0"/>
        <w:numId w:val="1"/>
      </w:numPr>
      <w:tabs>
        <w:tab w:val="left" w:pos="210"/>
        <w:tab w:val="clear" w:pos="420"/>
      </w:tabs>
      <w:spacing w:line="240" w:lineRule="auto"/>
      <w:ind w:left="0" w:firstLine="640" w:firstLineChars="200"/>
    </w:pPr>
  </w:style>
  <w:style w:type="paragraph" w:customStyle="1" w:styleId="7">
    <w:name w:val="BZWFS"/>
    <w:link w:val="27"/>
    <w:qFormat/>
    <w:uiPriority w:val="0"/>
    <w:pPr>
      <w:widowControl w:val="0"/>
      <w:spacing w:line="560" w:lineRule="exact"/>
      <w:ind w:firstLine="880" w:firstLineChars="200"/>
      <w:jc w:val="both"/>
    </w:pPr>
    <w:rPr>
      <w:rFonts w:ascii="仿宋_GB2312" w:hAnsi="仿宋_GB2312" w:eastAsia="仿宋_GB2312" w:cs="Times New Roman"/>
      <w:sz w:val="32"/>
      <w:szCs w:val="32"/>
    </w:rPr>
  </w:style>
  <w:style w:type="paragraph" w:customStyle="1" w:styleId="8">
    <w:name w:val="BT04"/>
    <w:link w:val="29"/>
    <w:qFormat/>
    <w:uiPriority w:val="0"/>
    <w:pPr>
      <w:spacing w:beforeLines="0" w:afterLines="0" w:line="560" w:lineRule="exact"/>
      <w:ind w:firstLine="880" w:firstLineChars="200"/>
    </w:pPr>
    <w:rPr>
      <w:rFonts w:ascii="楷体_GB2312" w:hAnsi="楷体_GB2312" w:eastAsia="楷体_GB2312" w:cs="楷体_GB2312"/>
      <w:sz w:val="32"/>
    </w:rPr>
  </w:style>
  <w:style w:type="paragraph" w:customStyle="1" w:styleId="9">
    <w:name w:val="BT00"/>
    <w:qFormat/>
    <w:uiPriority w:val="0"/>
    <w:pPr>
      <w:widowControl w:val="0"/>
      <w:spacing w:line="240" w:lineRule="auto"/>
      <w:jc w:val="center"/>
      <w:outlineLvl w:val="0"/>
    </w:pPr>
    <w:rPr>
      <w:rFonts w:ascii="宋体" w:hAnsi="宋体" w:eastAsia="宋体" w:cs="Times New Roman"/>
      <w:b/>
      <w:sz w:val="44"/>
      <w:szCs w:val="44"/>
    </w:rPr>
  </w:style>
  <w:style w:type="paragraph" w:customStyle="1" w:styleId="10">
    <w:name w:val="BG"/>
    <w:qFormat/>
    <w:uiPriority w:val="0"/>
    <w:pPr>
      <w:widowControl w:val="0"/>
      <w:spacing w:line="312" w:lineRule="auto"/>
      <w:jc w:val="center"/>
    </w:pPr>
    <w:rPr>
      <w:rFonts w:ascii="Times New Roman" w:hAnsi="Times New Roman" w:eastAsia="仿宋_GB2312" w:cs="Times New Roman"/>
      <w:sz w:val="24"/>
      <w:szCs w:val="24"/>
    </w:rPr>
  </w:style>
  <w:style w:type="paragraph" w:customStyle="1" w:styleId="11">
    <w:name w:val="Basiclf"/>
    <w:qFormat/>
    <w:uiPriority w:val="0"/>
    <w:pPr>
      <w:widowControl w:val="0"/>
      <w:spacing w:line="560" w:lineRule="exact"/>
      <w:jc w:val="both"/>
    </w:pPr>
    <w:rPr>
      <w:rFonts w:ascii="仿宋_GB2312" w:hAnsi="仿宋_GB2312" w:eastAsia="仿宋_GB2312" w:cs="Times New Roman"/>
      <w:sz w:val="32"/>
      <w:szCs w:val="32"/>
    </w:rPr>
  </w:style>
  <w:style w:type="paragraph" w:customStyle="1" w:styleId="12">
    <w:name w:val="B1符"/>
    <w:basedOn w:val="13"/>
    <w:qFormat/>
    <w:uiPriority w:val="0"/>
    <w:pPr>
      <w:numPr>
        <w:ilvl w:val="0"/>
        <w:numId w:val="2"/>
      </w:numPr>
    </w:pPr>
  </w:style>
  <w:style w:type="paragraph" w:customStyle="1" w:styleId="13">
    <w:name w:val="BT01"/>
    <w:next w:val="7"/>
    <w:link w:val="30"/>
    <w:qFormat/>
    <w:uiPriority w:val="0"/>
    <w:pPr>
      <w:keepNext w:val="0"/>
      <w:widowControl w:val="0"/>
      <w:spacing w:line="560" w:lineRule="exact"/>
      <w:ind w:firstLine="880" w:firstLineChars="200"/>
      <w:jc w:val="both"/>
      <w:outlineLvl w:val="0"/>
    </w:pPr>
    <w:rPr>
      <w:rFonts w:ascii="黑体" w:hAnsi="黑体" w:eastAsia="黑体" w:cs="Times New Roman"/>
      <w:sz w:val="32"/>
      <w:szCs w:val="32"/>
    </w:rPr>
  </w:style>
  <w:style w:type="paragraph" w:customStyle="1" w:styleId="14">
    <w:name w:val="项符"/>
    <w:basedOn w:val="7"/>
    <w:qFormat/>
    <w:uiPriority w:val="0"/>
    <w:pPr>
      <w:numPr>
        <w:ilvl w:val="0"/>
        <w:numId w:val="3"/>
      </w:numPr>
      <w:ind w:firstLine="640"/>
    </w:pPr>
  </w:style>
  <w:style w:type="paragraph" w:customStyle="1" w:styleId="15">
    <w:name w:val="BT02"/>
    <w:next w:val="7"/>
    <w:link w:val="24"/>
    <w:qFormat/>
    <w:uiPriority w:val="0"/>
    <w:pPr>
      <w:keepNext w:val="0"/>
      <w:widowControl w:val="0"/>
      <w:spacing w:line="560" w:lineRule="exact"/>
      <w:ind w:firstLine="880" w:firstLineChars="200"/>
      <w:jc w:val="both"/>
      <w:outlineLvl w:val="1"/>
    </w:pPr>
    <w:rPr>
      <w:rFonts w:ascii="楷体_GB2312" w:hAnsi="楷体_GB2312" w:eastAsia="楷体_GB2312" w:cs="Times New Roman"/>
      <w:b/>
      <w:sz w:val="32"/>
      <w:szCs w:val="32"/>
    </w:rPr>
  </w:style>
  <w:style w:type="paragraph" w:customStyle="1" w:styleId="16">
    <w:name w:val="BKT"/>
    <w:basedOn w:val="7"/>
    <w:qFormat/>
    <w:uiPriority w:val="0"/>
    <w:pPr>
      <w:spacing w:line="240" w:lineRule="auto"/>
    </w:pPr>
    <w:rPr>
      <w:rFonts w:eastAsia="楷体_GB2312"/>
    </w:rPr>
  </w:style>
  <w:style w:type="paragraph" w:customStyle="1" w:styleId="17">
    <w:name w:val="BTP"/>
    <w:basedOn w:val="7"/>
    <w:qFormat/>
    <w:uiPriority w:val="0"/>
    <w:pPr>
      <w:spacing w:line="240" w:lineRule="auto"/>
      <w:ind w:firstLine="0" w:firstLineChars="0"/>
      <w:jc w:val="center"/>
    </w:pPr>
  </w:style>
  <w:style w:type="paragraph" w:customStyle="1" w:styleId="18">
    <w:name w:val="BXZ"/>
    <w:basedOn w:val="7"/>
    <w:link w:val="28"/>
    <w:qFormat/>
    <w:uiPriority w:val="0"/>
    <w:pPr>
      <w:spacing w:line="240" w:lineRule="auto"/>
    </w:pPr>
    <w:rPr>
      <w:color w:val="0000FF"/>
    </w:rPr>
  </w:style>
  <w:style w:type="paragraph" w:customStyle="1" w:styleId="19">
    <w:name w:val="B_TAI"/>
    <w:basedOn w:val="11"/>
    <w:qFormat/>
    <w:uiPriority w:val="0"/>
    <w:pPr>
      <w:spacing w:before="100" w:beforeLines="100" w:line="240" w:lineRule="auto"/>
    </w:pPr>
    <w:rPr>
      <w:rFonts w:cs="Times New Roman"/>
    </w:rPr>
  </w:style>
  <w:style w:type="paragraph" w:customStyle="1" w:styleId="20">
    <w:name w:val="Blue"/>
    <w:basedOn w:val="7"/>
    <w:qFormat/>
    <w:uiPriority w:val="0"/>
    <w:pPr>
      <w:spacing w:line="240" w:lineRule="auto"/>
    </w:pPr>
    <w:rPr>
      <w:color w:val="0000FF"/>
    </w:rPr>
  </w:style>
  <w:style w:type="paragraph" w:customStyle="1" w:styleId="21">
    <w:name w:val="BT02.1"/>
    <w:basedOn w:val="15"/>
    <w:link w:val="26"/>
    <w:qFormat/>
    <w:uiPriority w:val="0"/>
    <w:rPr>
      <w:b w:val="0"/>
    </w:rPr>
  </w:style>
  <w:style w:type="paragraph" w:customStyle="1" w:styleId="22">
    <w:name w:val="BEI"/>
    <w:basedOn w:val="1"/>
    <w:qFormat/>
    <w:uiPriority w:val="0"/>
    <w:rPr>
      <w:rFonts w:ascii="Times New Roman" w:hAnsi="Times New Roman" w:eastAsia="方正兰亭超细黑简体" w:cs="宋体"/>
      <w:sz w:val="28"/>
      <w:szCs w:val="21"/>
      <w:lang w:bidi="ar-SA"/>
    </w:rPr>
  </w:style>
  <w:style w:type="paragraph" w:customStyle="1" w:styleId="23">
    <w:name w:val="BT03"/>
    <w:next w:val="7"/>
    <w:link w:val="25"/>
    <w:qFormat/>
    <w:uiPriority w:val="0"/>
    <w:pPr>
      <w:widowControl w:val="0"/>
      <w:spacing w:line="560" w:lineRule="exact"/>
      <w:ind w:firstLine="880" w:firstLineChars="200"/>
      <w:jc w:val="both"/>
      <w:outlineLvl w:val="2"/>
    </w:pPr>
    <w:rPr>
      <w:rFonts w:ascii="仿宋_GB2312" w:hAnsi="仿宋_GB2312" w:eastAsia="仿宋_GB2312" w:cs="Times New Roman"/>
      <w:b/>
      <w:sz w:val="32"/>
      <w:szCs w:val="32"/>
      <w:lang w:val="en-US" w:eastAsia="zh-CN" w:bidi="ar-SA"/>
    </w:rPr>
  </w:style>
  <w:style w:type="character" w:customStyle="1" w:styleId="24">
    <w:name w:val="BT02 Char"/>
    <w:link w:val="15"/>
    <w:qFormat/>
    <w:uiPriority w:val="0"/>
    <w:rPr>
      <w:rFonts w:ascii="楷体_GB2312" w:hAnsi="楷体_GB2312" w:eastAsia="楷体_GB2312"/>
      <w:b/>
      <w:sz w:val="32"/>
      <w:szCs w:val="32"/>
    </w:rPr>
  </w:style>
  <w:style w:type="character" w:customStyle="1" w:styleId="25">
    <w:name w:val="BT03 Char"/>
    <w:link w:val="23"/>
    <w:qFormat/>
    <w:uiPriority w:val="0"/>
    <w:rPr>
      <w:rFonts w:ascii="仿宋_GB2312" w:hAnsi="仿宋_GB2312" w:eastAsia="仿宋_GB2312"/>
      <w:b/>
      <w:sz w:val="32"/>
      <w:szCs w:val="32"/>
      <w:lang w:val="en-US" w:eastAsia="zh-CN" w:bidi="ar-SA"/>
    </w:rPr>
  </w:style>
  <w:style w:type="character" w:customStyle="1" w:styleId="26">
    <w:name w:val="BT02.1 Char"/>
    <w:link w:val="21"/>
    <w:qFormat/>
    <w:uiPriority w:val="0"/>
    <w:rPr>
      <w:rFonts w:eastAsia="楷体_GB2312"/>
    </w:rPr>
  </w:style>
  <w:style w:type="character" w:customStyle="1" w:styleId="27">
    <w:name w:val="BZWFS Char"/>
    <w:link w:val="7"/>
    <w:qFormat/>
    <w:uiPriority w:val="0"/>
    <w:rPr>
      <w:rFonts w:ascii="仿宋_GB2312" w:hAnsi="仿宋_GB2312" w:eastAsia="仿宋_GB2312"/>
      <w:sz w:val="32"/>
      <w:szCs w:val="32"/>
    </w:rPr>
  </w:style>
  <w:style w:type="character" w:customStyle="1" w:styleId="28">
    <w:name w:val="BXZ Char"/>
    <w:link w:val="18"/>
    <w:qFormat/>
    <w:uiPriority w:val="0"/>
    <w:rPr>
      <w:rFonts w:eastAsia="仿宋_GB2312"/>
      <w:color w:val="0000FF"/>
    </w:rPr>
  </w:style>
  <w:style w:type="character" w:customStyle="1" w:styleId="29">
    <w:name w:val="BT04 Char"/>
    <w:link w:val="8"/>
    <w:qFormat/>
    <w:uiPriority w:val="0"/>
    <w:rPr>
      <w:rFonts w:ascii="楷体_GB2312" w:hAnsi="楷体_GB2312" w:eastAsia="楷体_GB2312" w:cs="楷体_GB2312"/>
      <w:sz w:val="32"/>
    </w:rPr>
  </w:style>
  <w:style w:type="character" w:customStyle="1" w:styleId="30">
    <w:name w:val="BT01 Char"/>
    <w:link w:val="13"/>
    <w:qFormat/>
    <w:uiPriority w:val="0"/>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5</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2020-06-16T14:21:00Z</dcterms:created>
  <dc:creator>雷飞</dc:creator>
  <cp:lastModifiedBy>zhangl</cp:lastModifiedBy>
  <dcterms:modified xsi:type="dcterms:W3CDTF">2025-08-28T16:24:41Z</dcterms:modified>
  <dc:title>根据市委市政府对安全生产工作的部署及城市管理治理年的总体工作要求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