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00"/>
        <w:rPr>
          <w:rFonts w:hint="eastAsia" w:ascii="宋体" w:hAnsi="宋体" w:eastAsia="宋体" w:cs="宋体"/>
          <w:b w:val="0"/>
          <w:bCs w:val="0"/>
          <w:color w:val="auto"/>
          <w:sz w:val="30"/>
          <w:lang w:val="en-US" w:eastAsia="zh-CN"/>
        </w:rPr>
      </w:pPr>
    </w:p>
    <w:p>
      <w:pPr>
        <w:ind w:right="600"/>
        <w:rPr>
          <w:rFonts w:hint="eastAsia" w:ascii="宋体" w:hAnsi="宋体" w:eastAsia="宋体" w:cs="宋体"/>
          <w:b w:val="0"/>
          <w:bCs w:val="0"/>
          <w:color w:val="auto"/>
          <w:sz w:val="30"/>
          <w:lang w:val="en-US" w:eastAsia="zh-CN"/>
        </w:rPr>
      </w:pPr>
    </w:p>
    <w:p>
      <w:pPr>
        <w:ind w:right="600"/>
        <w:rPr>
          <w:rFonts w:hint="eastAsia" w:ascii="宋体" w:hAnsi="宋体" w:eastAsia="宋体" w:cs="宋体"/>
          <w:b w:val="0"/>
          <w:bCs w:val="0"/>
          <w:color w:val="auto"/>
          <w:sz w:val="30"/>
          <w:lang w:val="en-US" w:eastAsia="zh-CN"/>
        </w:rPr>
      </w:pPr>
    </w:p>
    <w:p>
      <w:pPr>
        <w:ind w:right="600"/>
        <w:rPr>
          <w:rFonts w:hint="default" w:ascii="楷体_GB2312" w:hAnsi="楷体_GB2312" w:eastAsia="楷体_GB2312" w:cs="楷体_GB2312"/>
          <w:b/>
          <w:bCs/>
          <w:color w:val="auto"/>
          <w:sz w:val="30"/>
          <w:lang w:val="en-US" w:eastAsia="zh-CN"/>
        </w:rPr>
      </w:pPr>
      <w:r>
        <w:rPr>
          <w:rFonts w:hint="eastAsia" w:ascii="楷体_GB2312" w:hAnsi="楷体_GB2312" w:eastAsia="楷体_GB2312" w:cs="楷体_GB2312"/>
          <w:b/>
          <w:bCs/>
          <w:color w:val="auto"/>
          <w:sz w:val="30"/>
        </w:rPr>
        <w:t>统一社会信用代码：</w:t>
      </w:r>
      <w:r>
        <w:rPr>
          <w:rFonts w:hint="eastAsia" w:ascii="楷体_GB2312" w:hAnsi="楷体_GB2312" w:eastAsia="楷体_GB2312" w:cs="楷体_GB2312"/>
          <w:b/>
          <w:bCs/>
          <w:color w:val="auto"/>
          <w:sz w:val="30"/>
          <w:lang w:val="en-US" w:eastAsia="zh-CN"/>
        </w:rPr>
        <w:t>124403004557530335</w:t>
      </w:r>
    </w:p>
    <w:p>
      <w:pPr>
        <w:jc w:val="right"/>
        <w:rPr>
          <w:color w:val="auto"/>
        </w:rPr>
      </w:pPr>
    </w:p>
    <w:p>
      <w:pPr>
        <w:jc w:val="right"/>
        <w:rPr>
          <w:color w:val="auto"/>
        </w:rPr>
      </w:pPr>
    </w:p>
    <w:p>
      <w:pPr>
        <w:jc w:val="center"/>
        <w:rPr>
          <w:rFonts w:eastAsia="黑体"/>
          <w:b/>
          <w:bCs/>
          <w:color w:val="auto"/>
          <w:spacing w:val="40"/>
          <w:sz w:val="52"/>
        </w:rPr>
      </w:pPr>
      <w:r>
        <w:rPr>
          <w:rFonts w:hint="eastAsia" w:eastAsia="黑体"/>
          <w:b/>
          <w:bCs/>
          <w:color w:val="auto"/>
          <w:spacing w:val="40"/>
          <w:sz w:val="52"/>
        </w:rPr>
        <w:t>事业单位法人年度报告书</w:t>
      </w:r>
    </w:p>
    <w:p>
      <w:pPr>
        <w:jc w:val="center"/>
        <w:rPr>
          <w:rFonts w:eastAsia="黑体"/>
          <w:b/>
          <w:bCs/>
          <w:color w:val="auto"/>
          <w:spacing w:val="30"/>
        </w:rPr>
      </w:pPr>
    </w:p>
    <w:p>
      <w:pPr>
        <w:jc w:val="center"/>
        <w:rPr>
          <w:rFonts w:hint="eastAsia" w:ascii="楷体_GB2312" w:hAnsi="楷体_GB2312" w:eastAsia="楷体_GB2312" w:cs="楷体_GB2312"/>
          <w:b/>
          <w:bCs/>
          <w:color w:val="auto"/>
          <w:spacing w:val="30"/>
          <w:sz w:val="36"/>
        </w:rPr>
      </w:pPr>
      <w:r>
        <w:rPr>
          <w:rFonts w:hint="eastAsia" w:ascii="楷体_GB2312" w:hAnsi="楷体_GB2312" w:eastAsia="楷体_GB2312" w:cs="楷体_GB2312"/>
          <w:b/>
          <w:bCs/>
          <w:color w:val="auto"/>
          <w:spacing w:val="30"/>
          <w:sz w:val="36"/>
        </w:rPr>
        <w:t xml:space="preserve">（  </w:t>
      </w:r>
      <w:r>
        <w:rPr>
          <w:rFonts w:hint="eastAsia" w:ascii="楷体_GB2312" w:hAnsi="楷体_GB2312" w:eastAsia="楷体_GB2312" w:cs="楷体_GB2312"/>
          <w:b/>
          <w:bCs/>
          <w:color w:val="auto"/>
          <w:spacing w:val="30"/>
          <w:sz w:val="36"/>
          <w:lang w:val="en-US" w:eastAsia="zh-CN"/>
        </w:rPr>
        <w:t>2022</w:t>
      </w:r>
      <w:r>
        <w:rPr>
          <w:rFonts w:hint="eastAsia" w:ascii="楷体_GB2312" w:hAnsi="楷体_GB2312" w:eastAsia="楷体_GB2312" w:cs="楷体_GB2312"/>
          <w:b/>
          <w:bCs/>
          <w:color w:val="auto"/>
          <w:spacing w:val="30"/>
          <w:sz w:val="36"/>
        </w:rPr>
        <w:t xml:space="preserve">  年度）</w:t>
      </w:r>
    </w:p>
    <w:p>
      <w:pPr>
        <w:rPr>
          <w:color w:val="auto"/>
          <w:u w:val="single"/>
        </w:rPr>
      </w:pPr>
    </w:p>
    <w:p>
      <w:pPr>
        <w:rPr>
          <w:color w:val="auto"/>
          <w:u w:val="single"/>
        </w:rPr>
      </w:pPr>
    </w:p>
    <w:p>
      <w:pPr>
        <w:rPr>
          <w:color w:val="auto"/>
          <w:u w:val="single"/>
        </w:rPr>
      </w:pPr>
    </w:p>
    <w:p>
      <w:pPr>
        <w:rPr>
          <w:color w:val="auto"/>
          <w:sz w:val="32"/>
          <w:szCs w:val="32"/>
        </w:rPr>
      </w:pPr>
    </w:p>
    <w:p>
      <w:pPr>
        <w:rPr>
          <w:color w:val="auto"/>
          <w:sz w:val="32"/>
          <w:szCs w:val="32"/>
        </w:rPr>
      </w:pPr>
    </w:p>
    <w:p>
      <w:pPr>
        <w:rPr>
          <w:color w:val="auto"/>
          <w:sz w:val="32"/>
          <w:szCs w:val="32"/>
        </w:rPr>
      </w:pPr>
    </w:p>
    <w:p>
      <w:pPr>
        <w:jc w:val="center"/>
        <w:rPr>
          <w:color w:val="auto"/>
          <w:sz w:val="32"/>
          <w:szCs w:val="32"/>
        </w:rPr>
      </w:pPr>
      <w:r>
        <w:rPr>
          <w:rFonts w:hint="eastAsia" w:ascii="黑体" w:hAnsi="黑体" w:eastAsia="黑体"/>
          <w:color w:val="auto"/>
          <w:sz w:val="44"/>
          <w:szCs w:val="44"/>
        </w:rPr>
        <w:t>单位名称</w:t>
      </w:r>
      <w:r>
        <w:rPr>
          <w:rFonts w:hint="eastAsia" w:ascii="黑体" w:hAnsi="黑体" w:eastAsia="黑体"/>
          <w:color w:val="auto"/>
          <w:sz w:val="44"/>
          <w:szCs w:val="44"/>
          <w:u w:val="single"/>
          <w:lang w:val="en-US" w:eastAsia="zh-CN"/>
        </w:rPr>
        <w:t xml:space="preserve"> </w:t>
      </w:r>
      <w:r>
        <w:rPr>
          <w:rFonts w:hint="eastAsia" w:eastAsia="宋体"/>
          <w:color w:val="auto"/>
          <w:sz w:val="32"/>
          <w:szCs w:val="32"/>
          <w:u w:val="single"/>
          <w:lang w:eastAsia="zh-CN"/>
        </w:rPr>
        <w:t>深圳市房屋安全和工程质量检测鉴定中心</w:t>
      </w:r>
      <w:r>
        <w:rPr>
          <w:rFonts w:hint="eastAsia" w:eastAsia="宋体"/>
          <w:color w:val="auto"/>
          <w:sz w:val="32"/>
          <w:szCs w:val="32"/>
          <w:u w:val="single"/>
          <w:lang w:val="en-US" w:eastAsia="zh-CN"/>
        </w:rPr>
        <w:t xml:space="preserve"> </w:t>
      </w:r>
      <w:r>
        <w:rPr>
          <w:rFonts w:hint="eastAsia"/>
          <w:color w:val="auto"/>
          <w:sz w:val="32"/>
          <w:szCs w:val="32"/>
          <w:lang w:eastAsia="zh-CN"/>
        </w:rPr>
        <w:t>（</w:t>
      </w:r>
      <w:r>
        <w:rPr>
          <w:rFonts w:hint="eastAsia"/>
          <w:color w:val="auto"/>
          <w:sz w:val="32"/>
          <w:szCs w:val="32"/>
        </w:rPr>
        <w:t>公章</w:t>
      </w:r>
      <w:r>
        <w:rPr>
          <w:rFonts w:hint="eastAsia"/>
          <w:color w:val="auto"/>
          <w:sz w:val="32"/>
          <w:szCs w:val="32"/>
          <w:lang w:eastAsia="zh-CN"/>
        </w:rPr>
        <w:t>）</w:t>
      </w:r>
    </w:p>
    <w:p>
      <w:pPr>
        <w:jc w:val="center"/>
        <w:rPr>
          <w:color w:val="auto"/>
          <w:sz w:val="32"/>
          <w:szCs w:val="32"/>
        </w:rPr>
      </w:pPr>
      <w:r>
        <w:rPr>
          <w:rFonts w:hint="eastAsia"/>
          <w:color w:val="auto"/>
          <w:sz w:val="32"/>
          <w:szCs w:val="32"/>
        </w:rPr>
        <w:t xml:space="preserve">        </w:t>
      </w:r>
    </w:p>
    <w:p>
      <w:pPr>
        <w:ind w:firstLine="210" w:firstLineChars="50"/>
        <w:jc w:val="center"/>
        <w:rPr>
          <w:rFonts w:hint="eastAsia" w:ascii="楷体_GB2312" w:hAnsi="楷体_GB2312" w:eastAsia="楷体_GB2312" w:cs="楷体_GB2312"/>
          <w:b/>
          <w:bCs/>
          <w:color w:val="auto"/>
          <w:spacing w:val="30"/>
          <w:sz w:val="36"/>
        </w:rPr>
      </w:pPr>
      <w:r>
        <w:rPr>
          <w:rFonts w:hint="eastAsia" w:ascii="楷体_GB2312" w:hAnsi="楷体_GB2312" w:eastAsia="楷体_GB2312" w:cs="楷体_GB2312"/>
          <w:b/>
          <w:bCs/>
          <w:color w:val="auto"/>
          <w:spacing w:val="30"/>
          <w:sz w:val="36"/>
        </w:rPr>
        <w:t>填报日期：</w:t>
      </w:r>
      <w:r>
        <w:rPr>
          <w:rFonts w:hint="eastAsia" w:ascii="楷体_GB2312" w:hAnsi="楷体_GB2312" w:eastAsia="楷体_GB2312" w:cs="楷体_GB2312"/>
          <w:b/>
          <w:bCs/>
          <w:color w:val="auto"/>
          <w:spacing w:val="30"/>
          <w:sz w:val="36"/>
          <w:lang w:val="en-US" w:eastAsia="zh-CN"/>
        </w:rPr>
        <w:t>2023</w:t>
      </w:r>
      <w:r>
        <w:rPr>
          <w:rFonts w:hint="eastAsia" w:ascii="楷体_GB2312" w:hAnsi="楷体_GB2312" w:eastAsia="楷体_GB2312" w:cs="楷体_GB2312"/>
          <w:b/>
          <w:bCs/>
          <w:color w:val="auto"/>
          <w:spacing w:val="30"/>
          <w:sz w:val="36"/>
        </w:rPr>
        <w:t xml:space="preserve"> 年</w:t>
      </w:r>
      <w:r>
        <w:rPr>
          <w:rFonts w:hint="eastAsia" w:ascii="楷体_GB2312" w:hAnsi="楷体_GB2312" w:eastAsia="楷体_GB2312" w:cs="楷体_GB2312"/>
          <w:b/>
          <w:bCs/>
          <w:color w:val="auto"/>
          <w:spacing w:val="30"/>
          <w:sz w:val="36"/>
          <w:lang w:val="en-US" w:eastAsia="zh-CN"/>
        </w:rPr>
        <w:t>3</w:t>
      </w:r>
      <w:r>
        <w:rPr>
          <w:rFonts w:hint="eastAsia" w:ascii="楷体_GB2312" w:hAnsi="楷体_GB2312" w:eastAsia="楷体_GB2312" w:cs="楷体_GB2312"/>
          <w:b/>
          <w:bCs/>
          <w:color w:val="auto"/>
          <w:spacing w:val="30"/>
          <w:sz w:val="36"/>
        </w:rPr>
        <w:t>月</w:t>
      </w:r>
      <w:r>
        <w:rPr>
          <w:rFonts w:hint="eastAsia" w:ascii="楷体_GB2312" w:hAnsi="楷体_GB2312" w:eastAsia="楷体_GB2312" w:cs="楷体_GB2312"/>
          <w:b/>
          <w:bCs/>
          <w:color w:val="auto"/>
          <w:spacing w:val="30"/>
          <w:sz w:val="36"/>
          <w:lang w:val="en-US" w:eastAsia="zh-CN"/>
        </w:rPr>
        <w:t>29</w:t>
      </w:r>
      <w:r>
        <w:rPr>
          <w:rFonts w:hint="eastAsia" w:ascii="楷体_GB2312" w:hAnsi="楷体_GB2312" w:eastAsia="楷体_GB2312" w:cs="楷体_GB2312"/>
          <w:b/>
          <w:bCs/>
          <w:color w:val="auto"/>
          <w:spacing w:val="30"/>
          <w:sz w:val="36"/>
        </w:rPr>
        <w:t>日</w:t>
      </w:r>
    </w:p>
    <w:p>
      <w:pPr>
        <w:rPr>
          <w:color w:val="auto"/>
          <w:sz w:val="28"/>
          <w:szCs w:val="28"/>
        </w:rPr>
      </w:pPr>
    </w:p>
    <w:p>
      <w:pPr>
        <w:rPr>
          <w:color w:val="auto"/>
          <w:sz w:val="28"/>
          <w:szCs w:val="28"/>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rFonts w:hint="eastAsia" w:ascii="宋体" w:hAnsi="宋体"/>
          <w:b/>
          <w:bCs/>
          <w:color w:val="auto"/>
          <w:kern w:val="0"/>
          <w:sz w:val="44"/>
          <w:szCs w:val="44"/>
        </w:rPr>
      </w:pPr>
    </w:p>
    <w:p>
      <w:pPr>
        <w:widowControl/>
        <w:spacing w:before="100" w:after="100"/>
        <w:jc w:val="center"/>
        <w:rPr>
          <w:color w:val="auto"/>
          <w:kern w:val="0"/>
          <w:sz w:val="27"/>
          <w:szCs w:val="27"/>
        </w:rPr>
      </w:pPr>
      <w:r>
        <w:rPr>
          <w:rFonts w:hint="eastAsia" w:ascii="宋体" w:hAnsi="宋体"/>
          <w:b/>
          <w:bCs/>
          <w:color w:val="auto"/>
          <w:kern w:val="0"/>
          <w:sz w:val="44"/>
          <w:szCs w:val="44"/>
        </w:rPr>
        <w:t>填报事项说明</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rPr>
        <w:t>一、各项数据</w:t>
      </w:r>
      <w:r>
        <w:rPr>
          <w:rFonts w:ascii="楷体" w:hAnsi="楷体" w:eastAsia="楷体"/>
          <w:color w:val="auto"/>
          <w:kern w:val="0"/>
          <w:sz w:val="28"/>
          <w:szCs w:val="28"/>
        </w:rPr>
        <w:t>信息截止日期为</w:t>
      </w:r>
      <w:r>
        <w:rPr>
          <w:rFonts w:hint="eastAsia" w:ascii="楷体" w:hAnsi="楷体" w:eastAsia="楷体"/>
          <w:color w:val="auto"/>
          <w:kern w:val="0"/>
          <w:sz w:val="28"/>
          <w:szCs w:val="28"/>
          <w:lang w:eastAsia="zh-CN"/>
        </w:rPr>
        <w:t>上一年度</w:t>
      </w:r>
      <w:r>
        <w:rPr>
          <w:rFonts w:hint="eastAsia" w:ascii="楷体" w:hAnsi="楷体" w:eastAsia="楷体"/>
          <w:color w:val="auto"/>
          <w:kern w:val="0"/>
          <w:sz w:val="28"/>
          <w:szCs w:val="28"/>
          <w:lang w:val="en-US" w:eastAsia="zh-CN"/>
        </w:rPr>
        <w:t>12月31日，举办单位审查时间据实填报</w:t>
      </w:r>
      <w:r>
        <w:rPr>
          <w:rFonts w:ascii="楷体" w:hAnsi="楷体" w:eastAsia="楷体"/>
          <w:color w:val="auto"/>
          <w:kern w:val="0"/>
          <w:sz w:val="28"/>
          <w:szCs w:val="28"/>
        </w:rPr>
        <w:t>。</w:t>
      </w:r>
    </w:p>
    <w:p>
      <w:pPr>
        <w:widowControl/>
        <w:spacing w:line="520" w:lineRule="exact"/>
        <w:ind w:firstLine="560" w:firstLineChars="200"/>
        <w:jc w:val="left"/>
        <w:rPr>
          <w:rFonts w:hint="eastAsia" w:ascii="楷体" w:hAnsi="楷体" w:eastAsia="楷体"/>
          <w:color w:val="auto"/>
          <w:kern w:val="0"/>
          <w:sz w:val="28"/>
          <w:szCs w:val="28"/>
        </w:rPr>
      </w:pPr>
      <w:r>
        <w:rPr>
          <w:rFonts w:hint="eastAsia" w:ascii="楷体" w:hAnsi="楷体" w:eastAsia="楷体"/>
          <w:color w:val="auto"/>
          <w:kern w:val="0"/>
          <w:sz w:val="28"/>
          <w:szCs w:val="28"/>
        </w:rPr>
        <w:t>二</w:t>
      </w:r>
      <w:r>
        <w:rPr>
          <w:rFonts w:ascii="楷体" w:hAnsi="楷体" w:eastAsia="楷体"/>
          <w:color w:val="auto"/>
          <w:kern w:val="0"/>
          <w:sz w:val="28"/>
          <w:szCs w:val="28"/>
        </w:rPr>
        <w:t>、</w:t>
      </w:r>
      <w:r>
        <w:rPr>
          <w:rFonts w:hint="eastAsia" w:ascii="楷体" w:hAnsi="楷体" w:eastAsia="楷体"/>
          <w:color w:val="auto"/>
          <w:kern w:val="0"/>
          <w:sz w:val="28"/>
          <w:szCs w:val="28"/>
        </w:rPr>
        <w:t>开办资金</w:t>
      </w:r>
      <w:r>
        <w:rPr>
          <w:rFonts w:hint="eastAsia" w:ascii="楷体" w:hAnsi="楷体" w:eastAsia="楷体"/>
          <w:color w:val="auto"/>
          <w:kern w:val="0"/>
          <w:sz w:val="28"/>
          <w:szCs w:val="28"/>
          <w:lang w:val="en-US" w:eastAsia="zh-CN"/>
        </w:rPr>
        <w:t>,</w:t>
      </w:r>
      <w:r>
        <w:rPr>
          <w:rFonts w:hint="eastAsia" w:ascii="楷体" w:hAnsi="楷体" w:eastAsia="楷体"/>
          <w:color w:val="auto"/>
          <w:kern w:val="0"/>
          <w:sz w:val="28"/>
          <w:szCs w:val="28"/>
        </w:rPr>
        <w:t>是</w:t>
      </w:r>
      <w:r>
        <w:rPr>
          <w:rFonts w:hint="eastAsia" w:ascii="楷体" w:hAnsi="楷体" w:eastAsia="楷体"/>
          <w:color w:val="auto"/>
          <w:kern w:val="0"/>
          <w:sz w:val="28"/>
          <w:szCs w:val="28"/>
          <w:lang w:eastAsia="zh-CN"/>
        </w:rPr>
        <w:t>指</w:t>
      </w:r>
      <w:r>
        <w:rPr>
          <w:rFonts w:hint="eastAsia" w:ascii="楷体" w:hAnsi="楷体" w:eastAsia="楷体"/>
          <w:color w:val="auto"/>
          <w:kern w:val="0"/>
          <w:sz w:val="28"/>
          <w:szCs w:val="28"/>
        </w:rPr>
        <w:t>事业单位被核准登记时可用于承担民事责任的全部财产的货币体现。事业单位开办资金包括举办单位或者出资人授予事业单位法人自主支配的财产和事业单位法人的自有财产，但不包括：代为管理的公共基础设施和资源性资产；关系国家秘密、公共安全、公共保障，不能进入流通领域的资产；借贷款、合同预收款、合同应付款；职工福利费、保险金、住房公积金等专用基金；规定了使用方向，不能用于民事赔偿的他人资助的资产；按照法律、法规规定不能用于民事赔偿的其他资产。事业单位开办资金应当以人民币表示</w:t>
      </w:r>
      <w:r>
        <w:rPr>
          <w:rFonts w:hint="eastAsia" w:ascii="楷体" w:hAnsi="楷体" w:eastAsia="楷体"/>
          <w:color w:val="auto"/>
          <w:kern w:val="0"/>
          <w:sz w:val="28"/>
          <w:szCs w:val="28"/>
          <w:lang w:eastAsia="zh-CN"/>
        </w:rPr>
        <w:t>。</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lang w:eastAsia="zh-CN"/>
        </w:rPr>
        <w:t>三</w:t>
      </w:r>
      <w:r>
        <w:rPr>
          <w:rFonts w:hint="eastAsia" w:ascii="楷体" w:hAnsi="楷体" w:eastAsia="楷体"/>
          <w:strike w:val="0"/>
          <w:dstrike w:val="0"/>
          <w:color w:val="auto"/>
          <w:kern w:val="0"/>
          <w:sz w:val="28"/>
          <w:szCs w:val="28"/>
          <w:lang w:eastAsia="zh-CN"/>
        </w:rPr>
        <w:t>、</w:t>
      </w:r>
      <w:r>
        <w:rPr>
          <w:rFonts w:hint="eastAsia" w:ascii="楷体" w:hAnsi="楷体" w:eastAsia="楷体"/>
          <w:color w:val="auto"/>
          <w:kern w:val="0"/>
          <w:sz w:val="28"/>
          <w:szCs w:val="28"/>
        </w:rPr>
        <w:t>相关资质认可或执业证明文件及有效期，是指本单位业务范围涉及的资质认可或执业许可文件内容，包括证书名称、认可（许可）范围、有效期截止日期、颁发机关。</w:t>
      </w:r>
    </w:p>
    <w:p>
      <w:pPr>
        <w:widowControl/>
        <w:spacing w:line="520" w:lineRule="exact"/>
        <w:ind w:firstLine="560" w:firstLineChars="200"/>
        <w:jc w:val="left"/>
        <w:rPr>
          <w:rFonts w:ascii="楷体" w:hAnsi="楷体" w:eastAsia="楷体"/>
          <w:color w:val="auto"/>
          <w:kern w:val="0"/>
          <w:sz w:val="27"/>
          <w:szCs w:val="27"/>
        </w:rPr>
      </w:pPr>
      <w:r>
        <w:rPr>
          <w:rFonts w:hint="eastAsia" w:ascii="楷体" w:hAnsi="楷体" w:eastAsia="楷体"/>
          <w:strike w:val="0"/>
          <w:dstrike w:val="0"/>
          <w:color w:val="auto"/>
          <w:kern w:val="0"/>
          <w:sz w:val="28"/>
          <w:szCs w:val="28"/>
          <w:lang w:eastAsia="zh-CN"/>
        </w:rPr>
        <w:t>四</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资产损益情况，是指本单位资产负债表“净资产合计”或“所有者权益合计”科目的数额。</w:t>
      </w:r>
    </w:p>
    <w:p>
      <w:pPr>
        <w:widowControl/>
        <w:spacing w:line="520" w:lineRule="exact"/>
        <w:ind w:firstLine="560" w:firstLineChars="200"/>
        <w:jc w:val="left"/>
        <w:rPr>
          <w:rFonts w:ascii="楷体" w:hAnsi="楷体" w:eastAsia="楷体"/>
          <w:color w:val="auto"/>
          <w:kern w:val="0"/>
          <w:sz w:val="27"/>
          <w:szCs w:val="27"/>
        </w:rPr>
      </w:pPr>
      <w:r>
        <w:rPr>
          <w:rFonts w:hint="eastAsia" w:ascii="楷体" w:hAnsi="楷体" w:eastAsia="楷体"/>
          <w:strike w:val="0"/>
          <w:dstrike w:val="0"/>
          <w:color w:val="auto"/>
          <w:kern w:val="0"/>
          <w:sz w:val="28"/>
          <w:szCs w:val="28"/>
          <w:lang w:eastAsia="zh-CN"/>
        </w:rPr>
        <w:t>五</w:t>
      </w:r>
      <w:r>
        <w:rPr>
          <w:rFonts w:hint="eastAsia" w:ascii="楷体" w:hAnsi="楷体" w:eastAsia="楷体"/>
          <w:color w:val="auto"/>
          <w:kern w:val="0"/>
          <w:sz w:val="28"/>
          <w:szCs w:val="28"/>
        </w:rPr>
        <w:t>、编制数</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lang w:val="en-US" w:eastAsia="zh-CN"/>
        </w:rPr>
        <w:t>是指本</w:t>
      </w:r>
      <w:r>
        <w:rPr>
          <w:rFonts w:hint="eastAsia" w:ascii="楷体" w:hAnsi="楷体" w:eastAsia="楷体"/>
          <w:b w:val="0"/>
          <w:bCs w:val="0"/>
          <w:color w:val="auto"/>
          <w:kern w:val="0"/>
          <w:sz w:val="28"/>
          <w:szCs w:val="28"/>
          <w:lang w:val="en-US" w:eastAsia="zh-CN"/>
        </w:rPr>
        <w:t>单位所有编制数；实有在编人数，是指本单位实际在编的人员数（包括借调到其他单位工作的在编人员）；</w:t>
      </w:r>
      <w:r>
        <w:rPr>
          <w:rFonts w:hint="eastAsia" w:ascii="楷体" w:hAnsi="楷体" w:eastAsia="楷体"/>
          <w:color w:val="auto"/>
          <w:kern w:val="0"/>
          <w:sz w:val="28"/>
          <w:szCs w:val="28"/>
        </w:rPr>
        <w:t>实有在职人员数，是指本单位实际</w:t>
      </w:r>
      <w:r>
        <w:rPr>
          <w:rFonts w:ascii="楷体" w:hAnsi="楷体" w:eastAsia="楷体"/>
          <w:color w:val="auto"/>
          <w:kern w:val="0"/>
          <w:sz w:val="28"/>
          <w:szCs w:val="28"/>
        </w:rPr>
        <w:t>在岗工作的人员数</w:t>
      </w:r>
      <w:r>
        <w:rPr>
          <w:rFonts w:hint="eastAsia" w:ascii="楷体" w:hAnsi="楷体" w:eastAsia="楷体"/>
          <w:color w:val="auto"/>
          <w:kern w:val="0"/>
          <w:sz w:val="28"/>
          <w:szCs w:val="28"/>
        </w:rPr>
        <w:t>（包括非在编</w:t>
      </w:r>
      <w:r>
        <w:rPr>
          <w:rFonts w:ascii="楷体" w:hAnsi="楷体" w:eastAsia="楷体"/>
          <w:color w:val="auto"/>
          <w:kern w:val="0"/>
          <w:sz w:val="28"/>
          <w:szCs w:val="28"/>
        </w:rPr>
        <w:t>人员</w:t>
      </w:r>
      <w:r>
        <w:rPr>
          <w:rFonts w:hint="eastAsia" w:ascii="楷体" w:hAnsi="楷体" w:eastAsia="楷体"/>
          <w:color w:val="auto"/>
          <w:kern w:val="0"/>
          <w:sz w:val="28"/>
          <w:szCs w:val="28"/>
        </w:rPr>
        <w:t>）。</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strike w:val="0"/>
          <w:dstrike w:val="0"/>
          <w:color w:val="auto"/>
          <w:kern w:val="0"/>
          <w:sz w:val="28"/>
          <w:szCs w:val="28"/>
          <w:lang w:eastAsia="zh-CN"/>
        </w:rPr>
        <w:t>六</w:t>
      </w:r>
      <w:r>
        <w:rPr>
          <w:rFonts w:hint="eastAsia" w:ascii="楷体" w:hAnsi="楷体" w:eastAsia="楷体"/>
          <w:color w:val="auto"/>
          <w:kern w:val="0"/>
          <w:sz w:val="28"/>
          <w:szCs w:val="28"/>
        </w:rPr>
        <w:t>、接受</w:t>
      </w:r>
      <w:r>
        <w:rPr>
          <w:rFonts w:ascii="楷体" w:hAnsi="楷体" w:eastAsia="楷体"/>
          <w:color w:val="auto"/>
          <w:kern w:val="0"/>
          <w:sz w:val="28"/>
          <w:szCs w:val="28"/>
        </w:rPr>
        <w:t>奖励</w:t>
      </w:r>
      <w:r>
        <w:rPr>
          <w:rFonts w:hint="eastAsia" w:ascii="楷体" w:hAnsi="楷体" w:eastAsia="楷体"/>
          <w:color w:val="auto"/>
          <w:kern w:val="0"/>
          <w:sz w:val="28"/>
          <w:szCs w:val="28"/>
        </w:rPr>
        <w:t>和</w:t>
      </w:r>
      <w:r>
        <w:rPr>
          <w:rFonts w:ascii="楷体" w:hAnsi="楷体" w:eastAsia="楷体"/>
          <w:color w:val="auto"/>
          <w:kern w:val="0"/>
          <w:sz w:val="28"/>
          <w:szCs w:val="28"/>
        </w:rPr>
        <w:t>处罚情况</w:t>
      </w:r>
      <w:r>
        <w:rPr>
          <w:rFonts w:hint="eastAsia" w:ascii="楷体" w:hAnsi="楷体" w:eastAsia="楷体"/>
          <w:color w:val="auto"/>
          <w:kern w:val="0"/>
          <w:sz w:val="28"/>
          <w:szCs w:val="28"/>
        </w:rPr>
        <w:t>，</w:t>
      </w:r>
      <w:r>
        <w:rPr>
          <w:rFonts w:ascii="楷体" w:hAnsi="楷体" w:eastAsia="楷体"/>
          <w:color w:val="auto"/>
          <w:kern w:val="0"/>
          <w:sz w:val="28"/>
          <w:szCs w:val="28"/>
        </w:rPr>
        <w:t>是指本单位是否</w:t>
      </w:r>
      <w:r>
        <w:rPr>
          <w:rFonts w:hint="eastAsia" w:ascii="楷体" w:hAnsi="楷体" w:eastAsia="楷体"/>
          <w:color w:val="auto"/>
          <w:kern w:val="0"/>
          <w:sz w:val="28"/>
          <w:szCs w:val="28"/>
        </w:rPr>
        <w:t>受到有关部门的奖励和惩处以及所受奖惩的项目（不包括针对职工个人的奖惩情况）。</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strike w:val="0"/>
          <w:dstrike w:val="0"/>
          <w:color w:val="auto"/>
          <w:kern w:val="0"/>
          <w:sz w:val="28"/>
          <w:szCs w:val="28"/>
          <w:lang w:eastAsia="zh-CN"/>
        </w:rPr>
        <w:t>七</w:t>
      </w:r>
      <w:r>
        <w:rPr>
          <w:rFonts w:hint="eastAsia" w:ascii="楷体" w:hAnsi="楷体" w:eastAsia="楷体"/>
          <w:color w:val="auto"/>
          <w:kern w:val="0"/>
          <w:sz w:val="28"/>
          <w:szCs w:val="28"/>
        </w:rPr>
        <w:t>、开展业务活动情况，填写执行本单位章程的情况、按照登记的宗旨和业务范围</w:t>
      </w:r>
      <w:r>
        <w:rPr>
          <w:rFonts w:hint="eastAsia" w:ascii="楷体" w:hAnsi="楷体" w:eastAsia="楷体"/>
          <w:color w:val="auto"/>
          <w:kern w:val="0"/>
          <w:sz w:val="28"/>
          <w:szCs w:val="28"/>
          <w:lang w:eastAsia="zh-CN"/>
        </w:rPr>
        <w:t>分项</w:t>
      </w:r>
      <w:r>
        <w:rPr>
          <w:rFonts w:hint="eastAsia" w:ascii="楷体" w:hAnsi="楷体" w:eastAsia="楷体"/>
          <w:color w:val="auto"/>
          <w:kern w:val="0"/>
          <w:sz w:val="28"/>
          <w:szCs w:val="28"/>
        </w:rPr>
        <w:t>梳理主要职能，填写</w:t>
      </w:r>
      <w:r>
        <w:rPr>
          <w:rFonts w:hint="eastAsia" w:ascii="楷体" w:hAnsi="楷体" w:eastAsia="楷体"/>
          <w:color w:val="auto"/>
          <w:kern w:val="0"/>
          <w:sz w:val="28"/>
          <w:szCs w:val="28"/>
          <w:lang w:eastAsia="zh-CN"/>
        </w:rPr>
        <w:t>各项职能的</w:t>
      </w:r>
      <w:r>
        <w:rPr>
          <w:rFonts w:hint="eastAsia" w:ascii="楷体" w:hAnsi="楷体" w:eastAsia="楷体"/>
          <w:color w:val="auto"/>
          <w:kern w:val="0"/>
          <w:sz w:val="28"/>
          <w:szCs w:val="28"/>
        </w:rPr>
        <w:t>具体业务活动情况、取得的主要社会效益和经济效益（用数字说明）、存在的问题及改进措施和下一步工作思路等。</w:t>
      </w:r>
    </w:p>
    <w:p>
      <w:pPr>
        <w:widowControl/>
        <w:spacing w:line="520" w:lineRule="exact"/>
        <w:ind w:firstLine="560" w:firstLineChars="200"/>
        <w:jc w:val="left"/>
        <w:rPr>
          <w:rFonts w:hint="eastAsia" w:ascii="楷体" w:hAnsi="楷体" w:eastAsia="楷体"/>
          <w:color w:val="auto"/>
          <w:kern w:val="0"/>
          <w:sz w:val="28"/>
          <w:szCs w:val="28"/>
          <w:lang w:eastAsia="zh-CN"/>
        </w:rPr>
      </w:pPr>
      <w:r>
        <w:rPr>
          <w:rFonts w:hint="eastAsia" w:ascii="楷体" w:hAnsi="楷体" w:eastAsia="楷体"/>
          <w:strike w:val="0"/>
          <w:dstrike w:val="0"/>
          <w:color w:val="auto"/>
          <w:kern w:val="0"/>
          <w:sz w:val="28"/>
          <w:szCs w:val="28"/>
          <w:lang w:eastAsia="zh-CN"/>
        </w:rPr>
        <w:t>八</w:t>
      </w:r>
      <w:r>
        <w:rPr>
          <w:rFonts w:hint="eastAsia" w:ascii="楷体" w:hAnsi="楷体" w:eastAsia="楷体"/>
          <w:color w:val="auto"/>
          <w:kern w:val="0"/>
          <w:sz w:val="28"/>
          <w:szCs w:val="28"/>
        </w:rPr>
        <w:t>、</w:t>
      </w:r>
      <w:r>
        <w:rPr>
          <w:rFonts w:hint="eastAsia" w:ascii="楷体" w:hAnsi="楷体" w:eastAsia="楷体"/>
          <w:color w:val="auto"/>
          <w:kern w:val="0"/>
          <w:sz w:val="28"/>
          <w:szCs w:val="28"/>
          <w:lang w:eastAsia="zh-CN"/>
        </w:rPr>
        <w:t>公益服务投入，主要是反映政府在公益布局方面的财政投入情况，同时也通过财政投入反映事业单位公益服务质量和效率。相关数据根据上一年度业务情况据实填写。</w:t>
      </w:r>
    </w:p>
    <w:p>
      <w:pPr>
        <w:widowControl/>
        <w:spacing w:line="520" w:lineRule="exact"/>
        <w:ind w:firstLine="560" w:firstLineChars="200"/>
        <w:jc w:val="left"/>
        <w:rPr>
          <w:rFonts w:hint="eastAsia" w:ascii="楷体" w:hAnsi="楷体" w:eastAsia="楷体"/>
          <w:color w:val="auto"/>
          <w:kern w:val="0"/>
          <w:sz w:val="28"/>
          <w:szCs w:val="28"/>
          <w:lang w:eastAsia="zh-CN"/>
        </w:rPr>
      </w:pPr>
      <w:r>
        <w:rPr>
          <w:rFonts w:hint="eastAsia" w:ascii="楷体" w:hAnsi="楷体" w:eastAsia="楷体"/>
          <w:color w:val="auto"/>
          <w:kern w:val="0"/>
          <w:sz w:val="28"/>
          <w:szCs w:val="28"/>
          <w:lang w:eastAsia="zh-CN"/>
        </w:rPr>
        <w:t>九、其他组织利用国有资产举办事业单位情况，是指不定级别不定编制，实行企业化管理和社会化用人类型的事业单位的党组织建设、理事会运作、投资兴办企业等情况。公益一类、公益二类事业单位无需填写。</w:t>
      </w:r>
    </w:p>
    <w:p>
      <w:pPr>
        <w:widowControl/>
        <w:spacing w:line="520" w:lineRule="exact"/>
        <w:ind w:firstLine="560" w:firstLineChars="200"/>
        <w:jc w:val="left"/>
        <w:rPr>
          <w:rFonts w:ascii="楷体" w:hAnsi="楷体" w:eastAsia="楷体"/>
          <w:color w:val="auto"/>
          <w:kern w:val="0"/>
          <w:sz w:val="28"/>
          <w:szCs w:val="28"/>
        </w:rPr>
      </w:pPr>
      <w:r>
        <w:rPr>
          <w:rFonts w:hint="eastAsia" w:ascii="楷体" w:hAnsi="楷体" w:eastAsia="楷体"/>
          <w:color w:val="auto"/>
          <w:kern w:val="0"/>
          <w:sz w:val="28"/>
          <w:szCs w:val="28"/>
          <w:lang w:eastAsia="zh-CN"/>
        </w:rPr>
        <w:t>十、</w:t>
      </w:r>
      <w:r>
        <w:rPr>
          <w:rFonts w:hint="eastAsia" w:ascii="楷体" w:hAnsi="楷体" w:eastAsia="楷体"/>
          <w:color w:val="auto"/>
          <w:kern w:val="0"/>
          <w:sz w:val="28"/>
          <w:szCs w:val="28"/>
        </w:rPr>
        <w:t>报告中其他需要说明的情况，是指事业单位分支机构设置和独立办证（许可）情况及运行情况，举办或参与举办其他机构情况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重大资产变动情况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本单位年度发生了重组、整合、拆分、撤销、调整管理形式等情况</w:t>
      </w:r>
      <w:r>
        <w:rPr>
          <w:rFonts w:hint="eastAsia" w:ascii="楷体" w:hAnsi="楷体" w:eastAsia="楷体"/>
          <w:color w:val="auto"/>
          <w:kern w:val="0"/>
          <w:sz w:val="28"/>
          <w:szCs w:val="28"/>
          <w:lang w:eastAsia="zh-CN"/>
        </w:rPr>
        <w:t>，</w:t>
      </w:r>
      <w:r>
        <w:rPr>
          <w:rFonts w:hint="eastAsia" w:ascii="楷体" w:hAnsi="楷体" w:eastAsia="楷体"/>
          <w:color w:val="auto"/>
          <w:kern w:val="0"/>
          <w:sz w:val="28"/>
          <w:szCs w:val="28"/>
        </w:rPr>
        <w:t>以及其他需要说明的情况。</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一、事业单位需通过广东事业单位登记管理网提交并公示年度报告书。年度报告书内容不宜对社会公开的单位应按时向登记管理机关报送加盖本单位公章的纸质版年度报告书和上一年度资产负债表。根据《广东省事业单位登记管理实施办法》第三十条规定，举办单位应对事业单位的年度报告进行保密审查，</w:t>
      </w:r>
      <w:r>
        <w:rPr>
          <w:rFonts w:hint="eastAsia" w:ascii="楷体" w:hAnsi="楷体" w:eastAsia="楷体"/>
          <w:strike w:val="0"/>
          <w:dstrike w:val="0"/>
          <w:color w:val="auto"/>
          <w:kern w:val="0"/>
          <w:sz w:val="28"/>
          <w:szCs w:val="28"/>
          <w:highlight w:val="none"/>
          <w:lang w:eastAsia="zh-CN"/>
        </w:rPr>
        <w:t>并盖章确认</w:t>
      </w:r>
      <w:r>
        <w:rPr>
          <w:rFonts w:hint="eastAsia" w:ascii="楷体" w:hAnsi="楷体" w:eastAsia="楷体"/>
          <w:strike w:val="0"/>
          <w:dstrike w:val="0"/>
          <w:color w:val="auto"/>
          <w:kern w:val="0"/>
          <w:sz w:val="28"/>
          <w:szCs w:val="28"/>
          <w:lang w:eastAsia="zh-CN"/>
        </w:rPr>
        <w:t>。</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十二、报告联系人信息是指填写和提交报告的工作人员信息，便于登记管理机关联系和接受公众咨询。</w:t>
      </w:r>
    </w:p>
    <w:p>
      <w:pPr>
        <w:widowControl/>
        <w:spacing w:line="520" w:lineRule="exact"/>
        <w:ind w:firstLine="560" w:firstLineChars="200"/>
        <w:jc w:val="left"/>
        <w:rPr>
          <w:rFonts w:hint="eastAsia" w:ascii="楷体" w:hAnsi="楷体" w:eastAsia="楷体"/>
          <w:strike w:val="0"/>
          <w:dstrike w:val="0"/>
          <w:color w:val="auto"/>
          <w:kern w:val="0"/>
          <w:sz w:val="28"/>
          <w:szCs w:val="28"/>
          <w:lang w:eastAsia="zh-CN"/>
        </w:rPr>
      </w:pPr>
      <w:r>
        <w:rPr>
          <w:rFonts w:hint="eastAsia" w:ascii="楷体" w:hAnsi="楷体" w:eastAsia="楷体"/>
          <w:strike w:val="0"/>
          <w:dstrike w:val="0"/>
          <w:color w:val="auto"/>
          <w:kern w:val="0"/>
          <w:sz w:val="28"/>
          <w:szCs w:val="28"/>
          <w:lang w:eastAsia="zh-CN"/>
        </w:rPr>
        <w:t>十三、事业单位在提交报告前应核实本报告书中的《事业单位法人证书》登载事项是否与实际一致，单位印章的印迹、基本账户、法定代表人的签字、印章的印迹是否备案，如有变更请按规定及时办理变更登记手续和备案手续。</w:t>
      </w:r>
    </w:p>
    <w:p>
      <w:pPr>
        <w:rPr>
          <w:rFonts w:hint="eastAsia" w:ascii="楷体" w:hAnsi="楷体" w:eastAsia="楷体"/>
          <w:color w:val="auto"/>
          <w:sz w:val="28"/>
          <w:szCs w:val="28"/>
          <w:lang w:eastAsia="zh-CN"/>
        </w:rPr>
      </w:pPr>
    </w:p>
    <w:tbl>
      <w:tblPr>
        <w:tblStyle w:val="7"/>
        <w:tblW w:w="871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75"/>
        <w:gridCol w:w="293"/>
        <w:gridCol w:w="993"/>
        <w:gridCol w:w="133"/>
        <w:gridCol w:w="150"/>
        <w:gridCol w:w="709"/>
        <w:gridCol w:w="70"/>
        <w:gridCol w:w="75"/>
        <w:gridCol w:w="137"/>
        <w:gridCol w:w="460"/>
        <w:gridCol w:w="392"/>
        <w:gridCol w:w="850"/>
        <w:gridCol w:w="426"/>
        <w:gridCol w:w="992"/>
        <w:gridCol w:w="25"/>
        <w:gridCol w:w="10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8719" w:type="dxa"/>
            <w:gridSpan w:val="16"/>
            <w:shd w:val="clear" w:color="auto" w:fill="FFFFFF"/>
            <w:noWrap w:val="0"/>
            <w:vAlign w:val="top"/>
          </w:tcPr>
          <w:p>
            <w:pPr>
              <w:keepNext w:val="0"/>
              <w:keepLines w:val="0"/>
              <w:pageBreakBefore w:val="0"/>
              <w:widowControl w:val="0"/>
              <w:tabs>
                <w:tab w:val="left" w:pos="3181"/>
              </w:tabs>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b/>
                <w:bCs/>
                <w:color w:val="auto"/>
                <w:sz w:val="32"/>
                <w:szCs w:val="32"/>
                <w:highlight w:val="none"/>
                <w:lang w:eastAsia="zh-CN"/>
              </w:rPr>
            </w:pPr>
            <w:r>
              <w:rPr>
                <w:rFonts w:hint="eastAsia" w:ascii="楷体_GB2312" w:eastAsia="楷体_GB2312"/>
                <w:b/>
                <w:bCs/>
                <w:color w:val="auto"/>
                <w:sz w:val="32"/>
                <w:szCs w:val="32"/>
                <w:highlight w:val="none"/>
                <w:lang w:eastAsia="zh-CN"/>
              </w:rPr>
              <w:t>《事业单位法人证书》登载事项</w:t>
            </w:r>
          </w:p>
          <w:p>
            <w:pPr>
              <w:keepNext w:val="0"/>
              <w:keepLines w:val="0"/>
              <w:pageBreakBefore w:val="0"/>
              <w:widowControl w:val="0"/>
              <w:tabs>
                <w:tab w:val="left" w:pos="3181"/>
              </w:tabs>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b/>
                <w:bCs/>
                <w:color w:val="auto"/>
                <w:sz w:val="32"/>
                <w:szCs w:val="32"/>
                <w:highlight w:val="none"/>
                <w:lang w:eastAsia="zh-CN"/>
              </w:rPr>
            </w:pPr>
            <w:r>
              <w:rPr>
                <w:rFonts w:hint="eastAsia" w:ascii="楷体_GB2312" w:eastAsia="楷体_GB2312"/>
                <w:b/>
                <w:bCs/>
                <w:color w:val="auto"/>
                <w:sz w:val="24"/>
                <w:szCs w:val="24"/>
                <w:highlight w:val="none"/>
                <w:lang w:eastAsia="zh-CN"/>
              </w:rPr>
              <w:t>注：</w:t>
            </w:r>
            <w:r>
              <w:rPr>
                <w:rFonts w:hint="eastAsia" w:ascii="楷体_GB2312" w:eastAsia="楷体_GB2312"/>
                <w:color w:val="auto"/>
                <w:sz w:val="24"/>
                <w:szCs w:val="24"/>
                <w:highlight w:val="none"/>
                <w:lang w:eastAsia="zh-CN"/>
              </w:rPr>
              <w:t>若年度报告可公示，则由网络系统自动生成，否则自行填报。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单位名称</w:t>
            </w:r>
          </w:p>
        </w:tc>
        <w:tc>
          <w:tcPr>
            <w:tcW w:w="4396" w:type="dxa"/>
            <w:gridSpan w:val="9"/>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default" w:ascii="楷体_GB2312" w:eastAsia="楷体_GB2312"/>
                <w:color w:val="auto"/>
                <w:sz w:val="36"/>
                <w:szCs w:val="36"/>
                <w:highlight w:val="none"/>
                <w:lang w:val="en" w:eastAsia="zh-CN"/>
              </w:rPr>
            </w:pPr>
            <w:r>
              <w:rPr>
                <w:rFonts w:hint="eastAsia" w:ascii="楷体_GB2312" w:eastAsia="楷体_GB2312"/>
                <w:color w:val="auto"/>
                <w:sz w:val="32"/>
                <w:szCs w:val="32"/>
                <w:highlight w:val="none"/>
                <w:lang w:val="en" w:eastAsia="zh-CN"/>
              </w:rPr>
              <w:t>深圳市房屋安全和工程质量检测鉴定中心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宗旨和业务范围</w:t>
            </w:r>
          </w:p>
        </w:tc>
        <w:tc>
          <w:tcPr>
            <w:tcW w:w="4396" w:type="dxa"/>
            <w:gridSpan w:val="9"/>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rPr>
            </w:pPr>
            <w:r>
              <w:rPr>
                <w:rFonts w:hint="eastAsia" w:ascii="楷体_GB2312" w:eastAsia="楷体_GB2312"/>
                <w:color w:val="auto"/>
                <w:sz w:val="24"/>
                <w:szCs w:val="24"/>
                <w:highlight w:val="none"/>
              </w:rPr>
              <w:t>组织开展房屋安全相关宣传、培训工作；参与拟订房屋安全管理、建设工程质量检测鉴定的政策法规和技术标准；参与本市房屋安全管理的指导工作。为房屋安全和建设工程质量方面的行政执法、监督管理提供技术支撑，配合主管部门和工程质量安全监督机构实施监督抽检。承担政府、国有企业产权的既有房屋安全检测鉴定工作；承担政府投资、国有投资(含国有资金控股或占主导地位)建设工程的质量检测、监测、鉴定工作。承担本市建设工程检测监管平台、房屋安全信息平台等信息化系统有关技术性、辅助性工作。承担或参与本市重大工程质量事故和应急工程的检测鉴定工作；承担具有重大影响的社会既有房屋安全检测鉴定工作。承担本市房屋安全和建设工程质量的仲裁(或复核)检测鉴定工作，参与检测鉴定机构的资质和人员资格考核工作。参与本市建筑新技术、新工艺、新材料、新设备的科技成果鉴定。完成市住房建设局交办的其他任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住所</w:t>
            </w:r>
          </w:p>
        </w:tc>
        <w:tc>
          <w:tcPr>
            <w:tcW w:w="4396" w:type="dxa"/>
            <w:gridSpan w:val="9"/>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rPr>
            </w:pPr>
            <w:r>
              <w:rPr>
                <w:rFonts w:hint="eastAsia" w:ascii="楷体_GB2312" w:eastAsia="楷体_GB2312"/>
                <w:color w:val="auto"/>
                <w:sz w:val="32"/>
                <w:szCs w:val="32"/>
                <w:highlight w:val="none"/>
              </w:rPr>
              <w:t>深圳市南山区南头街道铁二路南山建工村14栋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7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法定代表人</w:t>
            </w:r>
          </w:p>
        </w:tc>
        <w:tc>
          <w:tcPr>
            <w:tcW w:w="4396" w:type="dxa"/>
            <w:gridSpan w:val="9"/>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邓涌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8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经费来源</w:t>
            </w:r>
          </w:p>
        </w:tc>
        <w:tc>
          <w:tcPr>
            <w:tcW w:w="4396" w:type="dxa"/>
            <w:gridSpan w:val="9"/>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自收自支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开办资金</w:t>
            </w:r>
          </w:p>
        </w:tc>
        <w:tc>
          <w:tcPr>
            <w:tcW w:w="4396" w:type="dxa"/>
            <w:gridSpan w:val="9"/>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default" w:ascii="楷体_GB2312" w:eastAsia="楷体_GB2312"/>
                <w:color w:val="auto"/>
                <w:sz w:val="32"/>
                <w:szCs w:val="32"/>
                <w:highlight w:val="none"/>
                <w:lang w:val="en-US" w:eastAsia="zh-CN"/>
              </w:rPr>
            </w:pPr>
            <w:r>
              <w:rPr>
                <w:rFonts w:hint="eastAsia" w:ascii="楷体_GB2312" w:eastAsia="楷体_GB2312"/>
                <w:color w:val="auto"/>
                <w:sz w:val="32"/>
                <w:szCs w:val="32"/>
                <w:highlight w:val="none"/>
                <w:lang w:val="en-US" w:eastAsia="zh-CN"/>
              </w:rPr>
              <w:t>3832万元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jc w:val="center"/>
        </w:trPr>
        <w:tc>
          <w:tcPr>
            <w:tcW w:w="4323" w:type="dxa"/>
            <w:gridSpan w:val="7"/>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jc w:val="center"/>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举办单位</w:t>
            </w:r>
          </w:p>
        </w:tc>
        <w:tc>
          <w:tcPr>
            <w:tcW w:w="4396" w:type="dxa"/>
            <w:gridSpan w:val="9"/>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440" w:lineRule="exact"/>
              <w:ind w:right="0" w:rightChars="0"/>
              <w:textAlignment w:val="auto"/>
              <w:outlineLvl w:val="9"/>
              <w:rPr>
                <w:rFonts w:hint="eastAsia" w:ascii="楷体_GB2312" w:eastAsia="楷体_GB2312"/>
                <w:color w:val="auto"/>
                <w:sz w:val="32"/>
                <w:szCs w:val="32"/>
                <w:highlight w:val="none"/>
                <w:lang w:eastAsia="zh-CN"/>
              </w:rPr>
            </w:pPr>
            <w:r>
              <w:rPr>
                <w:rFonts w:hint="eastAsia" w:ascii="楷体_GB2312" w:eastAsia="楷体_GB2312"/>
                <w:color w:val="auto"/>
                <w:sz w:val="32"/>
                <w:szCs w:val="32"/>
                <w:highlight w:val="none"/>
                <w:lang w:eastAsia="zh-CN"/>
              </w:rPr>
              <w:t>深圳市住房和建设局</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6663" w:type="dxa"/>
            <w:gridSpan w:val="13"/>
            <w:noWrap w:val="0"/>
            <w:vAlign w:val="top"/>
          </w:tcPr>
          <w:p>
            <w:pPr>
              <w:rPr>
                <w:rFonts w:ascii="楷体_GB2312" w:eastAsia="楷体_GB2312"/>
                <w:b/>
                <w:color w:val="auto"/>
                <w:sz w:val="32"/>
                <w:szCs w:val="32"/>
              </w:rPr>
            </w:pPr>
            <w:r>
              <w:rPr>
                <w:rFonts w:hint="eastAsia" w:ascii="楷体_GB2312" w:eastAsia="楷体_GB2312"/>
                <w:b/>
                <w:color w:val="auto"/>
                <w:sz w:val="32"/>
                <w:szCs w:val="32"/>
              </w:rPr>
              <w:t>上一年度是否按规定申请了变更登记</w:t>
            </w:r>
          </w:p>
        </w:tc>
        <w:tc>
          <w:tcPr>
            <w:tcW w:w="992" w:type="dxa"/>
            <w:noWrap w:val="0"/>
            <w:vAlign w:val="top"/>
          </w:tcPr>
          <w:p>
            <w:pPr>
              <w:rPr>
                <w:rFonts w:ascii="楷体_GB2312" w:eastAsia="楷体_GB2312"/>
                <w:color w:val="auto"/>
                <w:sz w:val="32"/>
                <w:szCs w:val="32"/>
              </w:rPr>
            </w:pPr>
            <w:r>
              <w:rPr>
                <w:rFonts w:hint="eastAsia" w:ascii="楷体_GB2312" w:eastAsia="楷体_GB2312"/>
                <w:color w:val="auto"/>
                <w:sz w:val="32"/>
                <w:szCs w:val="32"/>
              </w:rPr>
              <w:t>是□</w:t>
            </w:r>
          </w:p>
        </w:tc>
        <w:tc>
          <w:tcPr>
            <w:tcW w:w="1064" w:type="dxa"/>
            <w:gridSpan w:val="2"/>
            <w:noWrap w:val="0"/>
            <w:vAlign w:val="top"/>
          </w:tcPr>
          <w:p>
            <w:pPr>
              <w:rPr>
                <w:rFonts w:hint="eastAsia" w:ascii="楷体_GB2312" w:eastAsia="楷体_GB2312"/>
                <w:color w:val="auto"/>
                <w:sz w:val="32"/>
                <w:szCs w:val="32"/>
                <w:lang w:eastAsia="zh-CN"/>
              </w:rPr>
            </w:pPr>
            <w:r>
              <w:rPr>
                <w:rFonts w:hint="eastAsia" w:ascii="楷体_GB2312" w:eastAsia="楷体_GB2312"/>
                <w:color w:val="auto"/>
                <w:sz w:val="32"/>
                <w:szCs w:val="32"/>
              </w:rPr>
              <w:t>否</w:t>
            </w:r>
            <w:r>
              <w:rPr>
                <w:rFonts w:hint="eastAsia" w:ascii="楷体_GB2312" w:eastAsia="楷体_GB2312"/>
                <w:color w:val="auto"/>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6" w:hRule="atLeast"/>
          <w:jc w:val="center"/>
        </w:trPr>
        <w:tc>
          <w:tcPr>
            <w:tcW w:w="8719" w:type="dxa"/>
            <w:gridSpan w:val="16"/>
            <w:noWrap w:val="0"/>
            <w:vAlign w:val="top"/>
          </w:tcPr>
          <w:p>
            <w:pPr>
              <w:ind w:firstLine="2088" w:firstLineChars="650"/>
              <w:rPr>
                <w:rFonts w:ascii="楷体_GB2312" w:eastAsia="楷体_GB2312"/>
                <w:b/>
                <w:color w:val="auto"/>
                <w:sz w:val="32"/>
                <w:szCs w:val="32"/>
              </w:rPr>
            </w:pPr>
            <w:r>
              <w:rPr>
                <w:rFonts w:hint="eastAsia" w:ascii="楷体_GB2312" w:eastAsia="楷体_GB2312"/>
                <w:b/>
                <w:color w:val="auto"/>
                <w:sz w:val="32"/>
                <w:szCs w:val="32"/>
              </w:rPr>
              <w:t>变更登记具体内容及时间</w:t>
            </w:r>
          </w:p>
          <w:p>
            <w:pPr>
              <w:rPr>
                <w:rFonts w:ascii="楷体_GB2312" w:eastAsia="楷体_GB2312"/>
                <w:color w:val="auto"/>
                <w:sz w:val="32"/>
                <w:szCs w:val="32"/>
                <w:u w:val="single"/>
              </w:rPr>
            </w:pPr>
            <w:r>
              <w:rPr>
                <w:rFonts w:hint="eastAsia" w:ascii="楷体_GB2312" w:eastAsia="楷体_GB2312"/>
                <w:color w:val="auto"/>
                <w:sz w:val="32"/>
                <w:szCs w:val="32"/>
              </w:rPr>
              <w:t>名称□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法定代表人□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宗旨和业务范围□ 变更前</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p>
          <w:p>
            <w:pPr>
              <w:rPr>
                <w:rFonts w:ascii="楷体_GB2312" w:eastAsia="楷体_GB2312"/>
                <w:color w:val="auto"/>
                <w:sz w:val="32"/>
                <w:szCs w:val="32"/>
                <w:u w:val="single"/>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rPr>
                <w:rFonts w:ascii="楷体_GB2312" w:eastAsia="楷体_GB2312"/>
                <w:color w:val="auto"/>
                <w:sz w:val="32"/>
                <w:szCs w:val="32"/>
                <w:u w:val="single"/>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ind w:firstLine="2880" w:firstLineChars="900"/>
              <w:rPr>
                <w:rFonts w:ascii="楷体_GB2312" w:eastAsia="楷体_GB2312"/>
                <w:color w:val="auto"/>
                <w:sz w:val="32"/>
                <w:szCs w:val="32"/>
                <w:u w:val="single"/>
              </w:rPr>
            </w:pP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rPr>
                <w:rFonts w:ascii="楷体_GB2312" w:eastAsia="楷体_GB2312"/>
                <w:color w:val="auto"/>
                <w:sz w:val="32"/>
                <w:szCs w:val="32"/>
                <w:u w:val="single"/>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ascii="楷体_GB2312" w:eastAsia="楷体_GB2312"/>
                <w:color w:val="auto"/>
                <w:sz w:val="32"/>
                <w:szCs w:val="32"/>
                <w:u w:val="single"/>
              </w:rPr>
              <w:t xml:space="preserve">     </w:t>
            </w:r>
          </w:p>
          <w:p>
            <w:pPr>
              <w:rPr>
                <w:rFonts w:hint="default" w:ascii="楷体_GB2312" w:eastAsia="楷体_GB2312"/>
                <w:color w:val="auto"/>
                <w:sz w:val="32"/>
                <w:szCs w:val="32"/>
                <w:u w:val="single"/>
                <w:lang w:val="en-US" w:eastAsia="zh-CN"/>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住所□ 变更前</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u w:val="single"/>
              </w:rPr>
            </w:pP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经费来源□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开办资金□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（万元）变更后</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（万元）</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rPr>
                <w:rFonts w:ascii="楷体_GB2312" w:eastAsia="楷体_GB2312"/>
                <w:color w:val="auto"/>
                <w:sz w:val="32"/>
                <w:szCs w:val="32"/>
                <w:u w:val="single"/>
              </w:rPr>
            </w:pPr>
            <w:r>
              <w:rPr>
                <w:rFonts w:hint="eastAsia" w:ascii="楷体_GB2312" w:eastAsia="楷体_GB2312"/>
                <w:color w:val="auto"/>
                <w:sz w:val="32"/>
                <w:szCs w:val="32"/>
              </w:rPr>
              <w:t>举办单位□ 变更前</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变更后</w:t>
            </w:r>
            <w:r>
              <w:rPr>
                <w:rFonts w:hint="eastAsia" w:ascii="楷体_GB2312" w:eastAsia="楷体_GB2312"/>
                <w:color w:val="auto"/>
                <w:sz w:val="32"/>
                <w:szCs w:val="32"/>
                <w:u w:val="single"/>
              </w:rPr>
              <w:t xml:space="preserve">               </w:t>
            </w:r>
          </w:p>
          <w:p>
            <w:pPr>
              <w:ind w:firstLine="1120" w:firstLineChars="350"/>
              <w:rPr>
                <w:rFonts w:ascii="楷体_GB2312" w:eastAsia="楷体_GB2312"/>
                <w:color w:val="auto"/>
                <w:sz w:val="32"/>
                <w:szCs w:val="32"/>
              </w:rPr>
            </w:pPr>
            <w:r>
              <w:rPr>
                <w:rFonts w:hint="eastAsia" w:ascii="楷体_GB2312" w:eastAsia="楷体_GB2312"/>
                <w:color w:val="auto"/>
                <w:sz w:val="32"/>
                <w:szCs w:val="32"/>
              </w:rPr>
              <w:t>变更时间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年</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月</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日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楷体_GB2312" w:eastAsia="楷体_GB2312"/>
                <w:color w:val="auto"/>
                <w:sz w:val="24"/>
              </w:rPr>
            </w:pPr>
            <w:r>
              <w:rPr>
                <w:rFonts w:hint="eastAsia" w:ascii="楷体_GB2312" w:eastAsia="楷体_GB2312"/>
                <w:color w:val="auto"/>
                <w:sz w:val="24"/>
              </w:rPr>
              <w:t>注</w:t>
            </w:r>
            <w:r>
              <w:rPr>
                <w:rFonts w:ascii="楷体_GB2312" w:eastAsia="楷体_GB2312"/>
                <w:color w:val="auto"/>
                <w:sz w:val="24"/>
              </w:rPr>
              <w:t>：</w:t>
            </w:r>
            <w:r>
              <w:rPr>
                <w:rFonts w:hint="eastAsia" w:ascii="楷体_GB2312" w:eastAsia="楷体_GB2312"/>
                <w:color w:val="auto"/>
                <w:sz w:val="24"/>
              </w:rPr>
              <w:t>单个登记事项</w:t>
            </w:r>
            <w:r>
              <w:rPr>
                <w:rFonts w:ascii="楷体_GB2312" w:eastAsia="楷体_GB2312"/>
                <w:color w:val="auto"/>
                <w:sz w:val="24"/>
              </w:rPr>
              <w:t>发生了多次变更</w:t>
            </w:r>
            <w:r>
              <w:rPr>
                <w:rFonts w:hint="eastAsia" w:ascii="楷体_GB2312" w:eastAsia="楷体_GB2312"/>
                <w:color w:val="auto"/>
                <w:sz w:val="24"/>
              </w:rPr>
              <w:t>的应在</w:t>
            </w:r>
            <w:r>
              <w:rPr>
                <w:rFonts w:ascii="楷体_GB2312" w:eastAsia="楷体_GB2312"/>
                <w:color w:val="auto"/>
                <w:sz w:val="24"/>
              </w:rPr>
              <w:t>该事项后</w:t>
            </w:r>
            <w:r>
              <w:rPr>
                <w:rFonts w:hint="eastAsia" w:ascii="楷体_GB2312" w:eastAsia="楷体_GB2312"/>
                <w:color w:val="auto"/>
                <w:sz w:val="24"/>
              </w:rPr>
              <w:t>自行</w:t>
            </w:r>
            <w:r>
              <w:rPr>
                <w:rFonts w:ascii="楷体_GB2312" w:eastAsia="楷体_GB2312"/>
                <w:color w:val="auto"/>
                <w:sz w:val="24"/>
              </w:rPr>
              <w:t>增加</w:t>
            </w:r>
            <w:r>
              <w:rPr>
                <w:rFonts w:hint="eastAsia" w:ascii="楷体_GB2312" w:eastAsia="楷体_GB2312"/>
                <w:color w:val="auto"/>
                <w:sz w:val="24"/>
              </w:rPr>
              <w:t>并填写</w:t>
            </w:r>
            <w:r>
              <w:rPr>
                <w:rFonts w:ascii="楷体_GB2312" w:eastAsia="楷体_GB2312"/>
                <w:color w:val="auto"/>
                <w:sz w:val="24"/>
              </w:rPr>
              <w:t>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3" w:hRule="atLeast"/>
          <w:jc w:val="center"/>
        </w:trPr>
        <w:tc>
          <w:tcPr>
            <w:tcW w:w="6663" w:type="dxa"/>
            <w:gridSpan w:val="13"/>
            <w:noWrap w:val="0"/>
            <w:vAlign w:val="top"/>
          </w:tcPr>
          <w:p>
            <w:pPr>
              <w:rPr>
                <w:rFonts w:ascii="楷体_GB2312" w:eastAsia="楷体_GB2312"/>
                <w:color w:val="auto"/>
                <w:sz w:val="32"/>
                <w:szCs w:val="32"/>
              </w:rPr>
            </w:pPr>
            <w:r>
              <w:rPr>
                <w:rFonts w:hint="eastAsia" w:ascii="楷体_GB2312" w:eastAsia="楷体_GB2312"/>
                <w:color w:val="auto"/>
                <w:sz w:val="32"/>
                <w:szCs w:val="32"/>
              </w:rPr>
              <w:t>上一年度单位章程是否进行修改</w:t>
            </w:r>
          </w:p>
        </w:tc>
        <w:tc>
          <w:tcPr>
            <w:tcW w:w="992" w:type="dxa"/>
            <w:noWrap w:val="0"/>
            <w:vAlign w:val="top"/>
          </w:tcPr>
          <w:p>
            <w:pPr>
              <w:rPr>
                <w:rFonts w:hint="eastAsia" w:ascii="楷体_GB2312" w:eastAsia="楷体_GB2312"/>
                <w:color w:val="auto"/>
                <w:sz w:val="32"/>
                <w:szCs w:val="32"/>
              </w:rPr>
            </w:pPr>
            <w:r>
              <w:rPr>
                <w:rFonts w:hint="eastAsia" w:ascii="楷体_GB2312" w:eastAsia="楷体_GB2312"/>
                <w:color w:val="auto"/>
                <w:sz w:val="32"/>
                <w:szCs w:val="32"/>
              </w:rPr>
              <w:t>是□</w:t>
            </w:r>
          </w:p>
        </w:tc>
        <w:tc>
          <w:tcPr>
            <w:tcW w:w="1064" w:type="dxa"/>
            <w:gridSpan w:val="2"/>
            <w:noWrap w:val="0"/>
            <w:vAlign w:val="top"/>
          </w:tcPr>
          <w:p>
            <w:pPr>
              <w:rPr>
                <w:rFonts w:hint="eastAsia" w:ascii="楷体_GB2312" w:eastAsia="楷体_GB2312"/>
                <w:color w:val="auto"/>
                <w:sz w:val="32"/>
                <w:szCs w:val="32"/>
                <w:lang w:eastAsia="zh-CN"/>
              </w:rPr>
            </w:pPr>
            <w:r>
              <w:rPr>
                <w:rFonts w:hint="eastAsia" w:ascii="楷体_GB2312" w:eastAsia="楷体_GB2312"/>
                <w:color w:val="auto"/>
                <w:sz w:val="32"/>
                <w:szCs w:val="32"/>
              </w:rPr>
              <w:t>否</w:t>
            </w:r>
            <w:r>
              <w:rPr>
                <w:rFonts w:hint="eastAsia" w:ascii="楷体_GB2312" w:eastAsia="楷体_GB2312"/>
                <w:color w:val="auto"/>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97" w:hRule="atLeast"/>
          <w:jc w:val="center"/>
        </w:trPr>
        <w:tc>
          <w:tcPr>
            <w:tcW w:w="4995" w:type="dxa"/>
            <w:gridSpan w:val="10"/>
            <w:noWrap w:val="0"/>
            <w:vAlign w:val="top"/>
          </w:tcPr>
          <w:p>
            <w:pPr>
              <w:rPr>
                <w:rFonts w:ascii="楷体_GB2312" w:eastAsia="楷体_GB2312"/>
                <w:color w:val="auto"/>
                <w:sz w:val="32"/>
                <w:szCs w:val="32"/>
              </w:rPr>
            </w:pPr>
            <w:r>
              <w:rPr>
                <w:rFonts w:hint="eastAsia" w:ascii="楷体_GB2312" w:eastAsia="楷体_GB2312"/>
                <w:color w:val="auto"/>
                <w:sz w:val="32"/>
                <w:szCs w:val="32"/>
              </w:rPr>
              <w:t>章程</w:t>
            </w:r>
            <w:r>
              <w:rPr>
                <w:rFonts w:hint="eastAsia" w:ascii="楷体_GB2312" w:eastAsia="楷体_GB2312"/>
                <w:color w:val="auto"/>
                <w:sz w:val="32"/>
                <w:szCs w:val="32"/>
                <w:lang w:eastAsia="zh-CN"/>
              </w:rPr>
              <w:t>制订或</w:t>
            </w:r>
            <w:r>
              <w:rPr>
                <w:rFonts w:hint="eastAsia" w:ascii="楷体_GB2312" w:eastAsia="楷体_GB2312"/>
                <w:color w:val="auto"/>
                <w:sz w:val="32"/>
                <w:szCs w:val="32"/>
              </w:rPr>
              <w:t>修改后是否</w:t>
            </w:r>
            <w:r>
              <w:rPr>
                <w:rFonts w:ascii="楷体_GB2312" w:eastAsia="楷体_GB2312"/>
                <w:color w:val="auto"/>
                <w:sz w:val="32"/>
                <w:szCs w:val="32"/>
              </w:rPr>
              <w:t>备案</w:t>
            </w:r>
            <w:r>
              <w:rPr>
                <w:rFonts w:hint="eastAsia" w:ascii="楷体_GB2312" w:eastAsia="楷体_GB2312"/>
                <w:strike w:val="0"/>
                <w:dstrike w:val="0"/>
                <w:color w:val="auto"/>
                <w:sz w:val="32"/>
                <w:szCs w:val="32"/>
                <w:lang w:eastAsia="zh-CN"/>
              </w:rPr>
              <w:t>，或</w:t>
            </w:r>
            <w:r>
              <w:rPr>
                <w:rFonts w:hint="eastAsia" w:ascii="楷体_GB2312" w:eastAsia="楷体_GB2312"/>
                <w:strike w:val="0"/>
                <w:color w:val="auto"/>
                <w:sz w:val="32"/>
                <w:szCs w:val="32"/>
                <w:lang w:eastAsia="zh-CN"/>
              </w:rPr>
              <w:t>在</w:t>
            </w:r>
            <w:r>
              <w:rPr>
                <w:rFonts w:hint="eastAsia" w:ascii="楷体_GB2312" w:eastAsia="楷体_GB2312"/>
                <w:strike w:val="0"/>
                <w:dstrike w:val="0"/>
                <w:color w:val="auto"/>
                <w:sz w:val="32"/>
                <w:szCs w:val="32"/>
                <w:lang w:eastAsia="zh-CN"/>
              </w:rPr>
              <w:t>“广东事业单位登记管理”</w:t>
            </w:r>
            <w:r>
              <w:rPr>
                <w:rFonts w:hint="eastAsia" w:ascii="楷体_GB2312" w:eastAsia="楷体_GB2312"/>
                <w:color w:val="auto"/>
                <w:sz w:val="32"/>
                <w:szCs w:val="32"/>
                <w:lang w:eastAsia="zh-CN"/>
              </w:rPr>
              <w:t>网站公示</w:t>
            </w:r>
          </w:p>
        </w:tc>
        <w:tc>
          <w:tcPr>
            <w:tcW w:w="2660" w:type="dxa"/>
            <w:gridSpan w:val="4"/>
            <w:noWrap w:val="0"/>
            <w:vAlign w:val="top"/>
          </w:tcPr>
          <w:p>
            <w:pPr>
              <w:ind w:firstLine="960" w:firstLineChars="300"/>
              <w:jc w:val="both"/>
              <w:rPr>
                <w:rFonts w:hint="eastAsia" w:ascii="楷体_GB2312" w:eastAsia="楷体_GB2312"/>
                <w:color w:val="auto"/>
                <w:sz w:val="32"/>
                <w:szCs w:val="32"/>
              </w:rPr>
            </w:pPr>
            <w:r>
              <w:rPr>
                <w:rFonts w:hint="eastAsia" w:ascii="楷体_GB2312" w:eastAsia="楷体_GB2312"/>
                <w:color w:val="auto"/>
                <w:sz w:val="32"/>
                <w:szCs w:val="32"/>
              </w:rPr>
              <w:t>是□</w:t>
            </w:r>
          </w:p>
          <w:p>
            <w:pPr>
              <w:rPr>
                <w:rFonts w:hint="eastAsia" w:ascii="楷体_GB2312" w:eastAsia="楷体_GB2312"/>
                <w:color w:val="auto"/>
                <w:sz w:val="32"/>
                <w:szCs w:val="32"/>
                <w:lang w:eastAsia="zh-CN"/>
              </w:rPr>
            </w:pPr>
            <w:r>
              <w:rPr>
                <w:rFonts w:hint="eastAsia" w:ascii="楷体_GB2312" w:eastAsia="楷体_GB2312"/>
                <w:color w:val="auto"/>
                <w:sz w:val="32"/>
                <w:szCs w:val="32"/>
              </w:rPr>
              <w:t>□</w:t>
            </w:r>
            <w:r>
              <w:rPr>
                <w:rFonts w:hint="eastAsia" w:ascii="楷体_GB2312" w:eastAsia="楷体_GB2312"/>
                <w:color w:val="auto"/>
                <w:sz w:val="32"/>
                <w:szCs w:val="32"/>
                <w:lang w:eastAsia="zh-CN"/>
              </w:rPr>
              <w:t>网址：</w:t>
            </w:r>
            <w:r>
              <w:rPr>
                <w:rFonts w:hint="eastAsia" w:ascii="楷体_GB2312" w:eastAsia="楷体_GB2312"/>
                <w:color w:val="auto"/>
                <w:sz w:val="32"/>
                <w:szCs w:val="32"/>
                <w:u w:val="single"/>
                <w:lang w:val="en-US" w:eastAsia="zh-CN"/>
              </w:rPr>
              <w:t xml:space="preserve">        </w:t>
            </w:r>
          </w:p>
          <w:p>
            <w:pPr>
              <w:rPr>
                <w:rFonts w:ascii="楷体_GB2312" w:eastAsia="楷体_GB2312"/>
                <w:color w:val="auto"/>
                <w:sz w:val="32"/>
                <w:szCs w:val="32"/>
              </w:rPr>
            </w:pPr>
            <w:r>
              <w:rPr>
                <w:rFonts w:hint="eastAsia" w:ascii="楷体_GB2312" w:eastAsia="楷体_GB2312"/>
                <w:color w:val="auto"/>
                <w:sz w:val="32"/>
                <w:szCs w:val="32"/>
              </w:rPr>
              <w:t>□</w:t>
            </w:r>
            <w:r>
              <w:rPr>
                <w:rFonts w:hint="eastAsia" w:ascii="楷体_GB2312" w:eastAsia="楷体_GB2312"/>
                <w:color w:val="auto"/>
                <w:sz w:val="32"/>
                <w:szCs w:val="32"/>
                <w:lang w:eastAsia="zh-CN"/>
              </w:rPr>
              <w:t>已备案</w:t>
            </w:r>
          </w:p>
        </w:tc>
        <w:tc>
          <w:tcPr>
            <w:tcW w:w="1064" w:type="dxa"/>
            <w:gridSpan w:val="2"/>
            <w:noWrap w:val="0"/>
            <w:vAlign w:val="top"/>
          </w:tcPr>
          <w:p>
            <w:pPr>
              <w:rPr>
                <w:rFonts w:hint="eastAsia" w:ascii="楷体_GB2312" w:eastAsia="楷体_GB2312"/>
                <w:color w:val="auto"/>
                <w:sz w:val="32"/>
                <w:szCs w:val="32"/>
              </w:rPr>
            </w:pPr>
            <w:r>
              <w:rPr>
                <w:rFonts w:hint="eastAsia" w:ascii="楷体_GB2312" w:eastAsia="楷体_GB2312"/>
                <w:color w:val="auto"/>
                <w:sz w:val="32"/>
                <w:szCs w:val="32"/>
              </w:rPr>
              <w:t>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54" w:hRule="atLeast"/>
          <w:jc w:val="center"/>
        </w:trPr>
        <w:tc>
          <w:tcPr>
            <w:tcW w:w="6663" w:type="dxa"/>
            <w:gridSpan w:val="13"/>
            <w:noWrap w:val="0"/>
            <w:vAlign w:val="top"/>
          </w:tcPr>
          <w:p>
            <w:pPr>
              <w:rPr>
                <w:rFonts w:hint="eastAsia" w:eastAsia="楷体_GB2312"/>
                <w:color w:val="auto"/>
                <w:sz w:val="32"/>
                <w:szCs w:val="32"/>
              </w:rPr>
            </w:pPr>
            <w:r>
              <w:rPr>
                <w:rFonts w:hint="eastAsia" w:eastAsia="楷体_GB2312"/>
                <w:color w:val="auto"/>
                <w:sz w:val="32"/>
                <w:szCs w:val="32"/>
                <w:highlight w:val="none"/>
              </w:rPr>
              <w:t>单位印章的印迹、基本</w:t>
            </w:r>
            <w:r>
              <w:rPr>
                <w:rFonts w:hint="eastAsia" w:eastAsia="楷体_GB2312"/>
                <w:color w:val="auto"/>
                <w:sz w:val="32"/>
                <w:szCs w:val="32"/>
                <w:highlight w:val="none"/>
                <w:lang w:eastAsia="zh-CN"/>
              </w:rPr>
              <w:t>账</w:t>
            </w:r>
            <w:r>
              <w:rPr>
                <w:rFonts w:hint="eastAsia" w:eastAsia="楷体_GB2312"/>
                <w:color w:val="auto"/>
                <w:sz w:val="32"/>
                <w:szCs w:val="32"/>
                <w:highlight w:val="none"/>
              </w:rPr>
              <w:t>户、法定代表人签字</w:t>
            </w:r>
            <w:r>
              <w:rPr>
                <w:rFonts w:hint="eastAsia" w:eastAsia="楷体_GB2312"/>
                <w:color w:val="auto"/>
                <w:sz w:val="32"/>
                <w:szCs w:val="32"/>
                <w:highlight w:val="none"/>
                <w:lang w:eastAsia="zh-CN"/>
              </w:rPr>
              <w:t>、</w:t>
            </w:r>
            <w:r>
              <w:rPr>
                <w:rFonts w:hint="eastAsia" w:eastAsia="楷体_GB2312"/>
                <w:color w:val="auto"/>
                <w:sz w:val="32"/>
                <w:szCs w:val="32"/>
                <w:highlight w:val="none"/>
              </w:rPr>
              <w:t>印章</w:t>
            </w:r>
            <w:r>
              <w:rPr>
                <w:rFonts w:hint="eastAsia" w:eastAsia="楷体_GB2312"/>
                <w:color w:val="auto"/>
                <w:sz w:val="32"/>
                <w:szCs w:val="32"/>
                <w:highlight w:val="none"/>
                <w:lang w:eastAsia="zh-CN"/>
              </w:rPr>
              <w:t>的印迹</w:t>
            </w:r>
            <w:r>
              <w:rPr>
                <w:rFonts w:hint="eastAsia" w:eastAsia="楷体_GB2312"/>
                <w:color w:val="auto"/>
                <w:sz w:val="32"/>
                <w:szCs w:val="32"/>
                <w:highlight w:val="none"/>
              </w:rPr>
              <w:t>是否已备案</w:t>
            </w:r>
          </w:p>
        </w:tc>
        <w:tc>
          <w:tcPr>
            <w:tcW w:w="992" w:type="dxa"/>
            <w:noWrap w:val="0"/>
            <w:vAlign w:val="top"/>
          </w:tcPr>
          <w:p>
            <w:pPr>
              <w:rPr>
                <w:rFonts w:hint="eastAsia" w:eastAsia="楷体_GB2312"/>
                <w:color w:val="auto"/>
                <w:sz w:val="32"/>
                <w:szCs w:val="32"/>
                <w:lang w:eastAsia="zh-CN"/>
              </w:rPr>
            </w:pPr>
            <w:r>
              <w:rPr>
                <w:rFonts w:hint="eastAsia" w:ascii="楷体_GB2312" w:eastAsia="楷体_GB2312"/>
                <w:color w:val="auto"/>
                <w:sz w:val="32"/>
                <w:szCs w:val="32"/>
              </w:rPr>
              <w:t>是</w:t>
            </w:r>
            <w:r>
              <w:rPr>
                <w:rFonts w:hint="eastAsia" w:ascii="楷体_GB2312" w:eastAsia="楷体_GB2312"/>
                <w:color w:val="auto"/>
                <w:sz w:val="32"/>
                <w:szCs w:val="32"/>
                <w:lang w:eastAsia="zh-CN"/>
              </w:rPr>
              <w:t>☑</w:t>
            </w:r>
          </w:p>
        </w:tc>
        <w:tc>
          <w:tcPr>
            <w:tcW w:w="1064" w:type="dxa"/>
            <w:gridSpan w:val="2"/>
            <w:noWrap w:val="0"/>
            <w:vAlign w:val="top"/>
          </w:tcPr>
          <w:p>
            <w:pPr>
              <w:rPr>
                <w:rFonts w:hint="eastAsia" w:eastAsia="楷体_GB2312"/>
                <w:color w:val="auto"/>
                <w:sz w:val="32"/>
                <w:szCs w:val="32"/>
              </w:rPr>
            </w:pPr>
            <w:r>
              <w:rPr>
                <w:rFonts w:hint="eastAsia" w:ascii="楷体_GB2312" w:eastAsia="楷体_GB2312"/>
                <w:color w:val="auto"/>
                <w:sz w:val="32"/>
                <w:szCs w:val="32"/>
              </w:rPr>
              <w:t>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06" w:hRule="atLeast"/>
          <w:jc w:val="center"/>
        </w:trPr>
        <w:tc>
          <w:tcPr>
            <w:tcW w:w="6663" w:type="dxa"/>
            <w:gridSpan w:val="13"/>
            <w:noWrap w:val="0"/>
            <w:vAlign w:val="top"/>
          </w:tcPr>
          <w:p>
            <w:pPr>
              <w:rPr>
                <w:rFonts w:hint="eastAsia" w:eastAsia="楷体_GB2312"/>
                <w:color w:val="auto"/>
                <w:sz w:val="32"/>
                <w:szCs w:val="32"/>
              </w:rPr>
            </w:pPr>
            <w:r>
              <w:rPr>
                <w:rFonts w:hint="eastAsia" w:eastAsia="楷体_GB2312"/>
                <w:color w:val="auto"/>
                <w:sz w:val="32"/>
                <w:szCs w:val="32"/>
              </w:rPr>
              <w:t>是否拥有相关资质认可或执业许可证明</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rPr>
              <w:t>注：事业单位法人证书除外</w:t>
            </w:r>
            <w:r>
              <w:rPr>
                <w:rFonts w:hint="eastAsia" w:ascii="楷体_GB2312" w:eastAsia="楷体_GB2312"/>
                <w:color w:val="auto"/>
                <w:sz w:val="24"/>
                <w:lang w:val="en-US" w:eastAsia="zh-CN"/>
              </w:rPr>
              <w:t>。</w:t>
            </w:r>
          </w:p>
        </w:tc>
        <w:tc>
          <w:tcPr>
            <w:tcW w:w="992" w:type="dxa"/>
            <w:noWrap w:val="0"/>
            <w:vAlign w:val="top"/>
          </w:tcPr>
          <w:p>
            <w:pPr>
              <w:rPr>
                <w:rFonts w:hint="eastAsia" w:eastAsia="楷体_GB2312"/>
                <w:color w:val="auto"/>
                <w:sz w:val="32"/>
                <w:szCs w:val="32"/>
                <w:lang w:eastAsia="zh-CN"/>
              </w:rPr>
            </w:pPr>
            <w:r>
              <w:rPr>
                <w:rFonts w:hint="eastAsia" w:eastAsia="楷体_GB2312"/>
                <w:color w:val="auto"/>
                <w:sz w:val="32"/>
                <w:szCs w:val="32"/>
              </w:rPr>
              <w:t>是</w:t>
            </w:r>
            <w:r>
              <w:rPr>
                <w:rFonts w:hint="eastAsia" w:eastAsia="楷体_GB2312"/>
                <w:color w:val="auto"/>
                <w:sz w:val="32"/>
                <w:szCs w:val="32"/>
                <w:lang w:eastAsia="zh-CN"/>
              </w:rPr>
              <w:t>☑</w:t>
            </w:r>
          </w:p>
        </w:tc>
        <w:tc>
          <w:tcPr>
            <w:tcW w:w="1064" w:type="dxa"/>
            <w:gridSpan w:val="2"/>
            <w:noWrap w:val="0"/>
            <w:vAlign w:val="top"/>
          </w:tcPr>
          <w:p>
            <w:pPr>
              <w:rPr>
                <w:rFonts w:eastAsia="楷体_GB2312"/>
                <w:color w:val="auto"/>
                <w:sz w:val="32"/>
                <w:szCs w:val="32"/>
              </w:rPr>
            </w:pPr>
            <w:r>
              <w:rPr>
                <w:rFonts w:hint="eastAsia" w:eastAsia="楷体_GB2312"/>
                <w:color w:val="auto"/>
                <w:sz w:val="32"/>
                <w:szCs w:val="3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证书名称</w:t>
            </w: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认可（许可）范围</w:t>
            </w:r>
          </w:p>
        </w:tc>
        <w:tc>
          <w:tcPr>
            <w:tcW w:w="2128" w:type="dxa"/>
            <w:gridSpan w:val="4"/>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有效期</w:t>
            </w:r>
          </w:p>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截止日期</w:t>
            </w: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颁发机关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Times New Roman" w:hAnsi="Times New Roman" w:eastAsia="仿宋_GB2312" w:cs="仿宋_GB2312"/>
                <w:bCs/>
                <w:sz w:val="24"/>
                <w:szCs w:val="24"/>
              </w:rPr>
              <w:t>中国合格评定国家认可委员会检验机构</w:t>
            </w:r>
            <w:r>
              <w:rPr>
                <w:rFonts w:ascii="Times New Roman" w:hAnsi="Times New Roman" w:eastAsia="仿宋_GB2312"/>
                <w:bCs/>
                <w:sz w:val="24"/>
                <w:szCs w:val="24"/>
              </w:rPr>
              <w:t>/</w:t>
            </w:r>
            <w:r>
              <w:rPr>
                <w:rFonts w:hint="eastAsia" w:ascii="Times New Roman" w:hAnsi="Times New Roman" w:eastAsia="仿宋_GB2312" w:cs="仿宋_GB2312"/>
                <w:bCs/>
                <w:sz w:val="24"/>
                <w:szCs w:val="24"/>
              </w:rPr>
              <w:t>实验室认可证书</w:t>
            </w: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eastAsia="zh-CN"/>
              </w:rPr>
              <w:t>涉及的范围内容较多，此处不作列举。</w:t>
            </w:r>
          </w:p>
        </w:tc>
        <w:tc>
          <w:tcPr>
            <w:tcW w:w="2128" w:type="dxa"/>
            <w:gridSpan w:val="4"/>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default" w:ascii="Times New Roman" w:hAnsi="Times New Roman" w:eastAsia="仿宋_GB2312" w:cs="仿宋_GB2312"/>
                <w:bCs/>
                <w:sz w:val="24"/>
                <w:szCs w:val="24"/>
                <w:lang w:val="en-US" w:eastAsia="zh-CN"/>
              </w:rPr>
            </w:pPr>
            <w:r>
              <w:rPr>
                <w:rFonts w:hint="eastAsia" w:ascii="Times New Roman" w:hAnsi="Times New Roman" w:eastAsia="仿宋_GB2312" w:cs="仿宋_GB2312"/>
                <w:bCs/>
                <w:sz w:val="24"/>
                <w:szCs w:val="24"/>
                <w:lang w:val="en-US" w:eastAsia="zh-CN"/>
              </w:rPr>
              <w:t>2023年5月21日</w:t>
            </w: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 xml:space="preserve">       </w:t>
            </w:r>
          </w:p>
          <w:p>
            <w:pPr>
              <w:spacing w:line="400" w:lineRule="exact"/>
              <w:jc w:val="center"/>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 xml:space="preserve"> 中国合格评定国家认可委员会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建设工程质量检测机构资质证书</w:t>
            </w: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eastAsia="zh-CN"/>
              </w:rPr>
              <w:t>地基基础工程检测、主体结构工程现场检测、钢结构工程检测、见证取样等</w:t>
            </w:r>
          </w:p>
        </w:tc>
        <w:tc>
          <w:tcPr>
            <w:tcW w:w="2128" w:type="dxa"/>
            <w:gridSpan w:val="4"/>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val="en-US" w:eastAsia="zh-CN"/>
              </w:rPr>
            </w:pPr>
            <w:r>
              <w:rPr>
                <w:rFonts w:hint="eastAsia" w:ascii="Times New Roman" w:hAnsi="Times New Roman" w:eastAsia="仿宋_GB2312" w:cs="仿宋_GB2312"/>
                <w:bCs/>
                <w:sz w:val="24"/>
                <w:szCs w:val="24"/>
              </w:rPr>
              <w:t>2024年7月9日</w:t>
            </w: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eastAsia="zh-CN"/>
              </w:rPr>
              <w:t>深圳市住房和建设局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eastAsia="zh-CN"/>
              </w:rPr>
              <w:t>检验检测机构资质认定证书</w:t>
            </w: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eastAsia="zh-CN"/>
              </w:rPr>
              <w:t>涉及的范围内容较多，此处不作列举。</w:t>
            </w:r>
          </w:p>
        </w:tc>
        <w:tc>
          <w:tcPr>
            <w:tcW w:w="2128" w:type="dxa"/>
            <w:gridSpan w:val="4"/>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default" w:ascii="Times New Roman" w:hAnsi="Times New Roman" w:eastAsia="仿宋_GB2312" w:cs="仿宋_GB2312"/>
                <w:bCs/>
                <w:sz w:val="24"/>
                <w:szCs w:val="24"/>
                <w:lang w:val="en-US" w:eastAsia="zh-CN"/>
              </w:rPr>
            </w:pPr>
            <w:r>
              <w:rPr>
                <w:rFonts w:hint="eastAsia" w:ascii="Times New Roman" w:hAnsi="Times New Roman" w:eastAsia="仿宋_GB2312" w:cs="仿宋_GB2312"/>
                <w:bCs/>
                <w:sz w:val="24"/>
                <w:szCs w:val="24"/>
                <w:lang w:val="en-US" w:eastAsia="zh-CN"/>
              </w:rPr>
              <w:t>2028年12月26日</w:t>
            </w: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eastAsia="zh-CN"/>
              </w:rPr>
              <w:t>广东省市场监督管理局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975" w:type="dxa"/>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eastAsia="zh-CN"/>
              </w:rPr>
              <w:t>雷电防护装置检测资质证</w:t>
            </w:r>
          </w:p>
        </w:tc>
        <w:tc>
          <w:tcPr>
            <w:tcW w:w="2560" w:type="dxa"/>
            <w:gridSpan w:val="8"/>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eastAsia="zh-CN"/>
              </w:rPr>
              <w:t>从事《建筑物防雷设计规范》规定的第三类建（构）筑物的防雷装置的检测。</w:t>
            </w:r>
          </w:p>
        </w:tc>
        <w:tc>
          <w:tcPr>
            <w:tcW w:w="2128" w:type="dxa"/>
            <w:gridSpan w:val="4"/>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default" w:ascii="Times New Roman" w:hAnsi="Times New Roman" w:eastAsia="仿宋_GB2312" w:cs="仿宋_GB2312"/>
                <w:bCs/>
                <w:sz w:val="24"/>
                <w:szCs w:val="24"/>
                <w:lang w:val="en-US" w:eastAsia="zh-CN"/>
              </w:rPr>
            </w:pPr>
            <w:r>
              <w:rPr>
                <w:rFonts w:hint="eastAsia" w:ascii="Times New Roman" w:hAnsi="Times New Roman" w:eastAsia="仿宋_GB2312" w:cs="仿宋_GB2312"/>
                <w:bCs/>
                <w:sz w:val="24"/>
                <w:szCs w:val="24"/>
                <w:lang w:val="en-US" w:eastAsia="zh-CN"/>
              </w:rPr>
              <w:t>2024年6月25日</w:t>
            </w:r>
          </w:p>
        </w:tc>
        <w:tc>
          <w:tcPr>
            <w:tcW w:w="2056" w:type="dxa"/>
            <w:gridSpan w:val="3"/>
            <w:tcBorders>
              <w:top w:val="single" w:color="auto" w:sz="4" w:space="0"/>
              <w:left w:val="single" w:color="auto" w:sz="4" w:space="0"/>
              <w:bottom w:val="single" w:color="auto" w:sz="4" w:space="0"/>
              <w:right w:val="single" w:color="auto" w:sz="12" w:space="0"/>
            </w:tcBorders>
            <w:noWrap w:val="0"/>
            <w:vAlign w:val="center"/>
          </w:tcPr>
          <w:p>
            <w:pPr>
              <w:spacing w:line="400" w:lineRule="exact"/>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eastAsia="zh-CN"/>
              </w:rPr>
              <w:t>广东省气象局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719" w:type="dxa"/>
            <w:gridSpan w:val="16"/>
            <w:tcBorders>
              <w:top w:val="single" w:color="auto" w:sz="4" w:space="0"/>
              <w:left w:val="single" w:color="auto" w:sz="12" w:space="0"/>
              <w:right w:val="single" w:color="auto" w:sz="12" w:space="0"/>
            </w:tcBorders>
            <w:noWrap w:val="0"/>
            <w:vAlign w:val="center"/>
          </w:tcPr>
          <w:p>
            <w:pPr>
              <w:spacing w:line="400" w:lineRule="exact"/>
              <w:rPr>
                <w:rFonts w:eastAsia="楷体_GB2312"/>
                <w:color w:val="auto"/>
                <w:sz w:val="24"/>
              </w:rPr>
            </w:pPr>
            <w:r>
              <w:rPr>
                <w:rFonts w:hint="eastAsia" w:ascii="楷体_GB2312" w:eastAsia="楷体_GB2312"/>
                <w:color w:val="auto"/>
                <w:sz w:val="24"/>
              </w:rPr>
              <w:t>注：有多项资质认可或执业许可证明的应自行增加并填写相应表格栏目。</w:t>
            </w:r>
            <w:r>
              <w:rPr>
                <w:rFonts w:hint="eastAsia" w:eastAsia="楷体_GB2312"/>
                <w:color w:val="auto"/>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3394" w:type="dxa"/>
            <w:gridSpan w:val="4"/>
            <w:tcBorders>
              <w:top w:val="single" w:color="auto" w:sz="4" w:space="0"/>
              <w:left w:val="single" w:color="auto" w:sz="12" w:space="0"/>
              <w:bottom w:val="single" w:color="auto" w:sz="4" w:space="0"/>
              <w:right w:val="single" w:color="auto" w:sz="12" w:space="0"/>
            </w:tcBorders>
            <w:noWrap w:val="0"/>
            <w:vAlign w:val="center"/>
          </w:tcPr>
          <w:p>
            <w:pPr>
              <w:spacing w:line="400" w:lineRule="exact"/>
              <w:jc w:val="center"/>
              <w:rPr>
                <w:rFonts w:ascii="楷体" w:hAnsi="楷体" w:eastAsia="楷体"/>
                <w:bCs/>
                <w:color w:val="auto"/>
                <w:sz w:val="32"/>
                <w:szCs w:val="32"/>
              </w:rPr>
            </w:pPr>
            <w:r>
              <w:rPr>
                <w:rFonts w:hint="eastAsia" w:ascii="楷体" w:hAnsi="楷体" w:eastAsia="楷体"/>
                <w:bCs/>
                <w:color w:val="auto"/>
                <w:sz w:val="32"/>
                <w:szCs w:val="32"/>
              </w:rPr>
              <w:t>本单位网站</w:t>
            </w:r>
            <w:r>
              <w:rPr>
                <w:rFonts w:ascii="楷体" w:hAnsi="楷体" w:eastAsia="楷体"/>
                <w:bCs/>
                <w:color w:val="auto"/>
                <w:sz w:val="32"/>
                <w:szCs w:val="32"/>
              </w:rPr>
              <w:t>名称和</w:t>
            </w:r>
            <w:r>
              <w:rPr>
                <w:rFonts w:hint="eastAsia" w:ascii="楷体" w:hAnsi="楷体" w:eastAsia="楷体"/>
                <w:bCs/>
                <w:color w:val="auto"/>
                <w:sz w:val="32"/>
                <w:szCs w:val="32"/>
              </w:rPr>
              <w:t>网址</w:t>
            </w:r>
          </w:p>
        </w:tc>
        <w:tc>
          <w:tcPr>
            <w:tcW w:w="5325" w:type="dxa"/>
            <w:gridSpan w:val="12"/>
            <w:tcBorders>
              <w:top w:val="single" w:color="auto" w:sz="4" w:space="0"/>
              <w:left w:val="single" w:color="auto" w:sz="4" w:space="0"/>
              <w:bottom w:val="single" w:color="auto" w:sz="4" w:space="0"/>
              <w:right w:val="single" w:color="auto" w:sz="12" w:space="0"/>
            </w:tcBorders>
            <w:noWrap w:val="0"/>
            <w:vAlign w:val="center"/>
          </w:tcPr>
          <w:p>
            <w:pPr>
              <w:spacing w:line="400" w:lineRule="exact"/>
              <w:rPr>
                <w:rFonts w:hint="eastAsia" w:eastAsia="楷体_GB2312"/>
                <w:color w:val="auto"/>
                <w:sz w:val="32"/>
                <w:szCs w:val="32"/>
                <w:lang w:eastAsia="zh-CN"/>
              </w:rPr>
            </w:pPr>
            <w:r>
              <w:rPr>
                <w:rFonts w:eastAsia="楷体_GB2312"/>
                <w:color w:val="auto"/>
                <w:sz w:val="32"/>
                <w:szCs w:val="32"/>
              </w:rPr>
              <w:t xml:space="preserve"> </w:t>
            </w:r>
            <w:r>
              <w:rPr>
                <w:rFonts w:hint="eastAsia" w:eastAsia="楷体_GB2312"/>
                <w:color w:val="auto"/>
                <w:sz w:val="32"/>
                <w:szCs w:val="32"/>
                <w:u w:val="none"/>
                <w:lang w:eastAsia="zh-CN"/>
              </w:rPr>
              <w:t>有</w:t>
            </w:r>
            <w:r>
              <w:rPr>
                <w:rFonts w:hint="eastAsia" w:eastAsia="楷体_GB2312"/>
                <w:color w:val="auto"/>
                <w:sz w:val="32"/>
                <w:szCs w:val="32"/>
              </w:rPr>
              <w:t>□</w:t>
            </w:r>
            <w:r>
              <w:rPr>
                <w:rFonts w:eastAsia="楷体_GB2312"/>
                <w:color w:val="auto"/>
                <w:sz w:val="32"/>
                <w:szCs w:val="32"/>
                <w:u w:val="single"/>
              </w:rPr>
              <w:t xml:space="preserve">                   </w:t>
            </w:r>
            <w:r>
              <w:rPr>
                <w:rFonts w:eastAsia="楷体_GB2312"/>
                <w:color w:val="auto"/>
                <w:sz w:val="32"/>
                <w:szCs w:val="32"/>
              </w:rPr>
              <w:t xml:space="preserve"> </w:t>
            </w:r>
            <w:r>
              <w:rPr>
                <w:rFonts w:hint="eastAsia" w:eastAsia="楷体_GB2312"/>
                <w:color w:val="auto"/>
                <w:sz w:val="32"/>
                <w:szCs w:val="32"/>
              </w:rPr>
              <w:t>无</w:t>
            </w:r>
            <w:r>
              <w:rPr>
                <w:rFonts w:hint="eastAsia" w:eastAsia="楷体_GB2312"/>
                <w:color w:val="auto"/>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6663" w:type="dxa"/>
            <w:gridSpan w:val="13"/>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ascii="楷体" w:hAnsi="楷体" w:eastAsia="楷体"/>
                <w:bCs/>
                <w:color w:val="auto"/>
                <w:sz w:val="32"/>
                <w:szCs w:val="32"/>
              </w:rPr>
              <w:t>是否</w:t>
            </w:r>
            <w:r>
              <w:rPr>
                <w:rFonts w:ascii="楷体" w:hAnsi="楷体" w:eastAsia="楷体"/>
                <w:bCs/>
                <w:color w:val="auto"/>
                <w:sz w:val="32"/>
                <w:szCs w:val="32"/>
              </w:rPr>
              <w:t>向主管部门或举办单位</w:t>
            </w:r>
            <w:r>
              <w:rPr>
                <w:rFonts w:hint="eastAsia" w:ascii="楷体" w:hAnsi="楷体" w:eastAsia="楷体"/>
                <w:bCs/>
                <w:color w:val="auto"/>
                <w:sz w:val="32"/>
                <w:szCs w:val="32"/>
              </w:rPr>
              <w:t>报送上一年度财务报告</w:t>
            </w:r>
          </w:p>
        </w:tc>
        <w:tc>
          <w:tcPr>
            <w:tcW w:w="992" w:type="dxa"/>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hint="default" w:eastAsia="楷体_GB2312"/>
                <w:color w:val="auto"/>
                <w:sz w:val="32"/>
                <w:szCs w:val="32"/>
                <w:lang w:val="en"/>
              </w:rPr>
            </w:pPr>
            <w:r>
              <w:rPr>
                <w:rFonts w:hint="eastAsia" w:eastAsia="楷体_GB2312"/>
                <w:color w:val="auto"/>
                <w:sz w:val="32"/>
                <w:szCs w:val="32"/>
              </w:rPr>
              <w:t>是</w:t>
            </w:r>
            <w:r>
              <w:rPr>
                <w:rFonts w:hint="default" w:eastAsia="楷体_GB2312"/>
                <w:color w:val="auto"/>
                <w:sz w:val="32"/>
                <w:szCs w:val="32"/>
                <w:lang w:val="en"/>
              </w:rPr>
              <w:t>☑</w:t>
            </w:r>
          </w:p>
        </w:tc>
        <w:tc>
          <w:tcPr>
            <w:tcW w:w="1064" w:type="dxa"/>
            <w:gridSpan w:val="2"/>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268" w:type="dxa"/>
            <w:gridSpan w:val="2"/>
            <w:vMerge w:val="restart"/>
            <w:tcBorders>
              <w:top w:val="single" w:color="auto" w:sz="12" w:space="0"/>
              <w:left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ascii="楷体" w:hAnsi="楷体" w:eastAsia="楷体"/>
                <w:bCs/>
                <w:color w:val="auto"/>
                <w:sz w:val="32"/>
                <w:szCs w:val="32"/>
              </w:rPr>
              <w:t>资产损益</w:t>
            </w:r>
            <w:r>
              <w:rPr>
                <w:rFonts w:ascii="楷体" w:hAnsi="楷体" w:eastAsia="楷体"/>
                <w:bCs/>
                <w:color w:val="auto"/>
                <w:sz w:val="32"/>
                <w:szCs w:val="32"/>
              </w:rPr>
              <w:t>情况</w:t>
            </w:r>
          </w:p>
        </w:tc>
        <w:tc>
          <w:tcPr>
            <w:tcW w:w="6451" w:type="dxa"/>
            <w:gridSpan w:val="14"/>
            <w:tcBorders>
              <w:top w:val="single" w:color="auto" w:sz="12" w:space="0"/>
              <w:left w:val="single" w:color="auto" w:sz="12" w:space="0"/>
              <w:bottom w:val="single" w:color="auto" w:sz="12" w:space="0"/>
              <w:right w:val="single" w:color="auto" w:sz="12" w:space="0"/>
            </w:tcBorders>
            <w:noWrap w:val="0"/>
            <w:vAlign w:val="center"/>
          </w:tcPr>
          <w:p>
            <w:pPr>
              <w:spacing w:line="400" w:lineRule="exact"/>
              <w:ind w:firstLine="648"/>
              <w:rPr>
                <w:rFonts w:eastAsia="楷体_GB2312"/>
                <w:color w:val="auto"/>
                <w:sz w:val="32"/>
                <w:szCs w:val="32"/>
              </w:rPr>
            </w:pPr>
            <w:r>
              <w:rPr>
                <w:rFonts w:hint="eastAsia" w:eastAsia="楷体_GB2312"/>
                <w:color w:val="auto"/>
                <w:sz w:val="32"/>
                <w:szCs w:val="32"/>
              </w:rPr>
              <w:t>净资产合计</w:t>
            </w:r>
            <w:r>
              <w:rPr>
                <w:rFonts w:eastAsia="楷体_GB2312"/>
                <w:color w:val="auto"/>
                <w:sz w:val="32"/>
                <w:szCs w:val="32"/>
              </w:rPr>
              <w:t>（</w:t>
            </w:r>
            <w:r>
              <w:rPr>
                <w:rFonts w:hint="eastAsia" w:eastAsia="楷体_GB2312"/>
                <w:color w:val="auto"/>
                <w:sz w:val="32"/>
                <w:szCs w:val="32"/>
              </w:rPr>
              <w:t>所有者</w:t>
            </w:r>
            <w:r>
              <w:rPr>
                <w:rFonts w:eastAsia="楷体_GB2312"/>
                <w:color w:val="auto"/>
                <w:sz w:val="32"/>
                <w:szCs w:val="32"/>
              </w:rPr>
              <w:t>权益合计）</w:t>
            </w:r>
          </w:p>
          <w:p>
            <w:pPr>
              <w:spacing w:line="400" w:lineRule="exact"/>
              <w:rPr>
                <w:rFonts w:hint="eastAsia" w:eastAsia="楷体_GB2312"/>
                <w:color w:val="auto"/>
                <w:sz w:val="32"/>
                <w:szCs w:val="32"/>
                <w:lang w:val="en-US" w:eastAsia="zh-CN"/>
              </w:rPr>
            </w:pPr>
            <w:r>
              <w:rPr>
                <w:rFonts w:hint="eastAsia" w:ascii="楷体_GB2312" w:eastAsia="楷体_GB2312"/>
                <w:color w:val="auto"/>
                <w:sz w:val="24"/>
                <w:lang w:val="en-US" w:eastAsia="zh-CN"/>
              </w:rPr>
              <w:t>注：此处所填数据应与本报告所附上一年度末资产负债表中的净资产合计（所有者权益合计）一致。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2268" w:type="dxa"/>
            <w:gridSpan w:val="2"/>
            <w:vMerge w:val="continue"/>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rPr>
            </w:pPr>
          </w:p>
        </w:tc>
        <w:tc>
          <w:tcPr>
            <w:tcW w:w="3119" w:type="dxa"/>
            <w:gridSpan w:val="9"/>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年初数（万元）</w:t>
            </w:r>
          </w:p>
          <w:p>
            <w:pPr>
              <w:spacing w:line="400" w:lineRule="exact"/>
              <w:rPr>
                <w:rFonts w:eastAsia="楷体_GB2312"/>
                <w:color w:val="auto"/>
                <w:sz w:val="32"/>
                <w:szCs w:val="32"/>
                <w:u w:val="single"/>
              </w:rPr>
            </w:pPr>
            <w:r>
              <w:rPr>
                <w:rFonts w:eastAsia="楷体_GB2312"/>
                <w:color w:val="auto"/>
                <w:sz w:val="32"/>
                <w:szCs w:val="32"/>
                <w:u w:val="single"/>
              </w:rPr>
              <w:t xml:space="preserve">  </w:t>
            </w:r>
            <w:r>
              <w:rPr>
                <w:rFonts w:hint="default" w:eastAsia="楷体_GB2312"/>
                <w:color w:val="auto"/>
                <w:sz w:val="32"/>
                <w:szCs w:val="32"/>
                <w:u w:val="single"/>
                <w:lang w:val="en"/>
              </w:rPr>
              <w:t>26097</w:t>
            </w:r>
            <w:r>
              <w:rPr>
                <w:rFonts w:eastAsia="楷体_GB2312"/>
                <w:color w:val="auto"/>
                <w:sz w:val="32"/>
                <w:szCs w:val="32"/>
                <w:u w:val="single"/>
              </w:rPr>
              <w:t xml:space="preserve">   </w:t>
            </w:r>
          </w:p>
        </w:tc>
        <w:tc>
          <w:tcPr>
            <w:tcW w:w="3332" w:type="dxa"/>
            <w:gridSpan w:val="5"/>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年末数</w:t>
            </w:r>
            <w:r>
              <w:rPr>
                <w:rFonts w:eastAsia="楷体_GB2312"/>
                <w:color w:val="auto"/>
                <w:sz w:val="32"/>
                <w:szCs w:val="32"/>
              </w:rPr>
              <w:t>（</w:t>
            </w:r>
            <w:r>
              <w:rPr>
                <w:rFonts w:hint="eastAsia" w:eastAsia="楷体_GB2312"/>
                <w:color w:val="auto"/>
                <w:sz w:val="32"/>
                <w:szCs w:val="32"/>
              </w:rPr>
              <w:t>万元</w:t>
            </w:r>
            <w:r>
              <w:rPr>
                <w:rFonts w:eastAsia="楷体_GB2312"/>
                <w:color w:val="auto"/>
                <w:sz w:val="32"/>
                <w:szCs w:val="32"/>
              </w:rPr>
              <w:t>）</w:t>
            </w:r>
          </w:p>
          <w:p>
            <w:pPr>
              <w:spacing w:line="400" w:lineRule="exact"/>
              <w:rPr>
                <w:rFonts w:eastAsia="楷体_GB2312"/>
                <w:color w:val="auto"/>
                <w:sz w:val="32"/>
                <w:szCs w:val="32"/>
              </w:rPr>
            </w:pPr>
            <w:r>
              <w:rPr>
                <w:rFonts w:eastAsia="楷体_GB2312"/>
                <w:color w:val="auto"/>
                <w:sz w:val="32"/>
                <w:szCs w:val="32"/>
                <w:u w:val="single"/>
              </w:rPr>
              <w:t xml:space="preserve">   </w:t>
            </w:r>
            <w:r>
              <w:rPr>
                <w:rFonts w:hint="default" w:eastAsia="楷体_GB2312"/>
                <w:color w:val="auto"/>
                <w:sz w:val="32"/>
                <w:szCs w:val="32"/>
                <w:u w:val="single"/>
                <w:lang w:val="en"/>
              </w:rPr>
              <w:t>29424</w:t>
            </w:r>
            <w:r>
              <w:rPr>
                <w:rFonts w:eastAsia="楷体_GB2312"/>
                <w:color w:val="auto"/>
                <w:sz w:val="3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975" w:type="dxa"/>
            <w:vMerge w:val="restart"/>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rPr>
            </w:pPr>
            <w:r>
              <w:rPr>
                <w:rFonts w:hint="eastAsia" w:ascii="楷体" w:hAnsi="楷体" w:eastAsia="楷体"/>
                <w:bCs/>
                <w:color w:val="auto"/>
                <w:sz w:val="32"/>
                <w:szCs w:val="32"/>
              </w:rPr>
              <w:t>人员编制情况</w:t>
            </w:r>
          </w:p>
        </w:tc>
        <w:tc>
          <w:tcPr>
            <w:tcW w:w="1569"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编制数</w:t>
            </w:r>
          </w:p>
        </w:tc>
        <w:tc>
          <w:tcPr>
            <w:tcW w:w="2693" w:type="dxa"/>
            <w:gridSpan w:val="7"/>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实有在编人员数</w:t>
            </w:r>
          </w:p>
        </w:tc>
        <w:tc>
          <w:tcPr>
            <w:tcW w:w="2482"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rPr>
                <w:rFonts w:eastAsia="楷体_GB2312"/>
                <w:color w:val="auto"/>
                <w:sz w:val="32"/>
                <w:szCs w:val="32"/>
              </w:rPr>
            </w:pPr>
            <w:r>
              <w:rPr>
                <w:rFonts w:hint="eastAsia" w:eastAsia="楷体_GB2312"/>
                <w:color w:val="auto"/>
                <w:sz w:val="32"/>
                <w:szCs w:val="32"/>
              </w:rPr>
              <w:t>实有在职人员数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975" w:type="dxa"/>
            <w:vMerge w:val="continue"/>
            <w:tcBorders>
              <w:left w:val="single" w:color="auto" w:sz="12" w:space="0"/>
              <w:right w:val="single" w:color="auto" w:sz="12" w:space="0"/>
            </w:tcBorders>
            <w:noWrap w:val="0"/>
            <w:vAlign w:val="center"/>
          </w:tcPr>
          <w:p>
            <w:pPr>
              <w:spacing w:line="400" w:lineRule="exact"/>
              <w:rPr>
                <w:rFonts w:ascii="楷体" w:hAnsi="楷体" w:eastAsia="楷体"/>
                <w:bCs/>
                <w:color w:val="auto"/>
                <w:sz w:val="32"/>
                <w:szCs w:val="32"/>
              </w:rPr>
            </w:pPr>
          </w:p>
        </w:tc>
        <w:tc>
          <w:tcPr>
            <w:tcW w:w="1569"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jc w:val="center"/>
              <w:rPr>
                <w:rFonts w:hint="default" w:eastAsia="楷体_GB2312"/>
                <w:color w:val="auto"/>
                <w:sz w:val="32"/>
                <w:szCs w:val="32"/>
                <w:lang w:val="en"/>
              </w:rPr>
            </w:pPr>
            <w:r>
              <w:rPr>
                <w:rFonts w:hint="default" w:eastAsia="楷体_GB2312"/>
                <w:color w:val="auto"/>
                <w:sz w:val="32"/>
                <w:szCs w:val="32"/>
                <w:lang w:val="en"/>
              </w:rPr>
              <w:t>90</w:t>
            </w:r>
          </w:p>
        </w:tc>
        <w:tc>
          <w:tcPr>
            <w:tcW w:w="2693" w:type="dxa"/>
            <w:gridSpan w:val="7"/>
            <w:tcBorders>
              <w:top w:val="single" w:color="auto" w:sz="12" w:space="0"/>
              <w:left w:val="single" w:color="auto" w:sz="12" w:space="0"/>
              <w:bottom w:val="single" w:color="auto" w:sz="12" w:space="0"/>
              <w:right w:val="single" w:color="auto" w:sz="12" w:space="0"/>
            </w:tcBorders>
            <w:noWrap w:val="0"/>
            <w:vAlign w:val="center"/>
          </w:tcPr>
          <w:p>
            <w:pPr>
              <w:spacing w:line="400" w:lineRule="exact"/>
              <w:jc w:val="center"/>
              <w:rPr>
                <w:rFonts w:hint="eastAsia" w:eastAsia="楷体_GB2312"/>
                <w:color w:val="auto"/>
                <w:sz w:val="32"/>
                <w:szCs w:val="32"/>
                <w:lang w:val="en" w:eastAsia="zh-CN"/>
              </w:rPr>
            </w:pPr>
            <w:r>
              <w:rPr>
                <w:rFonts w:hint="default" w:eastAsia="楷体_GB2312"/>
                <w:color w:val="auto"/>
                <w:sz w:val="32"/>
                <w:szCs w:val="32"/>
                <w:lang w:val="en"/>
              </w:rPr>
              <w:t>4</w:t>
            </w:r>
            <w:r>
              <w:rPr>
                <w:rFonts w:hint="eastAsia" w:eastAsia="楷体_GB2312"/>
                <w:color w:val="auto"/>
                <w:sz w:val="32"/>
                <w:szCs w:val="32"/>
                <w:lang w:val="en-US" w:eastAsia="zh-CN"/>
              </w:rPr>
              <w:t>1</w:t>
            </w:r>
          </w:p>
        </w:tc>
        <w:tc>
          <w:tcPr>
            <w:tcW w:w="2482" w:type="dxa"/>
            <w:gridSpan w:val="4"/>
            <w:tcBorders>
              <w:top w:val="single" w:color="auto" w:sz="12" w:space="0"/>
              <w:left w:val="single" w:color="auto" w:sz="12" w:space="0"/>
              <w:bottom w:val="single" w:color="auto" w:sz="12" w:space="0"/>
              <w:right w:val="single" w:color="auto" w:sz="12" w:space="0"/>
            </w:tcBorders>
            <w:noWrap w:val="0"/>
            <w:vAlign w:val="center"/>
          </w:tcPr>
          <w:p>
            <w:pPr>
              <w:spacing w:line="400" w:lineRule="exact"/>
              <w:jc w:val="center"/>
              <w:rPr>
                <w:rFonts w:hint="default" w:eastAsia="楷体_GB2312"/>
                <w:color w:val="auto"/>
                <w:sz w:val="32"/>
                <w:szCs w:val="32"/>
                <w:lang w:val="en"/>
              </w:rPr>
            </w:pPr>
            <w:r>
              <w:rPr>
                <w:rFonts w:hint="default" w:eastAsia="楷体_GB2312"/>
                <w:color w:val="auto"/>
                <w:sz w:val="32"/>
                <w:szCs w:val="32"/>
                <w:lang w:val="en"/>
              </w:rPr>
              <w:t>309</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6663" w:type="dxa"/>
            <w:gridSpan w:val="13"/>
            <w:noWrap w:val="0"/>
            <w:vAlign w:val="top"/>
          </w:tcPr>
          <w:p>
            <w:pPr>
              <w:rPr>
                <w:rFonts w:ascii="楷体_GB2312" w:eastAsia="楷体_GB2312"/>
                <w:color w:val="auto"/>
                <w:sz w:val="32"/>
                <w:szCs w:val="32"/>
              </w:rPr>
            </w:pPr>
            <w:r>
              <w:rPr>
                <w:rFonts w:hint="eastAsia" w:ascii="楷体_GB2312" w:eastAsia="楷体_GB2312"/>
                <w:color w:val="auto"/>
                <w:sz w:val="32"/>
                <w:szCs w:val="32"/>
              </w:rPr>
              <w:t>上一年度单位是否有多个开展业务活动的地址</w:t>
            </w:r>
          </w:p>
        </w:tc>
        <w:tc>
          <w:tcPr>
            <w:tcW w:w="992" w:type="dxa"/>
            <w:noWrap w:val="0"/>
            <w:vAlign w:val="top"/>
          </w:tcPr>
          <w:p>
            <w:pPr>
              <w:rPr>
                <w:rFonts w:hint="default" w:ascii="仿宋_GB2312" w:eastAsia="仿宋_GB2312"/>
                <w:color w:val="auto"/>
                <w:sz w:val="32"/>
                <w:szCs w:val="32"/>
                <w:lang w:val="en"/>
              </w:rPr>
            </w:pPr>
            <w:r>
              <w:rPr>
                <w:rFonts w:hint="eastAsia" w:ascii="仿宋_GB2312" w:eastAsia="仿宋_GB2312"/>
                <w:color w:val="auto"/>
                <w:sz w:val="32"/>
                <w:szCs w:val="32"/>
              </w:rPr>
              <w:t>是</w:t>
            </w:r>
            <w:r>
              <w:rPr>
                <w:rFonts w:hint="default" w:ascii="仿宋_GB2312" w:eastAsia="仿宋_GB2312"/>
                <w:color w:val="auto"/>
                <w:sz w:val="32"/>
                <w:szCs w:val="32"/>
                <w:lang w:val="en"/>
              </w:rPr>
              <w:t>☑</w:t>
            </w:r>
          </w:p>
        </w:tc>
        <w:tc>
          <w:tcPr>
            <w:tcW w:w="1064" w:type="dxa"/>
            <w:gridSpan w:val="2"/>
            <w:noWrap w:val="0"/>
            <w:vAlign w:val="top"/>
          </w:tcPr>
          <w:p>
            <w:pPr>
              <w:ind w:left="59"/>
              <w:rPr>
                <w:rFonts w:ascii="仿宋_GB2312" w:eastAsia="仿宋_GB2312"/>
                <w:color w:val="auto"/>
                <w:sz w:val="32"/>
                <w:szCs w:val="32"/>
              </w:rPr>
            </w:pPr>
            <w:r>
              <w:rPr>
                <w:rFonts w:hint="eastAsia" w:ascii="仿宋_GB2312" w:eastAsia="仿宋_GB2312"/>
                <w:color w:val="auto"/>
                <w:sz w:val="32"/>
                <w:szCs w:val="32"/>
              </w:rPr>
              <w:t>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8719" w:type="dxa"/>
            <w:gridSpan w:val="16"/>
            <w:noWrap w:val="0"/>
            <w:vAlign w:val="top"/>
          </w:tcPr>
          <w:p>
            <w:pPr>
              <w:ind w:left="59"/>
              <w:rPr>
                <w:rFonts w:eastAsia="楷体_GB2312"/>
                <w:color w:val="auto"/>
                <w:sz w:val="32"/>
                <w:szCs w:val="32"/>
              </w:rPr>
            </w:pPr>
            <w:r>
              <w:rPr>
                <w:rFonts w:hint="eastAsia" w:eastAsia="楷体_GB2312"/>
                <w:color w:val="auto"/>
                <w:sz w:val="32"/>
                <w:szCs w:val="32"/>
              </w:rPr>
              <w:t>开展业务活动的地址有（详细</w:t>
            </w:r>
            <w:r>
              <w:rPr>
                <w:rFonts w:eastAsia="楷体_GB2312"/>
                <w:color w:val="auto"/>
                <w:sz w:val="32"/>
                <w:szCs w:val="32"/>
              </w:rPr>
              <w:t>到街道名字</w:t>
            </w:r>
            <w:r>
              <w:rPr>
                <w:rFonts w:hint="eastAsia" w:eastAsia="楷体_GB2312"/>
                <w:color w:val="auto"/>
                <w:sz w:val="32"/>
                <w:szCs w:val="32"/>
              </w:rPr>
              <w:t>）：</w:t>
            </w:r>
          </w:p>
          <w:p>
            <w:pPr>
              <w:ind w:left="59"/>
              <w:rPr>
                <w:rFonts w:ascii="楷体_GB2312" w:eastAsia="楷体_GB2312"/>
                <w:color w:val="auto"/>
                <w:sz w:val="32"/>
                <w:szCs w:val="32"/>
                <w:u w:val="single"/>
              </w:rPr>
            </w:pPr>
            <w:r>
              <w:rPr>
                <w:rFonts w:hint="eastAsia" w:eastAsia="楷体_GB2312"/>
                <w:color w:val="auto"/>
                <w:sz w:val="32"/>
                <w:szCs w:val="32"/>
                <w:lang w:eastAsia="zh-CN"/>
              </w:rPr>
              <w:t>主要</w:t>
            </w:r>
            <w:r>
              <w:rPr>
                <w:rFonts w:hint="eastAsia" w:eastAsia="楷体_GB2312"/>
                <w:color w:val="auto"/>
                <w:sz w:val="32"/>
                <w:szCs w:val="32"/>
              </w:rPr>
              <w:t>地址</w:t>
            </w:r>
            <w:r>
              <w:rPr>
                <w:rFonts w:hint="eastAsia" w:eastAsia="楷体_GB2312"/>
                <w:color w:val="auto"/>
                <w:sz w:val="32"/>
                <w:szCs w:val="32"/>
                <w:lang w:val="en-US" w:eastAsia="zh-CN"/>
              </w:rPr>
              <w:t xml:space="preserve"> </w:t>
            </w:r>
            <w:r>
              <w:rPr>
                <w:rFonts w:hint="eastAsia" w:ascii="楷体_GB2312" w:eastAsia="楷体_GB2312"/>
                <w:color w:val="auto"/>
                <w:sz w:val="32"/>
                <w:szCs w:val="32"/>
                <w:u w:val="single"/>
              </w:rPr>
              <w:t xml:space="preserve">  深圳市南山区南头街道铁二路南山建工村14栋</w:t>
            </w: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ascii="楷体_GB2312" w:eastAsia="楷体_GB2312"/>
                <w:color w:val="auto"/>
                <w:sz w:val="32"/>
                <w:szCs w:val="32"/>
                <w:u w:val="single"/>
              </w:rPr>
              <w:t xml:space="preserve">   </w:t>
            </w:r>
            <w:r>
              <w:rPr>
                <w:rFonts w:eastAsia="楷体_GB2312"/>
                <w:color w:val="auto"/>
                <w:sz w:val="32"/>
                <w:szCs w:val="32"/>
              </w:rPr>
              <w:t xml:space="preserve"> </w:t>
            </w:r>
            <w:r>
              <w:rPr>
                <w:rFonts w:hint="eastAsia" w:eastAsia="楷体_GB2312"/>
                <w:color w:val="auto"/>
                <w:sz w:val="32"/>
                <w:szCs w:val="32"/>
              </w:rPr>
              <w:t xml:space="preserve">                   </w:t>
            </w:r>
            <w:r>
              <w:rPr>
                <w:rFonts w:eastAsia="楷体_GB2312"/>
                <w:color w:val="auto"/>
                <w:sz w:val="32"/>
                <w:szCs w:val="32"/>
              </w:rPr>
              <w:t xml:space="preserve">      </w:t>
            </w:r>
          </w:p>
          <w:p>
            <w:pPr>
              <w:ind w:left="59"/>
              <w:rPr>
                <w:rFonts w:eastAsia="楷体_GB2312"/>
                <w:color w:val="auto"/>
                <w:sz w:val="32"/>
                <w:szCs w:val="32"/>
              </w:rPr>
            </w:pPr>
            <w:r>
              <w:rPr>
                <w:rFonts w:hint="eastAsia" w:ascii="楷体_GB2312" w:eastAsia="楷体_GB2312"/>
                <w:color w:val="auto"/>
                <w:sz w:val="32"/>
                <w:szCs w:val="32"/>
                <w:u w:val="none"/>
                <w:lang w:eastAsia="zh-CN"/>
              </w:rPr>
              <w:t>其他地址</w:t>
            </w:r>
            <w:r>
              <w:rPr>
                <w:rFonts w:hint="eastAsia" w:ascii="楷体_GB2312" w:eastAsia="楷体_GB2312"/>
                <w:color w:val="auto"/>
                <w:sz w:val="32"/>
                <w:szCs w:val="32"/>
                <w:u w:val="single"/>
                <w:lang w:val="en-US" w:eastAsia="zh-CN"/>
              </w:rPr>
              <w:t>1.</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eastAsia="zh-CN"/>
              </w:rPr>
              <w:t>深圳市福田区天安数码城天济大厦</w:t>
            </w:r>
            <w:r>
              <w:rPr>
                <w:rFonts w:hint="eastAsia" w:ascii="楷体_GB2312" w:eastAsia="楷体_GB2312"/>
                <w:color w:val="auto"/>
                <w:sz w:val="32"/>
                <w:szCs w:val="32"/>
                <w:u w:val="single"/>
                <w:lang w:val="en-US" w:eastAsia="zh-CN"/>
              </w:rPr>
              <w:t>1楼B座</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 </w:t>
            </w:r>
          </w:p>
          <w:p>
            <w:pPr>
              <w:rPr>
                <w:rFonts w:eastAsia="楷体_GB2312"/>
                <w:color w:val="auto"/>
                <w:sz w:val="32"/>
                <w:szCs w:val="32"/>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u w:val="single"/>
              </w:rPr>
              <w:t xml:space="preserve">  </w:t>
            </w:r>
            <w:r>
              <w:rPr>
                <w:rFonts w:hint="eastAsia" w:ascii="楷体_GB2312" w:eastAsia="楷体_GB2312"/>
                <w:color w:val="auto"/>
                <w:sz w:val="32"/>
                <w:szCs w:val="32"/>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w:t>
            </w:r>
            <w:r>
              <w:rPr>
                <w:rFonts w:hint="eastAsia" w:eastAsia="楷体_GB2312"/>
                <w:color w:val="auto"/>
                <w:sz w:val="32"/>
                <w:szCs w:val="32"/>
              </w:rPr>
              <w:t>接受行政</w:t>
            </w:r>
            <w:r>
              <w:rPr>
                <w:rFonts w:eastAsia="楷体_GB2312"/>
                <w:color w:val="auto"/>
                <w:sz w:val="32"/>
                <w:szCs w:val="32"/>
              </w:rPr>
              <w:t>主管部门</w:t>
            </w:r>
            <w:r>
              <w:rPr>
                <w:rFonts w:hint="eastAsia" w:eastAsia="楷体_GB2312"/>
                <w:color w:val="auto"/>
                <w:sz w:val="32"/>
                <w:szCs w:val="32"/>
              </w:rPr>
              <w:t>或</w:t>
            </w:r>
            <w:r>
              <w:rPr>
                <w:rFonts w:eastAsia="楷体_GB2312"/>
                <w:color w:val="auto"/>
                <w:sz w:val="32"/>
                <w:szCs w:val="32"/>
              </w:rPr>
              <w:t>举办单位开展的</w:t>
            </w:r>
            <w:r>
              <w:rPr>
                <w:rFonts w:hint="eastAsia" w:eastAsia="楷体_GB2312"/>
                <w:color w:val="auto"/>
                <w:sz w:val="32"/>
                <w:szCs w:val="32"/>
              </w:rPr>
              <w:t>绩效评价</w:t>
            </w:r>
          </w:p>
        </w:tc>
        <w:tc>
          <w:tcPr>
            <w:tcW w:w="992" w:type="dxa"/>
            <w:gridSpan w:val="3"/>
            <w:noWrap w:val="0"/>
            <w:vAlign w:val="top"/>
          </w:tcPr>
          <w:p>
            <w:pPr>
              <w:ind w:left="59"/>
              <w:rPr>
                <w:rFonts w:hint="eastAsia" w:eastAsia="楷体_GB2312"/>
                <w:color w:val="auto"/>
                <w:sz w:val="32"/>
                <w:szCs w:val="32"/>
                <w:lang w:eastAsia="zh-CN"/>
              </w:rPr>
            </w:pPr>
            <w:r>
              <w:rPr>
                <w:rFonts w:hint="eastAsia" w:eastAsia="楷体_GB2312"/>
                <w:color w:val="auto"/>
                <w:sz w:val="32"/>
                <w:szCs w:val="32"/>
              </w:rPr>
              <w:t>否</w:t>
            </w:r>
            <w:r>
              <w:rPr>
                <w:rFonts w:hint="eastAsia" w:eastAsia="楷体_GB2312"/>
                <w:color w:val="auto"/>
                <w:sz w:val="32"/>
                <w:szCs w:val="32"/>
                <w:lang w:eastAsia="zh-CN"/>
              </w:rPr>
              <w:t>□</w:t>
            </w:r>
          </w:p>
        </w:tc>
        <w:tc>
          <w:tcPr>
            <w:tcW w:w="4466" w:type="dxa"/>
            <w:gridSpan w:val="10"/>
            <w:noWrap w:val="0"/>
            <w:vAlign w:val="top"/>
          </w:tcPr>
          <w:p>
            <w:pPr>
              <w:ind w:left="59"/>
              <w:rPr>
                <w:rFonts w:eastAsia="楷体_GB2312"/>
                <w:color w:val="auto"/>
                <w:sz w:val="32"/>
                <w:szCs w:val="32"/>
              </w:rPr>
            </w:pPr>
            <w:r>
              <w:rPr>
                <w:rFonts w:hint="eastAsia" w:eastAsia="楷体_GB2312"/>
                <w:color w:val="auto"/>
                <w:sz w:val="32"/>
                <w:szCs w:val="32"/>
              </w:rPr>
              <w:t>是</w:t>
            </w:r>
            <w:r>
              <w:rPr>
                <w:rFonts w:hint="eastAsia" w:eastAsia="楷体_GB2312"/>
                <w:color w:val="auto"/>
                <w:sz w:val="32"/>
                <w:szCs w:val="32"/>
                <w:lang w:eastAsia="zh-CN"/>
              </w:rPr>
              <w:t>☑</w:t>
            </w:r>
            <w:r>
              <w:rPr>
                <w:rFonts w:hint="eastAsia" w:eastAsia="楷体_GB2312"/>
                <w:color w:val="auto"/>
                <w:sz w:val="32"/>
                <w:szCs w:val="32"/>
              </w:rPr>
              <w:t>组织开展</w:t>
            </w:r>
            <w:r>
              <w:rPr>
                <w:rFonts w:eastAsia="楷体_GB2312"/>
                <w:color w:val="auto"/>
                <w:sz w:val="32"/>
                <w:szCs w:val="32"/>
              </w:rPr>
              <w:t>绩效</w:t>
            </w:r>
            <w:r>
              <w:rPr>
                <w:rFonts w:hint="eastAsia" w:eastAsia="楷体_GB2312"/>
                <w:color w:val="auto"/>
                <w:sz w:val="32"/>
                <w:szCs w:val="32"/>
              </w:rPr>
              <w:t>评价的</w:t>
            </w:r>
            <w:r>
              <w:rPr>
                <w:rFonts w:eastAsia="楷体_GB2312"/>
                <w:color w:val="auto"/>
                <w:sz w:val="32"/>
                <w:szCs w:val="32"/>
              </w:rPr>
              <w:t>单位</w:t>
            </w:r>
            <w:r>
              <w:rPr>
                <w:rFonts w:hint="eastAsia" w:eastAsia="楷体_GB2312"/>
                <w:color w:val="auto"/>
                <w:sz w:val="32"/>
                <w:szCs w:val="32"/>
              </w:rPr>
              <w:t>/部门</w:t>
            </w:r>
            <w:r>
              <w:rPr>
                <w:rFonts w:eastAsia="楷体_GB2312"/>
                <w:color w:val="auto"/>
                <w:sz w:val="32"/>
                <w:szCs w:val="32"/>
              </w:rPr>
              <w:t>：</w:t>
            </w:r>
          </w:p>
          <w:p>
            <w:pPr>
              <w:ind w:left="59"/>
              <w:rPr>
                <w:rFonts w:eastAsia="楷体_GB2312"/>
                <w:color w:val="auto"/>
                <w:sz w:val="32"/>
                <w:szCs w:val="32"/>
              </w:rPr>
            </w:pPr>
            <w:r>
              <w:rPr>
                <w:rFonts w:ascii="楷体_GB2312" w:eastAsia="楷体_GB2312"/>
                <w:color w:val="auto"/>
                <w:sz w:val="32"/>
                <w:szCs w:val="32"/>
                <w:u w:val="single"/>
              </w:rPr>
              <w:t xml:space="preserve"> </w:t>
            </w:r>
            <w:r>
              <w:rPr>
                <w:rFonts w:hint="eastAsia" w:ascii="楷体_GB2312" w:eastAsia="楷体_GB2312"/>
                <w:color w:val="auto"/>
                <w:sz w:val="32"/>
                <w:szCs w:val="32"/>
                <w:u w:val="single"/>
                <w:lang w:eastAsia="zh-CN"/>
              </w:rPr>
              <w:t>深圳市住房和建设局</w:t>
            </w:r>
            <w:r>
              <w:rPr>
                <w:rFonts w:ascii="楷体_GB2312" w:eastAsia="楷体_GB2312"/>
                <w:color w:val="auto"/>
                <w:sz w:val="32"/>
                <w:szCs w:val="32"/>
                <w:u w:val="single"/>
              </w:rPr>
              <w:t xml:space="preserve">  </w:t>
            </w:r>
          </w:p>
          <w:p>
            <w:pPr>
              <w:ind w:left="59"/>
              <w:rPr>
                <w:rFonts w:hint="eastAsia" w:ascii="楷体_GB2312" w:eastAsia="楷体_GB2312"/>
                <w:color w:val="auto"/>
                <w:sz w:val="32"/>
                <w:szCs w:val="32"/>
                <w:lang w:val="en-US" w:eastAsia="zh-CN"/>
              </w:rPr>
            </w:pPr>
            <w:r>
              <w:rPr>
                <w:rFonts w:hint="eastAsia" w:ascii="楷体_GB2312" w:eastAsia="楷体_GB2312"/>
                <w:color w:val="auto"/>
                <w:sz w:val="32"/>
                <w:szCs w:val="32"/>
                <w:lang w:eastAsia="zh-CN"/>
              </w:rPr>
              <w:t>评价年度：</w:t>
            </w:r>
            <w:r>
              <w:rPr>
                <w:rFonts w:hint="eastAsia" w:ascii="楷体_GB2312" w:eastAsia="楷体_GB2312"/>
                <w:color w:val="auto"/>
                <w:sz w:val="32"/>
                <w:szCs w:val="32"/>
                <w:u w:val="single"/>
                <w:lang w:val="en-US" w:eastAsia="zh-CN"/>
              </w:rPr>
              <w:t>上一年度</w:t>
            </w:r>
            <w:r>
              <w:rPr>
                <w:rFonts w:hint="eastAsia" w:eastAsia="楷体_GB2312"/>
                <w:color w:val="auto"/>
                <w:sz w:val="32"/>
                <w:szCs w:val="32"/>
                <w:lang w:eastAsia="zh-CN"/>
              </w:rPr>
              <w:t>☑</w:t>
            </w:r>
          </w:p>
          <w:p>
            <w:pPr>
              <w:ind w:left="59"/>
              <w:rPr>
                <w:rFonts w:hint="eastAsia" w:eastAsia="楷体_GB2312"/>
                <w:color w:val="auto"/>
                <w:sz w:val="32"/>
                <w:szCs w:val="32"/>
              </w:rPr>
            </w:pPr>
            <w:r>
              <w:rPr>
                <w:rFonts w:hint="eastAsia" w:ascii="楷体_GB2312" w:eastAsia="楷体_GB2312" w:cs="Times New Roman"/>
                <w:color w:val="auto"/>
                <w:sz w:val="32"/>
                <w:szCs w:val="32"/>
                <w:u w:val="single"/>
                <w:lang w:val="en-US" w:eastAsia="zh-CN"/>
              </w:rPr>
              <w:t>再上一年度</w:t>
            </w:r>
            <w:r>
              <w:rPr>
                <w:rFonts w:hint="eastAsia" w:ascii="楷体_GB2312" w:eastAsia="楷体_GB2312" w:cs="Times New Roman"/>
                <w:color w:val="auto"/>
                <w:sz w:val="32"/>
                <w:szCs w:val="32"/>
                <w:lang w:val="en-US" w:eastAsia="zh-CN"/>
              </w:rPr>
              <w:t>（原因是</w:t>
            </w:r>
            <w:r>
              <w:rPr>
                <w:rFonts w:hint="eastAsia" w:ascii="楷体_GB2312" w:hAnsi="Calibri" w:eastAsia="楷体_GB2312" w:cs="Times New Roman"/>
                <w:color w:val="auto"/>
                <w:sz w:val="32"/>
                <w:szCs w:val="32"/>
                <w:lang w:val="en-US" w:eastAsia="zh-CN"/>
              </w:rPr>
              <w:t>目前未有上一年度绩效考核结果</w:t>
            </w:r>
            <w:r>
              <w:rPr>
                <w:rFonts w:hint="eastAsia" w:ascii="楷体_GB2312" w:eastAsia="楷体_GB2312" w:cs="Times New Roman"/>
                <w:color w:val="auto"/>
                <w:sz w:val="32"/>
                <w:szCs w:val="32"/>
                <w:lang w:val="en-US" w:eastAsia="zh-CN"/>
              </w:rPr>
              <w:t>）</w:t>
            </w:r>
            <w:r>
              <w:rPr>
                <w:rFonts w:hint="eastAsia" w:eastAsia="楷体_GB2312"/>
                <w:color w:val="auto"/>
                <w:sz w:val="32"/>
                <w:szCs w:val="32"/>
              </w:rPr>
              <w:t>□</w:t>
            </w:r>
          </w:p>
          <w:p>
            <w:pPr>
              <w:ind w:left="59"/>
              <w:rPr>
                <w:rFonts w:ascii="楷体_GB2312" w:eastAsia="楷体_GB2312"/>
                <w:color w:val="auto"/>
                <w:sz w:val="32"/>
                <w:szCs w:val="32"/>
                <w:u w:val="single"/>
              </w:rPr>
            </w:pPr>
            <w:r>
              <w:rPr>
                <w:rFonts w:hint="eastAsia" w:ascii="楷体_GB2312" w:eastAsia="楷体_GB2312"/>
                <w:color w:val="auto"/>
                <w:sz w:val="32"/>
                <w:szCs w:val="32"/>
              </w:rPr>
              <w:t>评价</w:t>
            </w:r>
            <w:r>
              <w:rPr>
                <w:rFonts w:ascii="楷体_GB2312" w:eastAsia="楷体_GB2312"/>
                <w:color w:val="auto"/>
                <w:sz w:val="32"/>
                <w:szCs w:val="32"/>
              </w:rPr>
              <w:t>结果</w:t>
            </w:r>
            <w:r>
              <w:rPr>
                <w:rFonts w:hint="eastAsia" w:ascii="楷体_GB2312" w:eastAsia="楷体_GB2312"/>
                <w:color w:val="auto"/>
                <w:sz w:val="32"/>
                <w:szCs w:val="32"/>
              </w:rPr>
              <w:t>/等级</w:t>
            </w:r>
            <w:r>
              <w:rPr>
                <w:rFonts w:ascii="楷体_GB2312" w:eastAsia="楷体_GB2312"/>
                <w:color w:val="auto"/>
                <w:sz w:val="32"/>
                <w:szCs w:val="32"/>
              </w:rPr>
              <w:t>:</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B</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lang w:val="en-US" w:eastAsia="zh-CN"/>
              </w:rPr>
              <w:t>注：接受了多次绩效评价的应在该事项后自行增加并填写相应表格栏目。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上一年度单位</w:t>
            </w:r>
            <w:r>
              <w:rPr>
                <w:rFonts w:eastAsia="楷体_GB2312"/>
                <w:color w:val="auto"/>
                <w:sz w:val="32"/>
                <w:szCs w:val="32"/>
              </w:rPr>
              <w:t>是否有接受</w:t>
            </w:r>
            <w:r>
              <w:rPr>
                <w:rFonts w:hint="eastAsia" w:eastAsia="楷体_GB2312"/>
                <w:color w:val="auto"/>
                <w:sz w:val="32"/>
                <w:szCs w:val="32"/>
              </w:rPr>
              <w:t>奖励的</w:t>
            </w:r>
            <w:r>
              <w:rPr>
                <w:rFonts w:eastAsia="楷体_GB2312"/>
                <w:color w:val="auto"/>
                <w:sz w:val="32"/>
                <w:szCs w:val="32"/>
              </w:rPr>
              <w:t>情况</w:t>
            </w:r>
          </w:p>
        </w:tc>
        <w:tc>
          <w:tcPr>
            <w:tcW w:w="992" w:type="dxa"/>
            <w:gridSpan w:val="3"/>
            <w:noWrap w:val="0"/>
            <w:vAlign w:val="top"/>
          </w:tcPr>
          <w:p>
            <w:pPr>
              <w:ind w:left="59"/>
              <w:rPr>
                <w:rFonts w:hint="eastAsia" w:eastAsia="楷体_GB2312"/>
                <w:color w:val="auto"/>
                <w:sz w:val="32"/>
                <w:szCs w:val="32"/>
                <w:lang w:val="en" w:eastAsia="zh-CN"/>
              </w:rPr>
            </w:pPr>
            <w:r>
              <w:rPr>
                <w:rFonts w:hint="eastAsia" w:eastAsia="楷体_GB2312"/>
                <w:color w:val="auto"/>
                <w:sz w:val="32"/>
                <w:szCs w:val="32"/>
              </w:rPr>
              <w:t>否</w:t>
            </w:r>
            <w:r>
              <w:rPr>
                <w:rFonts w:hint="eastAsia" w:eastAsia="楷体_GB2312"/>
                <w:color w:val="auto"/>
                <w:sz w:val="32"/>
                <w:szCs w:val="32"/>
                <w:lang w:val="en" w:eastAsia="zh-CN"/>
              </w:rPr>
              <w:t>□</w:t>
            </w:r>
          </w:p>
        </w:tc>
        <w:tc>
          <w:tcPr>
            <w:tcW w:w="4466" w:type="dxa"/>
            <w:gridSpan w:val="10"/>
            <w:noWrap w:val="0"/>
            <w:vAlign w:val="top"/>
          </w:tcPr>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hint="eastAsia" w:eastAsia="楷体_GB2312"/>
                <w:color w:val="auto"/>
                <w:sz w:val="32"/>
                <w:szCs w:val="32"/>
                <w:lang w:eastAsia="zh-CN"/>
              </w:rPr>
            </w:pPr>
            <w:r>
              <w:rPr>
                <w:rFonts w:hint="eastAsia" w:eastAsia="楷体_GB2312"/>
                <w:color w:val="auto"/>
                <w:sz w:val="32"/>
                <w:szCs w:val="32"/>
              </w:rPr>
              <w:t>是</w:t>
            </w:r>
            <w:r>
              <w:rPr>
                <w:rFonts w:hint="eastAsia" w:eastAsia="楷体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1.</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2022年4月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软基处理检测与检测技术研究获广东省科级成果登记奖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eastAsia="zh-CN"/>
              </w:rPr>
              <w:t>广东省科学技术厅</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2.</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2022年9月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锚杆智能检测关键技术研发与应用项目获广东省科级成果登记奖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eastAsia="zh-CN"/>
              </w:rPr>
              <w:t>广东省科学技术厅</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3.</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2022年4月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星河雅宝高科创新园超大荷载三杆体抗浮锚杆检测应用研究获广东省土木建筑学会工程检测与监测专业委员会创新奖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广东省土木建筑学会工程检测与监测专业委员会</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4.</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2022年4月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罗湖区城建梅园热熔式可回收压力分散型锚索检测应用研究获广东省土木建筑学会工程检测与监测专业委员会创新奖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广东省土木建筑学会工程检测与监测专业委员会</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5.</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2022年4月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前海国际会议中心检测工程项目获广东省土木建筑学会工程检测与监测专业委员会优秀奖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广东省土木建筑学会工程检测与监测专业委员会</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6.</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2022年4月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前海投控大厦）检测工程获广东省土木建筑学会工程检测与监测专业委员会优秀奖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广东省土木建筑学会工程检测与监测专业委员会</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7.</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2022年4月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大跨度空间桁架结构整体提升施工安全控制及仿真技术研究与应用获广东省土木建筑学会工程检测与监测专业委员会颁发的优秀项目奖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广东省土木建筑学会工程检测与监测专业委员会</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8.</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2022年4月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大鹏新区人民医院基坑及边坡监测技术研究与应用获广东省土木建筑学会工程检测与监测专业委员会颁发的优秀项目奖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广东省土木建筑学会工程检测与监测专业委员会</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9.</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2022年7月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预应力锚索锁定方法的研究与应用项目获广东省土木建筑学会科学技术奖三等奖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广东省土木建筑学会</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10.</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2022年7月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锚杆智能检测关键技术研发与应用项目获广东省土木建筑学会科学技术奖一等奖</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广东省土木建筑学会</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lang w:val="en-US" w:eastAsia="zh-CN"/>
              </w:rPr>
              <w:t>11.</w:t>
            </w:r>
            <w:r>
              <w:rPr>
                <w:rFonts w:hint="eastAsia" w:eastAsia="楷体_GB2312"/>
                <w:color w:val="auto"/>
                <w:sz w:val="22"/>
                <w:szCs w:val="22"/>
              </w:rPr>
              <w:t>获奖时间</w:t>
            </w:r>
            <w:r>
              <w:rPr>
                <w:rFonts w:eastAsia="楷体_GB2312"/>
                <w:color w:val="auto"/>
                <w:sz w:val="22"/>
                <w:szCs w:val="22"/>
              </w:rPr>
              <w:t>：</w:t>
            </w:r>
            <w:r>
              <w:rPr>
                <w:rFonts w:hint="eastAsia" w:ascii="楷体_GB2312" w:eastAsia="楷体_GB2312"/>
                <w:color w:val="auto"/>
                <w:sz w:val="22"/>
                <w:szCs w:val="22"/>
                <w:u w:val="single"/>
              </w:rPr>
              <w:t xml:space="preserve"> </w:t>
            </w:r>
            <w:r>
              <w:rPr>
                <w:rFonts w:hint="eastAsia" w:ascii="楷体_GB2312" w:eastAsia="楷体_GB2312"/>
                <w:color w:val="auto"/>
                <w:sz w:val="22"/>
                <w:szCs w:val="22"/>
                <w:u w:val="single"/>
                <w:lang w:val="en-US" w:eastAsia="zh-CN"/>
              </w:rPr>
              <w:t>2022年11月</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22"/>
                <w:szCs w:val="22"/>
              </w:rPr>
            </w:pPr>
            <w:r>
              <w:rPr>
                <w:rFonts w:hint="eastAsia" w:eastAsia="楷体_GB2312"/>
                <w:color w:val="auto"/>
                <w:sz w:val="22"/>
                <w:szCs w:val="22"/>
              </w:rPr>
              <w:t>获奖</w:t>
            </w:r>
            <w:r>
              <w:rPr>
                <w:rFonts w:eastAsia="楷体_GB2312"/>
                <w:color w:val="auto"/>
                <w:sz w:val="22"/>
                <w:szCs w:val="22"/>
              </w:rPr>
              <w:t>名称</w:t>
            </w:r>
            <w:r>
              <w:rPr>
                <w:rFonts w:hint="eastAsia" w:eastAsia="楷体_GB2312"/>
                <w:color w:val="auto"/>
                <w:sz w:val="22"/>
                <w:szCs w:val="22"/>
                <w:lang w:eastAsia="zh-CN"/>
              </w:rPr>
              <w:t>和等级</w:t>
            </w:r>
            <w:r>
              <w:rPr>
                <w:rFonts w:eastAsia="楷体_GB2312"/>
                <w:color w:val="auto"/>
                <w:sz w:val="22"/>
                <w:szCs w:val="22"/>
              </w:rPr>
              <w:t>：</w:t>
            </w:r>
            <w:r>
              <w:rPr>
                <w:rFonts w:hint="eastAsia" w:ascii="楷体_GB2312" w:eastAsia="楷体_GB2312"/>
                <w:color w:val="auto"/>
                <w:sz w:val="22"/>
                <w:szCs w:val="22"/>
                <w:u w:val="single"/>
              </w:rPr>
              <w:t xml:space="preserve"> 企业信用登记AAA证书</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22"/>
                <w:szCs w:val="22"/>
                <w:u w:val="single"/>
              </w:rPr>
            </w:pPr>
            <w:r>
              <w:rPr>
                <w:rFonts w:hint="eastAsia" w:eastAsia="楷体_GB2312"/>
                <w:color w:val="auto"/>
                <w:sz w:val="22"/>
                <w:szCs w:val="22"/>
              </w:rPr>
              <w:t>颁奖单位</w:t>
            </w:r>
            <w:r>
              <w:rPr>
                <w:rFonts w:eastAsia="楷体_GB2312"/>
                <w:color w:val="auto"/>
                <w:sz w:val="22"/>
                <w:szCs w:val="22"/>
              </w:rPr>
              <w:t>：</w:t>
            </w:r>
            <w:r>
              <w:rPr>
                <w:rFonts w:hint="eastAsia" w:ascii="楷体_GB2312" w:eastAsia="楷体_GB2312"/>
                <w:color w:val="auto"/>
                <w:sz w:val="22"/>
                <w:szCs w:val="22"/>
                <w:u w:val="single"/>
              </w:rPr>
              <w:t xml:space="preserve"> 中国建筑业协会质量管理与监督检测分会</w:t>
            </w:r>
            <w:r>
              <w:rPr>
                <w:rFonts w:ascii="楷体_GB2312" w:eastAsia="楷体_GB2312"/>
                <w:color w:val="auto"/>
                <w:sz w:val="22"/>
                <w:szCs w:val="2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32"/>
                <w:szCs w:val="32"/>
                <w:u w:val="single"/>
              </w:rPr>
            </w:pP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lang w:val="en-US" w:eastAsia="zh-CN"/>
              </w:rPr>
              <w:t>注：接受了多次奖励的应在该事项后自行增加并填写相应表格栏目。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单位是否有接受</w:t>
            </w:r>
            <w:r>
              <w:rPr>
                <w:rFonts w:hint="eastAsia" w:eastAsia="楷体_GB2312"/>
                <w:color w:val="auto"/>
                <w:sz w:val="32"/>
                <w:szCs w:val="32"/>
              </w:rPr>
              <w:t>处罚的</w:t>
            </w:r>
            <w:r>
              <w:rPr>
                <w:rFonts w:eastAsia="楷体_GB2312"/>
                <w:color w:val="auto"/>
                <w:sz w:val="32"/>
                <w:szCs w:val="32"/>
              </w:rPr>
              <w:t>情况</w:t>
            </w:r>
          </w:p>
        </w:tc>
        <w:tc>
          <w:tcPr>
            <w:tcW w:w="992" w:type="dxa"/>
            <w:gridSpan w:val="3"/>
            <w:noWrap w:val="0"/>
            <w:vAlign w:val="top"/>
          </w:tcPr>
          <w:p>
            <w:pPr>
              <w:ind w:left="59"/>
              <w:rPr>
                <w:rFonts w:hint="default" w:eastAsia="楷体_GB2312"/>
                <w:color w:val="auto"/>
                <w:sz w:val="32"/>
                <w:szCs w:val="32"/>
                <w:lang w:val="en"/>
              </w:rPr>
            </w:pPr>
            <w:r>
              <w:rPr>
                <w:rFonts w:hint="eastAsia" w:eastAsia="楷体_GB2312"/>
                <w:color w:val="auto"/>
                <w:sz w:val="32"/>
                <w:szCs w:val="32"/>
              </w:rPr>
              <w:t>否</w:t>
            </w:r>
            <w:r>
              <w:rPr>
                <w:rFonts w:hint="default" w:eastAsia="楷体_GB2312"/>
                <w:color w:val="auto"/>
                <w:sz w:val="32"/>
                <w:szCs w:val="32"/>
                <w:lang w:val="en"/>
              </w:rPr>
              <w:t>☑</w:t>
            </w:r>
          </w:p>
        </w:tc>
        <w:tc>
          <w:tcPr>
            <w:tcW w:w="4466" w:type="dxa"/>
            <w:gridSpan w:val="10"/>
            <w:noWrap w:val="0"/>
            <w:vAlign w:val="top"/>
          </w:tcPr>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 xml:space="preserve">是□ </w:t>
            </w:r>
            <w:r>
              <w:rPr>
                <w:rFonts w:eastAsia="楷体_GB2312"/>
                <w:color w:val="auto"/>
                <w:sz w:val="32"/>
                <w:szCs w:val="32"/>
              </w:rPr>
              <w:t xml:space="preserve"> </w:t>
            </w:r>
            <w:r>
              <w:rPr>
                <w:rFonts w:hint="eastAsia" w:eastAsia="楷体_GB2312"/>
                <w:color w:val="auto"/>
                <w:sz w:val="32"/>
                <w:szCs w:val="32"/>
              </w:rPr>
              <w:t>接受处罚</w:t>
            </w:r>
            <w:r>
              <w:rPr>
                <w:rFonts w:eastAsia="楷体_GB2312"/>
                <w:color w:val="auto"/>
                <w:sz w:val="32"/>
                <w:szCs w:val="32"/>
              </w:rPr>
              <w:t>次数</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eastAsia="楷体_GB2312"/>
                <w:color w:val="auto"/>
                <w:sz w:val="32"/>
                <w:szCs w:val="32"/>
              </w:rPr>
              <w:t>次</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被处罚时间</w:t>
            </w:r>
            <w:r>
              <w:rPr>
                <w:rFonts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eastAsia="楷体_GB2312"/>
                <w:color w:val="auto"/>
                <w:sz w:val="32"/>
                <w:szCs w:val="32"/>
              </w:rPr>
            </w:pPr>
            <w:r>
              <w:rPr>
                <w:rFonts w:hint="eastAsia" w:eastAsia="楷体_GB2312"/>
                <w:color w:val="auto"/>
                <w:sz w:val="32"/>
                <w:szCs w:val="32"/>
              </w:rPr>
              <w:t>被处罚事项</w:t>
            </w:r>
            <w:r>
              <w:rPr>
                <w:rFonts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59" w:right="0" w:rightChars="0"/>
              <w:jc w:val="both"/>
              <w:textAlignment w:val="auto"/>
              <w:outlineLvl w:val="9"/>
              <w:rPr>
                <w:rFonts w:ascii="楷体_GB2312" w:eastAsia="楷体_GB2312"/>
                <w:color w:val="auto"/>
                <w:sz w:val="32"/>
                <w:szCs w:val="32"/>
                <w:u w:val="single"/>
              </w:rPr>
            </w:pPr>
            <w:r>
              <w:rPr>
                <w:rFonts w:hint="eastAsia" w:eastAsia="楷体_GB2312"/>
                <w:color w:val="auto"/>
                <w:sz w:val="32"/>
                <w:szCs w:val="32"/>
              </w:rPr>
              <w:t>作出处罚决定</w:t>
            </w:r>
            <w:r>
              <w:rPr>
                <w:rFonts w:eastAsia="楷体_GB2312"/>
                <w:color w:val="auto"/>
                <w:sz w:val="32"/>
                <w:szCs w:val="32"/>
              </w:rPr>
              <w:t>的</w:t>
            </w:r>
            <w:r>
              <w:rPr>
                <w:rFonts w:hint="eastAsia" w:eastAsia="楷体_GB2312"/>
                <w:color w:val="auto"/>
                <w:sz w:val="32"/>
                <w:szCs w:val="32"/>
              </w:rPr>
              <w:t>单位/部门：</w:t>
            </w:r>
          </w:p>
          <w:p>
            <w:pPr>
              <w:keepNext w:val="0"/>
              <w:keepLines w:val="0"/>
              <w:pageBreakBefore w:val="0"/>
              <w:widowControl w:val="0"/>
              <w:kinsoku/>
              <w:wordWrap/>
              <w:overflowPunct/>
              <w:topLinePunct w:val="0"/>
              <w:autoSpaceDE/>
              <w:autoSpaceDN/>
              <w:bidi w:val="0"/>
              <w:adjustRightInd/>
              <w:snapToGrid/>
              <w:spacing w:line="540" w:lineRule="exact"/>
              <w:ind w:left="3520" w:right="0" w:rightChars="0" w:hanging="3520" w:hangingChars="1100"/>
              <w:jc w:val="both"/>
              <w:textAlignment w:val="auto"/>
              <w:outlineLvl w:val="9"/>
              <w:rPr>
                <w:rFonts w:ascii="楷体_GB2312" w:eastAsia="楷体_GB2312"/>
                <w:color w:val="auto"/>
                <w:sz w:val="32"/>
                <w:szCs w:val="32"/>
              </w:rPr>
            </w:pPr>
            <w:r>
              <w:rPr>
                <w:rFonts w:ascii="楷体_GB2312" w:eastAsia="楷体_GB2312"/>
                <w:color w:val="auto"/>
                <w:sz w:val="32"/>
                <w:szCs w:val="32"/>
              </w:rPr>
              <w:t xml:space="preserve"> </w:t>
            </w:r>
            <w:r>
              <w:rPr>
                <w:rFonts w:ascii="楷体_GB2312" w:eastAsia="楷体_GB2312"/>
                <w:color w:val="auto"/>
                <w:sz w:val="32"/>
                <w:szCs w:val="32"/>
                <w:u w:val="single"/>
              </w:rPr>
              <w:t xml:space="preserve">                       </w:t>
            </w:r>
            <w:r>
              <w:rPr>
                <w:rFonts w:ascii="楷体_GB2312"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3520" w:right="0" w:rightChars="0" w:hanging="3520" w:hangingChars="1100"/>
              <w:jc w:val="both"/>
              <w:textAlignment w:val="auto"/>
              <w:outlineLvl w:val="9"/>
              <w:rPr>
                <w:rFonts w:eastAsia="楷体_GB2312"/>
                <w:color w:val="auto"/>
                <w:sz w:val="32"/>
                <w:szCs w:val="32"/>
              </w:rPr>
            </w:pPr>
            <w:r>
              <w:rPr>
                <w:rFonts w:hint="eastAsia" w:ascii="楷体_GB2312" w:eastAsia="楷体_GB2312"/>
                <w:color w:val="auto"/>
                <w:sz w:val="32"/>
                <w:szCs w:val="32"/>
              </w:rPr>
              <w:t>整改</w:t>
            </w:r>
            <w:r>
              <w:rPr>
                <w:rFonts w:ascii="楷体_GB2312" w:eastAsia="楷体_GB2312"/>
                <w:color w:val="auto"/>
                <w:sz w:val="32"/>
                <w:szCs w:val="32"/>
              </w:rPr>
              <w:t>情况：</w:t>
            </w:r>
            <w:r>
              <w:rPr>
                <w:rFonts w:hint="eastAsia" w:ascii="楷体_GB2312" w:eastAsia="楷体_GB2312"/>
                <w:color w:val="auto"/>
                <w:sz w:val="32"/>
                <w:szCs w:val="32"/>
              </w:rPr>
              <w:t xml:space="preserve"> 已整改</w:t>
            </w:r>
            <w:r>
              <w:rPr>
                <w:rFonts w:hint="eastAsia" w:eastAsia="楷体_GB2312"/>
                <w:color w:val="auto"/>
                <w:sz w:val="32"/>
                <w:szCs w:val="32"/>
              </w:rPr>
              <w:t>□</w:t>
            </w:r>
          </w:p>
          <w:p>
            <w:pPr>
              <w:keepNext w:val="0"/>
              <w:keepLines w:val="0"/>
              <w:pageBreakBefore w:val="0"/>
              <w:widowControl w:val="0"/>
              <w:tabs>
                <w:tab w:val="left" w:pos="1008"/>
              </w:tabs>
              <w:kinsoku/>
              <w:wordWrap/>
              <w:overflowPunct/>
              <w:topLinePunct w:val="0"/>
              <w:autoSpaceDE/>
              <w:autoSpaceDN/>
              <w:bidi w:val="0"/>
              <w:adjustRightInd/>
              <w:snapToGrid/>
              <w:spacing w:line="540" w:lineRule="exact"/>
              <w:ind w:right="0" w:rightChars="0" w:firstLine="160" w:firstLineChars="50"/>
              <w:jc w:val="both"/>
              <w:textAlignment w:val="auto"/>
              <w:outlineLvl w:val="9"/>
              <w:rPr>
                <w:rFonts w:ascii="楷体_GB2312" w:eastAsia="楷体_GB2312"/>
                <w:color w:val="auto"/>
                <w:sz w:val="32"/>
                <w:szCs w:val="32"/>
              </w:rPr>
            </w:pPr>
            <w:r>
              <w:rPr>
                <w:rFonts w:hint="eastAsia" w:eastAsia="楷体_GB2312"/>
                <w:color w:val="auto"/>
                <w:sz w:val="32"/>
                <w:szCs w:val="32"/>
              </w:rPr>
              <w:t>整改</w:t>
            </w:r>
            <w:r>
              <w:rPr>
                <w:rFonts w:eastAsia="楷体_GB2312"/>
                <w:color w:val="auto"/>
                <w:sz w:val="32"/>
                <w:szCs w:val="32"/>
              </w:rPr>
              <w:t>中</w:t>
            </w:r>
            <w:r>
              <w:rPr>
                <w:rFonts w:hint="eastAsia" w:eastAsia="楷体_GB2312"/>
                <w:color w:val="auto"/>
                <w:sz w:val="32"/>
                <w:szCs w:val="32"/>
              </w:rPr>
              <w:t>□</w:t>
            </w:r>
            <w:r>
              <w:rPr>
                <w:rFonts w:eastAsia="楷体_GB2312"/>
                <w:color w:val="auto"/>
                <w:sz w:val="32"/>
                <w:szCs w:val="32"/>
              </w:rPr>
              <w:t xml:space="preserve">  </w:t>
            </w:r>
            <w:r>
              <w:rPr>
                <w:rFonts w:hint="eastAsia" w:eastAsia="楷体_GB2312"/>
                <w:color w:val="auto"/>
                <w:sz w:val="32"/>
                <w:szCs w:val="32"/>
              </w:rPr>
              <w:t>未整改□</w:t>
            </w:r>
            <w:r>
              <w:rPr>
                <w:rFonts w:ascii="楷体_GB2312" w:eastAsia="楷体_GB2312"/>
                <w:color w:val="auto"/>
                <w:sz w:val="32"/>
                <w:szCs w:val="32"/>
              </w:rPr>
              <w:t xml:space="preserve"> </w:t>
            </w:r>
          </w:p>
          <w:p>
            <w:pPr>
              <w:keepNext w:val="0"/>
              <w:keepLines w:val="0"/>
              <w:pageBreakBefore w:val="0"/>
              <w:widowControl w:val="0"/>
              <w:tabs>
                <w:tab w:val="left" w:pos="1008"/>
              </w:tabs>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rPr>
              <w:t>注</w:t>
            </w:r>
            <w:r>
              <w:rPr>
                <w:rFonts w:ascii="楷体_GB2312" w:eastAsia="楷体_GB2312"/>
                <w:color w:val="auto"/>
                <w:sz w:val="24"/>
              </w:rPr>
              <w:t>：</w:t>
            </w:r>
            <w:r>
              <w:rPr>
                <w:rFonts w:hint="eastAsia" w:ascii="楷体_GB2312" w:eastAsia="楷体_GB2312"/>
                <w:color w:val="auto"/>
                <w:sz w:val="24"/>
              </w:rPr>
              <w:t>接受</w:t>
            </w:r>
            <w:r>
              <w:rPr>
                <w:rFonts w:ascii="楷体_GB2312" w:eastAsia="楷体_GB2312"/>
                <w:color w:val="auto"/>
                <w:sz w:val="24"/>
              </w:rPr>
              <w:t>了多次</w:t>
            </w:r>
            <w:r>
              <w:rPr>
                <w:rFonts w:hint="eastAsia" w:ascii="楷体_GB2312" w:eastAsia="楷体_GB2312"/>
                <w:color w:val="auto"/>
                <w:sz w:val="24"/>
              </w:rPr>
              <w:t>处罚</w:t>
            </w:r>
            <w:r>
              <w:rPr>
                <w:rFonts w:ascii="楷体_GB2312" w:eastAsia="楷体_GB2312"/>
                <w:color w:val="auto"/>
                <w:sz w:val="24"/>
              </w:rPr>
              <w:t>的应根据填写的</w:t>
            </w:r>
            <w:r>
              <w:rPr>
                <w:rFonts w:hint="eastAsia" w:ascii="楷体_GB2312" w:eastAsia="楷体_GB2312"/>
                <w:color w:val="auto"/>
                <w:sz w:val="24"/>
              </w:rPr>
              <w:t>接受处罚次数在</w:t>
            </w:r>
            <w:r>
              <w:rPr>
                <w:rFonts w:ascii="楷体_GB2312" w:eastAsia="楷体_GB2312"/>
                <w:color w:val="auto"/>
                <w:sz w:val="24"/>
              </w:rPr>
              <w:t>该事项后</w:t>
            </w:r>
            <w:r>
              <w:rPr>
                <w:rFonts w:hint="eastAsia" w:ascii="楷体_GB2312" w:eastAsia="楷体_GB2312"/>
                <w:color w:val="auto"/>
                <w:sz w:val="24"/>
              </w:rPr>
              <w:t>自行</w:t>
            </w:r>
            <w:r>
              <w:rPr>
                <w:rFonts w:ascii="楷体_GB2312" w:eastAsia="楷体_GB2312"/>
                <w:color w:val="auto"/>
                <w:sz w:val="24"/>
              </w:rPr>
              <w:t>增加</w:t>
            </w:r>
            <w:r>
              <w:rPr>
                <w:rFonts w:hint="eastAsia" w:ascii="楷体_GB2312" w:eastAsia="楷体_GB2312"/>
                <w:color w:val="auto"/>
                <w:sz w:val="24"/>
              </w:rPr>
              <w:t>并填写</w:t>
            </w:r>
            <w:r>
              <w:rPr>
                <w:rFonts w:ascii="楷体_GB2312" w:eastAsia="楷体_GB2312"/>
                <w:color w:val="auto"/>
                <w:sz w:val="24"/>
              </w:rPr>
              <w:t>相应表格栏目。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75" w:hRule="atLeast"/>
          <w:jc w:val="center"/>
        </w:trPr>
        <w:tc>
          <w:tcPr>
            <w:tcW w:w="3261" w:type="dxa"/>
            <w:gridSpan w:val="3"/>
            <w:noWrap w:val="0"/>
            <w:vAlign w:val="top"/>
          </w:tcPr>
          <w:p>
            <w:pPr>
              <w:ind w:left="59" w:leftChars="0"/>
              <w:rPr>
                <w:rFonts w:hint="eastAsia" w:eastAsia="楷体_GB2312"/>
                <w:color w:val="auto"/>
                <w:sz w:val="32"/>
                <w:szCs w:val="32"/>
              </w:rPr>
            </w:pPr>
            <w:r>
              <w:rPr>
                <w:rFonts w:hint="eastAsia" w:eastAsia="楷体_GB2312"/>
                <w:color w:val="auto"/>
                <w:sz w:val="32"/>
                <w:szCs w:val="32"/>
                <w:lang w:eastAsia="zh-CN"/>
              </w:rPr>
              <w:t>上一年度事业单位法人或法定代表人是否被列为失信被执行人的情况</w:t>
            </w:r>
          </w:p>
        </w:tc>
        <w:tc>
          <w:tcPr>
            <w:tcW w:w="992" w:type="dxa"/>
            <w:gridSpan w:val="3"/>
            <w:noWrap w:val="0"/>
            <w:vAlign w:val="top"/>
          </w:tcPr>
          <w:p>
            <w:pPr>
              <w:ind w:left="59" w:leftChars="0"/>
              <w:rPr>
                <w:rFonts w:hint="default" w:eastAsia="楷体_GB2312"/>
                <w:color w:val="auto"/>
                <w:sz w:val="32"/>
                <w:szCs w:val="32"/>
                <w:lang w:val="en"/>
              </w:rPr>
            </w:pPr>
            <w:r>
              <w:rPr>
                <w:rFonts w:hint="eastAsia" w:eastAsia="楷体_GB2312"/>
                <w:color w:val="auto"/>
                <w:sz w:val="32"/>
                <w:szCs w:val="32"/>
              </w:rPr>
              <w:t>否</w:t>
            </w:r>
            <w:r>
              <w:rPr>
                <w:rFonts w:hint="default" w:eastAsia="楷体_GB2312"/>
                <w:color w:val="auto"/>
                <w:sz w:val="32"/>
                <w:szCs w:val="32"/>
                <w:lang w:val="en"/>
              </w:rPr>
              <w:t>☑</w:t>
            </w:r>
          </w:p>
        </w:tc>
        <w:tc>
          <w:tcPr>
            <w:tcW w:w="4466" w:type="dxa"/>
            <w:gridSpan w:val="10"/>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leftChars="0" w:right="0" w:rightChars="0" w:firstLine="0" w:firstLineChars="0"/>
              <w:jc w:val="both"/>
              <w:textAlignment w:val="auto"/>
              <w:outlineLvl w:val="9"/>
              <w:rPr>
                <w:rFonts w:hint="eastAsia" w:eastAsia="楷体_GB2312"/>
                <w:color w:val="auto"/>
                <w:sz w:val="32"/>
                <w:szCs w:val="32"/>
              </w:rPr>
            </w:pPr>
            <w:r>
              <w:rPr>
                <w:rFonts w:hint="eastAsia" w:eastAsia="楷体_GB2312"/>
                <w:color w:val="auto"/>
                <w:sz w:val="32"/>
                <w:szCs w:val="32"/>
              </w:rPr>
              <w:t>是□</w:t>
            </w:r>
          </w:p>
          <w:p>
            <w:pPr>
              <w:keepNext w:val="0"/>
              <w:keepLines w:val="0"/>
              <w:pageBreakBefore w:val="0"/>
              <w:widowControl w:val="0"/>
              <w:kinsoku/>
              <w:wordWrap/>
              <w:overflowPunct/>
              <w:topLinePunct w:val="0"/>
              <w:autoSpaceDE/>
              <w:autoSpaceDN/>
              <w:bidi w:val="0"/>
              <w:adjustRightInd/>
              <w:snapToGrid/>
              <w:spacing w:line="240" w:lineRule="auto"/>
              <w:ind w:left="59" w:leftChars="0" w:right="0" w:rightChars="0" w:firstLine="0" w:firstLineChars="0"/>
              <w:jc w:val="both"/>
              <w:textAlignment w:val="auto"/>
              <w:outlineLvl w:val="9"/>
              <w:rPr>
                <w:rFonts w:hint="eastAsia" w:eastAsia="楷体_GB2312"/>
                <w:color w:val="auto"/>
                <w:sz w:val="32"/>
                <w:szCs w:val="32"/>
              </w:rPr>
            </w:pPr>
            <w:r>
              <w:rPr>
                <w:rFonts w:hint="eastAsia" w:eastAsia="楷体_GB2312"/>
                <w:color w:val="auto"/>
                <w:sz w:val="32"/>
                <w:szCs w:val="32"/>
                <w:lang w:eastAsia="zh-CN"/>
              </w:rPr>
              <w:t>具体情况：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631"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w:t>
            </w:r>
            <w:r>
              <w:rPr>
                <w:rFonts w:hint="eastAsia" w:eastAsia="楷体_GB2312"/>
                <w:color w:val="auto"/>
                <w:sz w:val="32"/>
                <w:szCs w:val="32"/>
              </w:rPr>
              <w:t>办理过信访</w:t>
            </w:r>
            <w:r>
              <w:rPr>
                <w:rFonts w:eastAsia="楷体_GB2312"/>
                <w:color w:val="auto"/>
                <w:sz w:val="32"/>
                <w:szCs w:val="32"/>
              </w:rPr>
              <w:t>投诉</w:t>
            </w:r>
            <w:r>
              <w:rPr>
                <w:rFonts w:hint="eastAsia" w:eastAsia="楷体_GB2312"/>
                <w:color w:val="auto"/>
                <w:sz w:val="32"/>
                <w:szCs w:val="32"/>
              </w:rPr>
              <w:t>事项</w:t>
            </w:r>
          </w:p>
        </w:tc>
        <w:tc>
          <w:tcPr>
            <w:tcW w:w="992" w:type="dxa"/>
            <w:gridSpan w:val="3"/>
            <w:noWrap w:val="0"/>
            <w:vAlign w:val="top"/>
          </w:tcPr>
          <w:p>
            <w:pPr>
              <w:ind w:left="59"/>
              <w:rPr>
                <w:rFonts w:hint="eastAsia" w:eastAsia="楷体_GB2312"/>
                <w:color w:val="auto"/>
                <w:sz w:val="32"/>
                <w:szCs w:val="32"/>
                <w:lang w:val="en" w:eastAsia="zh-CN"/>
              </w:rPr>
            </w:pPr>
            <w:r>
              <w:rPr>
                <w:rFonts w:hint="eastAsia" w:eastAsia="楷体_GB2312"/>
                <w:color w:val="auto"/>
                <w:sz w:val="32"/>
                <w:szCs w:val="32"/>
              </w:rPr>
              <w:t>否</w:t>
            </w:r>
            <w:r>
              <w:rPr>
                <w:rFonts w:hint="eastAsia" w:eastAsia="楷体_GB2312"/>
                <w:color w:val="auto"/>
                <w:sz w:val="32"/>
                <w:szCs w:val="32"/>
                <w:lang w:val="en" w:eastAsia="zh-CN"/>
              </w:rPr>
              <w:t>□</w:t>
            </w:r>
          </w:p>
        </w:tc>
        <w:tc>
          <w:tcPr>
            <w:tcW w:w="4466" w:type="dxa"/>
            <w:gridSpan w:val="10"/>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是</w:t>
            </w:r>
            <w:r>
              <w:rPr>
                <w:rFonts w:hint="eastAsia" w:eastAsia="楷体_GB2312"/>
                <w:color w:val="auto"/>
                <w:sz w:val="32"/>
                <w:szCs w:val="32"/>
                <w:lang w:eastAsia="zh-CN"/>
              </w:rPr>
              <w:t>☑</w:t>
            </w:r>
            <w:r>
              <w:rPr>
                <w:rFonts w:hint="eastAsia" w:eastAsia="楷体_GB2312"/>
                <w:color w:val="auto"/>
                <w:sz w:val="32"/>
                <w:szCs w:val="32"/>
                <w:lang w:val="en-US" w:eastAsia="zh-CN"/>
              </w:rPr>
              <w:t xml:space="preserve">          </w:t>
            </w:r>
            <w:r>
              <w:rPr>
                <w:rFonts w:hint="eastAsia" w:eastAsia="楷体_GB2312"/>
                <w:color w:val="auto"/>
                <w:sz w:val="32"/>
                <w:szCs w:val="32"/>
                <w:lang w:eastAsia="zh-CN"/>
              </w:rPr>
              <w:t>受</w:t>
            </w:r>
            <w:r>
              <w:rPr>
                <w:rFonts w:hint="eastAsia" w:eastAsia="楷体_GB2312"/>
                <w:color w:val="auto"/>
                <w:sz w:val="32"/>
                <w:szCs w:val="32"/>
                <w:lang w:val="en-US" w:eastAsia="zh-CN"/>
              </w:rPr>
              <w:t xml:space="preserve">  </w:t>
            </w:r>
            <w:r>
              <w:rPr>
                <w:rFonts w:hint="eastAsia" w:eastAsia="楷体_GB2312"/>
                <w:color w:val="auto"/>
                <w:sz w:val="32"/>
                <w:szCs w:val="32"/>
                <w:lang w:eastAsia="zh-CN"/>
              </w:rPr>
              <w:t>理</w:t>
            </w:r>
            <w:r>
              <w:rPr>
                <w:rFonts w:hint="eastAsia" w:eastAsia="楷体_GB2312"/>
                <w:color w:val="auto"/>
                <w:sz w:val="32"/>
                <w:szCs w:val="32"/>
                <w:u w:val="single"/>
                <w:lang w:val="en-US" w:eastAsia="zh-CN"/>
              </w:rPr>
              <w:t xml:space="preserve"> </w:t>
            </w:r>
            <w:r>
              <w:rPr>
                <w:rFonts w:hint="eastAsia" w:ascii="楷体_GB2312" w:eastAsia="楷体_GB2312" w:cs="Times New Roman"/>
                <w:color w:val="auto"/>
                <w:sz w:val="32"/>
                <w:szCs w:val="32"/>
                <w:u w:val="single"/>
                <w:lang w:val="en-US" w:eastAsia="zh-CN"/>
              </w:rPr>
              <w:t>1</w:t>
            </w:r>
            <w:r>
              <w:rPr>
                <w:rFonts w:hint="eastAsia" w:eastAsia="楷体_GB2312"/>
                <w:color w:val="auto"/>
                <w:sz w:val="32"/>
                <w:szCs w:val="32"/>
                <w:u w:val="single"/>
                <w:lang w:val="en-US" w:eastAsia="zh-CN"/>
              </w:rPr>
              <w:t xml:space="preserve"> </w:t>
            </w:r>
            <w:r>
              <w:rPr>
                <w:rFonts w:hint="eastAsia" w:eastAsia="楷体_GB2312"/>
                <w:color w:val="auto"/>
                <w:sz w:val="32"/>
                <w:szCs w:val="32"/>
                <w:u w:val="none"/>
                <w:lang w:val="en-US" w:eastAsia="zh-CN"/>
              </w:rPr>
              <w:t>件</w:t>
            </w:r>
          </w:p>
          <w:p>
            <w:pPr>
              <w:keepNext w:val="0"/>
              <w:keepLines w:val="0"/>
              <w:pageBreakBefore w:val="0"/>
              <w:widowControl w:val="0"/>
              <w:kinsoku/>
              <w:wordWrap/>
              <w:overflowPunct/>
              <w:topLinePunct w:val="0"/>
              <w:autoSpaceDE/>
              <w:autoSpaceDN/>
              <w:bidi w:val="0"/>
              <w:adjustRightInd/>
              <w:snapToGrid/>
              <w:spacing w:line="240" w:lineRule="auto"/>
              <w:ind w:left="59" w:leftChars="28" w:right="0" w:rightChars="0" w:firstLine="0" w:firstLineChars="0"/>
              <w:jc w:val="both"/>
              <w:textAlignment w:val="auto"/>
              <w:outlineLvl w:val="9"/>
              <w:rPr>
                <w:rFonts w:hint="eastAsia" w:ascii="楷体_GB2312" w:eastAsia="楷体_GB2312"/>
                <w:color w:val="auto"/>
                <w:sz w:val="32"/>
                <w:szCs w:val="32"/>
                <w:lang w:val="en-US" w:eastAsia="zh-CN"/>
              </w:rPr>
            </w:pPr>
            <w:r>
              <w:rPr>
                <w:rFonts w:hint="eastAsia" w:eastAsia="楷体_GB2312"/>
                <w:color w:val="auto"/>
                <w:sz w:val="32"/>
                <w:szCs w:val="32"/>
                <w:lang w:eastAsia="zh-CN"/>
              </w:rPr>
              <w:t>已办结</w:t>
            </w:r>
            <w:r>
              <w:rPr>
                <w:rFonts w:hint="eastAsia" w:ascii="楷体_GB2312" w:eastAsia="楷体_GB2312"/>
                <w:color w:val="auto"/>
                <w:sz w:val="32"/>
                <w:szCs w:val="32"/>
                <w:u w:val="single"/>
              </w:rPr>
              <w:t xml:space="preserve"> </w:t>
            </w:r>
            <w:r>
              <w:rPr>
                <w:rFonts w:hint="eastAsia" w:ascii="楷体_GB2312" w:eastAsia="楷体_GB2312"/>
                <w:color w:val="auto"/>
                <w:sz w:val="32"/>
                <w:szCs w:val="32"/>
                <w:u w:val="single"/>
                <w:lang w:val="en-US" w:eastAsia="zh-CN"/>
              </w:rPr>
              <w:t>1</w:t>
            </w:r>
            <w:r>
              <w:rPr>
                <w:rFonts w:ascii="楷体_GB2312" w:eastAsia="楷体_GB2312"/>
                <w:color w:val="auto"/>
                <w:sz w:val="32"/>
                <w:szCs w:val="32"/>
                <w:u w:val="single"/>
              </w:rPr>
              <w:t xml:space="preserve"> </w:t>
            </w:r>
            <w:r>
              <w:rPr>
                <w:rFonts w:hint="eastAsia" w:ascii="楷体_GB2312" w:eastAsia="楷体_GB2312"/>
                <w:color w:val="auto"/>
                <w:sz w:val="32"/>
                <w:szCs w:val="32"/>
              </w:rPr>
              <w:t>件</w:t>
            </w:r>
            <w:r>
              <w:rPr>
                <w:rFonts w:hint="eastAsia" w:ascii="楷体_GB2312" w:eastAsia="楷体_GB2312"/>
                <w:color w:val="auto"/>
                <w:sz w:val="32"/>
                <w:szCs w:val="32"/>
                <w:lang w:val="en-US" w:eastAsia="zh-CN"/>
              </w:rPr>
              <w:t xml:space="preserve">  未办结</w:t>
            </w:r>
            <w:r>
              <w:rPr>
                <w:rFonts w:hint="eastAsia" w:ascii="楷体_GB2312" w:eastAsia="楷体_GB2312"/>
                <w:color w:val="auto"/>
                <w:sz w:val="32"/>
                <w:szCs w:val="32"/>
                <w:u w:val="single"/>
                <w:lang w:val="en-US" w:eastAsia="zh-CN"/>
              </w:rPr>
              <w:t xml:space="preserve"> 0 </w:t>
            </w:r>
            <w:r>
              <w:rPr>
                <w:rFonts w:hint="eastAsia" w:ascii="楷体_GB2312" w:eastAsia="楷体_GB2312"/>
                <w:color w:val="auto"/>
                <w:sz w:val="32"/>
                <w:szCs w:val="32"/>
                <w:lang w:val="en-US" w:eastAsia="zh-CN"/>
              </w:rPr>
              <w:t>件</w:t>
            </w:r>
          </w:p>
          <w:p>
            <w:pPr>
              <w:keepNext w:val="0"/>
              <w:keepLines w:val="0"/>
              <w:pageBreakBefore w:val="0"/>
              <w:widowControl w:val="0"/>
              <w:kinsoku/>
              <w:wordWrap/>
              <w:overflowPunct/>
              <w:topLinePunct w:val="0"/>
              <w:autoSpaceDE/>
              <w:autoSpaceDN/>
              <w:bidi w:val="0"/>
              <w:adjustRightInd/>
              <w:snapToGrid/>
              <w:spacing w:line="400" w:lineRule="exact"/>
              <w:ind w:left="59" w:leftChars="28" w:right="0" w:rightChars="0" w:firstLine="0" w:firstLineChars="0"/>
              <w:jc w:val="both"/>
              <w:textAlignment w:val="auto"/>
              <w:outlineLvl w:val="9"/>
              <w:rPr>
                <w:rFonts w:hint="eastAsia" w:ascii="楷体_GB2312" w:eastAsia="楷体_GB2312"/>
                <w:color w:val="auto"/>
                <w:sz w:val="32"/>
                <w:szCs w:val="32"/>
                <w:lang w:val="en-US" w:eastAsia="zh-CN"/>
              </w:rPr>
            </w:pPr>
            <w:r>
              <w:rPr>
                <w:rFonts w:hint="eastAsia" w:ascii="楷体_GB2312" w:eastAsia="楷体_GB2312"/>
                <w:color w:val="auto"/>
                <w:sz w:val="24"/>
              </w:rPr>
              <w:t>注</w:t>
            </w:r>
            <w:r>
              <w:rPr>
                <w:rFonts w:ascii="楷体_GB2312" w:eastAsia="楷体_GB2312"/>
                <w:color w:val="auto"/>
                <w:sz w:val="24"/>
              </w:rPr>
              <w:t>：</w:t>
            </w:r>
            <w:r>
              <w:rPr>
                <w:rFonts w:hint="eastAsia" w:ascii="楷体_GB2312" w:eastAsia="楷体_GB2312"/>
                <w:color w:val="auto"/>
                <w:sz w:val="24"/>
                <w:lang w:eastAsia="zh-CN"/>
              </w:rPr>
              <w:t>受理件数</w:t>
            </w:r>
            <w:r>
              <w:rPr>
                <w:rFonts w:hint="eastAsia" w:ascii="楷体_GB2312" w:eastAsia="楷体_GB2312"/>
                <w:color w:val="auto"/>
                <w:sz w:val="24"/>
                <w:lang w:val="en-US" w:eastAsia="zh-CN"/>
              </w:rPr>
              <w:t>=已办结件数+未办结件数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51" w:hRule="atLeast"/>
          <w:jc w:val="center"/>
        </w:trPr>
        <w:tc>
          <w:tcPr>
            <w:tcW w:w="3261" w:type="dxa"/>
            <w:gridSpan w:val="3"/>
            <w:noWrap w:val="0"/>
            <w:vAlign w:val="top"/>
          </w:tcPr>
          <w:p>
            <w:pPr>
              <w:ind w:left="59"/>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单位是否有接受诉讼</w:t>
            </w:r>
            <w:r>
              <w:rPr>
                <w:rFonts w:hint="eastAsia" w:eastAsia="楷体_GB2312"/>
                <w:color w:val="auto"/>
                <w:sz w:val="32"/>
                <w:szCs w:val="32"/>
              </w:rPr>
              <w:t>的</w:t>
            </w:r>
            <w:r>
              <w:rPr>
                <w:rFonts w:eastAsia="楷体_GB2312"/>
                <w:color w:val="auto"/>
                <w:sz w:val="32"/>
                <w:szCs w:val="32"/>
              </w:rPr>
              <w:t>情况</w:t>
            </w:r>
          </w:p>
        </w:tc>
        <w:tc>
          <w:tcPr>
            <w:tcW w:w="992" w:type="dxa"/>
            <w:gridSpan w:val="3"/>
            <w:noWrap w:val="0"/>
            <w:vAlign w:val="top"/>
          </w:tcPr>
          <w:p>
            <w:pPr>
              <w:ind w:left="59"/>
              <w:rPr>
                <w:rFonts w:hint="default" w:eastAsia="楷体_GB2312"/>
                <w:color w:val="auto"/>
                <w:sz w:val="32"/>
                <w:szCs w:val="32"/>
                <w:lang w:val="en"/>
              </w:rPr>
            </w:pPr>
            <w:r>
              <w:rPr>
                <w:rFonts w:hint="eastAsia" w:eastAsia="楷体_GB2312"/>
                <w:color w:val="auto"/>
                <w:sz w:val="32"/>
                <w:szCs w:val="32"/>
              </w:rPr>
              <w:t>否</w:t>
            </w:r>
            <w:r>
              <w:rPr>
                <w:rFonts w:hint="default" w:eastAsia="楷体_GB2312"/>
                <w:color w:val="auto"/>
                <w:sz w:val="32"/>
                <w:szCs w:val="32"/>
                <w:lang w:val="en"/>
              </w:rPr>
              <w:t>☑</w:t>
            </w:r>
          </w:p>
        </w:tc>
        <w:tc>
          <w:tcPr>
            <w:tcW w:w="4466" w:type="dxa"/>
            <w:gridSpan w:val="10"/>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是□</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eastAsia="楷体_GB2312"/>
                <w:color w:val="auto"/>
                <w:sz w:val="32"/>
                <w:szCs w:val="32"/>
              </w:rPr>
              <w:t>接受</w:t>
            </w:r>
            <w:r>
              <w:rPr>
                <w:rFonts w:eastAsia="楷体_GB2312"/>
                <w:color w:val="auto"/>
                <w:sz w:val="32"/>
                <w:szCs w:val="32"/>
              </w:rPr>
              <w:t>诉讼</w:t>
            </w:r>
            <w:r>
              <w:rPr>
                <w:rFonts w:hint="eastAsia" w:eastAsia="楷体_GB2312"/>
                <w:color w:val="auto"/>
                <w:sz w:val="32"/>
                <w:szCs w:val="32"/>
              </w:rPr>
              <w:t>次数</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r>
              <w:rPr>
                <w:rFonts w:hint="eastAsia" w:ascii="楷体_GB2312" w:eastAsia="楷体_GB2312"/>
                <w:color w:val="auto"/>
                <w:sz w:val="32"/>
                <w:szCs w:val="32"/>
              </w:rPr>
              <w:t>次</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u w:val="single"/>
              </w:rPr>
            </w:pPr>
            <w:r>
              <w:rPr>
                <w:rFonts w:hint="eastAsia" w:ascii="楷体_GB2312" w:eastAsia="楷体_GB2312"/>
                <w:color w:val="auto"/>
                <w:sz w:val="32"/>
                <w:szCs w:val="32"/>
              </w:rPr>
              <w:t>接受诉讼时间</w:t>
            </w:r>
            <w:r>
              <w:rPr>
                <w:rFonts w:ascii="楷体_GB2312" w:eastAsia="楷体_GB2312"/>
                <w:color w:val="auto"/>
                <w:sz w:val="32"/>
                <w:szCs w:val="32"/>
              </w:rPr>
              <w:t>：</w:t>
            </w:r>
            <w:r>
              <w:rPr>
                <w:rFonts w:hint="eastAsia" w:ascii="楷体_GB2312" w:eastAsia="楷体_GB2312"/>
                <w:color w:val="auto"/>
                <w:sz w:val="32"/>
                <w:szCs w:val="32"/>
                <w:u w:val="single"/>
              </w:rPr>
              <w:t xml:space="preserve">   </w:t>
            </w:r>
            <w:r>
              <w:rPr>
                <w:rFonts w:ascii="楷体_GB2312" w:eastAsia="楷体_GB2312"/>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接受</w:t>
            </w:r>
            <w:r>
              <w:rPr>
                <w:rFonts w:ascii="楷体_GB2312" w:eastAsia="楷体_GB2312"/>
                <w:color w:val="auto"/>
                <w:sz w:val="32"/>
                <w:szCs w:val="32"/>
              </w:rPr>
              <w:t>诉讼类型：</w:t>
            </w:r>
            <w:r>
              <w:rPr>
                <w:rFonts w:hint="eastAsia" w:ascii="楷体_GB2312" w:eastAsia="楷体_GB2312"/>
                <w:color w:val="auto"/>
                <w:sz w:val="32"/>
                <w:szCs w:val="32"/>
              </w:rPr>
              <w:t>民事诉讼</w:t>
            </w:r>
            <w:r>
              <w:rPr>
                <w:rFonts w:hint="eastAsia"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刑事诉讼</w:t>
            </w:r>
            <w:r>
              <w:rPr>
                <w:rFonts w:hint="eastAsia" w:eastAsia="楷体_GB2312"/>
                <w:color w:val="auto"/>
                <w:sz w:val="32"/>
                <w:szCs w:val="32"/>
              </w:rPr>
              <w:t>□</w:t>
            </w:r>
            <w:r>
              <w:rPr>
                <w:rFonts w:eastAsia="楷体_GB2312"/>
                <w:color w:val="auto"/>
                <w:sz w:val="32"/>
                <w:szCs w:val="32"/>
              </w:rPr>
              <w:t xml:space="preserve">  </w:t>
            </w:r>
            <w:r>
              <w:rPr>
                <w:rFonts w:hint="eastAsia" w:eastAsia="楷体_GB2312"/>
                <w:color w:val="auto"/>
                <w:sz w:val="32"/>
                <w:szCs w:val="32"/>
              </w:rPr>
              <w:t>行政诉讼□</w:t>
            </w:r>
            <w:r>
              <w:rPr>
                <w:rFonts w:hint="eastAsia" w:ascii="楷体_GB2312"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32"/>
                <w:szCs w:val="32"/>
              </w:rPr>
              <w:t>法院判决</w:t>
            </w:r>
            <w:r>
              <w:rPr>
                <w:rFonts w:ascii="楷体_GB2312" w:eastAsia="楷体_GB2312"/>
                <w:color w:val="auto"/>
                <w:sz w:val="32"/>
                <w:szCs w:val="32"/>
              </w:rPr>
              <w:t>结果：</w:t>
            </w:r>
            <w:r>
              <w:rPr>
                <w:rFonts w:hint="eastAsia" w:ascii="楷体_GB2312" w:eastAsia="楷体_GB2312"/>
                <w:color w:val="auto"/>
                <w:sz w:val="32"/>
                <w:szCs w:val="32"/>
              </w:rPr>
              <w:t xml:space="preserve">  已判决</w:t>
            </w:r>
            <w:r>
              <w:rPr>
                <w:rFonts w:hint="eastAsia"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59"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正在</w:t>
            </w:r>
            <w:r>
              <w:rPr>
                <w:rFonts w:eastAsia="楷体_GB2312"/>
                <w:color w:val="auto"/>
                <w:sz w:val="32"/>
                <w:szCs w:val="32"/>
              </w:rPr>
              <w:t>审理中</w:t>
            </w:r>
            <w:r>
              <w:rPr>
                <w:rFonts w:hint="eastAsia" w:eastAsia="楷体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24"/>
                <w:szCs w:val="24"/>
              </w:rPr>
              <w:t>注</w:t>
            </w:r>
            <w:r>
              <w:rPr>
                <w:rFonts w:ascii="楷体_GB2312" w:eastAsia="楷体_GB2312"/>
                <w:color w:val="auto"/>
                <w:sz w:val="24"/>
                <w:szCs w:val="24"/>
              </w:rPr>
              <w:t>：</w:t>
            </w:r>
            <w:r>
              <w:rPr>
                <w:rFonts w:hint="eastAsia" w:ascii="楷体_GB2312" w:eastAsia="楷体_GB2312"/>
                <w:color w:val="auto"/>
                <w:sz w:val="24"/>
                <w:szCs w:val="24"/>
              </w:rPr>
              <w:t>接受</w:t>
            </w:r>
            <w:r>
              <w:rPr>
                <w:rFonts w:ascii="楷体_GB2312" w:eastAsia="楷体_GB2312"/>
                <w:color w:val="auto"/>
                <w:sz w:val="24"/>
                <w:szCs w:val="24"/>
              </w:rPr>
              <w:t>了多次</w:t>
            </w:r>
            <w:r>
              <w:rPr>
                <w:rFonts w:hint="eastAsia" w:ascii="楷体_GB2312" w:eastAsia="楷体_GB2312"/>
                <w:color w:val="auto"/>
                <w:sz w:val="24"/>
                <w:szCs w:val="24"/>
              </w:rPr>
              <w:t>诉讼</w:t>
            </w:r>
            <w:r>
              <w:rPr>
                <w:rFonts w:ascii="楷体_GB2312" w:eastAsia="楷体_GB2312"/>
                <w:color w:val="auto"/>
                <w:sz w:val="24"/>
                <w:szCs w:val="24"/>
              </w:rPr>
              <w:t>的应根据填写的</w:t>
            </w:r>
            <w:r>
              <w:rPr>
                <w:rFonts w:hint="eastAsia" w:ascii="楷体_GB2312" w:eastAsia="楷体_GB2312"/>
                <w:color w:val="auto"/>
                <w:sz w:val="24"/>
                <w:szCs w:val="24"/>
              </w:rPr>
              <w:t>接受诉讼次数在</w:t>
            </w:r>
            <w:r>
              <w:rPr>
                <w:rFonts w:ascii="楷体_GB2312" w:eastAsia="楷体_GB2312"/>
                <w:color w:val="auto"/>
                <w:sz w:val="24"/>
                <w:szCs w:val="24"/>
              </w:rPr>
              <w:t>该事项后</w:t>
            </w:r>
            <w:r>
              <w:rPr>
                <w:rFonts w:hint="eastAsia" w:ascii="楷体_GB2312" w:eastAsia="楷体_GB2312"/>
                <w:color w:val="auto"/>
                <w:sz w:val="24"/>
                <w:szCs w:val="24"/>
              </w:rPr>
              <w:t>自行</w:t>
            </w:r>
            <w:r>
              <w:rPr>
                <w:rFonts w:ascii="楷体_GB2312" w:eastAsia="楷体_GB2312"/>
                <w:color w:val="auto"/>
                <w:sz w:val="24"/>
                <w:szCs w:val="24"/>
              </w:rPr>
              <w:t>增加</w:t>
            </w:r>
            <w:r>
              <w:rPr>
                <w:rFonts w:hint="eastAsia" w:ascii="楷体_GB2312" w:eastAsia="楷体_GB2312"/>
                <w:color w:val="auto"/>
                <w:sz w:val="24"/>
                <w:szCs w:val="24"/>
              </w:rPr>
              <w:t>并填写</w:t>
            </w:r>
            <w:r>
              <w:rPr>
                <w:rFonts w:ascii="楷体_GB2312" w:eastAsia="楷体_GB2312"/>
                <w:color w:val="auto"/>
                <w:sz w:val="24"/>
                <w:szCs w:val="24"/>
              </w:rPr>
              <w:t>相应表格栏目。</w:t>
            </w:r>
            <w:r>
              <w:rPr>
                <w:rFonts w:hint="eastAsia" w:eastAsia="楷体_GB2312"/>
                <w:color w:val="auto"/>
                <w:sz w:val="24"/>
                <w:szCs w:val="24"/>
              </w:rPr>
              <w:t xml:space="preserve"> </w:t>
            </w:r>
            <w:r>
              <w:rPr>
                <w:rFonts w:hint="eastAsia" w:eastAsia="楷体_GB2312"/>
                <w:color w:val="auto"/>
                <w:sz w:val="32"/>
                <w:szCs w:val="32"/>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55" w:hRule="atLeast"/>
          <w:jc w:val="center"/>
        </w:trPr>
        <w:tc>
          <w:tcPr>
            <w:tcW w:w="3261" w:type="dxa"/>
            <w:gridSpan w:val="3"/>
            <w:noWrap w:val="0"/>
            <w:vAlign w:val="top"/>
          </w:tcPr>
          <w:p>
            <w:pPr>
              <w:keepNext w:val="0"/>
              <w:keepLines w:val="0"/>
              <w:pageBreakBefore w:val="0"/>
              <w:kinsoku/>
              <w:wordWrap/>
              <w:overflowPunct/>
              <w:topLinePunct w:val="0"/>
              <w:autoSpaceDE/>
              <w:autoSpaceDN/>
              <w:bidi w:val="0"/>
              <w:adjustRightInd/>
              <w:snapToGrid/>
              <w:spacing w:line="520" w:lineRule="exact"/>
              <w:ind w:left="59" w:right="0" w:rightChars="0" w:firstLine="0" w:firstLineChars="0"/>
              <w:textAlignment w:val="auto"/>
              <w:rPr>
                <w:rFonts w:eastAsia="楷体_GB2312"/>
                <w:color w:val="auto"/>
                <w:sz w:val="32"/>
                <w:szCs w:val="32"/>
              </w:rPr>
            </w:pPr>
            <w:r>
              <w:rPr>
                <w:rFonts w:hint="eastAsia" w:eastAsia="楷体_GB2312"/>
                <w:color w:val="auto"/>
                <w:sz w:val="32"/>
                <w:szCs w:val="32"/>
              </w:rPr>
              <w:t>上一年度</w:t>
            </w:r>
            <w:r>
              <w:rPr>
                <w:rFonts w:eastAsia="楷体_GB2312"/>
                <w:color w:val="auto"/>
                <w:sz w:val="32"/>
                <w:szCs w:val="32"/>
              </w:rPr>
              <w:t>单位</w:t>
            </w:r>
            <w:r>
              <w:rPr>
                <w:rFonts w:hint="eastAsia" w:eastAsia="楷体_GB2312"/>
                <w:color w:val="auto"/>
                <w:sz w:val="32"/>
                <w:szCs w:val="32"/>
              </w:rPr>
              <w:t>是否有</w:t>
            </w:r>
            <w:r>
              <w:rPr>
                <w:rFonts w:eastAsia="楷体_GB2312"/>
                <w:color w:val="auto"/>
                <w:sz w:val="32"/>
                <w:szCs w:val="32"/>
              </w:rPr>
              <w:t>接受捐赠或</w:t>
            </w:r>
            <w:r>
              <w:rPr>
                <w:rFonts w:hint="eastAsia" w:eastAsia="楷体_GB2312"/>
                <w:color w:val="auto"/>
                <w:sz w:val="32"/>
                <w:szCs w:val="32"/>
              </w:rPr>
              <w:t>资助</w:t>
            </w:r>
            <w:r>
              <w:rPr>
                <w:rFonts w:eastAsia="楷体_GB2312"/>
                <w:color w:val="auto"/>
                <w:sz w:val="32"/>
                <w:szCs w:val="32"/>
              </w:rPr>
              <w:t>的情况</w:t>
            </w:r>
          </w:p>
        </w:tc>
        <w:tc>
          <w:tcPr>
            <w:tcW w:w="992" w:type="dxa"/>
            <w:gridSpan w:val="3"/>
            <w:noWrap w:val="0"/>
            <w:vAlign w:val="top"/>
          </w:tcPr>
          <w:p>
            <w:pPr>
              <w:keepNext w:val="0"/>
              <w:keepLines w:val="0"/>
              <w:pageBreakBefore w:val="0"/>
              <w:kinsoku/>
              <w:wordWrap/>
              <w:overflowPunct/>
              <w:topLinePunct w:val="0"/>
              <w:autoSpaceDE/>
              <w:autoSpaceDN/>
              <w:bidi w:val="0"/>
              <w:adjustRightInd/>
              <w:snapToGrid/>
              <w:spacing w:line="520" w:lineRule="exact"/>
              <w:ind w:left="59" w:right="0" w:rightChars="0" w:firstLine="0" w:firstLineChars="0"/>
              <w:textAlignment w:val="auto"/>
              <w:rPr>
                <w:rFonts w:hint="default" w:eastAsia="楷体_GB2312"/>
                <w:color w:val="auto"/>
                <w:sz w:val="32"/>
                <w:szCs w:val="32"/>
                <w:lang w:val="en"/>
              </w:rPr>
            </w:pPr>
            <w:r>
              <w:rPr>
                <w:rFonts w:hint="eastAsia" w:eastAsia="楷体_GB2312"/>
                <w:color w:val="auto"/>
                <w:sz w:val="32"/>
                <w:szCs w:val="32"/>
              </w:rPr>
              <w:t>否</w:t>
            </w:r>
            <w:r>
              <w:rPr>
                <w:rFonts w:hint="default" w:eastAsia="楷体_GB2312"/>
                <w:color w:val="auto"/>
                <w:sz w:val="32"/>
                <w:szCs w:val="32"/>
                <w:lang w:val="en"/>
              </w:rPr>
              <w:t>☑</w:t>
            </w:r>
          </w:p>
          <w:p>
            <w:pPr>
              <w:keepNext w:val="0"/>
              <w:keepLines w:val="0"/>
              <w:pageBreakBefore w:val="0"/>
              <w:tabs>
                <w:tab w:val="left" w:pos="456"/>
              </w:tabs>
              <w:kinsoku/>
              <w:wordWrap/>
              <w:overflowPunct/>
              <w:topLinePunct w:val="0"/>
              <w:autoSpaceDE/>
              <w:autoSpaceDN/>
              <w:bidi w:val="0"/>
              <w:adjustRightInd/>
              <w:snapToGrid/>
              <w:spacing w:line="520" w:lineRule="exact"/>
              <w:ind w:right="0" w:rightChars="0" w:firstLine="0" w:firstLineChars="0"/>
              <w:textAlignment w:val="auto"/>
              <w:rPr>
                <w:rFonts w:eastAsia="楷体_GB2312"/>
                <w:color w:val="auto"/>
                <w:sz w:val="32"/>
                <w:szCs w:val="32"/>
              </w:rPr>
            </w:pPr>
            <w:r>
              <w:rPr>
                <w:rFonts w:eastAsia="楷体_GB2312"/>
                <w:color w:val="auto"/>
                <w:sz w:val="32"/>
                <w:szCs w:val="32"/>
              </w:rPr>
              <w:tab/>
            </w:r>
          </w:p>
        </w:tc>
        <w:tc>
          <w:tcPr>
            <w:tcW w:w="4466" w:type="dxa"/>
            <w:gridSpan w:val="10"/>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eastAsia="楷体_GB2312"/>
                <w:color w:val="auto"/>
                <w:sz w:val="32"/>
                <w:szCs w:val="32"/>
              </w:rPr>
            </w:pPr>
            <w:r>
              <w:rPr>
                <w:rFonts w:hint="eastAsia" w:eastAsia="楷体_GB2312"/>
                <w:color w:val="auto"/>
                <w:sz w:val="32"/>
                <w:szCs w:val="32"/>
              </w:rPr>
              <w:t>是□</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ascii="楷体_GB2312" w:eastAsia="楷体_GB2312"/>
                <w:color w:val="auto"/>
                <w:sz w:val="32"/>
                <w:szCs w:val="32"/>
              </w:rPr>
            </w:pPr>
            <w:r>
              <w:rPr>
                <w:rFonts w:hint="eastAsia" w:ascii="楷体_GB2312" w:eastAsia="楷体_GB2312"/>
                <w:color w:val="auto"/>
                <w:sz w:val="32"/>
                <w:szCs w:val="32"/>
              </w:rPr>
              <w:t>接受捐赠或资助</w:t>
            </w:r>
            <w:r>
              <w:rPr>
                <w:rFonts w:ascii="楷体_GB2312" w:eastAsia="楷体_GB2312"/>
                <w:color w:val="auto"/>
                <w:sz w:val="32"/>
                <w:szCs w:val="32"/>
              </w:rPr>
              <w:t>是否符合本单位的宗旨和业务范围</w:t>
            </w:r>
            <w:r>
              <w:rPr>
                <w:rFonts w:hint="eastAsia" w:ascii="楷体_GB2312" w:eastAsia="楷体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eastAsia="楷体_GB2312"/>
                <w:color w:val="auto"/>
                <w:sz w:val="32"/>
                <w:szCs w:val="32"/>
              </w:rPr>
            </w:pPr>
            <w:r>
              <w:rPr>
                <w:rFonts w:hint="eastAsia" w:ascii="楷体_GB2312" w:eastAsia="楷体_GB2312"/>
                <w:color w:val="auto"/>
                <w:sz w:val="32"/>
                <w:szCs w:val="32"/>
              </w:rPr>
              <w:t>是</w:t>
            </w:r>
            <w:r>
              <w:rPr>
                <w:rFonts w:hint="eastAsia" w:eastAsia="楷体_GB2312"/>
                <w:color w:val="auto"/>
                <w:sz w:val="32"/>
                <w:szCs w:val="32"/>
              </w:rPr>
              <w:t>□  否□</w:t>
            </w:r>
          </w:p>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rPr>
            </w:pPr>
            <w:r>
              <w:rPr>
                <w:rFonts w:hint="eastAsia" w:ascii="楷体_GB2312" w:eastAsia="楷体_GB2312"/>
                <w:color w:val="auto"/>
                <w:sz w:val="32"/>
                <w:szCs w:val="32"/>
              </w:rPr>
              <w:t>是否</w:t>
            </w:r>
            <w:r>
              <w:rPr>
                <w:rFonts w:ascii="楷体_GB2312" w:eastAsia="楷体_GB2312"/>
                <w:color w:val="auto"/>
                <w:sz w:val="32"/>
                <w:szCs w:val="32"/>
              </w:rPr>
              <w:t>根据与捐赠人、资助人约定的期限、</w:t>
            </w:r>
            <w:r>
              <w:rPr>
                <w:rFonts w:hint="eastAsia" w:ascii="楷体_GB2312" w:eastAsia="楷体_GB2312"/>
                <w:color w:val="auto"/>
                <w:sz w:val="32"/>
                <w:szCs w:val="32"/>
              </w:rPr>
              <w:t>方式</w:t>
            </w:r>
            <w:r>
              <w:rPr>
                <w:rFonts w:ascii="楷体_GB2312" w:eastAsia="楷体_GB2312"/>
                <w:color w:val="auto"/>
                <w:sz w:val="32"/>
                <w:szCs w:val="32"/>
              </w:rPr>
              <w:t>和合法用途使用：</w:t>
            </w:r>
            <w:r>
              <w:rPr>
                <w:rFonts w:hint="eastAsia" w:ascii="楷体_GB2312" w:eastAsia="楷体_GB2312"/>
                <w:color w:val="auto"/>
                <w:sz w:val="32"/>
                <w:szCs w:val="32"/>
              </w:rPr>
              <w:t>是</w:t>
            </w:r>
            <w:r>
              <w:rPr>
                <w:rFonts w:hint="eastAsia" w:eastAsia="楷体_GB2312"/>
                <w:color w:val="auto"/>
                <w:sz w:val="32"/>
                <w:szCs w:val="32"/>
              </w:rPr>
              <w:t>□  否□</w:t>
            </w:r>
            <w:r>
              <w:rPr>
                <w:rFonts w:hint="eastAsia" w:ascii="楷体_GB2312" w:eastAsia="楷体_GB2312"/>
                <w:color w:val="auto"/>
                <w:sz w:val="32"/>
                <w:szCs w:val="32"/>
              </w:rPr>
              <w:t xml:space="preserve"> </w:t>
            </w:r>
          </w:p>
          <w:p>
            <w:pPr>
              <w:keepNext w:val="0"/>
              <w:keepLines w:val="0"/>
              <w:pageBreakBefore w:val="0"/>
              <w:widowControl/>
              <w:kinsoku/>
              <w:wordWrap/>
              <w:overflowPunct/>
              <w:topLinePunct w:val="0"/>
              <w:autoSpaceDE/>
              <w:autoSpaceDN/>
              <w:bidi w:val="0"/>
              <w:adjustRightInd/>
              <w:snapToGrid/>
              <w:spacing w:line="520" w:lineRule="exact"/>
              <w:ind w:left="0" w:right="0" w:rightChars="0" w:firstLine="0" w:firstLineChars="0"/>
              <w:jc w:val="left"/>
              <w:textAlignment w:val="auto"/>
              <w:outlineLvl w:val="9"/>
              <w:rPr>
                <w:rFonts w:hint="eastAsia" w:ascii="楷体_GB2312" w:eastAsia="楷体_GB2312"/>
                <w:color w:val="auto"/>
                <w:sz w:val="32"/>
                <w:szCs w:val="32"/>
                <w:lang w:val="en-US" w:eastAsia="zh-CN"/>
              </w:rPr>
            </w:pPr>
            <w:r>
              <w:rPr>
                <w:rFonts w:hint="eastAsia" w:ascii="楷体_GB2312" w:eastAsia="楷体_GB2312"/>
                <w:color w:val="auto"/>
                <w:sz w:val="32"/>
                <w:szCs w:val="32"/>
                <w:lang w:eastAsia="zh-CN"/>
              </w:rPr>
              <w:t>接受捐赠资助及其使用情况：</w:t>
            </w:r>
            <w:r>
              <w:rPr>
                <w:rFonts w:hint="eastAsia" w:ascii="楷体_GB2312" w:eastAsia="楷体_GB2312"/>
                <w:color w:val="auto"/>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spacing w:line="520" w:lineRule="exact"/>
              <w:ind w:left="0" w:right="0" w:rightChars="0" w:firstLine="0" w:firstLineChars="0"/>
              <w:jc w:val="left"/>
              <w:textAlignment w:val="auto"/>
              <w:outlineLvl w:val="9"/>
              <w:rPr>
                <w:rFonts w:hint="eastAsia" w:ascii="楷体_GB2312" w:eastAsia="楷体_GB2312"/>
                <w:color w:val="auto"/>
                <w:sz w:val="32"/>
                <w:szCs w:val="32"/>
                <w:u w:val="single"/>
                <w:lang w:val="en-US" w:eastAsia="zh-CN"/>
              </w:rPr>
            </w:pPr>
            <w:r>
              <w:rPr>
                <w:rFonts w:hint="eastAsia" w:ascii="楷体_GB2312" w:eastAsia="楷体_GB2312"/>
                <w:color w:val="auto"/>
                <w:sz w:val="32"/>
                <w:szCs w:val="32"/>
                <w:lang w:val="en-US" w:eastAsia="zh-CN"/>
              </w:rPr>
              <w:t xml:space="preserve"> </w:t>
            </w:r>
            <w:r>
              <w:rPr>
                <w:rFonts w:hint="eastAsia" w:ascii="楷体_GB2312" w:eastAsia="楷体_GB2312"/>
                <w:color w:val="auto"/>
                <w:sz w:val="32"/>
                <w:szCs w:val="32"/>
                <w:u w:val="single"/>
                <w:lang w:val="en-US" w:eastAsia="zh-CN"/>
              </w:rPr>
              <w:t xml:space="preserve">                        </w:t>
            </w:r>
            <w:r>
              <w:rPr>
                <w:rFonts w:hint="eastAsia" w:ascii="楷体_GB2312" w:eastAsia="楷体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ascii="楷体_GB2312" w:eastAsia="楷体_GB2312"/>
                <w:color w:val="auto"/>
                <w:sz w:val="32"/>
                <w:szCs w:val="32"/>
              </w:rPr>
            </w:pPr>
            <w:r>
              <w:rPr>
                <w:rFonts w:hint="eastAsia" w:ascii="Calibri" w:eastAsia="楷体_GB2312"/>
                <w:color w:val="auto"/>
                <w:sz w:val="24"/>
                <w:szCs w:val="24"/>
                <w:u w:val="none"/>
                <w:lang w:val="en-US" w:eastAsia="zh-CN"/>
              </w:rPr>
              <w:t>注：</w:t>
            </w:r>
            <w:r>
              <w:rPr>
                <w:rFonts w:hint="eastAsia" w:eastAsia="楷体_GB2312"/>
                <w:color w:val="auto"/>
                <w:kern w:val="2"/>
                <w:sz w:val="24"/>
                <w:szCs w:val="24"/>
                <w:u w:val="none"/>
                <w:lang w:eastAsia="zh-CN"/>
              </w:rPr>
              <w:t>填写</w:t>
            </w:r>
            <w:r>
              <w:rPr>
                <w:rFonts w:hint="eastAsia" w:ascii="Calibri" w:hAnsi="Calibri" w:eastAsia="楷体_GB2312" w:cs="Times New Roman"/>
                <w:color w:val="auto"/>
                <w:kern w:val="2"/>
                <w:sz w:val="24"/>
                <w:szCs w:val="24"/>
                <w:u w:val="none"/>
                <w:lang w:val="en-US" w:eastAsia="zh-CN" w:bidi="ar"/>
              </w:rPr>
              <w:t>接受捐赠资助的数量、方式、使用方向和使用结果等</w:t>
            </w:r>
            <w:r>
              <w:rPr>
                <w:rFonts w:hint="eastAsia" w:eastAsia="楷体_GB2312" w:cs="Times New Roman"/>
                <w:color w:val="auto"/>
                <w:kern w:val="2"/>
                <w:sz w:val="24"/>
                <w:szCs w:val="24"/>
                <w:u w:val="none"/>
                <w:lang w:val="en-US" w:eastAsia="zh-CN" w:bidi="ar"/>
              </w:rPr>
              <w:t>。</w:t>
            </w:r>
            <w:r>
              <w:rPr>
                <w:rFonts w:hint="eastAsia" w:ascii="楷体_GB2312" w:eastAsia="楷体_GB2312"/>
                <w:color w:val="auto"/>
                <w:sz w:val="24"/>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75" w:hRule="atLeast"/>
          <w:jc w:val="center"/>
        </w:trPr>
        <w:tc>
          <w:tcPr>
            <w:tcW w:w="3261" w:type="dxa"/>
            <w:gridSpan w:val="3"/>
            <w:noWrap w:val="0"/>
            <w:vAlign w:val="top"/>
          </w:tcPr>
          <w:p>
            <w:pPr>
              <w:tabs>
                <w:tab w:val="left" w:pos="2196"/>
              </w:tabs>
              <w:rPr>
                <w:rFonts w:eastAsia="楷体_GB2312"/>
                <w:color w:val="FF0000"/>
                <w:sz w:val="32"/>
                <w:szCs w:val="32"/>
              </w:rPr>
            </w:pPr>
            <w:r>
              <w:rPr>
                <w:rFonts w:hint="eastAsia" w:eastAsia="楷体_GB2312"/>
                <w:color w:val="auto"/>
                <w:sz w:val="32"/>
                <w:szCs w:val="32"/>
              </w:rPr>
              <w:t>开展业务活动情况</w:t>
            </w:r>
          </w:p>
        </w:tc>
        <w:tc>
          <w:tcPr>
            <w:tcW w:w="5458" w:type="dxa"/>
            <w:gridSpan w:val="13"/>
            <w:noWrap w:val="0"/>
            <w:vAlign w:val="top"/>
          </w:tcPr>
          <w:p>
            <w:pPr>
              <w:ind w:left="59"/>
              <w:rPr>
                <w:rFonts w:hint="eastAsia" w:eastAsia="楷体_GB2312"/>
                <w:color w:val="auto"/>
                <w:szCs w:val="21"/>
                <w:lang w:eastAsia="zh-CN"/>
              </w:rPr>
            </w:pPr>
            <w:r>
              <w:rPr>
                <w:rFonts w:hint="eastAsia" w:eastAsia="楷体_GB2312"/>
                <w:color w:val="auto"/>
                <w:szCs w:val="21"/>
                <w:lang w:eastAsia="zh-CN"/>
              </w:rPr>
              <w:t>一、2022年工作总结</w:t>
            </w:r>
          </w:p>
          <w:p>
            <w:pPr>
              <w:ind w:left="59"/>
              <w:rPr>
                <w:rFonts w:hint="eastAsia" w:eastAsia="楷体_GB2312"/>
                <w:color w:val="auto"/>
                <w:szCs w:val="21"/>
                <w:lang w:eastAsia="zh-CN"/>
              </w:rPr>
            </w:pPr>
            <w:r>
              <w:rPr>
                <w:rFonts w:hint="eastAsia" w:eastAsia="楷体_GB2312"/>
                <w:color w:val="auto"/>
                <w:szCs w:val="21"/>
                <w:lang w:eastAsia="zh-CN"/>
              </w:rPr>
              <w:t>（一）全力以赴，配合完成自建房“百日攻坚”专项行动。中心作为技术支撑单位，在我局的统一部署下，全力参与专项行动各项工作。一是抽调中心房屋鉴定专家团队，现场驻点提供技术支持。二是配合开展部、省、市多轮督导检查。三是高效完成市级抽查，累计出动专业人员1000多人次，完成11个区5910栋房屋的抽查任务，及时反馈各区落实整改。四是编制《深圳市钢筋锈蚀房屋检查评估技术指引》，填补我国该领域技术空白。五是编制《深圳市房屋安全检测鉴定结论异议复核指引》，完善房屋安全鉴定复核制度。六是完成16家鉴定机构的专业排查报告质量复核工作，抽查报告档案1037份，并逐一进行现场核实，为行业规范管理提供依据。</w:t>
            </w:r>
          </w:p>
          <w:p>
            <w:pPr>
              <w:ind w:left="59"/>
              <w:rPr>
                <w:rFonts w:hint="eastAsia" w:eastAsia="楷体_GB2312"/>
                <w:color w:val="auto"/>
                <w:szCs w:val="21"/>
                <w:lang w:eastAsia="zh-CN"/>
              </w:rPr>
            </w:pPr>
            <w:r>
              <w:rPr>
                <w:rFonts w:hint="eastAsia" w:eastAsia="楷体_GB2312"/>
                <w:color w:val="auto"/>
                <w:szCs w:val="21"/>
                <w:lang w:eastAsia="zh-CN"/>
              </w:rPr>
              <w:t>（二）积极作为，为我局行政监管提供坚实的技术支撑。一是配合做好房屋安全管理。深度参与重大应急项目的处置工作，并作为专家组成员参与指导应急检测鉴定。完成4795栋房屋建筑承灾体市级核查工作。提升房屋安全应急抢险装备能力，用于全市房屋常态化市级抽查、应急抢险、应急演练等工作。二是配合做好工程质量提升。创新桩基超声波检测能力比对试验方法，编制检测机构专项检查方案。三是配合做好行业监管技术支持。完成27家检测机构资质核查。配合完成规范检测市场秩序专项检查。配合组织检测从业人员理论考试84场3458人次。四是配合开展燃气工程质量抽检工作，抽检燃气工程项目20个。五是配合完成监督抽检材料样品4633组，工程桩基592根，混凝土主体构件3186个。</w:t>
            </w:r>
          </w:p>
          <w:p>
            <w:pPr>
              <w:ind w:left="59"/>
              <w:rPr>
                <w:rFonts w:hint="eastAsia" w:eastAsia="楷体_GB2312"/>
                <w:color w:val="auto"/>
                <w:szCs w:val="21"/>
                <w:lang w:eastAsia="zh-CN"/>
              </w:rPr>
            </w:pPr>
            <w:r>
              <w:rPr>
                <w:rFonts w:hint="eastAsia" w:eastAsia="楷体_GB2312"/>
                <w:color w:val="auto"/>
                <w:szCs w:val="21"/>
                <w:lang w:eastAsia="zh-CN"/>
              </w:rPr>
              <w:t>（三）恪尽职守，高质量完成检测鉴定工作。完成了市政府及国有投资工程项目的质量检测工作，优质的技术服务树立了良好的品牌，社会效益显著。全年完成建材样品检测、基桩检测、基坑隧道检测、空气检测、土壤氡检测近</w:t>
            </w:r>
            <w:r>
              <w:rPr>
                <w:rFonts w:hint="default" w:eastAsia="楷体_GB2312"/>
                <w:color w:val="auto"/>
                <w:szCs w:val="21"/>
                <w:lang w:val="en" w:eastAsia="zh-CN"/>
              </w:rPr>
              <w:t>20</w:t>
            </w:r>
            <w:r>
              <w:rPr>
                <w:rFonts w:hint="eastAsia" w:eastAsia="楷体_GB2312"/>
                <w:color w:val="auto"/>
                <w:szCs w:val="21"/>
                <w:lang w:val="en-US" w:eastAsia="zh-CN"/>
              </w:rPr>
              <w:t>万组（次）</w:t>
            </w:r>
            <w:r>
              <w:rPr>
                <w:rFonts w:hint="eastAsia" w:eastAsia="楷体_GB2312"/>
                <w:color w:val="auto"/>
                <w:szCs w:val="21"/>
                <w:lang w:eastAsia="zh-CN"/>
              </w:rPr>
              <w:t>，检测结构鉴定建筑物近</w:t>
            </w:r>
            <w:r>
              <w:rPr>
                <w:rFonts w:hint="eastAsia" w:eastAsia="楷体_GB2312"/>
                <w:color w:val="auto"/>
                <w:szCs w:val="21"/>
                <w:lang w:val="en-US" w:eastAsia="zh-CN"/>
              </w:rPr>
              <w:t>350</w:t>
            </w:r>
            <w:r>
              <w:rPr>
                <w:rFonts w:hint="eastAsia" w:eastAsia="楷体_GB2312"/>
                <w:color w:val="auto"/>
                <w:szCs w:val="21"/>
                <w:lang w:eastAsia="zh-CN"/>
              </w:rPr>
              <w:t>栋。</w:t>
            </w:r>
          </w:p>
          <w:p>
            <w:pPr>
              <w:ind w:left="59"/>
              <w:rPr>
                <w:rFonts w:hint="eastAsia" w:eastAsia="楷体_GB2312"/>
                <w:color w:val="auto"/>
                <w:szCs w:val="21"/>
                <w:lang w:eastAsia="zh-CN"/>
              </w:rPr>
            </w:pPr>
            <w:r>
              <w:rPr>
                <w:rFonts w:hint="eastAsia" w:eastAsia="楷体_GB2312"/>
                <w:color w:val="auto"/>
                <w:szCs w:val="21"/>
                <w:lang w:eastAsia="zh-CN"/>
              </w:rPr>
              <w:t>（四）“疫”然前行，切实承担起应急工程检测鉴定工作职能，全力保障抗疫应急重点项目质量安全。一是承担中央援建香港应急工程材料质量检测工作，在今年3月深圳新冠</w:t>
            </w:r>
            <w:r>
              <w:rPr>
                <w:rFonts w:hint="eastAsia" w:eastAsia="楷体_GB2312"/>
                <w:color w:val="auto"/>
                <w:szCs w:val="21"/>
                <w:lang w:val="en-US" w:eastAsia="zh-CN"/>
              </w:rPr>
              <w:t>病毒感染疫情</w:t>
            </w:r>
            <w:r>
              <w:rPr>
                <w:rFonts w:hint="eastAsia" w:eastAsia="楷体_GB2312"/>
                <w:color w:val="auto"/>
                <w:szCs w:val="21"/>
                <w:lang w:eastAsia="zh-CN"/>
              </w:rPr>
              <w:t>最严重的时期，中心派出多名技术骨干进驻项目现场圆满完成交予的各项工作。二是开展了3轮共96栋次集中隔离场所主体结构安全督导检查。</w:t>
            </w:r>
          </w:p>
          <w:p>
            <w:pPr>
              <w:ind w:left="59"/>
              <w:rPr>
                <w:rFonts w:hint="eastAsia" w:eastAsia="楷体_GB2312"/>
                <w:color w:val="auto"/>
                <w:szCs w:val="21"/>
                <w:lang w:eastAsia="zh-CN"/>
              </w:rPr>
            </w:pPr>
            <w:r>
              <w:rPr>
                <w:rFonts w:hint="eastAsia" w:eastAsia="楷体_GB2312"/>
                <w:color w:val="auto"/>
                <w:szCs w:val="21"/>
                <w:lang w:eastAsia="zh-CN"/>
              </w:rPr>
              <w:t>（五）数字赋能，积极推进检测鉴定数字化转型。一是编制了《中心数字化转型三年（2022-2024）行动方案》。二是推进房屋鉴定和工程检测全过程动态监管工作。三是完成检测报告无纸化存档，实现检测过程可追溯防篡改。四是加强配备高端智能化设备与原有设备的智能升级改造，实施检测项目智能化升级。</w:t>
            </w:r>
          </w:p>
          <w:p>
            <w:pPr>
              <w:ind w:left="59"/>
              <w:rPr>
                <w:rFonts w:hint="eastAsia" w:eastAsia="楷体_GB2312"/>
                <w:color w:val="auto"/>
                <w:szCs w:val="21"/>
              </w:rPr>
            </w:pPr>
            <w:r>
              <w:rPr>
                <w:rFonts w:hint="eastAsia" w:eastAsia="楷体_GB2312"/>
                <w:color w:val="auto"/>
                <w:szCs w:val="21"/>
                <w:lang w:eastAsia="zh-CN"/>
              </w:rPr>
              <w:t>（六）技术创新，多领域多维度取得丰硕成果。一是创新成果获奖，《锚杆智能检测关键技术研发与应用研究》等4个项目获得广东省土木建筑学会科学技术奖，《大跨度空间桁架结构整体提升施工安全控制及仿真技术研究与应用》等6个项目获得广东省检测与监测优秀项目创新奖和优秀奖。二是学科融合创新，组织多学科交叉融合，共同攻坚既有建筑幕墙安全性能快速评价方法创新研究及“氯离子超标导致钢筋锈蚀房屋”检查评估技术研究。三是促进成果转换，新增实用新型专利授权24项和软件著作权3项，另外5项发明专利、22项实用新型专利授权进入实质性审查。四是参与检测标准规范制定，主编3部，参编12部。五是拓展检测鉴定能力。通过资质认定（CMA）复评审和CNAS认可扩项评审，新增绿色建筑符合性评价资质，通过全国AAA级检测机构信用考核。</w:t>
            </w:r>
          </w:p>
          <w:p>
            <w:pPr>
              <w:rPr>
                <w:rFonts w:hint="eastAsia" w:eastAsia="楷体_GB2312"/>
                <w:color w:val="auto"/>
                <w:szCs w:val="21"/>
              </w:rPr>
            </w:pPr>
            <w:r>
              <w:rPr>
                <w:rFonts w:hint="eastAsia" w:eastAsia="楷体_GB2312"/>
                <w:color w:val="auto"/>
                <w:szCs w:val="21"/>
              </w:rPr>
              <w:t>二、2023年工作计划</w:t>
            </w:r>
          </w:p>
          <w:p>
            <w:pPr>
              <w:ind w:firstLine="420" w:firstLineChars="200"/>
              <w:rPr>
                <w:rFonts w:hint="eastAsia" w:eastAsia="楷体_GB2312"/>
                <w:color w:val="auto"/>
                <w:szCs w:val="21"/>
              </w:rPr>
            </w:pPr>
            <w:r>
              <w:rPr>
                <w:rFonts w:hint="eastAsia" w:eastAsia="楷体_GB2312"/>
                <w:color w:val="auto"/>
                <w:szCs w:val="21"/>
              </w:rPr>
              <w:t>2023年，将以党的二十大精神为指引，全面践行</w:t>
            </w:r>
            <w:r>
              <w:rPr>
                <w:rFonts w:hint="eastAsia" w:eastAsia="楷体_GB2312"/>
                <w:color w:val="auto"/>
                <w:szCs w:val="21"/>
                <w:lang w:eastAsia="zh-CN"/>
              </w:rPr>
              <w:t>市局</w:t>
            </w:r>
            <w:r>
              <w:rPr>
                <w:rFonts w:hint="eastAsia" w:eastAsia="楷体_GB2312"/>
                <w:color w:val="auto"/>
                <w:szCs w:val="21"/>
              </w:rPr>
              <w:t>“二二八”总体工作思路，铸好“公正、科学、可靠、高效”金字招牌，做质量安全的“防火墙”、技术创新的“领头羊”、提质增效的“助燃剂”。结合自身职责定位，确立“1+2+6”工作思路，重点做好以下工作：</w:t>
            </w:r>
          </w:p>
          <w:p>
            <w:pPr>
              <w:rPr>
                <w:rFonts w:hint="eastAsia" w:eastAsia="楷体_GB2312"/>
                <w:color w:val="auto"/>
                <w:szCs w:val="21"/>
              </w:rPr>
            </w:pPr>
            <w:r>
              <w:rPr>
                <w:rFonts w:hint="eastAsia" w:eastAsia="楷体_GB2312"/>
                <w:color w:val="auto"/>
                <w:szCs w:val="21"/>
              </w:rPr>
              <w:t>（一）围绕“一个统领”。以党建工作为统领，深入贯彻党的二十大精神，把党的二十大精神贯彻落实到中心日常工作中去。</w:t>
            </w:r>
          </w:p>
          <w:p>
            <w:pPr>
              <w:rPr>
                <w:rFonts w:hint="eastAsia" w:eastAsia="楷体_GB2312"/>
                <w:color w:val="auto"/>
                <w:szCs w:val="21"/>
              </w:rPr>
            </w:pPr>
            <w:r>
              <w:rPr>
                <w:rFonts w:hint="eastAsia" w:eastAsia="楷体_GB2312"/>
                <w:color w:val="auto"/>
                <w:szCs w:val="21"/>
              </w:rPr>
              <w:t>（二）贯穿“两条主线”。一是持续抓好建设工程质量检测，严守在建工程质量“生命线”；二是切实承担既有房屋安全检测鉴定，筑牢保护人民群众生命财产安全“防火线”。坚持双轮驱动，厚植发展优势，在“双区”驱动、“双区”叠加、“双改”示范等重大战略机遇期形成可推广、可复制、可借鉴的房屋安全和工程质量检测鉴定创新经验。</w:t>
            </w:r>
          </w:p>
          <w:p>
            <w:pPr>
              <w:rPr>
                <w:rFonts w:hint="eastAsia" w:eastAsia="楷体_GB2312"/>
                <w:color w:val="auto"/>
                <w:szCs w:val="21"/>
              </w:rPr>
            </w:pPr>
            <w:r>
              <w:rPr>
                <w:rFonts w:hint="eastAsia" w:eastAsia="楷体_GB2312"/>
                <w:color w:val="auto"/>
                <w:szCs w:val="21"/>
              </w:rPr>
              <w:t>（三）落实“六个聚焦”。</w:t>
            </w:r>
          </w:p>
          <w:p>
            <w:pPr>
              <w:rPr>
                <w:rFonts w:hint="eastAsia" w:eastAsia="楷体_GB2312"/>
                <w:color w:val="auto"/>
                <w:szCs w:val="21"/>
              </w:rPr>
            </w:pPr>
            <w:r>
              <w:rPr>
                <w:rFonts w:hint="eastAsia" w:eastAsia="楷体_GB2312"/>
                <w:color w:val="auto"/>
                <w:szCs w:val="21"/>
              </w:rPr>
              <w:t>聚焦质量，着力擦亮检测鉴定质量的金字招牌。要以检测鉴定质量作为核心立足之本，把质量提升具体到检测鉴定工作的每一个环节：一是加强制度化建设，强化质量监督网。二是加强信息化监控。优化完善中心检测信息化各类平台建设。</w:t>
            </w:r>
          </w:p>
          <w:p>
            <w:pPr>
              <w:rPr>
                <w:rFonts w:hint="eastAsia" w:eastAsia="楷体_GB2312"/>
                <w:color w:val="auto"/>
                <w:szCs w:val="21"/>
              </w:rPr>
            </w:pPr>
            <w:r>
              <w:rPr>
                <w:rFonts w:hint="eastAsia" w:eastAsia="楷体_GB2312"/>
                <w:color w:val="auto"/>
                <w:szCs w:val="21"/>
              </w:rPr>
              <w:t>聚焦体制，着力强化政府公益属性。一是发挥在保障房屋安全和工程质量检测鉴定中的支撑作用，为房屋鉴定和工程检测的行政执法、质量监督提供技术支持。二是突出主导作用，引领检测鉴定行业技术创新和健康有序发展，树立权威标杆。三是完善组织架构，配强配优部门资源，确保市委编办赋予的每项职责都能落地落实。</w:t>
            </w:r>
          </w:p>
          <w:p>
            <w:pPr>
              <w:rPr>
                <w:rFonts w:hint="eastAsia" w:eastAsia="楷体_GB2312"/>
                <w:color w:val="auto"/>
                <w:szCs w:val="21"/>
              </w:rPr>
            </w:pPr>
            <w:r>
              <w:rPr>
                <w:rFonts w:hint="eastAsia" w:eastAsia="楷体_GB2312"/>
                <w:color w:val="auto"/>
                <w:szCs w:val="21"/>
              </w:rPr>
              <w:t>聚焦人才，着力加强检测鉴定专业人才队伍建设。一是用活企业化管理、社会化用人的机制，进一步塑造良好的干事创业氛围。二是加强干部的人才储备和培养使用。</w:t>
            </w:r>
          </w:p>
          <w:p>
            <w:pPr>
              <w:rPr>
                <w:rFonts w:hint="eastAsia" w:eastAsia="楷体_GB2312"/>
                <w:color w:val="auto"/>
                <w:szCs w:val="21"/>
              </w:rPr>
            </w:pPr>
            <w:r>
              <w:rPr>
                <w:rFonts w:hint="eastAsia" w:eastAsia="楷体_GB2312"/>
                <w:color w:val="auto"/>
                <w:szCs w:val="21"/>
              </w:rPr>
              <w:t>聚焦科技，着力打造全国检测鉴定的科技创新高地。以“智慧检测”服务“智慧住建”。配合行政主管部门优化全市检测监管平台功能，强化数据分析，挖掘数据价值，提升服务水平，完善管理制度。</w:t>
            </w:r>
          </w:p>
          <w:p>
            <w:pPr>
              <w:rPr>
                <w:rFonts w:hint="eastAsia" w:eastAsia="楷体_GB2312"/>
                <w:color w:val="auto"/>
                <w:szCs w:val="21"/>
              </w:rPr>
            </w:pPr>
            <w:r>
              <w:rPr>
                <w:rFonts w:hint="eastAsia" w:eastAsia="楷体_GB2312"/>
                <w:color w:val="auto"/>
                <w:szCs w:val="21"/>
              </w:rPr>
              <w:t>聚焦主业，着力推进检测鉴定专业资质全覆盖。一是做优做精原有业务，增强原有检测鉴定业务的技术服务能力；二是对标国际一流，全面提升检测水平；三是争取开拓新型业务</w:t>
            </w:r>
            <w:r>
              <w:rPr>
                <w:rFonts w:hint="eastAsia" w:eastAsia="楷体_GB2312"/>
                <w:color w:val="auto"/>
                <w:szCs w:val="21"/>
                <w:lang w:eastAsia="zh-CN"/>
              </w:rPr>
              <w:t>，为满足</w:t>
            </w:r>
            <w:r>
              <w:rPr>
                <w:rFonts w:hint="eastAsia" w:eastAsia="楷体_GB2312"/>
                <w:color w:val="auto"/>
                <w:szCs w:val="21"/>
              </w:rPr>
              <w:t>建设领域综合资质奠定基础。</w:t>
            </w:r>
          </w:p>
          <w:p>
            <w:pPr>
              <w:rPr>
                <w:rFonts w:hint="eastAsia" w:eastAsia="楷体_GB2312"/>
                <w:color w:val="auto"/>
                <w:szCs w:val="21"/>
              </w:rPr>
            </w:pPr>
            <w:r>
              <w:rPr>
                <w:rFonts w:hint="eastAsia" w:eastAsia="楷体_GB2312"/>
                <w:color w:val="auto"/>
                <w:szCs w:val="21"/>
              </w:rPr>
              <w:t>聚焦规范，着力实现检测鉴定工作规范化精细化。一是持续推进“三规”专项行动工作成效，自觉把“讲规矩、明规则、守规范”落实到日常行为上来，充分发挥“靠制度管人、用制度管权、按制度办事”长效机制作用。二是深化推进决策科学化、管理制度化、工作程序化、实施标准化、落实精细化“五化”理念，建立健全内控制度，做到依规行政、按章办事，为检测鉴定事业可持续发展提供坚强保障。三是根据认证认可准则变化要求和中心实际，推进新一版管理体系文件的编制及宣贯工作。</w:t>
            </w:r>
          </w:p>
          <w:p>
            <w:pPr>
              <w:rPr>
                <w:rFonts w:hint="eastAsia" w:eastAsia="楷体_GB2312"/>
                <w:color w:val="FF0000"/>
                <w:szCs w:val="21"/>
              </w:rPr>
            </w:pP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hint="default" w:ascii="Calibri" w:hAnsi="Calibri" w:eastAsia="楷体_GB2312" w:cs="Times New Roman"/>
                <w:color w:val="auto"/>
                <w:kern w:val="2"/>
                <w:sz w:val="24"/>
                <w:szCs w:val="24"/>
                <w:u w:val="none"/>
                <w:lang w:val="en-US" w:eastAsia="zh-CN" w:bidi="ar"/>
              </w:rPr>
            </w:pPr>
            <w:r>
              <w:rPr>
                <w:rFonts w:hint="eastAsia" w:ascii="Calibri" w:hAnsi="Calibri" w:eastAsia="楷体_GB2312" w:cs="Times New Roman"/>
                <w:color w:val="auto"/>
                <w:kern w:val="2"/>
                <w:sz w:val="24"/>
                <w:szCs w:val="24"/>
                <w:u w:val="none"/>
                <w:lang w:val="en-US" w:eastAsia="zh-CN" w:bidi="ar"/>
              </w:rPr>
              <w:t>注：1.填写执行本单位章程的情况、按照登记的宗旨和业务范围</w:t>
            </w:r>
            <w:r>
              <w:rPr>
                <w:rFonts w:hint="eastAsia" w:eastAsia="楷体_GB2312" w:cs="Times New Roman"/>
                <w:color w:val="auto"/>
                <w:kern w:val="2"/>
                <w:sz w:val="24"/>
                <w:szCs w:val="24"/>
                <w:u w:val="none"/>
                <w:lang w:val="en-US" w:eastAsia="zh-CN" w:bidi="ar"/>
              </w:rPr>
              <w:t>分项</w:t>
            </w:r>
            <w:r>
              <w:rPr>
                <w:rFonts w:hint="eastAsia" w:ascii="Calibri" w:hAnsi="Calibri" w:eastAsia="楷体_GB2312" w:cs="Times New Roman"/>
                <w:color w:val="auto"/>
                <w:kern w:val="2"/>
                <w:sz w:val="24"/>
                <w:szCs w:val="24"/>
                <w:u w:val="none"/>
                <w:lang w:val="en-US" w:eastAsia="zh-CN" w:bidi="ar"/>
              </w:rPr>
              <w:t>梳理主要职能，填写</w:t>
            </w:r>
            <w:r>
              <w:rPr>
                <w:rFonts w:hint="eastAsia" w:eastAsia="楷体_GB2312" w:cs="Times New Roman"/>
                <w:color w:val="auto"/>
                <w:kern w:val="2"/>
                <w:sz w:val="24"/>
                <w:szCs w:val="24"/>
                <w:u w:val="none"/>
                <w:lang w:val="en-US" w:eastAsia="zh-CN" w:bidi="ar"/>
              </w:rPr>
              <w:t>各项职能的</w:t>
            </w:r>
            <w:r>
              <w:rPr>
                <w:rFonts w:hint="eastAsia" w:ascii="Calibri" w:hAnsi="Calibri" w:eastAsia="楷体_GB2312" w:cs="Times New Roman"/>
                <w:color w:val="auto"/>
                <w:kern w:val="2"/>
                <w:sz w:val="24"/>
                <w:szCs w:val="24"/>
                <w:u w:val="none"/>
                <w:lang w:val="en-US" w:eastAsia="zh-CN" w:bidi="ar"/>
              </w:rPr>
              <w:t>具体业务活动情况、取得的主要社会效益和经济效益（用数字说明）、存在的问题及改进措施和下一步工作思路等。</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480" w:firstLineChars="200"/>
              <w:jc w:val="both"/>
              <w:textAlignment w:val="auto"/>
              <w:outlineLvl w:val="9"/>
              <w:rPr>
                <w:rFonts w:eastAsia="楷体_GB2312"/>
                <w:color w:val="FF0000"/>
                <w:szCs w:val="21"/>
              </w:rPr>
            </w:pPr>
            <w:r>
              <w:rPr>
                <w:rFonts w:hint="default" w:ascii="Calibri" w:hAnsi="Calibri" w:eastAsia="楷体_GB2312" w:cs="Times New Roman"/>
                <w:color w:val="auto"/>
                <w:kern w:val="2"/>
                <w:sz w:val="24"/>
                <w:szCs w:val="24"/>
                <w:u w:val="none"/>
                <w:lang w:val="en-US" w:eastAsia="zh-CN" w:bidi="ar"/>
              </w:rPr>
              <w:t>2.填写</w:t>
            </w:r>
            <w:r>
              <w:rPr>
                <w:rFonts w:hint="eastAsia" w:ascii="Calibri" w:hAnsi="Calibri" w:eastAsia="楷体_GB2312" w:cs="Times New Roman"/>
                <w:color w:val="auto"/>
                <w:kern w:val="2"/>
                <w:sz w:val="24"/>
                <w:szCs w:val="24"/>
                <w:u w:val="none"/>
                <w:lang w:val="en-US" w:eastAsia="zh-CN" w:bidi="ar"/>
              </w:rPr>
              <w:t>内容较多的单位应自行调整表格大小。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82" w:hRule="atLeast"/>
          <w:jc w:val="center"/>
        </w:trPr>
        <w:tc>
          <w:tcPr>
            <w:tcW w:w="3261" w:type="dxa"/>
            <w:gridSpan w:val="3"/>
            <w:vMerge w:val="restart"/>
            <w:noWrap w:val="0"/>
            <w:vAlign w:val="top"/>
          </w:tcPr>
          <w:p>
            <w:pPr>
              <w:ind w:left="59"/>
              <w:rPr>
                <w:rFonts w:hint="eastAsia" w:eastAsia="楷体_GB2312"/>
                <w:color w:val="FF0000"/>
                <w:sz w:val="32"/>
                <w:szCs w:val="32"/>
                <w:lang w:eastAsia="zh-CN"/>
              </w:rPr>
            </w:pPr>
          </w:p>
          <w:p>
            <w:pPr>
              <w:ind w:left="59"/>
              <w:rPr>
                <w:rFonts w:hint="eastAsia" w:eastAsia="楷体_GB2312"/>
                <w:color w:val="FF0000"/>
                <w:sz w:val="32"/>
                <w:szCs w:val="32"/>
                <w:lang w:eastAsia="zh-CN"/>
              </w:rPr>
            </w:pPr>
          </w:p>
          <w:p>
            <w:pPr>
              <w:ind w:left="59"/>
              <w:jc w:val="center"/>
              <w:rPr>
                <w:rFonts w:hint="eastAsia" w:eastAsia="楷体_GB2312"/>
                <w:color w:val="FF0000"/>
                <w:sz w:val="32"/>
                <w:szCs w:val="32"/>
                <w:lang w:eastAsia="zh-CN"/>
              </w:rPr>
            </w:pPr>
            <w:r>
              <w:rPr>
                <w:rFonts w:hint="eastAsia" w:eastAsia="楷体_GB2312"/>
                <w:color w:val="auto"/>
                <w:sz w:val="32"/>
                <w:szCs w:val="32"/>
                <w:lang w:eastAsia="zh-CN"/>
              </w:rPr>
              <w:t>公益服务投入</w:t>
            </w:r>
          </w:p>
        </w:tc>
        <w:tc>
          <w:tcPr>
            <w:tcW w:w="99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经费来源</w:t>
            </w:r>
          </w:p>
        </w:tc>
        <w:tc>
          <w:tcPr>
            <w:tcW w:w="4466"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自收自支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lang w:eastAsia="zh-CN"/>
              </w:rPr>
            </w:pPr>
          </w:p>
        </w:tc>
        <w:tc>
          <w:tcPr>
            <w:tcW w:w="99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财务相关项目</w:t>
            </w:r>
          </w:p>
        </w:tc>
        <w:tc>
          <w:tcPr>
            <w:tcW w:w="3427" w:type="dxa"/>
            <w:gridSpan w:val="9"/>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金额/比率</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备注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99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eastAsia="zh-CN"/>
              </w:rPr>
              <w:t>开办资金（万元）</w:t>
            </w:r>
          </w:p>
        </w:tc>
        <w:tc>
          <w:tcPr>
            <w:tcW w:w="3427" w:type="dxa"/>
            <w:gridSpan w:val="9"/>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3832</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99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经费自给率（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3427" w:type="dxa"/>
            <w:gridSpan w:val="9"/>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100%</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99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人员支出占事业支出比率（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3427" w:type="dxa"/>
            <w:gridSpan w:val="9"/>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49%</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99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公用支出占事业支出比率（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3427" w:type="dxa"/>
            <w:gridSpan w:val="9"/>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14%</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99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资产负债率（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3427" w:type="dxa"/>
            <w:gridSpan w:val="9"/>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23%</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3261" w:type="dxa"/>
            <w:gridSpan w:val="3"/>
            <w:vMerge w:val="continue"/>
            <w:noWrap w:val="0"/>
            <w:vAlign w:val="top"/>
          </w:tcPr>
          <w:p>
            <w:pPr>
              <w:ind w:left="59"/>
              <w:rPr>
                <w:rFonts w:hint="eastAsia" w:eastAsia="楷体_GB2312"/>
                <w:color w:val="FF0000"/>
                <w:sz w:val="32"/>
                <w:szCs w:val="32"/>
              </w:rPr>
            </w:pPr>
          </w:p>
        </w:tc>
        <w:tc>
          <w:tcPr>
            <w:tcW w:w="99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收入增长率（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3427" w:type="dxa"/>
            <w:gridSpan w:val="9"/>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-1%</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1975" w:type="dxa"/>
            <w:vMerge w:val="restart"/>
            <w:noWrap w:val="0"/>
            <w:vAlign w:val="top"/>
          </w:tcPr>
          <w:p>
            <w:pPr>
              <w:ind w:left="59"/>
              <w:rPr>
                <w:rFonts w:hint="eastAsia" w:eastAsia="楷体_GB2312"/>
                <w:color w:val="FF0000"/>
                <w:sz w:val="32"/>
                <w:szCs w:val="32"/>
              </w:rPr>
            </w:pPr>
          </w:p>
        </w:tc>
        <w:tc>
          <w:tcPr>
            <w:tcW w:w="2278"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支出增长率（</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3427" w:type="dxa"/>
            <w:gridSpan w:val="9"/>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0.02%</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1975" w:type="dxa"/>
            <w:vMerge w:val="continue"/>
            <w:noWrap w:val="0"/>
            <w:vAlign w:val="top"/>
          </w:tcPr>
          <w:p>
            <w:pPr>
              <w:ind w:left="59"/>
              <w:rPr>
                <w:rFonts w:hint="eastAsia" w:eastAsia="楷体_GB2312"/>
                <w:color w:val="FF0000"/>
                <w:sz w:val="32"/>
                <w:szCs w:val="32"/>
              </w:rPr>
            </w:pPr>
          </w:p>
        </w:tc>
        <w:tc>
          <w:tcPr>
            <w:tcW w:w="2278"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收入支出比（</w:t>
            </w:r>
            <w:r>
              <w:rPr>
                <w:rFonts w:hint="eastAsia" w:ascii="楷体_GB2312" w:eastAsia="楷体_GB2312"/>
                <w:color w:val="auto"/>
                <w:sz w:val="32"/>
                <w:szCs w:val="32"/>
                <w:lang w:val="en-US" w:eastAsia="zh-CN"/>
              </w:rPr>
              <w:t>%</w:t>
            </w:r>
            <w:r>
              <w:rPr>
                <w:rFonts w:hint="eastAsia" w:ascii="楷体_GB2312" w:eastAsia="楷体_GB2312"/>
                <w:color w:val="auto"/>
                <w:sz w:val="32"/>
                <w:szCs w:val="32"/>
                <w:lang w:eastAsia="zh-CN"/>
              </w:rPr>
              <w:t>）</w:t>
            </w:r>
          </w:p>
        </w:tc>
        <w:tc>
          <w:tcPr>
            <w:tcW w:w="3427" w:type="dxa"/>
            <w:gridSpan w:val="9"/>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center"/>
              <w:textAlignment w:val="auto"/>
              <w:outlineLvl w:val="9"/>
              <w:rPr>
                <w:rFonts w:hint="default" w:ascii="楷体_GB2312" w:eastAsia="楷体_GB2312"/>
                <w:color w:val="auto"/>
                <w:sz w:val="32"/>
                <w:szCs w:val="32"/>
                <w:lang w:val="en-US" w:eastAsia="zh-CN"/>
              </w:rPr>
            </w:pPr>
            <w:r>
              <w:rPr>
                <w:rFonts w:hint="eastAsia" w:ascii="楷体_GB2312" w:eastAsia="楷体_GB2312"/>
                <w:color w:val="auto"/>
                <w:sz w:val="32"/>
                <w:szCs w:val="32"/>
                <w:lang w:val="en-US" w:eastAsia="zh-CN"/>
              </w:rPr>
              <w:t>117%</w:t>
            </w:r>
          </w:p>
        </w:tc>
        <w:tc>
          <w:tcPr>
            <w:tcW w:w="1039" w:type="dxa"/>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08" w:hRule="atLeast"/>
          <w:jc w:val="center"/>
        </w:trPr>
        <w:tc>
          <w:tcPr>
            <w:tcW w:w="1975" w:type="dxa"/>
            <w:vMerge w:val="restart"/>
            <w:noWrap w:val="0"/>
            <w:vAlign w:val="top"/>
          </w:tcPr>
          <w:p>
            <w:pPr>
              <w:ind w:left="59"/>
              <w:rPr>
                <w:rFonts w:hint="eastAsia" w:eastAsia="楷体_GB2312"/>
                <w:color w:val="FF0000"/>
                <w:sz w:val="32"/>
                <w:szCs w:val="32"/>
                <w:lang w:eastAsia="zh-CN"/>
              </w:rPr>
            </w:pPr>
            <w:r>
              <w:rPr>
                <w:rFonts w:hint="eastAsia" w:eastAsia="楷体_GB2312"/>
                <w:color w:val="auto"/>
                <w:sz w:val="32"/>
                <w:szCs w:val="32"/>
                <w:lang w:eastAsia="zh-CN"/>
              </w:rPr>
              <w:t>其他组织利用国有资产举办事业单位情况</w:t>
            </w:r>
          </w:p>
        </w:tc>
        <w:tc>
          <w:tcPr>
            <w:tcW w:w="2278"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党组织建设情况（如有则填写）</w:t>
            </w:r>
          </w:p>
        </w:tc>
        <w:tc>
          <w:tcPr>
            <w:tcW w:w="4466" w:type="dxa"/>
            <w:gridSpan w:val="10"/>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hint="eastAsia" w:eastAsia="楷体_GB2312" w:cs="Times New Roman"/>
                <w:color w:val="auto"/>
                <w:kern w:val="2"/>
                <w:sz w:val="24"/>
                <w:szCs w:val="24"/>
                <w:u w:val="none"/>
                <w:lang w:val="en-US" w:eastAsia="zh-CN" w:bidi="ar"/>
              </w:rPr>
            </w:pPr>
            <w:r>
              <w:rPr>
                <w:rFonts w:hint="eastAsia" w:eastAsia="楷体_GB2312" w:cs="Times New Roman"/>
                <w:color w:val="auto"/>
                <w:kern w:val="2"/>
                <w:sz w:val="24"/>
                <w:szCs w:val="24"/>
                <w:u w:val="none"/>
                <w:lang w:val="en-US" w:eastAsia="zh-CN" w:bidi="ar"/>
              </w:rPr>
              <w:t>2016年，经深圳市住房和建设局直属机关党委批准，成立深圳市房屋安全和工程质量检测鉴定中心党总支，下设3个支部，分别是深圳市房屋安全和工程质量检测鉴定中心第一党支部、深圳市房屋安全和工程质量检测鉴定中心第二党支部、深圳市房屋安全和工程质量检测鉴定中心第三党支部等3个，党员人数共82名。</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hint="eastAsia" w:ascii="Calibri" w:hAnsi="Calibri" w:eastAsia="楷体_GB2312" w:cs="Times New Roman"/>
                <w:color w:val="auto"/>
                <w:kern w:val="2"/>
                <w:sz w:val="24"/>
                <w:szCs w:val="24"/>
                <w:u w:val="none"/>
                <w:lang w:val="en-US" w:eastAsia="zh-CN" w:bidi="ar"/>
              </w:rPr>
            </w:pPr>
            <w:r>
              <w:rPr>
                <w:rFonts w:hint="eastAsia" w:ascii="Calibri" w:hAnsi="Calibri" w:eastAsia="楷体_GB2312" w:cs="Times New Roman"/>
                <w:color w:val="auto"/>
                <w:kern w:val="2"/>
                <w:sz w:val="24"/>
                <w:szCs w:val="24"/>
                <w:u w:val="none"/>
                <w:lang w:val="en-US" w:eastAsia="zh-CN" w:bidi="ar"/>
              </w:rPr>
              <w:t>活动开展情况：</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hint="eastAsia" w:ascii="Calibri" w:hAnsi="Calibri" w:eastAsia="楷体_GB2312" w:cs="Times New Roman"/>
                <w:color w:val="auto"/>
                <w:kern w:val="2"/>
                <w:sz w:val="24"/>
                <w:szCs w:val="24"/>
                <w:u w:val="none"/>
                <w:lang w:val="en-US" w:eastAsia="zh-CN" w:bidi="ar"/>
              </w:rPr>
            </w:pPr>
            <w:r>
              <w:rPr>
                <w:rFonts w:hint="eastAsia" w:ascii="Calibri" w:hAnsi="Calibri" w:eastAsia="楷体_GB2312" w:cs="Times New Roman"/>
                <w:color w:val="auto"/>
                <w:kern w:val="2"/>
                <w:sz w:val="24"/>
                <w:szCs w:val="24"/>
                <w:u w:val="none"/>
                <w:lang w:val="en-US" w:eastAsia="zh-CN" w:bidi="ar"/>
              </w:rPr>
              <w:t>一是旗帜鲜明讲政治，用党的最新理论武装头脑指导实践。全年组织各类学习、研讨101余次，深入学习</w:t>
            </w:r>
            <w:r>
              <w:rPr>
                <w:rFonts w:hint="eastAsia" w:eastAsia="楷体_GB2312" w:cs="Times New Roman"/>
                <w:color w:val="auto"/>
                <w:kern w:val="2"/>
                <w:sz w:val="24"/>
                <w:szCs w:val="24"/>
                <w:u w:val="none"/>
                <w:lang w:val="en-US" w:eastAsia="zh-CN" w:bidi="ar"/>
              </w:rPr>
              <w:t>贯彻</w:t>
            </w:r>
            <w:r>
              <w:rPr>
                <w:rFonts w:hint="eastAsia" w:ascii="Calibri" w:hAnsi="Calibri" w:eastAsia="楷体_GB2312" w:cs="Times New Roman"/>
                <w:color w:val="auto"/>
                <w:kern w:val="2"/>
                <w:sz w:val="24"/>
                <w:szCs w:val="24"/>
                <w:u w:val="none"/>
                <w:lang w:val="en-US" w:eastAsia="zh-CN" w:bidi="ar"/>
              </w:rPr>
              <w:t>习近平新时代中国特色社会主义思想。党的二十大召开之后，第一时间组织收看坚持先学一步，开展系列学习宣贯活动21次，力争学深一层，结合中心中长期规划，认真贯彻落实，做到快人一鞭。二是持续强化组织建设，提升组织战斗力和凝聚力。严格执行基层党组织按期换届制度，按要求配齐配强专职和半专职党务干部，进一步加强党建工作力量。三是严格落实意识形态责任制，转作风、树新风。以“三争”行动、“党建+”、“走流程 优服务”等活动为载体，落实“信访维稳安全生产党建作风纪律”清单、“意识形态工作责任”清单、服务提升工作清单，不断提升工作质量和服务水平。四是深入开展党风廉</w:t>
            </w:r>
            <w:r>
              <w:rPr>
                <w:rFonts w:hint="eastAsia" w:eastAsia="楷体_GB2312" w:cs="Times New Roman"/>
                <w:color w:val="auto"/>
                <w:kern w:val="2"/>
                <w:sz w:val="24"/>
                <w:szCs w:val="24"/>
                <w:u w:val="none"/>
                <w:lang w:val="en-US" w:eastAsia="zh-CN" w:bidi="ar"/>
              </w:rPr>
              <w:t>政</w:t>
            </w:r>
            <w:r>
              <w:rPr>
                <w:rFonts w:hint="eastAsia" w:ascii="Calibri" w:hAnsi="Calibri" w:eastAsia="楷体_GB2312" w:cs="Times New Roman"/>
                <w:color w:val="auto"/>
                <w:kern w:val="2"/>
                <w:sz w:val="24"/>
                <w:szCs w:val="24"/>
                <w:u w:val="none"/>
                <w:lang w:val="en-US" w:eastAsia="zh-CN" w:bidi="ar"/>
              </w:rPr>
              <w:t>建设，持之以恒正风肃纪。以省委巡视、市委巡察、局系统经费专项检查为契机，结合“三规”专项行动，对照“五化”管理，剖析问题，研究对策。全年修订完善《印章管理制度》等14项现行内控制度，治理成效显著。五是立足岗位服务群众，推动“我为群众办实事”走深走实。结合“一对一”挂点联系服务工作，用心用情用力群众“急难愁盼”问题。先后开展了心猝医疗设备捐赠、建筑物结构安全公益排查等20余项活动。六是积极助力乡村振兴，不遗余力</w:t>
            </w:r>
            <w:r>
              <w:rPr>
                <w:rFonts w:hint="eastAsia" w:eastAsia="楷体_GB2312" w:cs="Times New Roman"/>
                <w:color w:val="auto"/>
                <w:kern w:val="2"/>
                <w:sz w:val="24"/>
                <w:szCs w:val="24"/>
                <w:u w:val="none"/>
                <w:lang w:val="en-US" w:eastAsia="zh-CN" w:bidi="ar"/>
              </w:rPr>
              <w:t>脱</w:t>
            </w:r>
            <w:r>
              <w:rPr>
                <w:rFonts w:hint="eastAsia" w:ascii="Calibri" w:hAnsi="Calibri" w:eastAsia="楷体_GB2312" w:cs="Times New Roman"/>
                <w:color w:val="auto"/>
                <w:kern w:val="2"/>
                <w:sz w:val="24"/>
                <w:szCs w:val="24"/>
                <w:u w:val="none"/>
                <w:lang w:val="en-US" w:eastAsia="zh-CN" w:bidi="ar"/>
              </w:rPr>
              <w:t>贫</w:t>
            </w:r>
            <w:bookmarkStart w:id="0" w:name="_GoBack"/>
            <w:bookmarkEnd w:id="0"/>
            <w:r>
              <w:rPr>
                <w:rFonts w:hint="eastAsia" w:ascii="Calibri" w:hAnsi="Calibri" w:eastAsia="楷体_GB2312" w:cs="Times New Roman"/>
                <w:color w:val="auto"/>
                <w:kern w:val="2"/>
                <w:sz w:val="24"/>
                <w:szCs w:val="24"/>
                <w:u w:val="none"/>
                <w:lang w:val="en-US" w:eastAsia="zh-CN" w:bidi="ar"/>
              </w:rPr>
              <w:t>攻坚。为市局对口帮扶镇完成6栋党民共建重要场所建筑物的结构安全检测鉴定、捐资消防设施24万元、捐赠教学设备79台、采购扶贫产品44.9万元，超额完成帮扶任务。七是疫情防控勇当先锋，抗疫一线党旗飘扬。中心先后成立“抗疫先锋队”、“抗疫志愿队”11支，组织集体抗疫活动16次，全年参与抗疫211人次。在抗疫关键期中心领导带头积极投身到居住地、工作地所在社区的抗疫工作中去、选派15名同志紧急支援罗湖、中心全体在职党员100%到社区报到，听从安排。在一线最需要的地方、在群众最需要的地方始终有党员的身影坚守攻关，充分发挥基层党组织战斗堡垒和党员先锋模范作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3" w:hRule="atLeast"/>
          <w:jc w:val="center"/>
        </w:trPr>
        <w:tc>
          <w:tcPr>
            <w:tcW w:w="1975" w:type="dxa"/>
            <w:vMerge w:val="continue"/>
            <w:noWrap w:val="0"/>
            <w:vAlign w:val="top"/>
          </w:tcPr>
          <w:p>
            <w:pPr>
              <w:ind w:left="59"/>
              <w:rPr>
                <w:rFonts w:hint="eastAsia" w:eastAsia="楷体_GB2312"/>
                <w:color w:val="FF0000"/>
                <w:sz w:val="32"/>
                <w:szCs w:val="32"/>
                <w:lang w:eastAsia="zh-CN"/>
              </w:rPr>
            </w:pPr>
          </w:p>
        </w:tc>
        <w:tc>
          <w:tcPr>
            <w:tcW w:w="2278" w:type="dxa"/>
            <w:gridSpan w:val="5"/>
            <w:vMerge w:val="restart"/>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理事会运行情况</w:t>
            </w:r>
          </w:p>
        </w:tc>
        <w:tc>
          <w:tcPr>
            <w:tcW w:w="3427" w:type="dxa"/>
            <w:gridSpan w:val="9"/>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人员组成情况</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975" w:type="dxa"/>
            <w:vMerge w:val="continue"/>
            <w:noWrap w:val="0"/>
            <w:vAlign w:val="top"/>
          </w:tcPr>
          <w:p>
            <w:pPr>
              <w:ind w:left="59"/>
              <w:rPr>
                <w:rFonts w:hint="eastAsia" w:eastAsia="楷体_GB2312"/>
                <w:color w:val="FF0000"/>
                <w:sz w:val="32"/>
                <w:szCs w:val="32"/>
                <w:lang w:eastAsia="zh-CN"/>
              </w:rPr>
            </w:pPr>
          </w:p>
        </w:tc>
        <w:tc>
          <w:tcPr>
            <w:tcW w:w="2278" w:type="dxa"/>
            <w:gridSpan w:val="5"/>
            <w:vMerge w:val="continue"/>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3427" w:type="dxa"/>
            <w:gridSpan w:val="9"/>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召开会议情况</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8" w:hRule="atLeast"/>
          <w:jc w:val="center"/>
        </w:trPr>
        <w:tc>
          <w:tcPr>
            <w:tcW w:w="1975" w:type="dxa"/>
            <w:vMerge w:val="continue"/>
            <w:noWrap w:val="0"/>
            <w:vAlign w:val="top"/>
          </w:tcPr>
          <w:p>
            <w:pPr>
              <w:ind w:left="59"/>
              <w:rPr>
                <w:rFonts w:hint="eastAsia" w:eastAsia="楷体_GB2312"/>
                <w:color w:val="FF0000"/>
                <w:sz w:val="32"/>
                <w:szCs w:val="32"/>
                <w:lang w:eastAsia="zh-CN"/>
              </w:rPr>
            </w:pPr>
          </w:p>
        </w:tc>
        <w:tc>
          <w:tcPr>
            <w:tcW w:w="2278" w:type="dxa"/>
            <w:gridSpan w:val="5"/>
            <w:vMerge w:val="continue"/>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3427" w:type="dxa"/>
            <w:gridSpan w:val="9"/>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决策决议情况</w:t>
            </w: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1" w:hRule="atLeast"/>
          <w:jc w:val="center"/>
        </w:trPr>
        <w:tc>
          <w:tcPr>
            <w:tcW w:w="1975" w:type="dxa"/>
            <w:vMerge w:val="continue"/>
            <w:noWrap w:val="0"/>
            <w:vAlign w:val="top"/>
          </w:tcPr>
          <w:p>
            <w:pPr>
              <w:ind w:left="59"/>
              <w:rPr>
                <w:rFonts w:hint="eastAsia" w:eastAsia="楷体_GB2312"/>
                <w:color w:val="FF0000"/>
                <w:sz w:val="32"/>
                <w:szCs w:val="32"/>
                <w:lang w:eastAsia="zh-CN"/>
              </w:rPr>
            </w:pPr>
          </w:p>
        </w:tc>
        <w:tc>
          <w:tcPr>
            <w:tcW w:w="2278"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兴办企业情况</w:t>
            </w:r>
          </w:p>
        </w:tc>
        <w:tc>
          <w:tcPr>
            <w:tcW w:w="3427" w:type="dxa"/>
            <w:gridSpan w:val="9"/>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8" w:hRule="atLeast"/>
          <w:jc w:val="center"/>
        </w:trPr>
        <w:tc>
          <w:tcPr>
            <w:tcW w:w="1975" w:type="dxa"/>
            <w:noWrap w:val="0"/>
            <w:vAlign w:val="top"/>
          </w:tcPr>
          <w:p>
            <w:pPr>
              <w:ind w:left="59"/>
              <w:rPr>
                <w:rFonts w:hint="eastAsia" w:eastAsia="楷体_GB2312"/>
                <w:color w:val="FF0000"/>
                <w:sz w:val="32"/>
                <w:szCs w:val="32"/>
                <w:lang w:eastAsia="zh-CN"/>
              </w:rPr>
            </w:pPr>
          </w:p>
        </w:tc>
        <w:tc>
          <w:tcPr>
            <w:tcW w:w="2278" w:type="dxa"/>
            <w:gridSpan w:val="5"/>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r>
              <w:rPr>
                <w:rFonts w:hint="eastAsia" w:ascii="楷体_GB2312" w:eastAsia="楷体_GB2312"/>
                <w:color w:val="auto"/>
                <w:sz w:val="32"/>
                <w:szCs w:val="32"/>
                <w:lang w:eastAsia="zh-CN"/>
              </w:rPr>
              <w:t>国有资产投入使用情况</w:t>
            </w:r>
          </w:p>
        </w:tc>
        <w:tc>
          <w:tcPr>
            <w:tcW w:w="3427" w:type="dxa"/>
            <w:gridSpan w:val="9"/>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c>
          <w:tcPr>
            <w:tcW w:w="1039" w:type="dxa"/>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left="57" w:leftChars="0" w:right="0" w:rightChars="0" w:firstLine="0" w:firstLineChars="0"/>
              <w:jc w:val="both"/>
              <w:textAlignment w:val="auto"/>
              <w:outlineLvl w:val="9"/>
              <w:rPr>
                <w:rFonts w:hint="eastAsia" w:ascii="楷体_GB2312" w:eastAsia="楷体_GB2312"/>
                <w:color w:val="auto"/>
                <w:sz w:val="32"/>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97" w:hRule="atLeast"/>
          <w:jc w:val="center"/>
        </w:trPr>
        <w:tc>
          <w:tcPr>
            <w:tcW w:w="1975" w:type="dxa"/>
            <w:noWrap w:val="0"/>
            <w:vAlign w:val="top"/>
          </w:tcPr>
          <w:p>
            <w:pPr>
              <w:ind w:left="59"/>
              <w:rPr>
                <w:rFonts w:eastAsia="楷体_GB2312"/>
                <w:color w:val="auto"/>
                <w:sz w:val="32"/>
                <w:szCs w:val="32"/>
              </w:rPr>
            </w:pPr>
            <w:r>
              <w:rPr>
                <w:rFonts w:hint="eastAsia" w:eastAsia="楷体_GB2312"/>
                <w:color w:val="auto"/>
                <w:sz w:val="32"/>
                <w:szCs w:val="32"/>
              </w:rPr>
              <w:t>报告</w:t>
            </w:r>
            <w:r>
              <w:rPr>
                <w:rFonts w:eastAsia="楷体_GB2312"/>
                <w:color w:val="auto"/>
                <w:sz w:val="32"/>
                <w:szCs w:val="32"/>
              </w:rPr>
              <w:t>中</w:t>
            </w:r>
            <w:r>
              <w:rPr>
                <w:rFonts w:hint="eastAsia" w:eastAsia="楷体_GB2312"/>
                <w:color w:val="auto"/>
                <w:sz w:val="32"/>
                <w:szCs w:val="32"/>
              </w:rPr>
              <w:t>其他需要说明</w:t>
            </w:r>
            <w:r>
              <w:rPr>
                <w:rFonts w:eastAsia="楷体_GB2312"/>
                <w:color w:val="auto"/>
                <w:sz w:val="32"/>
                <w:szCs w:val="32"/>
              </w:rPr>
              <w:t>的情况</w:t>
            </w:r>
          </w:p>
        </w:tc>
        <w:tc>
          <w:tcPr>
            <w:tcW w:w="6744" w:type="dxa"/>
            <w:gridSpan w:val="15"/>
            <w:noWrap w:val="0"/>
            <w:vAlign w:val="top"/>
          </w:tcPr>
          <w:p>
            <w:pPr>
              <w:ind w:left="59"/>
              <w:rPr>
                <w:rFonts w:hint="eastAsia" w:eastAsia="楷体_GB2312"/>
                <w:color w:val="auto"/>
                <w:szCs w:val="21"/>
                <w:lang w:eastAsia="zh-CN"/>
              </w:rPr>
            </w:pPr>
            <w:r>
              <w:rPr>
                <w:rFonts w:hint="eastAsia" w:eastAsia="楷体_GB2312"/>
                <w:color w:val="auto"/>
                <w:szCs w:val="21"/>
                <w:lang w:eastAsia="zh-CN"/>
              </w:rPr>
              <w:t>无。</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Calibri" w:hAnsi="Calibri" w:eastAsia="楷体_GB2312"/>
                <w:color w:val="auto"/>
                <w:kern w:val="2"/>
                <w:sz w:val="24"/>
                <w:szCs w:val="24"/>
              </w:rPr>
              <w:t>注：填写事业单位分支机构设置和独立办证（许可）情况及运行情况，举办或参与举办其他机构情况，重大资产变动情况，本单位年度发生了重组、整合、拆分、撤销、调整管理形式等情况，以及其他需要说明的情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9" w:hRule="atLeast"/>
          <w:jc w:val="center"/>
        </w:trPr>
        <w:tc>
          <w:tcPr>
            <w:tcW w:w="1975" w:type="dxa"/>
            <w:noWrap w:val="0"/>
            <w:vAlign w:val="top"/>
          </w:tcPr>
          <w:p>
            <w:pPr>
              <w:ind w:left="59"/>
              <w:rPr>
                <w:rFonts w:eastAsia="楷体_GB2312"/>
                <w:color w:val="auto"/>
                <w:sz w:val="32"/>
                <w:szCs w:val="32"/>
              </w:rPr>
            </w:pPr>
            <w:r>
              <w:rPr>
                <w:rFonts w:hint="eastAsia" w:eastAsia="楷体_GB2312"/>
                <w:color w:val="auto"/>
                <w:sz w:val="32"/>
                <w:szCs w:val="32"/>
              </w:rPr>
              <w:t>举办单位是否对</w:t>
            </w:r>
            <w:r>
              <w:rPr>
                <w:rFonts w:eastAsia="楷体_GB2312"/>
                <w:color w:val="auto"/>
                <w:sz w:val="32"/>
                <w:szCs w:val="32"/>
              </w:rPr>
              <w:t>本</w:t>
            </w:r>
            <w:r>
              <w:rPr>
                <w:rFonts w:hint="eastAsia" w:eastAsia="楷体_GB2312"/>
                <w:color w:val="auto"/>
                <w:sz w:val="32"/>
                <w:szCs w:val="32"/>
              </w:rPr>
              <w:t>年度报告书</w:t>
            </w:r>
            <w:r>
              <w:rPr>
                <w:rFonts w:eastAsia="楷体_GB2312"/>
                <w:color w:val="auto"/>
                <w:sz w:val="32"/>
                <w:szCs w:val="32"/>
              </w:rPr>
              <w:t>进行审查</w:t>
            </w:r>
          </w:p>
        </w:tc>
        <w:tc>
          <w:tcPr>
            <w:tcW w:w="6744" w:type="dxa"/>
            <w:gridSpan w:val="15"/>
            <w:noWrap w:val="0"/>
            <w:vAlign w:val="top"/>
          </w:tcPr>
          <w:p>
            <w:pPr>
              <w:rPr>
                <w:rFonts w:hint="eastAsia" w:eastAsia="楷体_GB2312"/>
                <w:color w:val="auto"/>
                <w:sz w:val="32"/>
                <w:szCs w:val="32"/>
                <w:lang w:val="en-US" w:eastAsia="zh-CN"/>
              </w:rPr>
            </w:pPr>
            <w:r>
              <w:rPr>
                <w:rFonts w:hint="eastAsia" w:eastAsia="楷体_GB2312"/>
                <w:color w:val="auto"/>
                <w:sz w:val="32"/>
                <w:szCs w:val="32"/>
                <w:lang w:eastAsia="zh-CN"/>
              </w:rPr>
              <w:t>经举办单位审查，可以向社会公示。☑</w:t>
            </w:r>
            <w:r>
              <w:rPr>
                <w:rFonts w:hint="eastAsia" w:eastAsia="楷体_GB2312"/>
                <w:color w:val="auto"/>
                <w:sz w:val="32"/>
                <w:szCs w:val="32"/>
                <w:lang w:val="en-US" w:eastAsia="zh-CN"/>
              </w:rPr>
              <w:t xml:space="preserve"> </w:t>
            </w:r>
          </w:p>
          <w:p>
            <w:pPr>
              <w:ind w:left="59"/>
              <w:rPr>
                <w:rFonts w:hint="eastAsia" w:eastAsia="楷体_GB2312"/>
                <w:color w:val="auto"/>
                <w:sz w:val="32"/>
                <w:szCs w:val="32"/>
                <w:lang w:val="en-US" w:eastAsia="zh-CN"/>
              </w:rPr>
            </w:pPr>
            <w:r>
              <w:rPr>
                <w:rFonts w:hint="eastAsia" w:eastAsia="楷体_GB2312"/>
                <w:color w:val="auto"/>
                <w:sz w:val="32"/>
                <w:szCs w:val="32"/>
                <w:lang w:eastAsia="zh-CN"/>
              </w:rPr>
              <w:t>经举办单位审查，</w:t>
            </w:r>
            <w:r>
              <w:rPr>
                <w:rFonts w:hint="eastAsia" w:eastAsia="楷体_GB2312"/>
                <w:color w:val="auto"/>
                <w:sz w:val="32"/>
                <w:szCs w:val="32"/>
                <w:lang w:val="en-US" w:eastAsia="zh-CN"/>
              </w:rPr>
              <w:t>不宜向社会公示。</w:t>
            </w:r>
            <w:r>
              <w:rPr>
                <w:rFonts w:hint="eastAsia" w:eastAsia="楷体_GB2312"/>
                <w:color w:val="auto"/>
                <w:sz w:val="32"/>
                <w:szCs w:val="32"/>
                <w:lang w:eastAsia="zh-CN"/>
              </w:rPr>
              <w:t>□</w:t>
            </w:r>
            <w:r>
              <w:rPr>
                <w:rFonts w:hint="eastAsia" w:eastAsia="楷体_GB2312"/>
                <w:color w:val="auto"/>
                <w:sz w:val="32"/>
                <w:szCs w:val="32"/>
                <w:lang w:val="en-US" w:eastAsia="zh-CN"/>
              </w:rPr>
              <w:t xml:space="preserve">  </w:t>
            </w:r>
          </w:p>
          <w:p>
            <w:pPr>
              <w:ind w:left="59"/>
              <w:rPr>
                <w:rFonts w:hint="eastAsia" w:eastAsia="楷体_GB2312"/>
                <w:color w:val="auto"/>
                <w:sz w:val="32"/>
                <w:szCs w:val="32"/>
                <w:lang w:val="en-US" w:eastAsia="zh-CN"/>
              </w:rPr>
            </w:pPr>
            <w:r>
              <w:rPr>
                <w:rFonts w:hint="eastAsia" w:eastAsia="楷体_GB2312"/>
                <w:color w:val="auto"/>
                <w:sz w:val="32"/>
                <w:szCs w:val="32"/>
                <w:lang w:eastAsia="zh-CN"/>
              </w:rPr>
              <w:t>审查时间：</w:t>
            </w:r>
            <w:r>
              <w:rPr>
                <w:rFonts w:hint="eastAsia" w:eastAsia="楷体_GB2312"/>
                <w:color w:val="auto"/>
                <w:sz w:val="32"/>
                <w:szCs w:val="32"/>
                <w:lang w:val="en-US" w:eastAsia="zh-CN"/>
              </w:rPr>
              <w:t xml:space="preserve">   年   月   日</w:t>
            </w:r>
            <w:r>
              <w:rPr>
                <w:rFonts w:hint="eastAsia" w:eastAsia="楷体_GB2312"/>
                <w:color w:val="auto"/>
                <w:sz w:val="32"/>
                <w:szCs w:val="32"/>
                <w:lang w:eastAsia="zh-CN"/>
              </w:rPr>
              <w:t>（举办单位公章）</w:t>
            </w:r>
            <w:r>
              <w:rPr>
                <w:rFonts w:hint="eastAsia" w:eastAsia="楷体_GB2312"/>
                <w:color w:val="auto"/>
                <w:sz w:val="32"/>
                <w:szCs w:val="32"/>
                <w:lang w:val="en-US" w:eastAsia="zh-CN"/>
              </w:rPr>
              <w:t xml:space="preserve"> </w:t>
            </w:r>
          </w:p>
          <w:p>
            <w:pPr>
              <w:ind w:left="59"/>
              <w:rPr>
                <w:rFonts w:hint="eastAsia" w:eastAsia="楷体_GB2312"/>
                <w:color w:val="auto"/>
                <w:sz w:val="32"/>
                <w:szCs w:val="32"/>
                <w:u w:val="single"/>
                <w:lang w:val="en-US" w:eastAsia="zh-CN"/>
              </w:rPr>
            </w:pPr>
            <w:r>
              <w:rPr>
                <w:rFonts w:hint="eastAsia" w:eastAsia="楷体_GB2312"/>
                <w:color w:val="auto"/>
                <w:sz w:val="32"/>
                <w:szCs w:val="32"/>
                <w:lang w:val="en-US" w:eastAsia="zh-CN"/>
              </w:rPr>
              <w:t>未经举办单位审查</w:t>
            </w:r>
            <w:r>
              <w:rPr>
                <w:rFonts w:hint="eastAsia" w:eastAsia="楷体_GB2312"/>
                <w:color w:val="auto"/>
                <w:sz w:val="32"/>
                <w:szCs w:val="32"/>
                <w:lang w:eastAsia="zh-CN"/>
              </w:rPr>
              <w:t>□，具体原因：</w:t>
            </w:r>
            <w:r>
              <w:rPr>
                <w:rFonts w:hint="eastAsia" w:eastAsia="楷体_GB2312"/>
                <w:color w:val="auto"/>
                <w:sz w:val="32"/>
                <w:szCs w:val="32"/>
                <w:u w:val="single"/>
                <w:lang w:val="en-US" w:eastAsia="zh-CN"/>
              </w:rPr>
              <w:t xml:space="preserve">   </w:t>
            </w:r>
          </w:p>
          <w:p>
            <w:pPr>
              <w:ind w:left="59"/>
              <w:rPr>
                <w:rFonts w:hint="eastAsia" w:eastAsia="楷体_GB2312"/>
                <w:color w:val="auto"/>
                <w:sz w:val="32"/>
                <w:szCs w:val="32"/>
                <w:u w:val="single"/>
                <w:lang w:val="en-US" w:eastAsia="zh-CN"/>
              </w:rPr>
            </w:pPr>
            <w:r>
              <w:rPr>
                <w:rFonts w:hint="eastAsia" w:eastAsia="楷体_GB2312"/>
                <w:color w:val="auto"/>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57" w:leftChars="0" w:right="0" w:rightChars="0" w:firstLine="0" w:firstLineChars="0"/>
              <w:jc w:val="both"/>
              <w:textAlignment w:val="auto"/>
              <w:outlineLvl w:val="9"/>
              <w:rPr>
                <w:rFonts w:eastAsia="楷体_GB2312"/>
                <w:color w:val="auto"/>
                <w:sz w:val="32"/>
                <w:szCs w:val="32"/>
              </w:rPr>
            </w:pPr>
            <w:r>
              <w:rPr>
                <w:rFonts w:hint="eastAsia" w:ascii="Calibri" w:hAnsi="Calibri" w:eastAsia="楷体_GB2312"/>
                <w:color w:val="auto"/>
                <w:kern w:val="2"/>
                <w:sz w:val="24"/>
                <w:szCs w:val="24"/>
                <w:lang w:eastAsia="zh-CN"/>
              </w:rPr>
              <w:t>注：</w:t>
            </w:r>
            <w:r>
              <w:rPr>
                <w:rFonts w:hint="eastAsia" w:ascii="Calibri" w:hAnsi="Calibri" w:eastAsia="楷体_GB2312"/>
                <w:color w:val="auto"/>
                <w:kern w:val="2"/>
                <w:sz w:val="24"/>
                <w:szCs w:val="24"/>
              </w:rPr>
              <w:t>可以公示请上传举办单位盖章确认的《</w:t>
            </w:r>
            <w:r>
              <w:rPr>
                <w:rFonts w:hint="eastAsia" w:ascii="Calibri" w:hAnsi="Calibri" w:eastAsia="楷体_GB2312"/>
                <w:color w:val="auto"/>
                <w:kern w:val="2"/>
                <w:sz w:val="24"/>
                <w:szCs w:val="24"/>
                <w:lang w:eastAsia="zh-CN"/>
              </w:rPr>
              <w:t>事业单位法人</w:t>
            </w:r>
            <w:r>
              <w:rPr>
                <w:rFonts w:hint="eastAsia" w:ascii="Calibri" w:hAnsi="Calibri" w:eastAsia="楷体_GB2312"/>
                <w:color w:val="auto"/>
                <w:kern w:val="2"/>
                <w:sz w:val="24"/>
                <w:szCs w:val="24"/>
              </w:rPr>
              <w:t>年度报告书》扫描</w:t>
            </w:r>
            <w:r>
              <w:rPr>
                <w:rFonts w:hint="eastAsia" w:ascii="Calibri" w:hAnsi="Calibri" w:eastAsia="楷体_GB2312"/>
                <w:color w:val="auto"/>
                <w:kern w:val="2"/>
                <w:sz w:val="24"/>
                <w:szCs w:val="24"/>
                <w:lang w:eastAsia="zh-CN"/>
              </w:rPr>
              <w:t>版（或照片）。不可以公示请向事业单位登记管理机关提交举办单位盖章确认的《事业单位法人年度报告书》等纸质材料。</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975" w:type="dxa"/>
            <w:vMerge w:val="restart"/>
            <w:noWrap w:val="0"/>
            <w:vAlign w:val="top"/>
          </w:tcPr>
          <w:p>
            <w:pPr>
              <w:rPr>
                <w:rFonts w:eastAsia="楷体_GB2312"/>
                <w:color w:val="auto"/>
                <w:sz w:val="32"/>
                <w:szCs w:val="32"/>
              </w:rPr>
            </w:pPr>
            <w:r>
              <w:rPr>
                <w:rFonts w:hint="eastAsia" w:eastAsia="楷体_GB2312"/>
                <w:color w:val="auto"/>
                <w:sz w:val="32"/>
                <w:szCs w:val="32"/>
              </w:rPr>
              <w:t>报告联系人</w:t>
            </w:r>
          </w:p>
        </w:tc>
        <w:tc>
          <w:tcPr>
            <w:tcW w:w="2423" w:type="dxa"/>
            <w:gridSpan w:val="7"/>
            <w:noWrap w:val="0"/>
            <w:vAlign w:val="top"/>
          </w:tcPr>
          <w:p>
            <w:pPr>
              <w:ind w:left="59" w:firstLine="160" w:firstLineChars="50"/>
              <w:rPr>
                <w:rFonts w:eastAsia="楷体_GB2312"/>
                <w:color w:val="auto"/>
                <w:sz w:val="32"/>
                <w:szCs w:val="32"/>
              </w:rPr>
            </w:pPr>
            <w:r>
              <w:rPr>
                <w:rFonts w:hint="eastAsia" w:eastAsia="楷体_GB2312"/>
                <w:color w:val="auto"/>
                <w:sz w:val="32"/>
                <w:szCs w:val="32"/>
              </w:rPr>
              <w:t>姓名</w:t>
            </w:r>
          </w:p>
        </w:tc>
        <w:tc>
          <w:tcPr>
            <w:tcW w:w="3282" w:type="dxa"/>
            <w:gridSpan w:val="7"/>
            <w:noWrap w:val="0"/>
            <w:vAlign w:val="top"/>
          </w:tcPr>
          <w:p>
            <w:pPr>
              <w:ind w:left="59" w:firstLine="160" w:firstLineChars="50"/>
              <w:rPr>
                <w:rFonts w:eastAsia="楷体_GB2312"/>
                <w:color w:val="auto"/>
                <w:sz w:val="32"/>
                <w:szCs w:val="32"/>
              </w:rPr>
            </w:pPr>
            <w:r>
              <w:rPr>
                <w:rFonts w:hint="eastAsia" w:eastAsia="楷体_GB2312"/>
                <w:color w:val="auto"/>
                <w:sz w:val="32"/>
                <w:szCs w:val="32"/>
              </w:rPr>
              <w:t>办公电话</w:t>
            </w:r>
          </w:p>
        </w:tc>
        <w:tc>
          <w:tcPr>
            <w:tcW w:w="1039" w:type="dxa"/>
            <w:noWrap w:val="0"/>
            <w:vAlign w:val="top"/>
          </w:tcPr>
          <w:p>
            <w:pPr>
              <w:ind w:left="59" w:firstLine="160" w:firstLineChars="50"/>
              <w:rPr>
                <w:rFonts w:eastAsia="楷体_GB2312"/>
                <w:color w:val="auto"/>
                <w:sz w:val="32"/>
                <w:szCs w:val="32"/>
              </w:rPr>
            </w:pPr>
            <w:r>
              <w:rPr>
                <w:rFonts w:hint="eastAsia" w:eastAsia="楷体_GB2312"/>
                <w:color w:val="auto"/>
                <w:sz w:val="32"/>
                <w:szCs w:val="32"/>
              </w:rPr>
              <w:t>电子邮箱</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975" w:type="dxa"/>
            <w:vMerge w:val="continue"/>
            <w:noWrap w:val="0"/>
            <w:vAlign w:val="top"/>
          </w:tcPr>
          <w:p>
            <w:pPr>
              <w:ind w:left="59"/>
              <w:rPr>
                <w:rFonts w:eastAsia="楷体_GB2312"/>
                <w:color w:val="auto"/>
                <w:sz w:val="32"/>
                <w:szCs w:val="32"/>
              </w:rPr>
            </w:pPr>
          </w:p>
        </w:tc>
        <w:tc>
          <w:tcPr>
            <w:tcW w:w="2423" w:type="dxa"/>
            <w:gridSpan w:val="7"/>
            <w:noWrap w:val="0"/>
            <w:vAlign w:val="top"/>
          </w:tcPr>
          <w:p>
            <w:pPr>
              <w:ind w:left="59"/>
              <w:rPr>
                <w:rFonts w:hint="eastAsia" w:eastAsia="楷体_GB2312"/>
                <w:color w:val="auto"/>
                <w:sz w:val="32"/>
                <w:szCs w:val="32"/>
                <w:lang w:eastAsia="zh-CN"/>
              </w:rPr>
            </w:pPr>
            <w:r>
              <w:rPr>
                <w:rFonts w:hint="eastAsia" w:eastAsia="楷体_GB2312"/>
                <w:color w:val="auto"/>
                <w:sz w:val="32"/>
                <w:szCs w:val="32"/>
                <w:lang w:eastAsia="zh-CN"/>
              </w:rPr>
              <w:t>刘志鸿</w:t>
            </w:r>
          </w:p>
        </w:tc>
        <w:tc>
          <w:tcPr>
            <w:tcW w:w="1839" w:type="dxa"/>
            <w:gridSpan w:val="4"/>
            <w:noWrap w:val="0"/>
            <w:vAlign w:val="top"/>
          </w:tcPr>
          <w:p>
            <w:pPr>
              <w:ind w:left="59"/>
              <w:rPr>
                <w:rFonts w:hint="default" w:eastAsia="楷体_GB2312"/>
                <w:color w:val="auto"/>
                <w:sz w:val="32"/>
                <w:szCs w:val="32"/>
                <w:lang w:val="en-US" w:eastAsia="zh-CN"/>
              </w:rPr>
            </w:pPr>
            <w:r>
              <w:rPr>
                <w:rFonts w:hint="eastAsia" w:eastAsia="楷体_GB2312"/>
                <w:lang w:val="en-US" w:eastAsia="zh-CN"/>
              </w:rPr>
              <w:t>86967245</w:t>
            </w:r>
          </w:p>
        </w:tc>
        <w:tc>
          <w:tcPr>
            <w:tcW w:w="2482" w:type="dxa"/>
            <w:gridSpan w:val="4"/>
            <w:noWrap w:val="0"/>
            <w:vAlign w:val="top"/>
          </w:tcPr>
          <w:p>
            <w:pPr>
              <w:ind w:left="59"/>
              <w:rPr>
                <w:rFonts w:eastAsia="楷体_GB2312"/>
                <w:color w:val="auto"/>
                <w:sz w:val="32"/>
                <w:szCs w:val="32"/>
              </w:rPr>
            </w:pPr>
            <w:r>
              <w:t>jczx_zgs@zjj.sz.gov.cn </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lang w:val="en-US" w:eastAsia="zh-CN"/>
        </w:rPr>
      </w:pPr>
      <w:r>
        <w:rPr>
          <w:rFonts w:hint="eastAsia" w:ascii="仿宋_GB2312" w:hAnsi="仿宋_GB2312" w:eastAsia="仿宋_GB2312" w:cs="仿宋_GB2312"/>
          <w:color w:val="auto"/>
          <w:sz w:val="28"/>
          <w:szCs w:val="28"/>
          <w:shd w:val="clear" w:color="auto" w:fill="FFFFFF"/>
        </w:rPr>
        <w:t>（以上信息由事业单位法人进行真实性、准确性</w:t>
      </w:r>
      <w:r>
        <w:rPr>
          <w:rFonts w:hint="eastAsia" w:ascii="仿宋_GB2312" w:hAnsi="仿宋_GB2312" w:eastAsia="仿宋_GB2312" w:cs="仿宋_GB2312"/>
          <w:color w:val="auto"/>
          <w:sz w:val="28"/>
          <w:szCs w:val="28"/>
          <w:shd w:val="clear" w:color="auto" w:fill="FFFFFF"/>
          <w:lang w:eastAsia="zh-CN"/>
        </w:rPr>
        <w:t>、</w:t>
      </w:r>
      <w:r>
        <w:rPr>
          <w:rFonts w:hint="eastAsia" w:ascii="仿宋_GB2312" w:hAnsi="仿宋_GB2312" w:eastAsia="仿宋_GB2312" w:cs="仿宋_GB2312"/>
          <w:color w:val="auto"/>
          <w:sz w:val="28"/>
          <w:szCs w:val="28"/>
          <w:shd w:val="clear" w:color="auto" w:fill="FFFFFF"/>
        </w:rPr>
        <w:t>完整性审核和保密性审查后自行提供</w:t>
      </w:r>
      <w:r>
        <w:rPr>
          <w:rFonts w:hint="eastAsia" w:ascii="仿宋_GB2312" w:hAnsi="仿宋_GB2312" w:eastAsia="仿宋_GB2312" w:cs="仿宋_GB2312"/>
          <w:b w:val="0"/>
          <w:bCs w:val="0"/>
          <w:color w:val="auto"/>
          <w:sz w:val="28"/>
          <w:szCs w:val="28"/>
          <w:shd w:val="clear" w:color="auto" w:fill="FFFFFF"/>
        </w:rPr>
        <w:t>，</w:t>
      </w:r>
      <w:r>
        <w:rPr>
          <w:rFonts w:hint="eastAsia" w:ascii="仿宋_GB2312" w:hAnsi="仿宋_GB2312" w:eastAsia="仿宋_GB2312" w:cs="仿宋_GB2312"/>
          <w:b w:val="0"/>
          <w:bCs w:val="0"/>
          <w:color w:val="auto"/>
          <w:sz w:val="28"/>
          <w:szCs w:val="28"/>
          <w:shd w:val="clear" w:color="auto" w:fill="FFFFFF"/>
          <w:lang w:eastAsia="zh-CN"/>
        </w:rPr>
        <w:t>并对全部</w:t>
      </w:r>
      <w:r>
        <w:rPr>
          <w:rFonts w:hint="eastAsia" w:ascii="仿宋_GB2312" w:hAnsi="仿宋_GB2312" w:eastAsia="仿宋_GB2312" w:cs="仿宋_GB2312"/>
          <w:b w:val="0"/>
          <w:bCs w:val="0"/>
          <w:color w:val="auto"/>
          <w:sz w:val="28"/>
          <w:szCs w:val="28"/>
          <w:shd w:val="clear" w:color="auto" w:fill="FFFFFF"/>
        </w:rPr>
        <w:t>信息内容的真实性、准确性</w:t>
      </w:r>
      <w:r>
        <w:rPr>
          <w:rFonts w:hint="eastAsia" w:ascii="仿宋_GB2312" w:hAnsi="仿宋_GB2312" w:eastAsia="仿宋_GB2312" w:cs="仿宋_GB2312"/>
          <w:b w:val="0"/>
          <w:bCs w:val="0"/>
          <w:color w:val="auto"/>
          <w:sz w:val="28"/>
          <w:szCs w:val="28"/>
          <w:shd w:val="clear" w:color="auto" w:fill="FFFFFF"/>
          <w:lang w:eastAsia="zh-CN"/>
        </w:rPr>
        <w:t>、</w:t>
      </w:r>
      <w:r>
        <w:rPr>
          <w:rFonts w:hint="eastAsia" w:ascii="仿宋_GB2312" w:hAnsi="仿宋_GB2312" w:eastAsia="仿宋_GB2312" w:cs="仿宋_GB2312"/>
          <w:b w:val="0"/>
          <w:bCs w:val="0"/>
          <w:color w:val="auto"/>
          <w:sz w:val="28"/>
          <w:szCs w:val="28"/>
          <w:shd w:val="clear" w:color="auto" w:fill="FFFFFF"/>
        </w:rPr>
        <w:t>完整性和合法性</w:t>
      </w:r>
      <w:r>
        <w:rPr>
          <w:rFonts w:hint="eastAsia" w:ascii="仿宋_GB2312" w:hAnsi="仿宋_GB2312" w:eastAsia="仿宋_GB2312" w:cs="仿宋_GB2312"/>
          <w:b w:val="0"/>
          <w:bCs w:val="0"/>
          <w:color w:val="auto"/>
          <w:sz w:val="28"/>
          <w:szCs w:val="28"/>
          <w:shd w:val="clear" w:color="auto" w:fill="FFFFFF"/>
          <w:lang w:eastAsia="zh-CN"/>
        </w:rPr>
        <w:t>负责</w:t>
      </w:r>
      <w:r>
        <w:rPr>
          <w:rFonts w:hint="eastAsia" w:ascii="仿宋_GB2312" w:hAnsi="仿宋_GB2312" w:eastAsia="仿宋_GB2312" w:cs="仿宋_GB2312"/>
          <w:b w:val="0"/>
          <w:bCs w:val="0"/>
          <w:color w:val="auto"/>
          <w:sz w:val="28"/>
          <w:szCs w:val="28"/>
          <w:shd w:val="clear" w:color="auto" w:fill="FFFFFF"/>
        </w:rPr>
        <w:t>。</w:t>
      </w:r>
      <w:r>
        <w:rPr>
          <w:rFonts w:hint="eastAsia" w:ascii="仿宋_GB2312" w:hAnsi="仿宋_GB2312" w:eastAsia="仿宋_GB2312" w:cs="仿宋_GB2312"/>
          <w:color w:val="auto"/>
          <w:sz w:val="28"/>
          <w:szCs w:val="28"/>
          <w:shd w:val="clear" w:color="auto" w:fill="FFFFFF"/>
        </w:rPr>
        <w:t>）</w:t>
      </w:r>
    </w:p>
    <w:p/>
    <w:p>
      <w:pPr>
        <w:pStyle w:val="5"/>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color w:val="000000"/>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CESI仿宋-GB2312" w:hAnsi="CESI仿宋-GB2312" w:eastAsia="CESI仿宋-GB2312" w:cs="CESI仿宋-GB2312"/>
          <w:sz w:val="32"/>
          <w:szCs w:val="32"/>
        </w:rPr>
      </w:pPr>
    </w:p>
    <w:p/>
    <w:p/>
    <w:sectPr>
      <w:footerReference r:id="rId3" w:type="default"/>
      <w:pgSz w:w="11906" w:h="16838"/>
      <w:pgMar w:top="1440" w:right="1800" w:bottom="1440" w:left="1800" w:header="851" w:footer="1304" w:gutter="0"/>
      <w:pgNumType w:fmt="decimal"/>
      <w:cols w:space="72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0000000000000000000"/>
    <w:charset w:val="00"/>
    <w:family w:val="modern"/>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00"/>
    <w:family w:val="auto"/>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wrap="none" lIns="0" tIns="0" rIns="0" bIns="0" upright="false">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M6pebnPAAAABQEAAA8AAAAAAAAAAQAgAAAAOAAAAGRycy9kb3ducmV2&#10;LnhtbFBLAQIUABQAAAAIAIdO4kBL25QFtgEAAFUDAAAOAAAAAAAAAAEAIAAAADQBAABkcnMvZTJv&#10;RG9jLnhtbFBLBQYAAAAABgAGAFkBAABcBQAAAAA=&#10;">
              <v:fill on="f" focussize="0,0"/>
              <v:stroke on="f"/>
              <v:imagedata o:title=""/>
              <o:lock v:ext="edit" aspectratio="f"/>
              <v:textbox inset="0mm,0mm,0mm,0mm" style="mso-fit-shape-to-text:t;">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93D4F73"/>
    <w:rsid w:val="1BCF78EB"/>
    <w:rsid w:val="1DFF17BD"/>
    <w:rsid w:val="1FFF6FC0"/>
    <w:rsid w:val="29FF1F4D"/>
    <w:rsid w:val="34F635E2"/>
    <w:rsid w:val="37F6728A"/>
    <w:rsid w:val="38F5A7BC"/>
    <w:rsid w:val="3AB9C88C"/>
    <w:rsid w:val="3B7F53F9"/>
    <w:rsid w:val="3DFF23D9"/>
    <w:rsid w:val="3EC90CF3"/>
    <w:rsid w:val="3EFFEDF7"/>
    <w:rsid w:val="3FDA8AEB"/>
    <w:rsid w:val="4FB3055E"/>
    <w:rsid w:val="51BD91E7"/>
    <w:rsid w:val="53FE4C13"/>
    <w:rsid w:val="53FFBD40"/>
    <w:rsid w:val="54D75C52"/>
    <w:rsid w:val="5BCF907F"/>
    <w:rsid w:val="5CDD5B58"/>
    <w:rsid w:val="5FBFE2FE"/>
    <w:rsid w:val="5FEF9A6B"/>
    <w:rsid w:val="5FFF219D"/>
    <w:rsid w:val="5FFF6F4A"/>
    <w:rsid w:val="67F64F2F"/>
    <w:rsid w:val="6AE22893"/>
    <w:rsid w:val="6CDF4D21"/>
    <w:rsid w:val="6F79C082"/>
    <w:rsid w:val="6F7B5082"/>
    <w:rsid w:val="70D7419F"/>
    <w:rsid w:val="73EE9443"/>
    <w:rsid w:val="74BFC3A0"/>
    <w:rsid w:val="766F59B7"/>
    <w:rsid w:val="76E56618"/>
    <w:rsid w:val="775AE264"/>
    <w:rsid w:val="77775B77"/>
    <w:rsid w:val="77AF026A"/>
    <w:rsid w:val="77BF2C05"/>
    <w:rsid w:val="7B5B37A5"/>
    <w:rsid w:val="7BBED777"/>
    <w:rsid w:val="7BCF6EC9"/>
    <w:rsid w:val="7BD67E73"/>
    <w:rsid w:val="7BE7B28D"/>
    <w:rsid w:val="7BFBB541"/>
    <w:rsid w:val="7DE2A09A"/>
    <w:rsid w:val="7EB7770D"/>
    <w:rsid w:val="7ECDAFBF"/>
    <w:rsid w:val="7EEF050C"/>
    <w:rsid w:val="7EFA5454"/>
    <w:rsid w:val="7F2D82BF"/>
    <w:rsid w:val="7FBC3909"/>
    <w:rsid w:val="7FCE3B6D"/>
    <w:rsid w:val="7FEA2199"/>
    <w:rsid w:val="7FFF1648"/>
    <w:rsid w:val="93BC5897"/>
    <w:rsid w:val="97FDC0FA"/>
    <w:rsid w:val="A3DBD464"/>
    <w:rsid w:val="A73D995F"/>
    <w:rsid w:val="A77FAC8F"/>
    <w:rsid w:val="AEF52137"/>
    <w:rsid w:val="B57E99D8"/>
    <w:rsid w:val="B5EC9890"/>
    <w:rsid w:val="B75FED3F"/>
    <w:rsid w:val="B7FF5174"/>
    <w:rsid w:val="BBFFBED4"/>
    <w:rsid w:val="BDF7DCFD"/>
    <w:rsid w:val="BE6FB5C2"/>
    <w:rsid w:val="CD3C7784"/>
    <w:rsid w:val="CD7EEBA6"/>
    <w:rsid w:val="CEBF8DF4"/>
    <w:rsid w:val="D3FDBEAF"/>
    <w:rsid w:val="D6173031"/>
    <w:rsid w:val="D6F71131"/>
    <w:rsid w:val="D76A3002"/>
    <w:rsid w:val="D7FC9B1A"/>
    <w:rsid w:val="D947361C"/>
    <w:rsid w:val="D9FFC118"/>
    <w:rsid w:val="DF6BBA35"/>
    <w:rsid w:val="DF7E0A37"/>
    <w:rsid w:val="DF7FFFC5"/>
    <w:rsid w:val="E6B79ABE"/>
    <w:rsid w:val="E93D4F73"/>
    <w:rsid w:val="E9DD44A8"/>
    <w:rsid w:val="EB6E1199"/>
    <w:rsid w:val="EB7BDE57"/>
    <w:rsid w:val="EDDF16EE"/>
    <w:rsid w:val="EDEA15C1"/>
    <w:rsid w:val="EDFDE15A"/>
    <w:rsid w:val="EFCFB3A4"/>
    <w:rsid w:val="EFFFF140"/>
    <w:rsid w:val="F2FE6276"/>
    <w:rsid w:val="F4CF63B7"/>
    <w:rsid w:val="F4F036AB"/>
    <w:rsid w:val="F5BAA7C9"/>
    <w:rsid w:val="F5F53B47"/>
    <w:rsid w:val="F77B01BD"/>
    <w:rsid w:val="F77FDE0F"/>
    <w:rsid w:val="F7CE509A"/>
    <w:rsid w:val="F7FE5450"/>
    <w:rsid w:val="FB7FC585"/>
    <w:rsid w:val="FBFE0CCD"/>
    <w:rsid w:val="FDAF09B7"/>
    <w:rsid w:val="FEF7982B"/>
    <w:rsid w:val="FF5F7A1C"/>
    <w:rsid w:val="FF5F8340"/>
    <w:rsid w:val="FF6F88B5"/>
    <w:rsid w:val="FF7DF1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Body Text First Indent 2"/>
    <w:basedOn w:val="2"/>
    <w:qFormat/>
    <w:uiPriority w:val="0"/>
    <w:pPr>
      <w:ind w:firstLine="420" w:firstLineChars="200"/>
    </w:pPr>
    <w:rPr>
      <w:rFonts w:eastAsia="仿宋"/>
      <w:sz w:val="32"/>
    </w:rPr>
  </w:style>
  <w:style w:type="paragraph" w:customStyle="1" w:styleId="9">
    <w:name w:val="_Style 5"/>
    <w:basedOn w:val="1"/>
    <w:qFormat/>
    <w:uiPriority w:val="0"/>
    <w:pPr>
      <w:ind w:firstLine="200" w:firstLineChars="200"/>
    </w:pPr>
    <w:rPr>
      <w:rFonts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4639</Words>
  <Characters>4718</Characters>
  <Lines>0</Lines>
  <Paragraphs>0</Paragraphs>
  <TotalTime>8</TotalTime>
  <ScaleCrop>false</ScaleCrop>
  <LinksUpToDate>false</LinksUpToDate>
  <CharactersWithSpaces>6050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2023-02-09T23:27:00Z</dcterms:created>
  <dc:creator>swbb</dc:creator>
  <cp:lastModifiedBy>liuzh</cp:lastModifiedBy>
  <cp:lastPrinted>2023-04-01T12:04:00Z</cp:lastPrinted>
  <dcterms:modified xsi:type="dcterms:W3CDTF">2024-04-30T15:58:31Z</dcterms:modified>
  <dc:title>市委编办关于做好2022年度事业单位法人</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