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00"/>
        <w:rPr>
          <w:rFonts w:hint="eastAsia" w:ascii="CESI黑体-GB2312" w:hAnsi="CESI黑体-GB2312" w:eastAsia="CESI黑体-GB2312" w:cs="CESI黑体-GB2312"/>
          <w:b w:val="0"/>
          <w:bCs w:val="0"/>
          <w:color w:val="auto"/>
          <w:sz w:val="32"/>
          <w:szCs w:val="28"/>
          <w:lang w:val="en-US" w:eastAsia="zh-CN"/>
        </w:rPr>
      </w:pPr>
      <w:r>
        <w:rPr>
          <w:rFonts w:hint="eastAsia" w:ascii="CESI黑体-GB2312" w:hAnsi="CESI黑体-GB2312" w:eastAsia="CESI黑体-GB2312" w:cs="CESI黑体-GB2312"/>
          <w:b w:val="0"/>
          <w:bCs w:val="0"/>
          <w:color w:val="auto"/>
          <w:sz w:val="32"/>
          <w:szCs w:val="28"/>
          <w:lang w:eastAsia="zh-CN"/>
        </w:rPr>
        <w:t>附件</w:t>
      </w:r>
    </w:p>
    <w:p>
      <w:pPr>
        <w:ind w:right="600"/>
        <w:rPr>
          <w:rFonts w:hint="eastAsia" w:ascii="宋体" w:hAnsi="宋体" w:eastAsia="宋体" w:cs="宋体"/>
          <w:b w:val="0"/>
          <w:bCs w:val="0"/>
          <w:color w:val="auto"/>
          <w:sz w:val="30"/>
          <w:lang w:val="en-US" w:eastAsia="zh-CN"/>
        </w:rPr>
      </w:pPr>
    </w:p>
    <w:p>
      <w:pPr>
        <w:adjustRightInd w:val="0"/>
        <w:snapToGrid w:val="0"/>
        <w:jc w:val="left"/>
        <w:rPr>
          <w:rFonts w:ascii="Times New Roman" w:hAnsi="Times New Roman" w:eastAsia="楷体_GB2312"/>
          <w:b/>
          <w:bCs/>
          <w:sz w:val="30"/>
          <w:szCs w:val="30"/>
        </w:rPr>
      </w:pPr>
      <w:r>
        <w:rPr>
          <w:rFonts w:hint="eastAsia" w:ascii="楷体_GB2312" w:hAnsi="楷体_GB2312" w:eastAsia="楷体_GB2312" w:cs="楷体_GB2312"/>
          <w:b/>
          <w:bCs/>
          <w:color w:val="auto"/>
          <w:sz w:val="30"/>
        </w:rPr>
        <w:t>统一社会信用代码：</w:t>
      </w:r>
      <w:r>
        <w:rPr>
          <w:rFonts w:hint="eastAsia" w:ascii="Times New Roman" w:hAnsi="Times New Roman" w:eastAsia="楷体_GB2312"/>
          <w:b/>
          <w:bCs/>
          <w:sz w:val="30"/>
          <w:szCs w:val="30"/>
        </w:rPr>
        <w:t>12440300MB2D05894X</w:t>
      </w:r>
    </w:p>
    <w:p>
      <w:pPr>
        <w:ind w:right="600"/>
        <w:rPr>
          <w:rFonts w:hint="eastAsia" w:ascii="楷体_GB2312" w:hAnsi="楷体_GB2312" w:eastAsia="楷体_GB2312" w:cs="楷体_GB2312"/>
          <w:b/>
          <w:bCs/>
          <w:color w:val="auto"/>
          <w:sz w:val="30"/>
        </w:rPr>
      </w:pPr>
    </w:p>
    <w:p>
      <w:pPr>
        <w:jc w:val="right"/>
        <w:rPr>
          <w:color w:val="auto"/>
        </w:rPr>
      </w:pPr>
    </w:p>
    <w:p>
      <w:pPr>
        <w:jc w:val="right"/>
        <w:rPr>
          <w:color w:val="auto"/>
        </w:rPr>
      </w:pPr>
    </w:p>
    <w:p>
      <w:pPr>
        <w:jc w:val="center"/>
        <w:rPr>
          <w:rFonts w:eastAsia="黑体"/>
          <w:b/>
          <w:bCs/>
          <w:color w:val="auto"/>
          <w:spacing w:val="40"/>
          <w:sz w:val="52"/>
        </w:rPr>
      </w:pPr>
      <w:r>
        <w:rPr>
          <w:rFonts w:hint="eastAsia" w:eastAsia="黑体"/>
          <w:b/>
          <w:bCs/>
          <w:color w:val="auto"/>
          <w:spacing w:val="40"/>
          <w:sz w:val="52"/>
        </w:rPr>
        <w:t>事业单位法人年度报告书</w:t>
      </w:r>
    </w:p>
    <w:p>
      <w:pPr>
        <w:jc w:val="center"/>
        <w:rPr>
          <w:rFonts w:eastAsia="黑体"/>
          <w:b/>
          <w:bCs/>
          <w:color w:val="auto"/>
          <w:spacing w:val="30"/>
        </w:rPr>
      </w:pPr>
    </w:p>
    <w:p>
      <w:pPr>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w:t>
      </w:r>
      <w:r>
        <w:rPr>
          <w:rFonts w:hint="eastAsia" w:ascii="楷体_GB2312" w:hAnsi="楷体_GB2312" w:eastAsia="楷体_GB2312" w:cs="楷体_GB2312"/>
          <w:b/>
          <w:bCs/>
          <w:color w:val="auto"/>
          <w:spacing w:val="30"/>
          <w:sz w:val="36"/>
          <w:lang w:val="en-US" w:eastAsia="zh-CN"/>
        </w:rPr>
        <w:t>2022</w:t>
      </w:r>
      <w:r>
        <w:rPr>
          <w:rFonts w:hint="eastAsia" w:ascii="楷体_GB2312" w:hAnsi="楷体_GB2312" w:eastAsia="楷体_GB2312" w:cs="楷体_GB2312"/>
          <w:b/>
          <w:bCs/>
          <w:color w:val="auto"/>
          <w:spacing w:val="30"/>
          <w:sz w:val="36"/>
        </w:rPr>
        <w:t>年度）</w:t>
      </w:r>
    </w:p>
    <w:p>
      <w:pPr>
        <w:rPr>
          <w:color w:val="auto"/>
          <w:u w:val="single"/>
        </w:rPr>
      </w:pPr>
    </w:p>
    <w:p>
      <w:pPr>
        <w:rPr>
          <w:color w:val="auto"/>
          <w:u w:val="single"/>
        </w:rPr>
      </w:pPr>
    </w:p>
    <w:p>
      <w:pPr>
        <w:rPr>
          <w:color w:val="auto"/>
          <w:u w:val="single"/>
        </w:rPr>
      </w:pPr>
    </w:p>
    <w:p>
      <w:pPr>
        <w:rPr>
          <w:color w:val="auto"/>
          <w:sz w:val="32"/>
          <w:szCs w:val="32"/>
        </w:rPr>
      </w:pPr>
    </w:p>
    <w:p>
      <w:pPr>
        <w:rPr>
          <w:color w:val="auto"/>
          <w:sz w:val="32"/>
          <w:szCs w:val="32"/>
        </w:rPr>
      </w:pPr>
    </w:p>
    <w:p>
      <w:pPr>
        <w:rPr>
          <w:color w:val="auto"/>
          <w:sz w:val="32"/>
          <w:szCs w:val="32"/>
        </w:rPr>
      </w:pPr>
    </w:p>
    <w:p>
      <w:pPr>
        <w:jc w:val="center"/>
        <w:rPr>
          <w:color w:val="auto"/>
          <w:sz w:val="32"/>
          <w:szCs w:val="32"/>
        </w:rPr>
      </w:pPr>
      <w:r>
        <w:rPr>
          <w:rFonts w:hint="eastAsia"/>
          <w:color w:val="auto"/>
          <w:sz w:val="32"/>
          <w:szCs w:val="32"/>
          <w:u w:val="single"/>
          <w:lang w:eastAsia="zh-CN"/>
        </w:rPr>
        <w:t>深圳市房地产和城市建设发展研究中心</w:t>
      </w:r>
      <w:r>
        <w:rPr>
          <w:rFonts w:hint="eastAsia"/>
          <w:color w:val="auto"/>
          <w:sz w:val="32"/>
          <w:szCs w:val="32"/>
          <w:lang w:eastAsia="zh-CN"/>
        </w:rPr>
        <w:t>（</w:t>
      </w:r>
      <w:r>
        <w:rPr>
          <w:rFonts w:hint="eastAsia"/>
          <w:color w:val="auto"/>
          <w:sz w:val="32"/>
          <w:szCs w:val="32"/>
        </w:rPr>
        <w:t>公章</w:t>
      </w:r>
      <w:r>
        <w:rPr>
          <w:rFonts w:hint="eastAsia"/>
          <w:color w:val="auto"/>
          <w:sz w:val="32"/>
          <w:szCs w:val="32"/>
          <w:lang w:eastAsia="zh-CN"/>
        </w:rPr>
        <w:t>）</w:t>
      </w:r>
    </w:p>
    <w:p>
      <w:pPr>
        <w:jc w:val="center"/>
        <w:rPr>
          <w:color w:val="auto"/>
          <w:sz w:val="32"/>
          <w:szCs w:val="32"/>
        </w:rPr>
      </w:pPr>
      <w:r>
        <w:rPr>
          <w:rFonts w:hint="eastAsia"/>
          <w:color w:val="auto"/>
          <w:sz w:val="32"/>
          <w:szCs w:val="32"/>
        </w:rPr>
        <w:t xml:space="preserve">        </w:t>
      </w:r>
    </w:p>
    <w:p>
      <w:pPr>
        <w:ind w:firstLine="210" w:firstLineChars="50"/>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填报日期：</w:t>
      </w:r>
      <w:r>
        <w:rPr>
          <w:rFonts w:hint="eastAsia" w:ascii="楷体_GB2312" w:hAnsi="楷体_GB2312" w:eastAsia="楷体_GB2312" w:cs="楷体_GB2312"/>
          <w:b/>
          <w:bCs/>
          <w:color w:val="auto"/>
          <w:spacing w:val="30"/>
          <w:sz w:val="36"/>
          <w:lang w:val="en-US" w:eastAsia="zh-CN"/>
        </w:rPr>
        <w:t>2023</w:t>
      </w:r>
      <w:r>
        <w:rPr>
          <w:rFonts w:hint="eastAsia" w:ascii="楷体_GB2312" w:hAnsi="楷体_GB2312" w:eastAsia="楷体_GB2312" w:cs="楷体_GB2312"/>
          <w:b/>
          <w:bCs/>
          <w:color w:val="auto"/>
          <w:spacing w:val="30"/>
          <w:sz w:val="36"/>
        </w:rPr>
        <w:t>年</w:t>
      </w:r>
      <w:r>
        <w:rPr>
          <w:rFonts w:hint="eastAsia" w:ascii="楷体_GB2312" w:hAnsi="楷体_GB2312" w:eastAsia="楷体_GB2312" w:cs="楷体_GB2312"/>
          <w:b/>
          <w:bCs/>
          <w:color w:val="auto"/>
          <w:spacing w:val="30"/>
          <w:sz w:val="36"/>
          <w:lang w:val="en-US" w:eastAsia="zh-CN"/>
        </w:rPr>
        <w:t>3</w:t>
      </w:r>
      <w:r>
        <w:rPr>
          <w:rFonts w:hint="eastAsia" w:ascii="楷体_GB2312" w:hAnsi="楷体_GB2312" w:eastAsia="楷体_GB2312" w:cs="楷体_GB2312"/>
          <w:b/>
          <w:bCs/>
          <w:color w:val="auto"/>
          <w:spacing w:val="30"/>
          <w:sz w:val="36"/>
        </w:rPr>
        <w:t>月</w:t>
      </w:r>
      <w:r>
        <w:rPr>
          <w:rFonts w:hint="eastAsia" w:ascii="楷体_GB2312" w:hAnsi="楷体_GB2312" w:eastAsia="楷体_GB2312" w:cs="楷体_GB2312"/>
          <w:b/>
          <w:bCs/>
          <w:color w:val="auto"/>
          <w:spacing w:val="30"/>
          <w:sz w:val="36"/>
          <w:lang w:val="en-US" w:eastAsia="zh-CN"/>
        </w:rPr>
        <w:t>14</w:t>
      </w:r>
      <w:r>
        <w:rPr>
          <w:rFonts w:hint="eastAsia" w:ascii="楷体_GB2312" w:hAnsi="楷体_GB2312" w:eastAsia="楷体_GB2312" w:cs="楷体_GB2312"/>
          <w:b/>
          <w:bCs/>
          <w:color w:val="auto"/>
          <w:spacing w:val="30"/>
          <w:sz w:val="36"/>
        </w:rPr>
        <w:t>日</w:t>
      </w:r>
    </w:p>
    <w:p>
      <w:pPr>
        <w:rPr>
          <w:color w:val="auto"/>
          <w:sz w:val="28"/>
          <w:szCs w:val="28"/>
        </w:rPr>
      </w:pPr>
    </w:p>
    <w:p>
      <w:pPr>
        <w:rPr>
          <w:color w:val="auto"/>
          <w:sz w:val="28"/>
          <w:szCs w:val="28"/>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pStyle w:val="2"/>
        <w:rPr>
          <w:rFonts w:hint="eastAsia"/>
        </w:rPr>
      </w:pPr>
    </w:p>
    <w:p>
      <w:pPr>
        <w:widowControl/>
        <w:spacing w:before="100" w:after="100"/>
        <w:jc w:val="center"/>
        <w:rPr>
          <w:color w:val="auto"/>
          <w:kern w:val="0"/>
          <w:sz w:val="27"/>
          <w:szCs w:val="27"/>
        </w:rPr>
      </w:pPr>
      <w:r>
        <w:rPr>
          <w:rFonts w:hint="eastAsia" w:ascii="宋体" w:hAnsi="宋体"/>
          <w:b/>
          <w:bCs/>
          <w:color w:val="auto"/>
          <w:kern w:val="0"/>
          <w:sz w:val="44"/>
          <w:szCs w:val="44"/>
        </w:rPr>
        <w:t>填报事项说明</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rPr>
        <w:t>一、各项数据</w:t>
      </w:r>
      <w:r>
        <w:rPr>
          <w:rFonts w:ascii="楷体" w:hAnsi="楷体" w:eastAsia="楷体"/>
          <w:color w:val="auto"/>
          <w:kern w:val="0"/>
          <w:sz w:val="28"/>
          <w:szCs w:val="28"/>
        </w:rPr>
        <w:t>信息截止日期为</w:t>
      </w:r>
      <w:r>
        <w:rPr>
          <w:rFonts w:hint="eastAsia" w:ascii="楷体" w:hAnsi="楷体" w:eastAsia="楷体"/>
          <w:color w:val="auto"/>
          <w:kern w:val="0"/>
          <w:sz w:val="28"/>
          <w:szCs w:val="28"/>
          <w:lang w:eastAsia="zh-CN"/>
        </w:rPr>
        <w:t>上一年度</w:t>
      </w:r>
      <w:r>
        <w:rPr>
          <w:rFonts w:hint="eastAsia" w:ascii="楷体" w:hAnsi="楷体" w:eastAsia="楷体"/>
          <w:color w:val="auto"/>
          <w:kern w:val="0"/>
          <w:sz w:val="28"/>
          <w:szCs w:val="28"/>
          <w:lang w:val="en-US" w:eastAsia="zh-CN"/>
        </w:rPr>
        <w:t>12月31日，举办单位审查时间据实填报</w:t>
      </w:r>
      <w:r>
        <w:rPr>
          <w:rFonts w:ascii="楷体" w:hAnsi="楷体" w:eastAsia="楷体"/>
          <w:color w:val="auto"/>
          <w:kern w:val="0"/>
          <w:sz w:val="28"/>
          <w:szCs w:val="28"/>
        </w:rPr>
        <w:t>。</w:t>
      </w:r>
    </w:p>
    <w:p>
      <w:pPr>
        <w:widowControl/>
        <w:spacing w:line="520" w:lineRule="exact"/>
        <w:ind w:firstLine="560" w:firstLineChars="200"/>
        <w:jc w:val="left"/>
        <w:rPr>
          <w:rFonts w:hint="eastAsia" w:ascii="楷体" w:hAnsi="楷体" w:eastAsia="楷体"/>
          <w:color w:val="auto"/>
          <w:kern w:val="0"/>
          <w:sz w:val="28"/>
          <w:szCs w:val="28"/>
        </w:rPr>
      </w:pPr>
      <w:r>
        <w:rPr>
          <w:rFonts w:hint="eastAsia" w:ascii="楷体" w:hAnsi="楷体" w:eastAsia="楷体"/>
          <w:color w:val="auto"/>
          <w:kern w:val="0"/>
          <w:sz w:val="28"/>
          <w:szCs w:val="28"/>
        </w:rPr>
        <w:t>二</w:t>
      </w:r>
      <w:r>
        <w:rPr>
          <w:rFonts w:ascii="楷体" w:hAnsi="楷体" w:eastAsia="楷体"/>
          <w:color w:val="auto"/>
          <w:kern w:val="0"/>
          <w:sz w:val="28"/>
          <w:szCs w:val="28"/>
        </w:rPr>
        <w:t>、</w:t>
      </w:r>
      <w:r>
        <w:rPr>
          <w:rFonts w:hint="eastAsia" w:ascii="楷体" w:hAnsi="楷体" w:eastAsia="楷体"/>
          <w:color w:val="auto"/>
          <w:kern w:val="0"/>
          <w:sz w:val="28"/>
          <w:szCs w:val="28"/>
        </w:rPr>
        <w:t>开办资金</w:t>
      </w:r>
      <w:r>
        <w:rPr>
          <w:rFonts w:hint="eastAsia" w:ascii="楷体" w:hAnsi="楷体" w:eastAsia="楷体"/>
          <w:color w:val="auto"/>
          <w:kern w:val="0"/>
          <w:sz w:val="28"/>
          <w:szCs w:val="28"/>
          <w:lang w:val="en-US" w:eastAsia="zh-CN"/>
        </w:rPr>
        <w:t>,</w:t>
      </w:r>
      <w:r>
        <w:rPr>
          <w:rFonts w:hint="eastAsia" w:ascii="楷体" w:hAnsi="楷体" w:eastAsia="楷体"/>
          <w:color w:val="auto"/>
          <w:kern w:val="0"/>
          <w:sz w:val="28"/>
          <w:szCs w:val="28"/>
        </w:rPr>
        <w:t>是</w:t>
      </w:r>
      <w:r>
        <w:rPr>
          <w:rFonts w:hint="eastAsia" w:ascii="楷体" w:hAnsi="楷体" w:eastAsia="楷体"/>
          <w:color w:val="auto"/>
          <w:kern w:val="0"/>
          <w:sz w:val="28"/>
          <w:szCs w:val="28"/>
          <w:lang w:eastAsia="zh-CN"/>
        </w:rPr>
        <w:t>指</w:t>
      </w:r>
      <w:r>
        <w:rPr>
          <w:rFonts w:hint="eastAsia" w:ascii="楷体" w:hAnsi="楷体" w:eastAsia="楷体"/>
          <w:color w:val="auto"/>
          <w:kern w:val="0"/>
          <w:sz w:val="28"/>
          <w:szCs w:val="28"/>
        </w:rPr>
        <w:t>事业单位被核准登记时可用于承担民事责任的全部财产的货币体现。事业单位开办资金包括举办单位或者出资人授予事业单位法人自主支配的财产和事业单位法人的自有财产，但不包括：代为管理的公共基础设施和资源性资产；关系国家秘密、公共安全、公共保障，不能进入流通领域的资产；借贷款、合同预收款、合同应付款；职工福利费、保险金、住房公积金等专用基金；规定了使用方向，不能用于民事赔偿的他人资助的资产；按照法律、法规规定不能用于民事赔偿的其他资产。事业单位开办资金应当以人民币表示</w:t>
      </w:r>
      <w:r>
        <w:rPr>
          <w:rFonts w:hint="eastAsia" w:ascii="楷体" w:hAnsi="楷体" w:eastAsia="楷体"/>
          <w:color w:val="auto"/>
          <w:kern w:val="0"/>
          <w:sz w:val="28"/>
          <w:szCs w:val="28"/>
          <w:lang w:eastAsia="zh-CN"/>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三</w:t>
      </w:r>
      <w:r>
        <w:rPr>
          <w:rFonts w:hint="eastAsia" w:ascii="楷体" w:hAnsi="楷体" w:eastAsia="楷体"/>
          <w:strike w:val="0"/>
          <w:dstrike w:val="0"/>
          <w:color w:val="auto"/>
          <w:kern w:val="0"/>
          <w:sz w:val="28"/>
          <w:szCs w:val="28"/>
          <w:lang w:eastAsia="zh-CN"/>
        </w:rPr>
        <w:t>、</w:t>
      </w:r>
      <w:r>
        <w:rPr>
          <w:rFonts w:hint="eastAsia" w:ascii="楷体" w:hAnsi="楷体" w:eastAsia="楷体"/>
          <w:color w:val="auto"/>
          <w:kern w:val="0"/>
          <w:sz w:val="28"/>
          <w:szCs w:val="28"/>
        </w:rPr>
        <w:t>相关资质认可或执业证明文件及有效期，是指本单位业务范围涉及的资质认可或执业许可文件内容，包括证书名称、认可（许可）范围、有效期截止日期、颁发机关。</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四</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资产损益情况，是指本单位资产负债表“净资产合计”或“所有者权益合计”科目的数额。</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五</w:t>
      </w:r>
      <w:r>
        <w:rPr>
          <w:rFonts w:hint="eastAsia" w:ascii="楷体" w:hAnsi="楷体" w:eastAsia="楷体"/>
          <w:color w:val="auto"/>
          <w:kern w:val="0"/>
          <w:sz w:val="28"/>
          <w:szCs w:val="28"/>
        </w:rPr>
        <w:t>、编制数</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lang w:val="en-US" w:eastAsia="zh-CN"/>
        </w:rPr>
        <w:t>是指本</w:t>
      </w:r>
      <w:r>
        <w:rPr>
          <w:rFonts w:hint="eastAsia" w:ascii="楷体" w:hAnsi="楷体" w:eastAsia="楷体"/>
          <w:b w:val="0"/>
          <w:bCs w:val="0"/>
          <w:color w:val="auto"/>
          <w:kern w:val="0"/>
          <w:sz w:val="28"/>
          <w:szCs w:val="28"/>
          <w:lang w:val="en-US" w:eastAsia="zh-CN"/>
        </w:rPr>
        <w:t>单位所有编制数；实有在编人数，是指本单位实际在编的人员数（包括借调到其他单位工作的在编人员）；</w:t>
      </w:r>
      <w:r>
        <w:rPr>
          <w:rFonts w:hint="eastAsia" w:ascii="楷体" w:hAnsi="楷体" w:eastAsia="楷体"/>
          <w:color w:val="auto"/>
          <w:kern w:val="0"/>
          <w:sz w:val="28"/>
          <w:szCs w:val="28"/>
        </w:rPr>
        <w:t>实有在职人员数，是指本单位实际</w:t>
      </w:r>
      <w:r>
        <w:rPr>
          <w:rFonts w:ascii="楷体" w:hAnsi="楷体" w:eastAsia="楷体"/>
          <w:color w:val="auto"/>
          <w:kern w:val="0"/>
          <w:sz w:val="28"/>
          <w:szCs w:val="28"/>
        </w:rPr>
        <w:t>在岗工作的人员数</w:t>
      </w:r>
      <w:r>
        <w:rPr>
          <w:rFonts w:hint="eastAsia" w:ascii="楷体" w:hAnsi="楷体" w:eastAsia="楷体"/>
          <w:color w:val="auto"/>
          <w:kern w:val="0"/>
          <w:sz w:val="28"/>
          <w:szCs w:val="28"/>
        </w:rPr>
        <w:t>（包括非在编</w:t>
      </w:r>
      <w:r>
        <w:rPr>
          <w:rFonts w:ascii="楷体" w:hAnsi="楷体" w:eastAsia="楷体"/>
          <w:color w:val="auto"/>
          <w:kern w:val="0"/>
          <w:sz w:val="28"/>
          <w:szCs w:val="28"/>
        </w:rPr>
        <w:t>人员</w:t>
      </w:r>
      <w:r>
        <w:rPr>
          <w:rFonts w:hint="eastAsia" w:ascii="楷体" w:hAnsi="楷体" w:eastAsia="楷体"/>
          <w:color w:val="auto"/>
          <w:kern w:val="0"/>
          <w:sz w:val="28"/>
          <w:szCs w:val="28"/>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六</w:t>
      </w:r>
      <w:r>
        <w:rPr>
          <w:rFonts w:hint="eastAsia" w:ascii="楷体" w:hAnsi="楷体" w:eastAsia="楷体"/>
          <w:color w:val="auto"/>
          <w:kern w:val="0"/>
          <w:sz w:val="28"/>
          <w:szCs w:val="28"/>
        </w:rPr>
        <w:t>、接受</w:t>
      </w:r>
      <w:r>
        <w:rPr>
          <w:rFonts w:ascii="楷体" w:hAnsi="楷体" w:eastAsia="楷体"/>
          <w:color w:val="auto"/>
          <w:kern w:val="0"/>
          <w:sz w:val="28"/>
          <w:szCs w:val="28"/>
        </w:rPr>
        <w:t>奖励</w:t>
      </w:r>
      <w:r>
        <w:rPr>
          <w:rFonts w:hint="eastAsia" w:ascii="楷体" w:hAnsi="楷体" w:eastAsia="楷体"/>
          <w:color w:val="auto"/>
          <w:kern w:val="0"/>
          <w:sz w:val="28"/>
          <w:szCs w:val="28"/>
        </w:rPr>
        <w:t>和</w:t>
      </w:r>
      <w:r>
        <w:rPr>
          <w:rFonts w:ascii="楷体" w:hAnsi="楷体" w:eastAsia="楷体"/>
          <w:color w:val="auto"/>
          <w:kern w:val="0"/>
          <w:sz w:val="28"/>
          <w:szCs w:val="28"/>
        </w:rPr>
        <w:t>处罚情况</w:t>
      </w:r>
      <w:r>
        <w:rPr>
          <w:rFonts w:hint="eastAsia" w:ascii="楷体" w:hAnsi="楷体" w:eastAsia="楷体"/>
          <w:color w:val="auto"/>
          <w:kern w:val="0"/>
          <w:sz w:val="28"/>
          <w:szCs w:val="28"/>
        </w:rPr>
        <w:t>，</w:t>
      </w:r>
      <w:r>
        <w:rPr>
          <w:rFonts w:ascii="楷体" w:hAnsi="楷体" w:eastAsia="楷体"/>
          <w:color w:val="auto"/>
          <w:kern w:val="0"/>
          <w:sz w:val="28"/>
          <w:szCs w:val="28"/>
        </w:rPr>
        <w:t>是指本单位是否</w:t>
      </w:r>
      <w:r>
        <w:rPr>
          <w:rFonts w:hint="eastAsia" w:ascii="楷体" w:hAnsi="楷体" w:eastAsia="楷体"/>
          <w:color w:val="auto"/>
          <w:kern w:val="0"/>
          <w:sz w:val="28"/>
          <w:szCs w:val="28"/>
        </w:rPr>
        <w:t>受到有关部门的奖励和惩处以及所受奖惩的项目（不包括针对职工个人的奖惩情况）。</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七</w:t>
      </w:r>
      <w:r>
        <w:rPr>
          <w:rFonts w:hint="eastAsia" w:ascii="楷体" w:hAnsi="楷体" w:eastAsia="楷体"/>
          <w:color w:val="auto"/>
          <w:kern w:val="0"/>
          <w:sz w:val="28"/>
          <w:szCs w:val="28"/>
        </w:rPr>
        <w:t>、开展业务活动情况，填写执行本单位章程的情况、按照登记的宗旨和业务范围</w:t>
      </w:r>
      <w:r>
        <w:rPr>
          <w:rFonts w:hint="eastAsia" w:ascii="楷体" w:hAnsi="楷体" w:eastAsia="楷体"/>
          <w:color w:val="auto"/>
          <w:kern w:val="0"/>
          <w:sz w:val="28"/>
          <w:szCs w:val="28"/>
          <w:lang w:eastAsia="zh-CN"/>
        </w:rPr>
        <w:t>分项</w:t>
      </w:r>
      <w:r>
        <w:rPr>
          <w:rFonts w:hint="eastAsia" w:ascii="楷体" w:hAnsi="楷体" w:eastAsia="楷体"/>
          <w:color w:val="auto"/>
          <w:kern w:val="0"/>
          <w:sz w:val="28"/>
          <w:szCs w:val="28"/>
        </w:rPr>
        <w:t>梳理主要职能，填写</w:t>
      </w:r>
      <w:r>
        <w:rPr>
          <w:rFonts w:hint="eastAsia" w:ascii="楷体" w:hAnsi="楷体" w:eastAsia="楷体"/>
          <w:color w:val="auto"/>
          <w:kern w:val="0"/>
          <w:sz w:val="28"/>
          <w:szCs w:val="28"/>
          <w:lang w:eastAsia="zh-CN"/>
        </w:rPr>
        <w:t>各项职能的</w:t>
      </w:r>
      <w:r>
        <w:rPr>
          <w:rFonts w:hint="eastAsia" w:ascii="楷体" w:hAnsi="楷体" w:eastAsia="楷体"/>
          <w:color w:val="auto"/>
          <w:kern w:val="0"/>
          <w:sz w:val="28"/>
          <w:szCs w:val="28"/>
        </w:rPr>
        <w:t>具体业务活动情况、取得的主要社会效益和经济效益（用数字说明）、存在的问题及改进措施和下一步工作思路等。</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strike w:val="0"/>
          <w:dstrike w:val="0"/>
          <w:color w:val="auto"/>
          <w:kern w:val="0"/>
          <w:sz w:val="28"/>
          <w:szCs w:val="28"/>
          <w:lang w:eastAsia="zh-CN"/>
        </w:rPr>
        <w:t>八</w:t>
      </w:r>
      <w:r>
        <w:rPr>
          <w:rFonts w:hint="eastAsia" w:ascii="楷体" w:hAnsi="楷体" w:eastAsia="楷体"/>
          <w:color w:val="auto"/>
          <w:kern w:val="0"/>
          <w:sz w:val="28"/>
          <w:szCs w:val="28"/>
        </w:rPr>
        <w:t>、</w:t>
      </w:r>
      <w:r>
        <w:rPr>
          <w:rFonts w:hint="eastAsia" w:ascii="楷体" w:hAnsi="楷体" w:eastAsia="楷体"/>
          <w:color w:val="auto"/>
          <w:kern w:val="0"/>
          <w:sz w:val="28"/>
          <w:szCs w:val="28"/>
          <w:lang w:eastAsia="zh-CN"/>
        </w:rPr>
        <w:t>公益服务投入，主要是反映政府在公益布局方面的财政投入情况，同时也通过财政投入反映事业单位公益服务质量和效率。相关数据根据上一年度业务情况据实填写。</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color w:val="auto"/>
          <w:kern w:val="0"/>
          <w:sz w:val="28"/>
          <w:szCs w:val="28"/>
          <w:lang w:eastAsia="zh-CN"/>
        </w:rPr>
        <w:t>九、其他组织利用国有资产举办事业单位情况，是指不定级别不定编制，实行企业化管理和社会化用人类型的事业单位的党组织建设、理事会运作、投资兴办企业等情况。公益一类、公益二类事业单位无需填写。</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十、</w:t>
      </w:r>
      <w:r>
        <w:rPr>
          <w:rFonts w:hint="eastAsia" w:ascii="楷体" w:hAnsi="楷体" w:eastAsia="楷体"/>
          <w:color w:val="auto"/>
          <w:kern w:val="0"/>
          <w:sz w:val="28"/>
          <w:szCs w:val="28"/>
        </w:rPr>
        <w:t>报告中其他需要说明的情况，是指事业单位分支机构设置和独立办证（许可）情况及运行情况，举办或参与举办其他机构情况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重大资产变动情况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本单位年度发生了重组、整合、拆分、撤销、调整管理形式等情况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以及其他需要说明的情况。</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一、事业单位需通过广东事业单位登记管理网提交并公示年度报告书。年度报告书内容不宜对社会公开的单位应按时向登记管理机关报送加盖本单位公章的纸质版年度报告书和上一年度资产负债表。根据《广东省事业单位登记管理实施办法》第三十条规定，举办单位应对事业单位的年度报告进行保密审查，</w:t>
      </w:r>
      <w:r>
        <w:rPr>
          <w:rFonts w:hint="eastAsia" w:ascii="楷体" w:hAnsi="楷体" w:eastAsia="楷体"/>
          <w:strike w:val="0"/>
          <w:dstrike w:val="0"/>
          <w:color w:val="auto"/>
          <w:kern w:val="0"/>
          <w:sz w:val="28"/>
          <w:szCs w:val="28"/>
          <w:highlight w:val="none"/>
          <w:lang w:eastAsia="zh-CN"/>
        </w:rPr>
        <w:t>并盖章确认</w:t>
      </w:r>
      <w:r>
        <w:rPr>
          <w:rFonts w:hint="eastAsia" w:ascii="楷体" w:hAnsi="楷体" w:eastAsia="楷体"/>
          <w:strike w:val="0"/>
          <w:dstrike w:val="0"/>
          <w:color w:val="auto"/>
          <w:kern w:val="0"/>
          <w:sz w:val="28"/>
          <w:szCs w:val="28"/>
          <w:lang w:eastAsia="zh-CN"/>
        </w:rPr>
        <w:t>。</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十二、报告联系人信息是指填写和提交报告的工作人员信息，便于登记管理机关联系和接受公众咨询。</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三、事业单位在提交报告前应核实本报告书中的《事业单位法人证书》登载事项是否与实际一致，单位印章的印迹、基本账户、法定代表人的签字、印章的印迹是否备案，如有变更请按规定及时办理变更登记手续和备案手续。</w:t>
      </w:r>
    </w:p>
    <w:p>
      <w:pPr>
        <w:pStyle w:val="3"/>
        <w:rPr>
          <w:rFonts w:hint="eastAsia" w:ascii="楷体" w:hAnsi="楷体" w:eastAsia="楷体"/>
          <w:strike w:val="0"/>
          <w:dstrike w:val="0"/>
          <w:color w:val="auto"/>
          <w:kern w:val="0"/>
          <w:sz w:val="28"/>
          <w:szCs w:val="28"/>
          <w:lang w:eastAsia="zh-CN"/>
        </w:rPr>
      </w:pPr>
    </w:p>
    <w:p>
      <w:pPr>
        <w:pStyle w:val="4"/>
        <w:rPr>
          <w:rFonts w:hint="eastAsia"/>
          <w:lang w:eastAsia="zh-CN"/>
        </w:rPr>
      </w:pPr>
    </w:p>
    <w:p>
      <w:pPr>
        <w:rPr>
          <w:rFonts w:hint="eastAsia" w:ascii="楷体" w:hAnsi="楷体" w:eastAsia="楷体"/>
          <w:color w:val="auto"/>
          <w:sz w:val="28"/>
          <w:szCs w:val="28"/>
          <w:lang w:eastAsia="zh-CN"/>
        </w:rPr>
      </w:pPr>
    </w:p>
    <w:p>
      <w:pPr>
        <w:pStyle w:val="2"/>
        <w:rPr>
          <w:rFonts w:hint="eastAsia"/>
          <w:lang w:eastAsia="zh-CN"/>
        </w:rPr>
      </w:pPr>
      <w:bookmarkStart w:id="3" w:name="_GoBack"/>
      <w:bookmarkEnd w:id="3"/>
    </w:p>
    <w:tbl>
      <w:tblPr>
        <w:tblStyle w:val="7"/>
        <w:tblW w:w="871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75"/>
        <w:gridCol w:w="293"/>
        <w:gridCol w:w="993"/>
        <w:gridCol w:w="133"/>
        <w:gridCol w:w="150"/>
        <w:gridCol w:w="709"/>
        <w:gridCol w:w="70"/>
        <w:gridCol w:w="75"/>
        <w:gridCol w:w="137"/>
        <w:gridCol w:w="460"/>
        <w:gridCol w:w="85"/>
        <w:gridCol w:w="307"/>
        <w:gridCol w:w="477"/>
        <w:gridCol w:w="373"/>
        <w:gridCol w:w="426"/>
        <w:gridCol w:w="386"/>
        <w:gridCol w:w="606"/>
        <w:gridCol w:w="106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shd w:val="clear" w:color="auto" w:fill="FFFFFF"/>
            <w:noWrap w:val="0"/>
            <w:vAlign w:val="top"/>
          </w:tcPr>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32"/>
                <w:szCs w:val="32"/>
                <w:highlight w:val="none"/>
                <w:lang w:eastAsia="zh-CN"/>
              </w:rPr>
              <w:t>《事业单位法人证书》登载事项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单位名称</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lang w:eastAsia="zh-CN"/>
              </w:rPr>
            </w:pPr>
            <w:r>
              <w:rPr>
                <w:rFonts w:hint="eastAsia" w:ascii="Times New Roman" w:hAnsi="Times New Roman" w:eastAsia="仿宋_GB2312"/>
                <w:bCs/>
                <w:sz w:val="24"/>
                <w:szCs w:val="24"/>
                <w:highlight w:val="none"/>
              </w:rPr>
              <w:t>深圳市房地产和城市建设发展研究中心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right="0" w:rightChars="0" w:firstLine="960" w:firstLineChars="30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宗旨和业务范围</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ascii="Times New Roman" w:hAnsi="Times New Roman" w:eastAsia="仿宋_GB2312"/>
                <w:bCs/>
                <w:sz w:val="24"/>
                <w:szCs w:val="24"/>
                <w:highlight w:val="none"/>
              </w:rPr>
              <w:t>负责承担全市房地产、住房和住房保障的调查、评价、政策评估、预警预报、市场监测、统计跟踪、政策引导、业务培训，为深化住房制度改革和制定房地产、住房和住房保障的发展战略、规划计划、政策法规等工作提供研究与技术支持</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承担房地产市场调控和平稳健康发展长效机制的研究及技术支持工作</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承担房地产、房屋租赁、保障性和政策性住房的价格指导与政策研究工作</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为房地产市场管理、房屋租赁市场管理、保障性和政策性住房管理开展价格测算、评估、分析、咨询、鉴定等技术工作</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承担房地产供给侧</w:t>
            </w:r>
            <w:r>
              <w:rPr>
                <w:rFonts w:hint="eastAsia" w:ascii="Times New Roman" w:hAnsi="Times New Roman" w:eastAsia="仿宋_GB2312"/>
                <w:bCs/>
                <w:sz w:val="24"/>
                <w:szCs w:val="24"/>
                <w:highlight w:val="none"/>
                <w:lang w:eastAsia="zh-CN"/>
              </w:rPr>
              <w:t>结构性</w:t>
            </w:r>
            <w:r>
              <w:rPr>
                <w:rFonts w:hint="eastAsia" w:ascii="Times New Roman" w:hAnsi="Times New Roman" w:eastAsia="仿宋_GB2312"/>
                <w:bCs/>
                <w:sz w:val="24"/>
                <w:szCs w:val="24"/>
                <w:highlight w:val="none"/>
              </w:rPr>
              <w:t>改革相关政策研究和技术支持工作</w:t>
            </w:r>
            <w:r>
              <w:rPr>
                <w:rFonts w:hint="eastAsia" w:ascii="Times New Roman" w:hAnsi="Times New Roman" w:eastAsia="仿宋_GB2312"/>
                <w:bCs/>
                <w:sz w:val="24"/>
                <w:szCs w:val="24"/>
                <w:highlight w:val="none"/>
                <w:lang w:val="en" w:eastAsia="zh-CN"/>
              </w:rPr>
              <w:t>；</w:t>
            </w:r>
            <w:r>
              <w:rPr>
                <w:rFonts w:hint="eastAsia" w:ascii="Times New Roman" w:hAnsi="Times New Roman" w:eastAsia="仿宋_GB2312"/>
                <w:bCs/>
                <w:sz w:val="24"/>
                <w:szCs w:val="24"/>
                <w:highlight w:val="none"/>
              </w:rPr>
              <w:t>承担房屋租赁市场相关政策研究和技术支持工作</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承担物业管理研究和技术支持工作</w:t>
            </w:r>
            <w:r>
              <w:rPr>
                <w:rFonts w:hint="eastAsia" w:ascii="Times New Roman" w:hAnsi="Times New Roman" w:eastAsia="仿宋_GB2312"/>
                <w:bCs/>
                <w:sz w:val="24"/>
                <w:szCs w:val="24"/>
                <w:highlight w:val="none"/>
                <w:lang w:eastAsia="zh-CN"/>
              </w:rPr>
              <w:t>；</w:t>
            </w:r>
            <w:r>
              <w:rPr>
                <w:rFonts w:hint="eastAsia" w:ascii="Times New Roman" w:hAnsi="Times New Roman" w:eastAsia="仿宋_GB2312"/>
                <w:bCs/>
                <w:sz w:val="24"/>
                <w:szCs w:val="24"/>
                <w:highlight w:val="none"/>
              </w:rPr>
              <w:t>承担城市建设管理研究和技术支持工作</w:t>
            </w:r>
            <w:r>
              <w:rPr>
                <w:rFonts w:hint="eastAsia" w:ascii="Times New Roman" w:hAnsi="Times New Roman" w:eastAsia="仿宋_GB2312"/>
                <w:bCs/>
                <w:sz w:val="24"/>
                <w:szCs w:val="24"/>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600" w:lineRule="auto"/>
              <w:ind w:right="0" w:rightChars="0" w:firstLine="1760" w:firstLineChars="55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住所</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ascii="Times New Roman" w:hAnsi="Times New Roman" w:eastAsia="仿宋_GB2312"/>
                <w:bCs/>
                <w:sz w:val="24"/>
                <w:szCs w:val="24"/>
                <w:highlight w:val="none"/>
              </w:rPr>
              <w:t>深圳市福田区华强北街道振兴路1号南楼二、三、四层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法定代表人</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rPr>
            </w:pPr>
            <w:r>
              <w:rPr>
                <w:rFonts w:hint="eastAsia" w:ascii="Times New Roman" w:hAnsi="Times New Roman" w:eastAsia="仿宋_GB2312"/>
                <w:bCs/>
                <w:sz w:val="24"/>
                <w:szCs w:val="24"/>
                <w:highlight w:val="none"/>
              </w:rPr>
              <w:t>王锋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经费来源</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Times New Roman" w:hAnsi="Times New Roman" w:eastAsia="仿宋_GB2312" w:cs="Times New Roman"/>
                <w:bCs/>
                <w:sz w:val="24"/>
                <w:szCs w:val="24"/>
                <w:highlight w:val="none"/>
                <w:lang w:val="en-US" w:eastAsia="zh-CN"/>
              </w:rPr>
              <w:t>经费自理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开办资金</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default" w:ascii="楷体_GB2312" w:eastAsia="楷体_GB2312"/>
                <w:color w:val="auto"/>
                <w:sz w:val="32"/>
                <w:szCs w:val="32"/>
                <w:highlight w:val="none"/>
                <w:lang w:val="en-US" w:eastAsia="zh-CN"/>
              </w:rPr>
            </w:pPr>
            <w:r>
              <w:rPr>
                <w:rFonts w:hint="eastAsia" w:ascii="Times New Roman" w:hAnsi="Times New Roman" w:eastAsia="仿宋_GB2312" w:cs="Times New Roman"/>
                <w:bCs/>
                <w:sz w:val="24"/>
                <w:szCs w:val="24"/>
                <w:highlight w:val="none"/>
                <w:lang w:val="en-US" w:eastAsia="zh-CN"/>
              </w:rPr>
              <w:t>3000万元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举办单位</w:t>
            </w:r>
          </w:p>
        </w:tc>
        <w:tc>
          <w:tcPr>
            <w:tcW w:w="4396" w:type="dxa"/>
            <w:gridSpan w:val="11"/>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rPr>
            </w:pPr>
            <w:r>
              <w:rPr>
                <w:rFonts w:hint="eastAsia" w:ascii="Times New Roman" w:hAnsi="Times New Roman" w:eastAsia="仿宋_GB2312" w:cs="Times New Roman"/>
                <w:bCs/>
                <w:sz w:val="24"/>
                <w:szCs w:val="24"/>
                <w:highlight w:val="none"/>
              </w:rPr>
              <w:t>深圳市住房和建设局</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b/>
                <w:color w:val="auto"/>
                <w:sz w:val="32"/>
                <w:szCs w:val="32"/>
                <w:highlight w:val="none"/>
              </w:rPr>
            </w:pPr>
            <w:r>
              <w:rPr>
                <w:rFonts w:hint="eastAsia" w:ascii="楷体_GB2312" w:eastAsia="楷体_GB2312"/>
                <w:b/>
                <w:color w:val="auto"/>
                <w:sz w:val="32"/>
                <w:szCs w:val="32"/>
                <w:highlight w:val="none"/>
              </w:rPr>
              <w:t>上一年度是否按规定申请了变更登记</w:t>
            </w:r>
          </w:p>
        </w:tc>
        <w:tc>
          <w:tcPr>
            <w:tcW w:w="992" w:type="dxa"/>
            <w:gridSpan w:val="2"/>
            <w:noWrap w:val="0"/>
            <w:vAlign w:val="top"/>
          </w:tcPr>
          <w:p>
            <w:pPr>
              <w:rPr>
                <w:rFonts w:ascii="楷体_GB2312" w:eastAsia="楷体_GB2312"/>
                <w:color w:val="auto"/>
                <w:sz w:val="32"/>
                <w:szCs w:val="32"/>
                <w:highlight w:val="none"/>
              </w:rPr>
            </w:pPr>
            <w:r>
              <w:rPr>
                <w:rFonts w:hint="eastAsia" w:ascii="楷体_GB2312" w:eastAsia="楷体_GB2312"/>
                <w:color w:val="auto"/>
                <w:sz w:val="32"/>
                <w:szCs w:val="32"/>
                <w:highlight w:val="none"/>
              </w:rPr>
              <w:t>是□</w:t>
            </w:r>
          </w:p>
        </w:tc>
        <w:tc>
          <w:tcPr>
            <w:tcW w:w="1064" w:type="dxa"/>
            <w:noWrap w:val="0"/>
            <w:vAlign w:val="top"/>
          </w:tcPr>
          <w:p>
            <w:pPr>
              <w:rPr>
                <w:rFonts w:hint="eastAsia" w:ascii="楷体_GB2312" w:eastAsia="楷体_GB2312"/>
                <w:color w:val="auto"/>
                <w:sz w:val="32"/>
                <w:szCs w:val="32"/>
                <w:highlight w:val="none"/>
                <w:lang w:val="en" w:eastAsia="zh-CN"/>
              </w:rPr>
            </w:pPr>
            <w:r>
              <w:rPr>
                <w:rFonts w:hint="eastAsia" w:ascii="楷体_GB2312" w:eastAsia="楷体_GB2312"/>
                <w:color w:val="auto"/>
                <w:sz w:val="32"/>
                <w:szCs w:val="32"/>
                <w:highlight w:val="none"/>
              </w:rPr>
              <w:t>否</w:t>
            </w:r>
            <w:r>
              <w:rPr>
                <w:rFonts w:hint="eastAsia" w:ascii="楷体_GB2312" w:eastAsia="楷体_GB2312"/>
                <w:color w:val="auto"/>
                <w:sz w:val="32"/>
                <w:szCs w:val="32"/>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6" w:hRule="atLeast"/>
          <w:jc w:val="center"/>
        </w:trPr>
        <w:tc>
          <w:tcPr>
            <w:tcW w:w="8719" w:type="dxa"/>
            <w:gridSpan w:val="18"/>
            <w:noWrap w:val="0"/>
            <w:vAlign w:val="top"/>
          </w:tcPr>
          <w:p>
            <w:pPr>
              <w:ind w:firstLine="2088" w:firstLineChars="650"/>
              <w:rPr>
                <w:rFonts w:ascii="楷体_GB2312" w:eastAsia="楷体_GB2312"/>
                <w:b/>
                <w:color w:val="auto"/>
                <w:sz w:val="32"/>
                <w:szCs w:val="32"/>
                <w:highlight w:val="none"/>
              </w:rPr>
            </w:pPr>
            <w:r>
              <w:rPr>
                <w:rFonts w:hint="eastAsia" w:ascii="楷体_GB2312" w:eastAsia="楷体_GB2312"/>
                <w:b/>
                <w:color w:val="auto"/>
                <w:sz w:val="32"/>
                <w:szCs w:val="32"/>
                <w:highlight w:val="none"/>
              </w:rPr>
              <w:t>变更登记具体内容及时间</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名称□ 变更前</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法定代表人□ 变更前</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宗旨和业务范围□ 变更前</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p>
          <w:p>
            <w:pPr>
              <w:rPr>
                <w:rFonts w:ascii="楷体_GB2312" w:eastAsia="楷体_GB2312"/>
                <w:color w:val="auto"/>
                <w:sz w:val="32"/>
                <w:szCs w:val="32"/>
                <w:highlight w:val="none"/>
                <w:u w:val="single"/>
              </w:rPr>
            </w:pP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rPr>
                <w:rFonts w:ascii="楷体_GB2312" w:eastAsia="楷体_GB2312"/>
                <w:color w:val="auto"/>
                <w:sz w:val="32"/>
                <w:szCs w:val="32"/>
                <w:highlight w:val="none"/>
                <w:u w:val="single"/>
              </w:rPr>
            </w:pP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ind w:firstLine="2880" w:firstLineChars="900"/>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rPr>
                <w:rFonts w:ascii="楷体_GB2312" w:eastAsia="楷体_GB2312"/>
                <w:color w:val="auto"/>
                <w:sz w:val="32"/>
                <w:szCs w:val="32"/>
                <w:highlight w:val="none"/>
                <w:u w:val="single"/>
              </w:rPr>
            </w:pP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r>
              <w:rPr>
                <w:rFonts w:ascii="楷体_GB2312" w:eastAsia="楷体_GB2312"/>
                <w:color w:val="auto"/>
                <w:sz w:val="32"/>
                <w:szCs w:val="32"/>
                <w:highlight w:val="none"/>
                <w:u w:val="single"/>
              </w:rPr>
              <w:t xml:space="preserve">     </w:t>
            </w:r>
          </w:p>
          <w:p>
            <w:pPr>
              <w:rPr>
                <w:rFonts w:hint="default" w:ascii="楷体_GB2312" w:eastAsia="楷体_GB2312"/>
                <w:color w:val="auto"/>
                <w:sz w:val="32"/>
                <w:szCs w:val="32"/>
                <w:highlight w:val="none"/>
                <w:u w:val="single"/>
                <w:lang w:val="en-US" w:eastAsia="zh-CN"/>
              </w:rPr>
            </w:pP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住所□ 变更前</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经费来源□ 变更前</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开办资金□ 变更前</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（万元）变更后</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（万元）</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举办单位□ 变更前</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变更后</w:t>
            </w:r>
            <w:r>
              <w:rPr>
                <w:rFonts w:hint="eastAsia" w:ascii="楷体_GB2312" w:eastAsia="楷体_GB2312"/>
                <w:color w:val="auto"/>
                <w:sz w:val="32"/>
                <w:szCs w:val="32"/>
                <w:highlight w:val="none"/>
                <w:u w:val="single"/>
              </w:rPr>
              <w:t xml:space="preserve">               </w:t>
            </w:r>
          </w:p>
          <w:p>
            <w:pPr>
              <w:ind w:firstLine="1120" w:firstLineChars="350"/>
              <w:rPr>
                <w:rFonts w:ascii="楷体_GB2312" w:eastAsia="楷体_GB2312"/>
                <w:color w:val="auto"/>
                <w:sz w:val="32"/>
                <w:szCs w:val="32"/>
                <w:highlight w:val="none"/>
              </w:rPr>
            </w:pPr>
            <w:r>
              <w:rPr>
                <w:rFonts w:hint="eastAsia" w:ascii="楷体_GB2312" w:eastAsia="楷体_GB2312"/>
                <w:color w:val="auto"/>
                <w:sz w:val="32"/>
                <w:szCs w:val="32"/>
                <w:highlight w:val="none"/>
              </w:rPr>
              <w:t>变更时间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年</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月</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日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楷体_GB2312" w:eastAsia="楷体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3" w:hRule="atLeast"/>
          <w:jc w:val="center"/>
        </w:trPr>
        <w:tc>
          <w:tcPr>
            <w:tcW w:w="6663" w:type="dxa"/>
            <w:gridSpan w:val="15"/>
            <w:noWrap w:val="0"/>
            <w:vAlign w:val="top"/>
          </w:tcPr>
          <w:p>
            <w:pPr>
              <w:rPr>
                <w:rFonts w:ascii="楷体_GB2312" w:eastAsia="楷体_GB2312"/>
                <w:color w:val="auto"/>
                <w:sz w:val="32"/>
                <w:szCs w:val="32"/>
                <w:highlight w:val="none"/>
              </w:rPr>
            </w:pPr>
            <w:r>
              <w:rPr>
                <w:rFonts w:hint="eastAsia" w:ascii="楷体_GB2312" w:eastAsia="楷体_GB2312"/>
                <w:color w:val="auto"/>
                <w:sz w:val="32"/>
                <w:szCs w:val="32"/>
                <w:highlight w:val="none"/>
              </w:rPr>
              <w:t>上一年度单位章程是否进行修改</w:t>
            </w:r>
          </w:p>
        </w:tc>
        <w:tc>
          <w:tcPr>
            <w:tcW w:w="992" w:type="dxa"/>
            <w:gridSpan w:val="2"/>
            <w:noWrap w:val="0"/>
            <w:vAlign w:val="top"/>
          </w:tcPr>
          <w:p>
            <w:pPr>
              <w:rPr>
                <w:rFonts w:hint="eastAsia" w:ascii="楷体_GB2312" w:eastAsia="楷体_GB2312"/>
                <w:color w:val="auto"/>
                <w:sz w:val="32"/>
                <w:szCs w:val="32"/>
                <w:highlight w:val="none"/>
                <w:lang w:val="en" w:eastAsia="zh-CN"/>
              </w:rPr>
            </w:pPr>
            <w:r>
              <w:rPr>
                <w:rFonts w:hint="eastAsia" w:ascii="楷体_GB2312" w:eastAsia="楷体_GB2312"/>
                <w:color w:val="auto"/>
                <w:sz w:val="32"/>
                <w:szCs w:val="32"/>
                <w:highlight w:val="none"/>
              </w:rPr>
              <w:t>是</w:t>
            </w:r>
            <w:r>
              <w:rPr>
                <w:rFonts w:hint="eastAsia" w:ascii="楷体_GB2312" w:eastAsia="楷体_GB2312"/>
                <w:color w:val="auto"/>
                <w:sz w:val="32"/>
                <w:szCs w:val="32"/>
                <w:highlight w:val="none"/>
                <w:lang w:val="en" w:eastAsia="zh-CN"/>
              </w:rPr>
              <w:t>□</w:t>
            </w:r>
          </w:p>
        </w:tc>
        <w:tc>
          <w:tcPr>
            <w:tcW w:w="1064" w:type="dxa"/>
            <w:noWrap w:val="0"/>
            <w:vAlign w:val="top"/>
          </w:tcPr>
          <w:p>
            <w:pPr>
              <w:rPr>
                <w:rFonts w:hint="default" w:ascii="楷体_GB2312" w:eastAsia="楷体_GB2312"/>
                <w:color w:val="auto"/>
                <w:sz w:val="32"/>
                <w:szCs w:val="32"/>
                <w:highlight w:val="none"/>
                <w:lang w:val="en"/>
              </w:rPr>
            </w:pPr>
            <w:r>
              <w:rPr>
                <w:rFonts w:hint="eastAsia" w:ascii="楷体_GB2312" w:eastAsia="楷体_GB2312"/>
                <w:color w:val="auto"/>
                <w:sz w:val="32"/>
                <w:szCs w:val="32"/>
                <w:highlight w:val="none"/>
              </w:rPr>
              <w:t>否</w:t>
            </w:r>
            <w:r>
              <w:rPr>
                <w:rFonts w:hint="default" w:eastAsia="楷体_GB2312"/>
                <w:color w:val="auto"/>
                <w:sz w:val="32"/>
                <w:szCs w:val="32"/>
                <w:lang w:val="e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97" w:hRule="atLeast"/>
          <w:jc w:val="center"/>
        </w:trPr>
        <w:tc>
          <w:tcPr>
            <w:tcW w:w="4995" w:type="dxa"/>
            <w:gridSpan w:val="10"/>
            <w:noWrap w:val="0"/>
            <w:vAlign w:val="top"/>
          </w:tcPr>
          <w:p>
            <w:pPr>
              <w:rPr>
                <w:rFonts w:ascii="楷体_GB2312" w:eastAsia="楷体_GB2312"/>
                <w:color w:val="auto"/>
                <w:sz w:val="32"/>
                <w:szCs w:val="32"/>
                <w:highlight w:val="none"/>
              </w:rPr>
            </w:pPr>
            <w:r>
              <w:rPr>
                <w:rFonts w:hint="eastAsia" w:ascii="楷体_GB2312" w:eastAsia="楷体_GB2312"/>
                <w:color w:val="auto"/>
                <w:sz w:val="32"/>
                <w:szCs w:val="32"/>
                <w:highlight w:val="none"/>
              </w:rPr>
              <w:t>章程</w:t>
            </w:r>
            <w:r>
              <w:rPr>
                <w:rFonts w:hint="eastAsia" w:ascii="楷体_GB2312" w:eastAsia="楷体_GB2312"/>
                <w:color w:val="auto"/>
                <w:sz w:val="32"/>
                <w:szCs w:val="32"/>
                <w:highlight w:val="none"/>
                <w:lang w:eastAsia="zh-CN"/>
              </w:rPr>
              <w:t>制订或</w:t>
            </w:r>
            <w:r>
              <w:rPr>
                <w:rFonts w:hint="eastAsia" w:ascii="楷体_GB2312" w:eastAsia="楷体_GB2312"/>
                <w:color w:val="auto"/>
                <w:sz w:val="32"/>
                <w:szCs w:val="32"/>
                <w:highlight w:val="none"/>
              </w:rPr>
              <w:t>修改后是否</w:t>
            </w:r>
            <w:r>
              <w:rPr>
                <w:rFonts w:ascii="楷体_GB2312" w:eastAsia="楷体_GB2312"/>
                <w:color w:val="auto"/>
                <w:sz w:val="32"/>
                <w:szCs w:val="32"/>
                <w:highlight w:val="none"/>
              </w:rPr>
              <w:t>备案</w:t>
            </w:r>
            <w:r>
              <w:rPr>
                <w:rFonts w:hint="eastAsia" w:ascii="楷体_GB2312" w:eastAsia="楷体_GB2312"/>
                <w:strike w:val="0"/>
                <w:dstrike w:val="0"/>
                <w:color w:val="auto"/>
                <w:sz w:val="32"/>
                <w:szCs w:val="32"/>
                <w:highlight w:val="none"/>
                <w:lang w:eastAsia="zh-CN"/>
              </w:rPr>
              <w:t>，或</w:t>
            </w:r>
            <w:r>
              <w:rPr>
                <w:rFonts w:hint="eastAsia" w:ascii="楷体_GB2312" w:eastAsia="楷体_GB2312"/>
                <w:strike w:val="0"/>
                <w:color w:val="auto"/>
                <w:sz w:val="32"/>
                <w:szCs w:val="32"/>
                <w:highlight w:val="none"/>
                <w:lang w:eastAsia="zh-CN"/>
              </w:rPr>
              <w:t>在</w:t>
            </w:r>
            <w:r>
              <w:rPr>
                <w:rFonts w:hint="eastAsia" w:ascii="楷体_GB2312" w:eastAsia="楷体_GB2312"/>
                <w:strike w:val="0"/>
                <w:dstrike w:val="0"/>
                <w:color w:val="auto"/>
                <w:sz w:val="32"/>
                <w:szCs w:val="32"/>
                <w:highlight w:val="none"/>
                <w:lang w:eastAsia="zh-CN"/>
              </w:rPr>
              <w:t>“广东事业单位登记管理”</w:t>
            </w:r>
            <w:r>
              <w:rPr>
                <w:rFonts w:hint="eastAsia" w:ascii="楷体_GB2312" w:eastAsia="楷体_GB2312"/>
                <w:color w:val="auto"/>
                <w:sz w:val="32"/>
                <w:szCs w:val="32"/>
                <w:highlight w:val="none"/>
                <w:lang w:eastAsia="zh-CN"/>
              </w:rPr>
              <w:t>网站公示</w:t>
            </w:r>
          </w:p>
        </w:tc>
        <w:tc>
          <w:tcPr>
            <w:tcW w:w="2660" w:type="dxa"/>
            <w:gridSpan w:val="7"/>
            <w:noWrap w:val="0"/>
            <w:vAlign w:val="top"/>
          </w:tcPr>
          <w:p>
            <w:pPr>
              <w:ind w:firstLine="960" w:firstLineChars="300"/>
              <w:jc w:val="both"/>
              <w:rPr>
                <w:rFonts w:hint="eastAsia" w:ascii="楷体_GB2312" w:eastAsia="楷体_GB2312"/>
                <w:color w:val="auto"/>
                <w:sz w:val="32"/>
                <w:szCs w:val="32"/>
                <w:highlight w:val="none"/>
              </w:rPr>
            </w:pPr>
            <w:r>
              <w:rPr>
                <w:rFonts w:hint="eastAsia" w:ascii="楷体_GB2312" w:eastAsia="楷体_GB2312"/>
                <w:color w:val="auto"/>
                <w:sz w:val="32"/>
                <w:szCs w:val="32"/>
                <w:highlight w:val="none"/>
              </w:rPr>
              <w:t>是□</w:t>
            </w:r>
          </w:p>
          <w:p>
            <w:pPr>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rPr>
              <w:t>□</w:t>
            </w:r>
            <w:r>
              <w:rPr>
                <w:rFonts w:hint="eastAsia" w:ascii="楷体_GB2312" w:eastAsia="楷体_GB2312"/>
                <w:color w:val="auto"/>
                <w:sz w:val="32"/>
                <w:szCs w:val="32"/>
                <w:highlight w:val="none"/>
                <w:lang w:eastAsia="zh-CN"/>
              </w:rPr>
              <w:t>网址：</w:t>
            </w:r>
            <w:r>
              <w:rPr>
                <w:rFonts w:hint="eastAsia" w:ascii="楷体_GB2312" w:eastAsia="楷体_GB2312"/>
                <w:color w:val="auto"/>
                <w:sz w:val="32"/>
                <w:szCs w:val="32"/>
                <w:highlight w:val="none"/>
                <w:u w:val="single"/>
                <w:lang w:val="en-US" w:eastAsia="zh-CN"/>
              </w:rPr>
              <w:t xml:space="preserve">        </w:t>
            </w:r>
          </w:p>
          <w:p>
            <w:pPr>
              <w:rPr>
                <w:rFonts w:ascii="楷体_GB2312" w:eastAsia="楷体_GB2312"/>
                <w:color w:val="auto"/>
                <w:sz w:val="32"/>
                <w:szCs w:val="32"/>
                <w:highlight w:val="none"/>
              </w:rPr>
            </w:pPr>
            <w:r>
              <w:rPr>
                <w:rFonts w:hint="eastAsia" w:ascii="楷体_GB2312" w:eastAsia="楷体_GB2312"/>
                <w:color w:val="auto"/>
                <w:sz w:val="32"/>
                <w:szCs w:val="32"/>
                <w:highlight w:val="none"/>
              </w:rPr>
              <w:t>□</w:t>
            </w:r>
            <w:r>
              <w:rPr>
                <w:rFonts w:hint="eastAsia" w:ascii="楷体_GB2312" w:eastAsia="楷体_GB2312"/>
                <w:color w:val="auto"/>
                <w:sz w:val="32"/>
                <w:szCs w:val="32"/>
                <w:highlight w:val="none"/>
                <w:lang w:eastAsia="zh-CN"/>
              </w:rPr>
              <w:t>已备案</w:t>
            </w:r>
          </w:p>
        </w:tc>
        <w:tc>
          <w:tcPr>
            <w:tcW w:w="1064" w:type="dxa"/>
            <w:noWrap w:val="0"/>
            <w:vAlign w:val="top"/>
          </w:tcPr>
          <w:p>
            <w:pPr>
              <w:rPr>
                <w:rFonts w:hint="eastAsia" w:ascii="楷体_GB2312" w:eastAsia="楷体_GB2312"/>
                <w:color w:val="auto"/>
                <w:sz w:val="32"/>
                <w:szCs w:val="32"/>
                <w:highlight w:val="none"/>
                <w:lang w:val="en" w:eastAsia="zh-CN"/>
              </w:rPr>
            </w:pPr>
            <w:r>
              <w:rPr>
                <w:rFonts w:hint="eastAsia" w:ascii="楷体_GB2312" w:eastAsia="楷体_GB2312"/>
                <w:color w:val="auto"/>
                <w:sz w:val="32"/>
                <w:szCs w:val="32"/>
                <w:highlight w:val="none"/>
              </w:rPr>
              <w:t>否</w:t>
            </w:r>
            <w:r>
              <w:rPr>
                <w:rFonts w:hint="eastAsia" w:ascii="楷体_GB2312" w:eastAsia="楷体_GB2312"/>
                <w:color w:val="auto"/>
                <w:sz w:val="32"/>
                <w:szCs w:val="32"/>
                <w:highlight w:val="none"/>
                <w:lang w:val="en"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54" w:hRule="atLeast"/>
          <w:jc w:val="center"/>
        </w:trPr>
        <w:tc>
          <w:tcPr>
            <w:tcW w:w="6663" w:type="dxa"/>
            <w:gridSpan w:val="15"/>
            <w:noWrap w:val="0"/>
            <w:vAlign w:val="top"/>
          </w:tcPr>
          <w:p>
            <w:pPr>
              <w:rPr>
                <w:rFonts w:hint="eastAsia" w:eastAsia="楷体_GB2312"/>
                <w:color w:val="auto"/>
                <w:sz w:val="32"/>
                <w:szCs w:val="32"/>
                <w:highlight w:val="none"/>
              </w:rPr>
            </w:pPr>
            <w:r>
              <w:rPr>
                <w:rFonts w:hint="eastAsia" w:eastAsia="楷体_GB2312"/>
                <w:color w:val="auto"/>
                <w:sz w:val="32"/>
                <w:szCs w:val="32"/>
                <w:highlight w:val="none"/>
              </w:rPr>
              <w:t>单位印章的印迹、基本</w:t>
            </w:r>
            <w:r>
              <w:rPr>
                <w:rFonts w:hint="eastAsia" w:eastAsia="楷体_GB2312"/>
                <w:color w:val="auto"/>
                <w:sz w:val="32"/>
                <w:szCs w:val="32"/>
                <w:highlight w:val="none"/>
                <w:lang w:eastAsia="zh-CN"/>
              </w:rPr>
              <w:t>账</w:t>
            </w:r>
            <w:r>
              <w:rPr>
                <w:rFonts w:hint="eastAsia" w:eastAsia="楷体_GB2312"/>
                <w:color w:val="auto"/>
                <w:sz w:val="32"/>
                <w:szCs w:val="32"/>
                <w:highlight w:val="none"/>
              </w:rPr>
              <w:t>户、法定代表人签字</w:t>
            </w:r>
            <w:r>
              <w:rPr>
                <w:rFonts w:hint="eastAsia" w:eastAsia="楷体_GB2312"/>
                <w:color w:val="auto"/>
                <w:sz w:val="32"/>
                <w:szCs w:val="32"/>
                <w:highlight w:val="none"/>
                <w:lang w:eastAsia="zh-CN"/>
              </w:rPr>
              <w:t>、</w:t>
            </w:r>
            <w:r>
              <w:rPr>
                <w:rFonts w:hint="eastAsia" w:eastAsia="楷体_GB2312"/>
                <w:color w:val="auto"/>
                <w:sz w:val="32"/>
                <w:szCs w:val="32"/>
                <w:highlight w:val="none"/>
              </w:rPr>
              <w:t>印章</w:t>
            </w:r>
            <w:r>
              <w:rPr>
                <w:rFonts w:hint="eastAsia" w:eastAsia="楷体_GB2312"/>
                <w:color w:val="auto"/>
                <w:sz w:val="32"/>
                <w:szCs w:val="32"/>
                <w:highlight w:val="none"/>
                <w:lang w:eastAsia="zh-CN"/>
              </w:rPr>
              <w:t>的印迹</w:t>
            </w:r>
            <w:r>
              <w:rPr>
                <w:rFonts w:hint="eastAsia" w:eastAsia="楷体_GB2312"/>
                <w:color w:val="auto"/>
                <w:sz w:val="32"/>
                <w:szCs w:val="32"/>
                <w:highlight w:val="none"/>
              </w:rPr>
              <w:t>是否已备案</w:t>
            </w:r>
          </w:p>
        </w:tc>
        <w:tc>
          <w:tcPr>
            <w:tcW w:w="992" w:type="dxa"/>
            <w:gridSpan w:val="2"/>
            <w:noWrap w:val="0"/>
            <w:vAlign w:val="top"/>
          </w:tcPr>
          <w:p>
            <w:pPr>
              <w:rPr>
                <w:rFonts w:hint="eastAsia" w:eastAsia="楷体_GB2312"/>
                <w:color w:val="auto"/>
                <w:sz w:val="32"/>
                <w:szCs w:val="32"/>
                <w:highlight w:val="none"/>
              </w:rPr>
            </w:pPr>
            <w:r>
              <w:rPr>
                <w:rFonts w:hint="eastAsia" w:ascii="楷体_GB2312" w:eastAsia="楷体_GB2312"/>
                <w:color w:val="auto"/>
                <w:sz w:val="32"/>
                <w:szCs w:val="32"/>
                <w:highlight w:val="none"/>
              </w:rPr>
              <w:t>是□</w:t>
            </w:r>
          </w:p>
        </w:tc>
        <w:tc>
          <w:tcPr>
            <w:tcW w:w="1064" w:type="dxa"/>
            <w:noWrap w:val="0"/>
            <w:vAlign w:val="top"/>
          </w:tcPr>
          <w:p>
            <w:pPr>
              <w:rPr>
                <w:rFonts w:hint="eastAsia" w:eastAsia="楷体_GB2312"/>
                <w:color w:val="auto"/>
                <w:sz w:val="32"/>
                <w:szCs w:val="32"/>
                <w:highlight w:val="none"/>
                <w:lang w:val="en" w:eastAsia="zh-CN"/>
              </w:rPr>
            </w:pPr>
            <w:r>
              <w:rPr>
                <w:rFonts w:hint="eastAsia" w:ascii="楷体_GB2312" w:eastAsia="楷体_GB2312"/>
                <w:color w:val="auto"/>
                <w:sz w:val="32"/>
                <w:szCs w:val="32"/>
                <w:highlight w:val="none"/>
              </w:rPr>
              <w:t>否</w:t>
            </w:r>
            <w:r>
              <w:rPr>
                <w:rFonts w:hint="default" w:eastAsia="楷体_GB2312"/>
                <w:color w:val="auto"/>
                <w:sz w:val="32"/>
                <w:szCs w:val="32"/>
                <w:lang w:val="e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6663" w:type="dxa"/>
            <w:gridSpan w:val="15"/>
            <w:noWrap w:val="0"/>
            <w:vAlign w:val="top"/>
          </w:tcPr>
          <w:p>
            <w:pPr>
              <w:rPr>
                <w:rFonts w:eastAsia="楷体_GB2312"/>
                <w:color w:val="auto"/>
                <w:sz w:val="32"/>
                <w:szCs w:val="32"/>
                <w:highlight w:val="none"/>
              </w:rPr>
            </w:pPr>
            <w:r>
              <w:rPr>
                <w:rFonts w:hint="eastAsia" w:eastAsia="楷体_GB2312"/>
                <w:color w:val="auto"/>
                <w:sz w:val="32"/>
                <w:szCs w:val="32"/>
                <w:highlight w:val="none"/>
              </w:rPr>
              <w:t>是否拥有相关资质认可或执业许可证明</w:t>
            </w:r>
          </w:p>
        </w:tc>
        <w:tc>
          <w:tcPr>
            <w:tcW w:w="992" w:type="dxa"/>
            <w:gridSpan w:val="2"/>
            <w:noWrap w:val="0"/>
            <w:vAlign w:val="top"/>
          </w:tcPr>
          <w:p>
            <w:pPr>
              <w:rPr>
                <w:rFonts w:eastAsia="楷体_GB2312"/>
                <w:color w:val="auto"/>
                <w:sz w:val="32"/>
                <w:szCs w:val="32"/>
                <w:highlight w:val="none"/>
              </w:rPr>
            </w:pPr>
            <w:r>
              <w:rPr>
                <w:rFonts w:hint="eastAsia" w:eastAsia="楷体_GB2312"/>
                <w:color w:val="auto"/>
                <w:sz w:val="32"/>
                <w:szCs w:val="32"/>
                <w:highlight w:val="none"/>
              </w:rPr>
              <w:t>是□</w:t>
            </w:r>
          </w:p>
        </w:tc>
        <w:tc>
          <w:tcPr>
            <w:tcW w:w="1064" w:type="dxa"/>
            <w:noWrap w:val="0"/>
            <w:vAlign w:val="top"/>
          </w:tcPr>
          <w:p>
            <w:pPr>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证书名称</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认可（许可）范围</w:t>
            </w: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有效期</w:t>
            </w:r>
          </w:p>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截止日期</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颁发机关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p>
        </w:tc>
        <w:tc>
          <w:tcPr>
            <w:tcW w:w="2128" w:type="dxa"/>
            <w:gridSpan w:val="6"/>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eastAsia="楷体_GB2312"/>
                <w:color w:val="auto"/>
                <w:sz w:val="32"/>
                <w:szCs w:val="32"/>
                <w:highlight w:val="none"/>
              </w:rPr>
            </w:pPr>
            <w:r>
              <w:rPr>
                <w:rFonts w:hint="eastAsia" w:eastAsia="楷体_GB2312"/>
                <w:color w:val="auto"/>
                <w:sz w:val="32"/>
                <w:szCs w:val="32"/>
                <w:highlight w:val="none"/>
              </w:rPr>
              <w:t xml:space="preserve">       </w:t>
            </w:r>
          </w:p>
          <w:p>
            <w:pPr>
              <w:spacing w:line="400" w:lineRule="exact"/>
              <w:jc w:val="center"/>
              <w:rPr>
                <w:rFonts w:ascii="楷体" w:hAnsi="楷体" w:eastAsia="楷体"/>
                <w:bCs/>
                <w:color w:val="auto"/>
                <w:sz w:val="32"/>
                <w:szCs w:val="32"/>
                <w:highlight w:val="none"/>
              </w:rPr>
            </w:pPr>
            <w:r>
              <w:rPr>
                <w:rFonts w:eastAsia="楷体_GB2312"/>
                <w:color w:val="auto"/>
                <w:sz w:val="32"/>
                <w:szCs w:val="3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719" w:type="dxa"/>
            <w:gridSpan w:val="18"/>
            <w:tcBorders>
              <w:top w:val="single" w:color="auto" w:sz="4" w:space="0"/>
              <w:left w:val="single" w:color="auto" w:sz="12" w:space="0"/>
              <w:right w:val="single" w:color="auto" w:sz="12" w:space="0"/>
            </w:tcBorders>
            <w:noWrap w:val="0"/>
            <w:vAlign w:val="center"/>
          </w:tcPr>
          <w:p>
            <w:pPr>
              <w:spacing w:line="400" w:lineRule="exact"/>
              <w:rPr>
                <w:rFonts w:eastAsia="楷体_GB2312"/>
                <w:color w:val="auto"/>
                <w:sz w:val="24"/>
                <w:highlight w:val="none"/>
              </w:rPr>
            </w:pPr>
            <w:r>
              <w:rPr>
                <w:rFonts w:hint="eastAsia" w:eastAsia="楷体_GB2312"/>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3394" w:type="dxa"/>
            <w:gridSpan w:val="4"/>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highlight w:val="none"/>
              </w:rPr>
            </w:pPr>
            <w:r>
              <w:rPr>
                <w:rFonts w:hint="eastAsia" w:ascii="楷体" w:hAnsi="楷体" w:eastAsia="楷体"/>
                <w:bCs/>
                <w:color w:val="auto"/>
                <w:sz w:val="32"/>
                <w:szCs w:val="32"/>
                <w:highlight w:val="none"/>
              </w:rPr>
              <w:t>本单位网站</w:t>
            </w:r>
            <w:r>
              <w:rPr>
                <w:rFonts w:ascii="楷体" w:hAnsi="楷体" w:eastAsia="楷体"/>
                <w:bCs/>
                <w:color w:val="auto"/>
                <w:sz w:val="32"/>
                <w:szCs w:val="32"/>
                <w:highlight w:val="none"/>
              </w:rPr>
              <w:t>名称和</w:t>
            </w:r>
            <w:r>
              <w:rPr>
                <w:rFonts w:hint="eastAsia" w:ascii="楷体" w:hAnsi="楷体" w:eastAsia="楷体"/>
                <w:bCs/>
                <w:color w:val="auto"/>
                <w:sz w:val="32"/>
                <w:szCs w:val="32"/>
                <w:highlight w:val="none"/>
              </w:rPr>
              <w:t>网址</w:t>
            </w:r>
          </w:p>
        </w:tc>
        <w:tc>
          <w:tcPr>
            <w:tcW w:w="5325" w:type="dxa"/>
            <w:gridSpan w:val="14"/>
            <w:tcBorders>
              <w:top w:val="single" w:color="auto" w:sz="4" w:space="0"/>
              <w:left w:val="single" w:color="auto" w:sz="4" w:space="0"/>
              <w:bottom w:val="single" w:color="auto" w:sz="4" w:space="0"/>
              <w:right w:val="single" w:color="auto" w:sz="12" w:space="0"/>
            </w:tcBorders>
            <w:noWrap w:val="0"/>
            <w:vAlign w:val="center"/>
          </w:tcPr>
          <w:p>
            <w:pPr>
              <w:spacing w:line="400" w:lineRule="exact"/>
              <w:rPr>
                <w:rFonts w:hint="eastAsia" w:eastAsia="楷体_GB2312"/>
                <w:color w:val="auto"/>
                <w:sz w:val="32"/>
                <w:szCs w:val="32"/>
                <w:highlight w:val="none"/>
                <w:lang w:val="en" w:eastAsia="zh-CN"/>
              </w:rPr>
            </w:pPr>
            <w:r>
              <w:rPr>
                <w:rFonts w:eastAsia="楷体_GB2312"/>
                <w:color w:val="auto"/>
                <w:sz w:val="32"/>
                <w:szCs w:val="32"/>
                <w:highlight w:val="none"/>
              </w:rPr>
              <w:t xml:space="preserve"> </w:t>
            </w:r>
            <w:r>
              <w:rPr>
                <w:rFonts w:hint="eastAsia" w:eastAsia="楷体_GB2312"/>
                <w:color w:val="auto"/>
                <w:sz w:val="32"/>
                <w:szCs w:val="32"/>
                <w:highlight w:val="none"/>
                <w:u w:val="none"/>
                <w:lang w:eastAsia="zh-CN"/>
              </w:rPr>
              <w:t>有</w:t>
            </w:r>
            <w:r>
              <w:rPr>
                <w:rFonts w:hint="eastAsia" w:eastAsia="楷体_GB2312"/>
                <w:color w:val="auto"/>
                <w:sz w:val="32"/>
                <w:szCs w:val="32"/>
                <w:highlight w:val="none"/>
              </w:rPr>
              <w:t>□</w:t>
            </w:r>
            <w:r>
              <w:rPr>
                <w:rFonts w:eastAsia="楷体_GB2312"/>
                <w:color w:val="auto"/>
                <w:sz w:val="32"/>
                <w:szCs w:val="32"/>
                <w:highlight w:val="none"/>
                <w:u w:val="single"/>
              </w:rPr>
              <w:t xml:space="preserve">                   </w:t>
            </w:r>
            <w:r>
              <w:rPr>
                <w:rFonts w:eastAsia="楷体_GB2312"/>
                <w:color w:val="auto"/>
                <w:sz w:val="32"/>
                <w:szCs w:val="32"/>
                <w:highlight w:val="none"/>
              </w:rPr>
              <w:t xml:space="preserve"> </w:t>
            </w:r>
            <w:r>
              <w:rPr>
                <w:rFonts w:hint="eastAsia" w:eastAsia="楷体_GB2312"/>
                <w:color w:val="auto"/>
                <w:sz w:val="32"/>
                <w:szCs w:val="32"/>
                <w:highlight w:val="none"/>
              </w:rPr>
              <w:t>无</w:t>
            </w:r>
            <w:r>
              <w:rPr>
                <w:rFonts w:hint="default" w:eastAsia="楷体_GB2312"/>
                <w:color w:val="auto"/>
                <w:sz w:val="32"/>
                <w:szCs w:val="32"/>
                <w:lang w:val="e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6663" w:type="dxa"/>
            <w:gridSpan w:val="15"/>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ascii="楷体" w:hAnsi="楷体" w:eastAsia="楷体"/>
                <w:bCs/>
                <w:color w:val="auto"/>
                <w:sz w:val="32"/>
                <w:szCs w:val="32"/>
                <w:highlight w:val="none"/>
              </w:rPr>
              <w:t>是否</w:t>
            </w:r>
            <w:r>
              <w:rPr>
                <w:rFonts w:ascii="楷体" w:hAnsi="楷体" w:eastAsia="楷体"/>
                <w:bCs/>
                <w:color w:val="auto"/>
                <w:sz w:val="32"/>
                <w:szCs w:val="32"/>
                <w:highlight w:val="none"/>
              </w:rPr>
              <w:t>向主管部门或举办单位</w:t>
            </w:r>
            <w:r>
              <w:rPr>
                <w:rFonts w:hint="eastAsia" w:ascii="楷体" w:hAnsi="楷体" w:eastAsia="楷体"/>
                <w:bCs/>
                <w:color w:val="auto"/>
                <w:sz w:val="32"/>
                <w:szCs w:val="32"/>
                <w:highlight w:val="none"/>
              </w:rPr>
              <w:t>报送上一年度财务报告</w:t>
            </w:r>
          </w:p>
        </w:tc>
        <w:tc>
          <w:tcPr>
            <w:tcW w:w="992" w:type="dxa"/>
            <w:gridSpan w:val="2"/>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hint="eastAsia" w:eastAsia="楷体_GB2312"/>
                <w:color w:val="auto"/>
                <w:sz w:val="32"/>
                <w:szCs w:val="32"/>
                <w:highlight w:val="none"/>
                <w:lang w:eastAsia="zh-CN"/>
              </w:rPr>
            </w:pPr>
            <w:r>
              <w:rPr>
                <w:rFonts w:hint="eastAsia" w:eastAsia="楷体_GB2312"/>
                <w:color w:val="auto"/>
                <w:sz w:val="32"/>
                <w:szCs w:val="32"/>
                <w:highlight w:val="none"/>
              </w:rPr>
              <w:t>是</w:t>
            </w:r>
            <w:r>
              <w:rPr>
                <w:rFonts w:hint="default" w:eastAsia="楷体_GB2312"/>
                <w:color w:val="auto"/>
                <w:sz w:val="32"/>
                <w:szCs w:val="32"/>
                <w:lang w:val="en"/>
              </w:rPr>
              <w:t>☑</w:t>
            </w:r>
          </w:p>
        </w:tc>
        <w:tc>
          <w:tcPr>
            <w:tcW w:w="1064" w:type="dxa"/>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268" w:type="dxa"/>
            <w:gridSpan w:val="2"/>
            <w:vMerge w:val="restart"/>
            <w:tcBorders>
              <w:top w:val="single" w:color="auto" w:sz="12" w:space="0"/>
              <w:left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ascii="楷体" w:hAnsi="楷体" w:eastAsia="楷体"/>
                <w:bCs/>
                <w:color w:val="auto"/>
                <w:sz w:val="32"/>
                <w:szCs w:val="32"/>
                <w:highlight w:val="none"/>
              </w:rPr>
              <w:t>资产损益</w:t>
            </w:r>
            <w:r>
              <w:rPr>
                <w:rFonts w:ascii="楷体" w:hAnsi="楷体" w:eastAsia="楷体"/>
                <w:bCs/>
                <w:color w:val="auto"/>
                <w:sz w:val="32"/>
                <w:szCs w:val="32"/>
                <w:highlight w:val="none"/>
              </w:rPr>
              <w:t>情况</w:t>
            </w:r>
          </w:p>
        </w:tc>
        <w:tc>
          <w:tcPr>
            <w:tcW w:w="6451" w:type="dxa"/>
            <w:gridSpan w:val="16"/>
            <w:tcBorders>
              <w:top w:val="single" w:color="auto" w:sz="12" w:space="0"/>
              <w:left w:val="single" w:color="auto" w:sz="12" w:space="0"/>
              <w:bottom w:val="single" w:color="auto" w:sz="12" w:space="0"/>
              <w:right w:val="single" w:color="auto" w:sz="12" w:space="0"/>
            </w:tcBorders>
            <w:noWrap w:val="0"/>
            <w:vAlign w:val="center"/>
          </w:tcPr>
          <w:p>
            <w:pPr>
              <w:spacing w:line="400" w:lineRule="exact"/>
              <w:ind w:firstLine="648"/>
              <w:rPr>
                <w:rFonts w:hint="eastAsia" w:eastAsia="楷体_GB2312"/>
                <w:color w:val="auto"/>
                <w:sz w:val="32"/>
                <w:szCs w:val="32"/>
                <w:highlight w:val="none"/>
                <w:lang w:val="en-US" w:eastAsia="zh-CN"/>
              </w:rPr>
            </w:pPr>
            <w:r>
              <w:rPr>
                <w:rFonts w:hint="eastAsia" w:eastAsia="楷体_GB2312"/>
                <w:color w:val="auto"/>
                <w:sz w:val="32"/>
                <w:szCs w:val="32"/>
                <w:highlight w:val="none"/>
              </w:rPr>
              <w:t>净资产合计</w:t>
            </w:r>
            <w:r>
              <w:rPr>
                <w:rFonts w:eastAsia="楷体_GB2312"/>
                <w:color w:val="auto"/>
                <w:sz w:val="32"/>
                <w:szCs w:val="32"/>
                <w:highlight w:val="none"/>
              </w:rPr>
              <w:t>（</w:t>
            </w:r>
            <w:r>
              <w:rPr>
                <w:rFonts w:hint="eastAsia" w:eastAsia="楷体_GB2312"/>
                <w:color w:val="auto"/>
                <w:sz w:val="32"/>
                <w:szCs w:val="32"/>
                <w:highlight w:val="none"/>
              </w:rPr>
              <w:t>所有者</w:t>
            </w:r>
            <w:r>
              <w:rPr>
                <w:rFonts w:eastAsia="楷体_GB2312"/>
                <w:color w:val="auto"/>
                <w:sz w:val="32"/>
                <w:szCs w:val="32"/>
                <w:highlight w:val="none"/>
              </w:rPr>
              <w:t>权益合计）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highlight w:val="none"/>
              </w:rPr>
            </w:pPr>
          </w:p>
        </w:tc>
        <w:tc>
          <w:tcPr>
            <w:tcW w:w="3119" w:type="dxa"/>
            <w:gridSpan w:val="10"/>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年初数（万元）</w:t>
            </w:r>
          </w:p>
          <w:p>
            <w:pPr>
              <w:spacing w:line="400" w:lineRule="exact"/>
              <w:rPr>
                <w:rFonts w:eastAsia="楷体_GB2312"/>
                <w:color w:val="auto"/>
                <w:sz w:val="32"/>
                <w:szCs w:val="32"/>
                <w:highlight w:val="none"/>
                <w:u w:val="single"/>
              </w:rPr>
            </w:pPr>
            <w:r>
              <w:rPr>
                <w:rFonts w:eastAsia="楷体_GB2312"/>
                <w:color w:val="auto"/>
                <w:sz w:val="32"/>
                <w:szCs w:val="32"/>
                <w:highlight w:val="none"/>
                <w:u w:val="single"/>
              </w:rPr>
              <w:t xml:space="preserve">  </w:t>
            </w:r>
            <w:r>
              <w:rPr>
                <w:rFonts w:hint="eastAsia" w:eastAsia="楷体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lang w:val="en-US" w:eastAsia="zh-CN"/>
              </w:rPr>
              <w:t>8852.905856</w:t>
            </w:r>
            <w:r>
              <w:rPr>
                <w:rFonts w:hint="eastAsia" w:ascii="仿宋_GB2312" w:hAnsi="仿宋_GB2312" w:eastAsia="仿宋_GB2312" w:cs="仿宋_GB2312"/>
                <w:color w:val="auto"/>
                <w:sz w:val="32"/>
                <w:szCs w:val="32"/>
                <w:highlight w:val="none"/>
                <w:u w:val="single"/>
              </w:rPr>
              <w:t xml:space="preserve"> </w:t>
            </w:r>
            <w:r>
              <w:rPr>
                <w:rFonts w:eastAsia="楷体_GB2312"/>
                <w:color w:val="auto"/>
                <w:sz w:val="32"/>
                <w:szCs w:val="32"/>
                <w:highlight w:val="none"/>
                <w:u w:val="single"/>
              </w:rPr>
              <w:t xml:space="preserve">         </w:t>
            </w:r>
          </w:p>
        </w:tc>
        <w:tc>
          <w:tcPr>
            <w:tcW w:w="3332" w:type="dxa"/>
            <w:gridSpan w:val="6"/>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年末数</w:t>
            </w:r>
            <w:r>
              <w:rPr>
                <w:rFonts w:eastAsia="楷体_GB2312"/>
                <w:color w:val="auto"/>
                <w:sz w:val="32"/>
                <w:szCs w:val="32"/>
                <w:highlight w:val="none"/>
              </w:rPr>
              <w:t>（</w:t>
            </w:r>
            <w:r>
              <w:rPr>
                <w:rFonts w:hint="eastAsia" w:eastAsia="楷体_GB2312"/>
                <w:color w:val="auto"/>
                <w:sz w:val="32"/>
                <w:szCs w:val="32"/>
                <w:highlight w:val="none"/>
              </w:rPr>
              <w:t>万元</w:t>
            </w:r>
            <w:r>
              <w:rPr>
                <w:rFonts w:eastAsia="楷体_GB2312"/>
                <w:color w:val="auto"/>
                <w:sz w:val="32"/>
                <w:szCs w:val="32"/>
                <w:highlight w:val="none"/>
              </w:rPr>
              <w:t>）</w:t>
            </w:r>
          </w:p>
          <w:p>
            <w:pPr>
              <w:spacing w:line="400" w:lineRule="exact"/>
              <w:rPr>
                <w:rFonts w:eastAsia="楷体_GB2312"/>
                <w:color w:val="auto"/>
                <w:sz w:val="32"/>
                <w:szCs w:val="32"/>
                <w:highlight w:val="none"/>
              </w:rPr>
            </w:pPr>
            <w:r>
              <w:rPr>
                <w:rFonts w:eastAsia="楷体_GB2312"/>
                <w:color w:val="auto"/>
                <w:sz w:val="32"/>
                <w:szCs w:val="32"/>
                <w:highlight w:val="none"/>
                <w:u w:val="single"/>
              </w:rPr>
              <w:t xml:space="preserve">  </w:t>
            </w:r>
            <w:r>
              <w:rPr>
                <w:rFonts w:hint="eastAsia" w:eastAsia="楷体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lang w:val="en-US" w:eastAsia="zh-CN"/>
              </w:rPr>
              <w:t xml:space="preserve"> 6372.147764 </w:t>
            </w:r>
            <w:r>
              <w:rPr>
                <w:rFonts w:eastAsia="楷体_GB2312"/>
                <w:color w:val="auto"/>
                <w:sz w:val="32"/>
                <w:szCs w:val="3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268" w:type="dxa"/>
            <w:gridSpan w:val="2"/>
            <w:vMerge w:val="restart"/>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highlight w:val="none"/>
              </w:rPr>
            </w:pPr>
            <w:r>
              <w:rPr>
                <w:rFonts w:hint="eastAsia" w:ascii="楷体" w:hAnsi="楷体" w:eastAsia="楷体"/>
                <w:bCs/>
                <w:color w:val="auto"/>
                <w:sz w:val="32"/>
                <w:szCs w:val="32"/>
                <w:highlight w:val="none"/>
              </w:rPr>
              <w:t>人员编制情况</w:t>
            </w: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编制数</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实有在编人员数</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highlight w:val="none"/>
              </w:rPr>
            </w:pPr>
            <w:r>
              <w:rPr>
                <w:rFonts w:hint="eastAsia" w:eastAsia="楷体_GB2312"/>
                <w:color w:val="auto"/>
                <w:sz w:val="32"/>
                <w:szCs w:val="32"/>
                <w:highlight w:val="none"/>
              </w:rPr>
              <w:t>实有在职人员数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highlight w:val="none"/>
              </w:rPr>
            </w:pPr>
          </w:p>
        </w:tc>
        <w:tc>
          <w:tcPr>
            <w:tcW w:w="1276" w:type="dxa"/>
            <w:gridSpan w:val="3"/>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eastAsia="楷体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130</w:t>
            </w:r>
          </w:p>
        </w:tc>
        <w:tc>
          <w:tcPr>
            <w:tcW w:w="2693"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eastAsia="楷体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80</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eastAsia="楷体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5"/>
            <w:noWrap w:val="0"/>
            <w:vAlign w:val="top"/>
          </w:tcPr>
          <w:p>
            <w:pPr>
              <w:rPr>
                <w:rFonts w:ascii="楷体_GB2312" w:eastAsia="楷体_GB2312"/>
                <w:color w:val="auto"/>
                <w:sz w:val="32"/>
                <w:szCs w:val="32"/>
                <w:highlight w:val="none"/>
              </w:rPr>
            </w:pPr>
            <w:r>
              <w:rPr>
                <w:rFonts w:hint="eastAsia" w:ascii="楷体_GB2312" w:eastAsia="楷体_GB2312"/>
                <w:color w:val="auto"/>
                <w:sz w:val="32"/>
                <w:szCs w:val="32"/>
                <w:highlight w:val="none"/>
              </w:rPr>
              <w:t>上一年度单位是否有多个开展业务活动的地址</w:t>
            </w:r>
          </w:p>
        </w:tc>
        <w:tc>
          <w:tcPr>
            <w:tcW w:w="992" w:type="dxa"/>
            <w:gridSpan w:val="2"/>
            <w:noWrap w:val="0"/>
            <w:vAlign w:val="top"/>
          </w:tcPr>
          <w:p>
            <w:pPr>
              <w:rPr>
                <w:rFonts w:hint="eastAsia" w:ascii="仿宋_GB2312" w:eastAsia="仿宋_GB2312"/>
                <w:color w:val="auto"/>
                <w:sz w:val="32"/>
                <w:szCs w:val="32"/>
                <w:highlight w:val="none"/>
                <w:lang w:val="en" w:eastAsia="zh-CN"/>
              </w:rPr>
            </w:pPr>
            <w:r>
              <w:rPr>
                <w:rFonts w:hint="eastAsia" w:ascii="仿宋_GB2312" w:eastAsia="仿宋_GB2312"/>
                <w:color w:val="auto"/>
                <w:sz w:val="32"/>
                <w:szCs w:val="32"/>
                <w:highlight w:val="none"/>
              </w:rPr>
              <w:t>是</w:t>
            </w:r>
            <w:r>
              <w:rPr>
                <w:rFonts w:hint="default" w:eastAsia="楷体_GB2312"/>
                <w:color w:val="auto"/>
                <w:sz w:val="32"/>
                <w:szCs w:val="32"/>
                <w:lang w:val="en"/>
              </w:rPr>
              <w:t>☑</w:t>
            </w:r>
          </w:p>
        </w:tc>
        <w:tc>
          <w:tcPr>
            <w:tcW w:w="1064" w:type="dxa"/>
            <w:noWrap w:val="0"/>
            <w:vAlign w:val="top"/>
          </w:tcPr>
          <w:p>
            <w:pPr>
              <w:ind w:left="59"/>
              <w:rPr>
                <w:rFonts w:ascii="仿宋_GB2312" w:eastAsia="仿宋_GB2312"/>
                <w:color w:val="auto"/>
                <w:sz w:val="32"/>
                <w:szCs w:val="32"/>
                <w:highlight w:val="none"/>
              </w:rPr>
            </w:pPr>
            <w:r>
              <w:rPr>
                <w:rFonts w:hint="eastAsia" w:ascii="仿宋_GB2312" w:eastAsia="仿宋_GB2312"/>
                <w:color w:val="auto"/>
                <w:sz w:val="32"/>
                <w:szCs w:val="32"/>
                <w:highlight w:val="none"/>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8"/>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开展业务活动的地址有（详细</w:t>
            </w:r>
            <w:r>
              <w:rPr>
                <w:rFonts w:eastAsia="楷体_GB2312"/>
                <w:color w:val="auto"/>
                <w:sz w:val="32"/>
                <w:szCs w:val="32"/>
                <w:highlight w:val="none"/>
              </w:rPr>
              <w:t>到街道名字</w:t>
            </w:r>
            <w:r>
              <w:rPr>
                <w:rFonts w:hint="eastAsia" w:eastAsia="楷体_GB2312"/>
                <w:color w:val="auto"/>
                <w:sz w:val="32"/>
                <w:szCs w:val="32"/>
                <w:highlight w:val="none"/>
              </w:rPr>
              <w:t>）：</w:t>
            </w:r>
          </w:p>
          <w:p>
            <w:pPr>
              <w:ind w:left="59"/>
              <w:rPr>
                <w:rFonts w:ascii="楷体_GB2312" w:eastAsia="楷体_GB2312"/>
                <w:color w:val="auto"/>
                <w:sz w:val="32"/>
                <w:szCs w:val="32"/>
                <w:highlight w:val="none"/>
                <w:u w:val="single"/>
              </w:rPr>
            </w:pPr>
            <w:r>
              <w:rPr>
                <w:rFonts w:hint="eastAsia" w:eastAsia="楷体_GB2312"/>
                <w:color w:val="auto"/>
                <w:sz w:val="32"/>
                <w:szCs w:val="32"/>
                <w:highlight w:val="none"/>
                <w:lang w:eastAsia="zh-CN"/>
              </w:rPr>
              <w:t>主要</w:t>
            </w:r>
            <w:r>
              <w:rPr>
                <w:rFonts w:hint="eastAsia" w:eastAsia="楷体_GB2312"/>
                <w:color w:val="auto"/>
                <w:sz w:val="32"/>
                <w:szCs w:val="32"/>
                <w:highlight w:val="none"/>
              </w:rPr>
              <w:t>地址</w:t>
            </w:r>
            <w:r>
              <w:rPr>
                <w:rFonts w:hint="eastAsia" w:eastAsia="楷体_GB2312"/>
                <w:color w:val="auto"/>
                <w:sz w:val="32"/>
                <w:szCs w:val="32"/>
                <w:highlight w:val="none"/>
                <w:lang w:val="en-US" w:eastAsia="zh-CN"/>
              </w:rPr>
              <w:t xml:space="preserve"> </w:t>
            </w:r>
            <w:r>
              <w:rPr>
                <w:rFonts w:hint="eastAsia" w:ascii="楷体_GB2312" w:eastAsia="楷体_GB2312"/>
                <w:color w:val="auto"/>
                <w:sz w:val="32"/>
                <w:szCs w:val="32"/>
                <w:highlight w:val="none"/>
                <w:u w:val="single"/>
              </w:rPr>
              <w:t xml:space="preserve"> </w:t>
            </w:r>
            <w:r>
              <w:rPr>
                <w:rFonts w:hint="eastAsia" w:ascii="Times New Roman" w:hAnsi="Times New Roman" w:eastAsia="仿宋_GB2312"/>
                <w:bCs/>
                <w:sz w:val="24"/>
                <w:szCs w:val="24"/>
                <w:highlight w:val="none"/>
                <w:u w:val="single"/>
              </w:rPr>
              <w:t>深圳市福田区华强北街道振兴路1号南楼二、三、四</w:t>
            </w:r>
            <w:r>
              <w:rPr>
                <w:rFonts w:hint="eastAsia" w:ascii="Times New Roman" w:hAnsi="Times New Roman" w:eastAsia="仿宋_GB2312"/>
                <w:bCs/>
                <w:sz w:val="24"/>
                <w:szCs w:val="24"/>
                <w:highlight w:val="none"/>
                <w:u w:val="single"/>
                <w:lang w:eastAsia="zh-CN"/>
              </w:rPr>
              <w:t>、五</w:t>
            </w:r>
            <w:r>
              <w:rPr>
                <w:rFonts w:hint="eastAsia" w:ascii="Times New Roman" w:hAnsi="Times New Roman" w:eastAsia="仿宋_GB2312"/>
                <w:bCs/>
                <w:sz w:val="24"/>
                <w:szCs w:val="24"/>
                <w:highlight w:val="none"/>
                <w:u w:val="single"/>
              </w:rPr>
              <w:t>层</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r>
              <w:rPr>
                <w:rFonts w:ascii="楷体_GB2312" w:eastAsia="楷体_GB2312"/>
                <w:color w:val="auto"/>
                <w:sz w:val="32"/>
                <w:szCs w:val="32"/>
                <w:highlight w:val="none"/>
                <w:u w:val="single"/>
              </w:rPr>
              <w:t xml:space="preserve">   </w:t>
            </w:r>
            <w:r>
              <w:rPr>
                <w:rFonts w:eastAsia="楷体_GB2312"/>
                <w:color w:val="auto"/>
                <w:sz w:val="32"/>
                <w:szCs w:val="32"/>
                <w:highlight w:val="none"/>
              </w:rPr>
              <w:t xml:space="preserve"> </w:t>
            </w:r>
            <w:r>
              <w:rPr>
                <w:rFonts w:hint="eastAsia" w:eastAsia="楷体_GB2312"/>
                <w:color w:val="auto"/>
                <w:sz w:val="32"/>
                <w:szCs w:val="32"/>
                <w:highlight w:val="none"/>
              </w:rPr>
              <w:t xml:space="preserve">                   </w:t>
            </w:r>
            <w:r>
              <w:rPr>
                <w:rFonts w:eastAsia="楷体_GB2312"/>
                <w:color w:val="auto"/>
                <w:sz w:val="32"/>
                <w:szCs w:val="32"/>
                <w:highlight w:val="none"/>
              </w:rPr>
              <w:t xml:space="preserve">      </w:t>
            </w:r>
          </w:p>
          <w:p>
            <w:pPr>
              <w:ind w:left="59"/>
              <w:rPr>
                <w:rFonts w:eastAsia="楷体_GB2312"/>
                <w:color w:val="auto"/>
                <w:sz w:val="32"/>
                <w:szCs w:val="32"/>
                <w:highlight w:val="none"/>
              </w:rPr>
            </w:pPr>
            <w:r>
              <w:rPr>
                <w:rFonts w:hint="eastAsia" w:ascii="楷体_GB2312" w:eastAsia="楷体_GB2312"/>
                <w:color w:val="auto"/>
                <w:sz w:val="32"/>
                <w:szCs w:val="32"/>
                <w:highlight w:val="none"/>
                <w:u w:val="none"/>
                <w:lang w:eastAsia="zh-CN"/>
              </w:rPr>
              <w:t>其他地址</w:t>
            </w:r>
            <w:r>
              <w:rPr>
                <w:rFonts w:hint="eastAsia" w:ascii="楷体_GB2312" w:eastAsia="楷体_GB2312"/>
                <w:color w:val="auto"/>
                <w:sz w:val="32"/>
                <w:szCs w:val="32"/>
                <w:highlight w:val="none"/>
                <w:u w:val="single"/>
              </w:rPr>
              <w:t xml:space="preserve"> </w:t>
            </w:r>
            <w:r>
              <w:rPr>
                <w:rFonts w:hint="default" w:ascii="楷体_GB2312" w:eastAsia="楷体_GB2312"/>
                <w:color w:val="auto"/>
                <w:sz w:val="32"/>
                <w:szCs w:val="32"/>
                <w:highlight w:val="none"/>
                <w:u w:val="single"/>
                <w:lang w:val="en"/>
              </w:rPr>
              <w:t xml:space="preserve"> </w:t>
            </w:r>
            <w:r>
              <w:rPr>
                <w:rFonts w:hint="eastAsia" w:ascii="Times New Roman" w:hAnsi="Times New Roman" w:eastAsia="仿宋_GB2312"/>
                <w:bCs/>
                <w:sz w:val="24"/>
                <w:szCs w:val="24"/>
                <w:highlight w:val="none"/>
                <w:u w:val="single"/>
              </w:rPr>
              <w:t>深圳市福田区华强北街道振兴路</w:t>
            </w:r>
            <w:r>
              <w:rPr>
                <w:rFonts w:hint="eastAsia" w:ascii="Times New Roman" w:hAnsi="Times New Roman" w:eastAsia="仿宋_GB2312"/>
                <w:bCs/>
                <w:sz w:val="24"/>
                <w:szCs w:val="24"/>
                <w:highlight w:val="none"/>
                <w:u w:val="single"/>
                <w:lang w:val="en-US" w:eastAsia="zh-CN"/>
              </w:rPr>
              <w:t>3</w:t>
            </w:r>
            <w:r>
              <w:rPr>
                <w:rFonts w:hint="eastAsia" w:ascii="Times New Roman" w:hAnsi="Times New Roman" w:eastAsia="仿宋_GB2312"/>
                <w:bCs/>
                <w:sz w:val="24"/>
                <w:szCs w:val="24"/>
                <w:highlight w:val="none"/>
                <w:u w:val="single"/>
              </w:rPr>
              <w:t>号</w:t>
            </w:r>
            <w:r>
              <w:rPr>
                <w:rFonts w:hint="eastAsia" w:ascii="Times New Roman" w:hAnsi="Times New Roman" w:eastAsia="仿宋_GB2312"/>
                <w:bCs/>
                <w:sz w:val="24"/>
                <w:szCs w:val="24"/>
                <w:highlight w:val="none"/>
                <w:u w:val="single"/>
                <w:lang w:eastAsia="zh-CN"/>
              </w:rPr>
              <w:t>建艺大厦</w:t>
            </w:r>
            <w:r>
              <w:rPr>
                <w:rFonts w:hint="eastAsia" w:ascii="Times New Roman" w:hAnsi="Times New Roman" w:eastAsia="仿宋_GB2312"/>
                <w:bCs/>
                <w:sz w:val="24"/>
                <w:szCs w:val="24"/>
                <w:highlight w:val="none"/>
                <w:u w:val="single"/>
                <w:lang w:val="en-US" w:eastAsia="zh-CN"/>
              </w:rPr>
              <w:t>909、1303</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 </w:t>
            </w:r>
          </w:p>
          <w:p>
            <w:pPr>
              <w:rPr>
                <w:rFonts w:eastAsia="楷体_GB2312"/>
                <w:color w:val="auto"/>
                <w:sz w:val="32"/>
                <w:szCs w:val="32"/>
                <w:highlight w:val="none"/>
              </w:rPr>
            </w:pPr>
            <w:r>
              <w:rPr>
                <w:rFonts w:hint="eastAsia" w:ascii="楷体_GB2312" w:eastAsia="楷体_GB2312"/>
                <w:color w:val="auto"/>
                <w:sz w:val="32"/>
                <w:szCs w:val="32"/>
                <w:highlight w:val="none"/>
                <w:u w:val="none"/>
                <w:lang w:val="en-US" w:eastAsia="zh-CN"/>
              </w:rPr>
              <w:t xml:space="preserve">         </w:t>
            </w:r>
            <w:r>
              <w:rPr>
                <w:rFonts w:hint="eastAsia" w:ascii="楷体_GB2312" w:eastAsia="楷体_GB2312"/>
                <w:color w:val="auto"/>
                <w:sz w:val="32"/>
                <w:szCs w:val="32"/>
                <w:highlight w:val="none"/>
                <w:u w:val="single"/>
                <w:lang w:val="en-US" w:eastAsia="zh-CN"/>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 </w:t>
            </w:r>
          </w:p>
          <w:p>
            <w:pPr>
              <w:ind w:left="59"/>
              <w:rPr>
                <w:rFonts w:eastAsia="楷体_GB2312"/>
                <w:color w:val="auto"/>
                <w:sz w:val="32"/>
                <w:szCs w:val="32"/>
                <w:highlight w:val="none"/>
              </w:rPr>
            </w:pPr>
            <w:r>
              <w:rPr>
                <w:rFonts w:hint="eastAsia" w:ascii="楷体_GB2312" w:eastAsia="楷体_GB2312"/>
                <w:color w:val="auto"/>
                <w:sz w:val="32"/>
                <w:szCs w:val="32"/>
                <w:highlight w:val="none"/>
                <w:u w:val="none"/>
                <w:lang w:val="en-US" w:eastAsia="zh-CN"/>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上一年度</w:t>
            </w:r>
            <w:r>
              <w:rPr>
                <w:rFonts w:eastAsia="楷体_GB2312"/>
                <w:color w:val="auto"/>
                <w:sz w:val="32"/>
                <w:szCs w:val="32"/>
                <w:highlight w:val="none"/>
              </w:rPr>
              <w:t>单位是否</w:t>
            </w:r>
            <w:r>
              <w:rPr>
                <w:rFonts w:hint="eastAsia" w:eastAsia="楷体_GB2312"/>
                <w:color w:val="auto"/>
                <w:sz w:val="32"/>
                <w:szCs w:val="32"/>
                <w:highlight w:val="none"/>
              </w:rPr>
              <w:t>接受行政</w:t>
            </w:r>
            <w:r>
              <w:rPr>
                <w:rFonts w:eastAsia="楷体_GB2312"/>
                <w:color w:val="auto"/>
                <w:sz w:val="32"/>
                <w:szCs w:val="32"/>
                <w:highlight w:val="none"/>
              </w:rPr>
              <w:t>主管部门</w:t>
            </w:r>
            <w:r>
              <w:rPr>
                <w:rFonts w:hint="eastAsia" w:eastAsia="楷体_GB2312"/>
                <w:color w:val="auto"/>
                <w:sz w:val="32"/>
                <w:szCs w:val="32"/>
                <w:highlight w:val="none"/>
              </w:rPr>
              <w:t>或</w:t>
            </w:r>
            <w:r>
              <w:rPr>
                <w:rFonts w:eastAsia="楷体_GB2312"/>
                <w:color w:val="auto"/>
                <w:sz w:val="32"/>
                <w:szCs w:val="32"/>
                <w:highlight w:val="none"/>
              </w:rPr>
              <w:t>举办单位开展的</w:t>
            </w:r>
            <w:r>
              <w:rPr>
                <w:rFonts w:hint="eastAsia" w:eastAsia="楷体_GB2312"/>
                <w:color w:val="auto"/>
                <w:sz w:val="32"/>
                <w:szCs w:val="32"/>
                <w:highlight w:val="none"/>
              </w:rPr>
              <w:t>绩效评价</w:t>
            </w:r>
          </w:p>
        </w:tc>
        <w:tc>
          <w:tcPr>
            <w:tcW w:w="992"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否□</w:t>
            </w:r>
          </w:p>
        </w:tc>
        <w:tc>
          <w:tcPr>
            <w:tcW w:w="4466" w:type="dxa"/>
            <w:gridSpan w:val="12"/>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是</w:t>
            </w:r>
            <w:r>
              <w:rPr>
                <w:rFonts w:hint="default" w:eastAsia="楷体_GB2312"/>
                <w:color w:val="auto"/>
                <w:sz w:val="32"/>
                <w:szCs w:val="32"/>
                <w:lang w:val="en"/>
              </w:rPr>
              <w:t>☑</w:t>
            </w:r>
            <w:r>
              <w:rPr>
                <w:rFonts w:hint="eastAsia" w:eastAsia="楷体_GB2312"/>
                <w:color w:val="auto"/>
                <w:sz w:val="32"/>
                <w:szCs w:val="32"/>
                <w:highlight w:val="none"/>
              </w:rPr>
              <w:t>组织开展</w:t>
            </w:r>
            <w:r>
              <w:rPr>
                <w:rFonts w:eastAsia="楷体_GB2312"/>
                <w:color w:val="auto"/>
                <w:sz w:val="32"/>
                <w:szCs w:val="32"/>
                <w:highlight w:val="none"/>
              </w:rPr>
              <w:t>绩效</w:t>
            </w:r>
            <w:r>
              <w:rPr>
                <w:rFonts w:hint="eastAsia" w:eastAsia="楷体_GB2312"/>
                <w:color w:val="auto"/>
                <w:sz w:val="32"/>
                <w:szCs w:val="32"/>
                <w:highlight w:val="none"/>
              </w:rPr>
              <w:t>评价的</w:t>
            </w:r>
            <w:r>
              <w:rPr>
                <w:rFonts w:eastAsia="楷体_GB2312"/>
                <w:color w:val="auto"/>
                <w:sz w:val="32"/>
                <w:szCs w:val="32"/>
                <w:highlight w:val="none"/>
              </w:rPr>
              <w:t>单位</w:t>
            </w:r>
            <w:r>
              <w:rPr>
                <w:rFonts w:hint="eastAsia" w:eastAsia="楷体_GB2312"/>
                <w:color w:val="auto"/>
                <w:sz w:val="32"/>
                <w:szCs w:val="32"/>
                <w:highlight w:val="none"/>
              </w:rPr>
              <w:t>/部门</w:t>
            </w:r>
            <w:r>
              <w:rPr>
                <w:rFonts w:eastAsia="楷体_GB2312"/>
                <w:color w:val="auto"/>
                <w:sz w:val="32"/>
                <w:szCs w:val="32"/>
                <w:highlight w:val="none"/>
              </w:rPr>
              <w:t>：</w:t>
            </w:r>
          </w:p>
          <w:p>
            <w:pPr>
              <w:ind w:left="59"/>
              <w:rPr>
                <w:rFonts w:eastAsia="楷体_GB2312"/>
                <w:color w:val="auto"/>
                <w:sz w:val="32"/>
                <w:szCs w:val="32"/>
                <w:highlight w:val="none"/>
              </w:rPr>
            </w:pP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eastAsia="zh-CN"/>
              </w:rPr>
              <w:t>深圳市住房和建设局</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ind w:left="59"/>
              <w:rPr>
                <w:rFonts w:hint="eastAsia" w:ascii="楷体_GB2312" w:eastAsia="楷体_GB2312"/>
                <w:color w:val="auto"/>
                <w:sz w:val="32"/>
                <w:szCs w:val="32"/>
                <w:highlight w:val="none"/>
                <w:lang w:val="en" w:eastAsia="zh-CN"/>
              </w:rPr>
            </w:pPr>
            <w:r>
              <w:rPr>
                <w:rFonts w:hint="eastAsia" w:ascii="楷体_GB2312" w:eastAsia="楷体_GB2312"/>
                <w:color w:val="auto"/>
                <w:sz w:val="32"/>
                <w:szCs w:val="32"/>
                <w:highlight w:val="none"/>
                <w:lang w:eastAsia="zh-CN"/>
              </w:rPr>
              <w:t>评价年度：</w:t>
            </w:r>
            <w:r>
              <w:rPr>
                <w:rFonts w:hint="eastAsia" w:ascii="楷体_GB2312" w:eastAsia="楷体_GB2312"/>
                <w:color w:val="auto"/>
                <w:sz w:val="32"/>
                <w:szCs w:val="32"/>
                <w:highlight w:val="none"/>
                <w:u w:val="single"/>
                <w:lang w:val="en-US" w:eastAsia="zh-CN"/>
              </w:rPr>
              <w:t>上一年度</w:t>
            </w:r>
            <w:r>
              <w:rPr>
                <w:rFonts w:hint="default" w:eastAsia="楷体_GB2312"/>
                <w:color w:val="auto"/>
                <w:sz w:val="32"/>
                <w:szCs w:val="32"/>
                <w:lang w:val="en"/>
              </w:rPr>
              <w:t>☑</w:t>
            </w:r>
          </w:p>
          <w:p>
            <w:pPr>
              <w:ind w:left="59"/>
              <w:rPr>
                <w:rFonts w:hint="eastAsia" w:eastAsia="楷体_GB2312"/>
                <w:color w:val="auto"/>
                <w:sz w:val="32"/>
                <w:szCs w:val="32"/>
                <w:highlight w:val="none"/>
              </w:rPr>
            </w:pPr>
            <w:r>
              <w:rPr>
                <w:rFonts w:hint="eastAsia" w:ascii="楷体_GB2312" w:eastAsia="楷体_GB2312" w:cs="Times New Roman"/>
                <w:color w:val="auto"/>
                <w:sz w:val="32"/>
                <w:szCs w:val="32"/>
                <w:highlight w:val="none"/>
                <w:u w:val="single"/>
                <w:lang w:val="en-US" w:eastAsia="zh-CN"/>
              </w:rPr>
              <w:t>再上一年度</w:t>
            </w:r>
            <w:r>
              <w:rPr>
                <w:rFonts w:hint="eastAsia" w:ascii="楷体_GB2312" w:eastAsia="楷体_GB2312" w:cs="Times New Roman"/>
                <w:color w:val="auto"/>
                <w:sz w:val="32"/>
                <w:szCs w:val="32"/>
                <w:highlight w:val="none"/>
                <w:lang w:val="en-US" w:eastAsia="zh-CN"/>
              </w:rPr>
              <w:t>（原因是</w:t>
            </w:r>
            <w:r>
              <w:rPr>
                <w:rFonts w:hint="eastAsia" w:ascii="楷体_GB2312" w:hAnsi="Calibri" w:eastAsia="楷体_GB2312" w:cs="Times New Roman"/>
                <w:color w:val="auto"/>
                <w:sz w:val="32"/>
                <w:szCs w:val="32"/>
                <w:highlight w:val="none"/>
                <w:lang w:val="en-US" w:eastAsia="zh-CN"/>
              </w:rPr>
              <w:t>目前未有上一年度绩效考核结果</w:t>
            </w:r>
            <w:r>
              <w:rPr>
                <w:rFonts w:hint="eastAsia" w:ascii="楷体_GB2312" w:eastAsia="楷体_GB2312" w:cs="Times New Roman"/>
                <w:color w:val="auto"/>
                <w:sz w:val="32"/>
                <w:szCs w:val="32"/>
                <w:highlight w:val="none"/>
                <w:lang w:val="en-US" w:eastAsia="zh-CN"/>
              </w:rPr>
              <w:t>）</w:t>
            </w:r>
            <w:r>
              <w:rPr>
                <w:rFonts w:hint="eastAsia" w:eastAsia="楷体_GB2312"/>
                <w:color w:val="auto"/>
                <w:sz w:val="32"/>
                <w:szCs w:val="32"/>
                <w:highlight w:val="none"/>
              </w:rPr>
              <w:t>□</w:t>
            </w:r>
          </w:p>
          <w:p>
            <w:pPr>
              <w:ind w:left="59"/>
              <w:rPr>
                <w:rFonts w:eastAsia="楷体_GB2312"/>
                <w:color w:val="auto"/>
                <w:sz w:val="32"/>
                <w:szCs w:val="32"/>
                <w:highlight w:val="none"/>
              </w:rPr>
            </w:pPr>
            <w:r>
              <w:rPr>
                <w:rFonts w:hint="eastAsia" w:ascii="楷体_GB2312" w:eastAsia="楷体_GB2312"/>
                <w:color w:val="auto"/>
                <w:sz w:val="32"/>
                <w:szCs w:val="32"/>
                <w:highlight w:val="none"/>
              </w:rPr>
              <w:t>评价</w:t>
            </w:r>
            <w:r>
              <w:rPr>
                <w:rFonts w:ascii="楷体_GB2312" w:eastAsia="楷体_GB2312"/>
                <w:color w:val="auto"/>
                <w:sz w:val="32"/>
                <w:szCs w:val="32"/>
                <w:highlight w:val="none"/>
              </w:rPr>
              <w:t>结果</w:t>
            </w:r>
            <w:r>
              <w:rPr>
                <w:rFonts w:hint="eastAsia" w:ascii="楷体_GB2312" w:eastAsia="楷体_GB2312"/>
                <w:color w:val="auto"/>
                <w:sz w:val="32"/>
                <w:szCs w:val="32"/>
                <w:highlight w:val="none"/>
              </w:rPr>
              <w:t>/等级</w:t>
            </w:r>
            <w:r>
              <w:rPr>
                <w:rFonts w:ascii="楷体_GB2312"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lang w:val="en-US" w:eastAsia="zh-CN"/>
              </w:rPr>
              <w:t xml:space="preserve"> c</w:t>
            </w:r>
            <w:r>
              <w:rPr>
                <w:rFonts w:hint="eastAsia" w:ascii="楷体_GB2312" w:eastAsia="楷体_GB2312"/>
                <w:color w:val="auto"/>
                <w:sz w:val="32"/>
                <w:szCs w:val="32"/>
                <w:highlight w:val="none"/>
                <w:u w:val="single"/>
                <w:lang w:val="en-US" w:eastAsia="zh-CN"/>
              </w:rPr>
              <w:t xml:space="preserve"> </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上一年度单位</w:t>
            </w:r>
            <w:r>
              <w:rPr>
                <w:rFonts w:eastAsia="楷体_GB2312"/>
                <w:color w:val="auto"/>
                <w:sz w:val="32"/>
                <w:szCs w:val="32"/>
                <w:highlight w:val="none"/>
              </w:rPr>
              <w:t>是否有接受</w:t>
            </w:r>
            <w:r>
              <w:rPr>
                <w:rFonts w:hint="eastAsia" w:eastAsia="楷体_GB2312"/>
                <w:color w:val="auto"/>
                <w:sz w:val="32"/>
                <w:szCs w:val="32"/>
                <w:highlight w:val="none"/>
              </w:rPr>
              <w:t>奖励的</w:t>
            </w:r>
            <w:r>
              <w:rPr>
                <w:rFonts w:eastAsia="楷体_GB2312"/>
                <w:color w:val="auto"/>
                <w:sz w:val="32"/>
                <w:szCs w:val="32"/>
                <w:highlight w:val="none"/>
              </w:rPr>
              <w:t>情况</w:t>
            </w:r>
          </w:p>
        </w:tc>
        <w:tc>
          <w:tcPr>
            <w:tcW w:w="992" w:type="dxa"/>
            <w:gridSpan w:val="3"/>
            <w:noWrap w:val="0"/>
            <w:vAlign w:val="top"/>
          </w:tcPr>
          <w:p>
            <w:pPr>
              <w:ind w:left="59"/>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是□</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获奖时间</w:t>
            </w:r>
            <w:r>
              <w:rPr>
                <w:rFonts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获奖</w:t>
            </w:r>
            <w:r>
              <w:rPr>
                <w:rFonts w:eastAsia="楷体_GB2312"/>
                <w:color w:val="auto"/>
                <w:sz w:val="32"/>
                <w:szCs w:val="32"/>
                <w:highlight w:val="none"/>
              </w:rPr>
              <w:t>名称</w:t>
            </w:r>
            <w:r>
              <w:rPr>
                <w:rFonts w:hint="eastAsia" w:eastAsia="楷体_GB2312"/>
                <w:color w:val="auto"/>
                <w:sz w:val="32"/>
                <w:szCs w:val="32"/>
                <w:highlight w:val="none"/>
                <w:lang w:eastAsia="zh-CN"/>
              </w:rPr>
              <w:t>和等级</w:t>
            </w:r>
            <w:r>
              <w:rPr>
                <w:rFonts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颁奖单位</w:t>
            </w:r>
            <w:r>
              <w:rPr>
                <w:rFonts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上一年度</w:t>
            </w:r>
            <w:r>
              <w:rPr>
                <w:rFonts w:eastAsia="楷体_GB2312"/>
                <w:color w:val="auto"/>
                <w:sz w:val="32"/>
                <w:szCs w:val="32"/>
                <w:highlight w:val="none"/>
              </w:rPr>
              <w:t>单位是否有接受</w:t>
            </w:r>
            <w:r>
              <w:rPr>
                <w:rFonts w:hint="eastAsia" w:eastAsia="楷体_GB2312"/>
                <w:color w:val="auto"/>
                <w:sz w:val="32"/>
                <w:szCs w:val="32"/>
                <w:highlight w:val="none"/>
              </w:rPr>
              <w:t>处罚的</w:t>
            </w:r>
            <w:r>
              <w:rPr>
                <w:rFonts w:eastAsia="楷体_GB2312"/>
                <w:color w:val="auto"/>
                <w:sz w:val="32"/>
                <w:szCs w:val="32"/>
                <w:highlight w:val="none"/>
              </w:rPr>
              <w:t>情况</w:t>
            </w:r>
          </w:p>
        </w:tc>
        <w:tc>
          <w:tcPr>
            <w:tcW w:w="992" w:type="dxa"/>
            <w:gridSpan w:val="3"/>
            <w:noWrap w:val="0"/>
            <w:vAlign w:val="top"/>
          </w:tcPr>
          <w:p>
            <w:pPr>
              <w:ind w:left="59"/>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 xml:space="preserve">是□ </w:t>
            </w:r>
            <w:r>
              <w:rPr>
                <w:rFonts w:eastAsia="楷体_GB2312"/>
                <w:color w:val="auto"/>
                <w:sz w:val="32"/>
                <w:szCs w:val="32"/>
                <w:highlight w:val="none"/>
              </w:rPr>
              <w:t xml:space="preserve"> </w:t>
            </w:r>
            <w:r>
              <w:rPr>
                <w:rFonts w:hint="eastAsia" w:eastAsia="楷体_GB2312"/>
                <w:color w:val="auto"/>
                <w:sz w:val="32"/>
                <w:szCs w:val="32"/>
                <w:highlight w:val="none"/>
              </w:rPr>
              <w:t>接受处罚</w:t>
            </w:r>
            <w:r>
              <w:rPr>
                <w:rFonts w:eastAsia="楷体_GB2312"/>
                <w:color w:val="auto"/>
                <w:sz w:val="32"/>
                <w:szCs w:val="32"/>
                <w:highlight w:val="none"/>
              </w:rPr>
              <w:t>次数</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eastAsia="楷体_GB2312"/>
                <w:color w:val="auto"/>
                <w:sz w:val="32"/>
                <w:szCs w:val="32"/>
                <w:highlight w:val="none"/>
              </w:rPr>
              <w:t>次</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被处罚时间</w:t>
            </w:r>
            <w:r>
              <w:rPr>
                <w:rFonts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被处罚事项</w:t>
            </w:r>
            <w:r>
              <w:rPr>
                <w:rFonts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highlight w:val="none"/>
                <w:u w:val="single"/>
              </w:rPr>
            </w:pPr>
            <w:r>
              <w:rPr>
                <w:rFonts w:hint="eastAsia" w:eastAsia="楷体_GB2312"/>
                <w:color w:val="auto"/>
                <w:sz w:val="32"/>
                <w:szCs w:val="32"/>
                <w:highlight w:val="none"/>
              </w:rPr>
              <w:t>作出处罚决定</w:t>
            </w:r>
            <w:r>
              <w:rPr>
                <w:rFonts w:eastAsia="楷体_GB2312"/>
                <w:color w:val="auto"/>
                <w:sz w:val="32"/>
                <w:szCs w:val="32"/>
                <w:highlight w:val="none"/>
              </w:rPr>
              <w:t>的</w:t>
            </w:r>
            <w:r>
              <w:rPr>
                <w:rFonts w:hint="eastAsia" w:eastAsia="楷体_GB2312"/>
                <w:color w:val="auto"/>
                <w:sz w:val="32"/>
                <w:szCs w:val="32"/>
                <w:highlight w:val="none"/>
              </w:rPr>
              <w:t>单位/部门：</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ascii="楷体_GB2312" w:eastAsia="楷体_GB2312"/>
                <w:color w:val="auto"/>
                <w:sz w:val="32"/>
                <w:szCs w:val="32"/>
                <w:highlight w:val="none"/>
              </w:rPr>
            </w:pPr>
            <w:r>
              <w:rPr>
                <w:rFonts w:ascii="楷体_GB2312" w:eastAsia="楷体_GB2312"/>
                <w:color w:val="auto"/>
                <w:sz w:val="32"/>
                <w:szCs w:val="32"/>
                <w:highlight w:val="none"/>
              </w:rPr>
              <w:t xml:space="preserve"> </w:t>
            </w:r>
            <w:r>
              <w:rPr>
                <w:rFonts w:ascii="楷体_GB2312" w:eastAsia="楷体_GB2312"/>
                <w:color w:val="auto"/>
                <w:sz w:val="32"/>
                <w:szCs w:val="32"/>
                <w:highlight w:val="none"/>
                <w:u w:val="single"/>
              </w:rPr>
              <w:t xml:space="preserve">                       </w:t>
            </w:r>
            <w:r>
              <w:rPr>
                <w:rFonts w:ascii="楷体_GB2312" w:eastAsia="楷体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eastAsia="楷体_GB2312"/>
                <w:color w:val="auto"/>
                <w:sz w:val="32"/>
                <w:szCs w:val="32"/>
                <w:highlight w:val="none"/>
              </w:rPr>
            </w:pPr>
            <w:r>
              <w:rPr>
                <w:rFonts w:hint="eastAsia" w:ascii="楷体_GB2312" w:eastAsia="楷体_GB2312"/>
                <w:color w:val="auto"/>
                <w:sz w:val="32"/>
                <w:szCs w:val="32"/>
                <w:highlight w:val="none"/>
              </w:rPr>
              <w:t>整改</w:t>
            </w:r>
            <w:r>
              <w:rPr>
                <w:rFonts w:ascii="楷体_GB2312" w:eastAsia="楷体_GB2312"/>
                <w:color w:val="auto"/>
                <w:sz w:val="32"/>
                <w:szCs w:val="32"/>
                <w:highlight w:val="none"/>
              </w:rPr>
              <w:t>情况：</w:t>
            </w:r>
            <w:r>
              <w:rPr>
                <w:rFonts w:hint="eastAsia" w:ascii="楷体_GB2312" w:eastAsia="楷体_GB2312"/>
                <w:color w:val="auto"/>
                <w:sz w:val="32"/>
                <w:szCs w:val="32"/>
                <w:highlight w:val="none"/>
              </w:rPr>
              <w:t xml:space="preserve"> 已整改</w:t>
            </w:r>
            <w:r>
              <w:rPr>
                <w:rFonts w:hint="eastAsia" w:eastAsia="楷体_GB2312"/>
                <w:color w:val="auto"/>
                <w:sz w:val="32"/>
                <w:szCs w:val="32"/>
                <w:highlight w:val="none"/>
              </w:rPr>
              <w:t>□</w:t>
            </w:r>
          </w:p>
          <w:p>
            <w:pPr>
              <w:keepNext w:val="0"/>
              <w:keepLines w:val="0"/>
              <w:pageBreakBefore w:val="0"/>
              <w:widowControl w:val="0"/>
              <w:tabs>
                <w:tab w:val="left" w:pos="1008"/>
              </w:tabs>
              <w:kinsoku/>
              <w:wordWrap/>
              <w:overflowPunct/>
              <w:topLinePunct w:val="0"/>
              <w:autoSpaceDE/>
              <w:autoSpaceDN/>
              <w:bidi w:val="0"/>
              <w:adjustRightInd/>
              <w:snapToGrid/>
              <w:spacing w:line="540" w:lineRule="exact"/>
              <w:ind w:right="0" w:rightChars="0" w:firstLine="160" w:firstLineChars="5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整改</w:t>
            </w:r>
            <w:r>
              <w:rPr>
                <w:rFonts w:eastAsia="楷体_GB2312"/>
                <w:color w:val="auto"/>
                <w:sz w:val="32"/>
                <w:szCs w:val="32"/>
                <w:highlight w:val="none"/>
              </w:rPr>
              <w:t>中</w:t>
            </w:r>
            <w:r>
              <w:rPr>
                <w:rFonts w:hint="eastAsia" w:eastAsia="楷体_GB2312"/>
                <w:color w:val="auto"/>
                <w:sz w:val="32"/>
                <w:szCs w:val="32"/>
                <w:highlight w:val="none"/>
              </w:rPr>
              <w:t>□</w:t>
            </w:r>
            <w:r>
              <w:rPr>
                <w:rFonts w:eastAsia="楷体_GB2312"/>
                <w:color w:val="auto"/>
                <w:sz w:val="32"/>
                <w:szCs w:val="32"/>
                <w:highlight w:val="none"/>
              </w:rPr>
              <w:t xml:space="preserve">  </w:t>
            </w:r>
            <w:r>
              <w:rPr>
                <w:rFonts w:hint="eastAsia" w:eastAsia="楷体_GB2312"/>
                <w:color w:val="auto"/>
                <w:sz w:val="32"/>
                <w:szCs w:val="32"/>
                <w:highlight w:val="none"/>
              </w:rPr>
              <w:t>未整改□</w:t>
            </w:r>
            <w:r>
              <w:rPr>
                <w:rFonts w:ascii="楷体_GB2312" w:eastAsia="楷体_GB2312"/>
                <w:color w:val="auto"/>
                <w:sz w:val="32"/>
                <w:szCs w:val="32"/>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75" w:hRule="atLeast"/>
          <w:jc w:val="center"/>
        </w:trPr>
        <w:tc>
          <w:tcPr>
            <w:tcW w:w="3261" w:type="dxa"/>
            <w:gridSpan w:val="3"/>
            <w:noWrap w:val="0"/>
            <w:vAlign w:val="top"/>
          </w:tcPr>
          <w:p>
            <w:pPr>
              <w:ind w:left="59" w:leftChars="0"/>
              <w:rPr>
                <w:rFonts w:hint="eastAsia" w:eastAsia="楷体_GB2312"/>
                <w:color w:val="auto"/>
                <w:sz w:val="32"/>
                <w:szCs w:val="32"/>
                <w:highlight w:val="none"/>
              </w:rPr>
            </w:pPr>
            <w:r>
              <w:rPr>
                <w:rFonts w:hint="eastAsia" w:eastAsia="楷体_GB2312"/>
                <w:color w:val="auto"/>
                <w:sz w:val="32"/>
                <w:szCs w:val="32"/>
                <w:highlight w:val="none"/>
                <w:lang w:eastAsia="zh-CN"/>
              </w:rPr>
              <w:t>上一年度事业单位法人或法定代表人是否被列为失信被执行人的情况</w:t>
            </w:r>
          </w:p>
        </w:tc>
        <w:tc>
          <w:tcPr>
            <w:tcW w:w="992" w:type="dxa"/>
            <w:gridSpan w:val="3"/>
            <w:noWrap w:val="0"/>
            <w:vAlign w:val="top"/>
          </w:tcPr>
          <w:p>
            <w:pPr>
              <w:ind w:left="59" w:leftChars="0"/>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highlight w:val="none"/>
              </w:rPr>
            </w:pPr>
            <w:r>
              <w:rPr>
                <w:rFonts w:hint="eastAsia" w:eastAsia="楷体_GB2312"/>
                <w:color w:val="auto"/>
                <w:sz w:val="32"/>
                <w:szCs w:val="32"/>
                <w:highlight w:val="none"/>
              </w:rPr>
              <w:t>是□</w:t>
            </w:r>
          </w:p>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highlight w:val="none"/>
              </w:rPr>
            </w:pPr>
            <w:r>
              <w:rPr>
                <w:rFonts w:hint="eastAsia" w:eastAsia="楷体_GB2312"/>
                <w:color w:val="auto"/>
                <w:sz w:val="32"/>
                <w:szCs w:val="32"/>
                <w:highlight w:val="none"/>
                <w:lang w:eastAsia="zh-CN"/>
              </w:rPr>
              <w:t>具体情况：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31"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上一年度</w:t>
            </w:r>
            <w:r>
              <w:rPr>
                <w:rFonts w:eastAsia="楷体_GB2312"/>
                <w:color w:val="auto"/>
                <w:sz w:val="32"/>
                <w:szCs w:val="32"/>
                <w:highlight w:val="none"/>
              </w:rPr>
              <w:t>单位是否</w:t>
            </w:r>
            <w:r>
              <w:rPr>
                <w:rFonts w:hint="eastAsia" w:eastAsia="楷体_GB2312"/>
                <w:color w:val="auto"/>
                <w:sz w:val="32"/>
                <w:szCs w:val="32"/>
                <w:highlight w:val="none"/>
              </w:rPr>
              <w:t>办理过信访</w:t>
            </w:r>
            <w:r>
              <w:rPr>
                <w:rFonts w:eastAsia="楷体_GB2312"/>
                <w:color w:val="auto"/>
                <w:sz w:val="32"/>
                <w:szCs w:val="32"/>
                <w:highlight w:val="none"/>
              </w:rPr>
              <w:t>投诉</w:t>
            </w:r>
            <w:r>
              <w:rPr>
                <w:rFonts w:hint="eastAsia" w:eastAsia="楷体_GB2312"/>
                <w:color w:val="auto"/>
                <w:sz w:val="32"/>
                <w:szCs w:val="32"/>
                <w:highlight w:val="none"/>
              </w:rPr>
              <w:t>事项</w:t>
            </w:r>
          </w:p>
        </w:tc>
        <w:tc>
          <w:tcPr>
            <w:tcW w:w="992"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否</w:t>
            </w:r>
            <w:r>
              <w:rPr>
                <w:rFonts w:hint="default" w:eastAsia="楷体_GB2312"/>
                <w:color w:val="auto"/>
                <w:sz w:val="32"/>
                <w:szCs w:val="32"/>
                <w:lang w:val="en"/>
              </w:rPr>
              <w:t>☑</w:t>
            </w:r>
            <w:r>
              <w:rPr>
                <w:rFonts w:hint="eastAsia" w:eastAsia="楷体_GB2312"/>
                <w:color w:val="auto"/>
                <w:sz w:val="32"/>
                <w:szCs w:val="32"/>
                <w:highlight w:val="none"/>
                <w:lang w:val="en-US" w:eastAsia="zh-CN"/>
              </w:rPr>
              <w:t xml:space="preserve"> </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是□</w:t>
            </w:r>
            <w:r>
              <w:rPr>
                <w:rFonts w:hint="eastAsia" w:eastAsia="楷体_GB2312"/>
                <w:color w:val="auto"/>
                <w:sz w:val="32"/>
                <w:szCs w:val="32"/>
                <w:highlight w:val="none"/>
                <w:lang w:val="en-US" w:eastAsia="zh-CN"/>
              </w:rPr>
              <w:t xml:space="preserve">          </w:t>
            </w:r>
            <w:r>
              <w:rPr>
                <w:rFonts w:hint="eastAsia" w:eastAsia="楷体_GB2312"/>
                <w:color w:val="auto"/>
                <w:sz w:val="32"/>
                <w:szCs w:val="32"/>
                <w:highlight w:val="none"/>
                <w:lang w:eastAsia="zh-CN"/>
              </w:rPr>
              <w:t>受</w:t>
            </w:r>
            <w:r>
              <w:rPr>
                <w:rFonts w:hint="eastAsia" w:eastAsia="楷体_GB2312"/>
                <w:color w:val="auto"/>
                <w:sz w:val="32"/>
                <w:szCs w:val="32"/>
                <w:highlight w:val="none"/>
                <w:lang w:val="en-US" w:eastAsia="zh-CN"/>
              </w:rPr>
              <w:t xml:space="preserve">  </w:t>
            </w:r>
            <w:r>
              <w:rPr>
                <w:rFonts w:hint="eastAsia" w:eastAsia="楷体_GB2312"/>
                <w:color w:val="auto"/>
                <w:sz w:val="32"/>
                <w:szCs w:val="32"/>
                <w:highlight w:val="none"/>
                <w:lang w:eastAsia="zh-CN"/>
              </w:rPr>
              <w:t>理</w:t>
            </w:r>
            <w:r>
              <w:rPr>
                <w:rFonts w:hint="eastAsia" w:eastAsia="楷体_GB2312"/>
                <w:color w:val="auto"/>
                <w:sz w:val="32"/>
                <w:szCs w:val="32"/>
                <w:highlight w:val="none"/>
                <w:u w:val="single"/>
                <w:lang w:val="en-US" w:eastAsia="zh-CN"/>
              </w:rPr>
              <w:t xml:space="preserve">   </w:t>
            </w:r>
            <w:r>
              <w:rPr>
                <w:rFonts w:hint="eastAsia" w:eastAsia="楷体_GB2312"/>
                <w:color w:val="auto"/>
                <w:sz w:val="32"/>
                <w:szCs w:val="32"/>
                <w:highlight w:val="none"/>
                <w:u w:val="none"/>
                <w:lang w:val="en-US" w:eastAsia="zh-CN"/>
              </w:rPr>
              <w:t>件</w:t>
            </w:r>
          </w:p>
          <w:p>
            <w:pPr>
              <w:keepNext w:val="0"/>
              <w:keepLines w:val="0"/>
              <w:pageBreakBefore w:val="0"/>
              <w:widowControl w:val="0"/>
              <w:kinsoku/>
              <w:wordWrap/>
              <w:overflowPunct/>
              <w:topLinePunct w:val="0"/>
              <w:autoSpaceDE/>
              <w:autoSpaceDN/>
              <w:bidi w:val="0"/>
              <w:adjustRightInd/>
              <w:snapToGrid/>
              <w:spacing w:line="240" w:lineRule="auto"/>
              <w:ind w:left="59" w:leftChars="28" w:right="0" w:rightChars="0" w:firstLine="0" w:firstLineChars="0"/>
              <w:jc w:val="both"/>
              <w:textAlignment w:val="auto"/>
              <w:outlineLvl w:val="9"/>
              <w:rPr>
                <w:rFonts w:hint="eastAsia" w:ascii="楷体_GB2312" w:eastAsia="楷体_GB2312"/>
                <w:color w:val="auto"/>
                <w:sz w:val="32"/>
                <w:szCs w:val="32"/>
                <w:highlight w:val="none"/>
                <w:lang w:val="en-US" w:eastAsia="zh-CN"/>
              </w:rPr>
            </w:pPr>
            <w:r>
              <w:rPr>
                <w:rFonts w:hint="eastAsia" w:eastAsia="楷体_GB2312"/>
                <w:color w:val="auto"/>
                <w:sz w:val="32"/>
                <w:szCs w:val="32"/>
                <w:highlight w:val="none"/>
                <w:lang w:eastAsia="zh-CN"/>
              </w:rPr>
              <w:t>已办结</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件</w:t>
            </w:r>
            <w:r>
              <w:rPr>
                <w:rFonts w:hint="eastAsia" w:ascii="楷体_GB2312" w:eastAsia="楷体_GB2312"/>
                <w:color w:val="auto"/>
                <w:sz w:val="32"/>
                <w:szCs w:val="32"/>
                <w:highlight w:val="none"/>
                <w:lang w:val="en-US" w:eastAsia="zh-CN"/>
              </w:rPr>
              <w:t xml:space="preserve">  未办结</w:t>
            </w:r>
            <w:r>
              <w:rPr>
                <w:rFonts w:hint="eastAsia" w:ascii="楷体_GB2312" w:eastAsia="楷体_GB2312"/>
                <w:color w:val="auto"/>
                <w:sz w:val="32"/>
                <w:szCs w:val="32"/>
                <w:highlight w:val="none"/>
                <w:u w:val="single"/>
                <w:lang w:val="en-US" w:eastAsia="zh-CN"/>
              </w:rPr>
              <w:t xml:space="preserve">   </w:t>
            </w:r>
            <w:r>
              <w:rPr>
                <w:rFonts w:hint="eastAsia" w:ascii="楷体_GB2312" w:eastAsia="楷体_GB2312"/>
                <w:color w:val="auto"/>
                <w:sz w:val="32"/>
                <w:szCs w:val="32"/>
                <w:highlight w:val="none"/>
                <w:lang w:val="en-US" w:eastAsia="zh-CN"/>
              </w:rPr>
              <w:t>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98"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上一年度</w:t>
            </w:r>
            <w:r>
              <w:rPr>
                <w:rFonts w:eastAsia="楷体_GB2312"/>
                <w:color w:val="auto"/>
                <w:sz w:val="32"/>
                <w:szCs w:val="32"/>
                <w:highlight w:val="none"/>
              </w:rPr>
              <w:t>单位是否有接受诉讼</w:t>
            </w:r>
            <w:r>
              <w:rPr>
                <w:rFonts w:hint="eastAsia" w:eastAsia="楷体_GB2312"/>
                <w:color w:val="auto"/>
                <w:sz w:val="32"/>
                <w:szCs w:val="32"/>
                <w:highlight w:val="none"/>
              </w:rPr>
              <w:t>的</w:t>
            </w:r>
            <w:r>
              <w:rPr>
                <w:rFonts w:eastAsia="楷体_GB2312"/>
                <w:color w:val="auto"/>
                <w:sz w:val="32"/>
                <w:szCs w:val="32"/>
                <w:highlight w:val="none"/>
              </w:rPr>
              <w:t>情况</w:t>
            </w:r>
          </w:p>
        </w:tc>
        <w:tc>
          <w:tcPr>
            <w:tcW w:w="992" w:type="dxa"/>
            <w:gridSpan w:val="3"/>
            <w:noWrap w:val="0"/>
            <w:vAlign w:val="top"/>
          </w:tcPr>
          <w:p>
            <w:pPr>
              <w:ind w:left="59"/>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是□</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highlight w:val="none"/>
              </w:rPr>
            </w:pPr>
            <w:r>
              <w:rPr>
                <w:rFonts w:hint="eastAsia" w:eastAsia="楷体_GB2312"/>
                <w:color w:val="auto"/>
                <w:sz w:val="32"/>
                <w:szCs w:val="32"/>
                <w:highlight w:val="none"/>
              </w:rPr>
              <w:t>接受</w:t>
            </w:r>
            <w:r>
              <w:rPr>
                <w:rFonts w:eastAsia="楷体_GB2312"/>
                <w:color w:val="auto"/>
                <w:sz w:val="32"/>
                <w:szCs w:val="32"/>
                <w:highlight w:val="none"/>
              </w:rPr>
              <w:t>诉讼</w:t>
            </w:r>
            <w:r>
              <w:rPr>
                <w:rFonts w:hint="eastAsia" w:eastAsia="楷体_GB2312"/>
                <w:color w:val="auto"/>
                <w:sz w:val="32"/>
                <w:szCs w:val="32"/>
                <w:highlight w:val="none"/>
              </w:rPr>
              <w:t>次数</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r>
              <w:rPr>
                <w:rFonts w:hint="eastAsia" w:ascii="楷体_GB2312" w:eastAsia="楷体_GB2312"/>
                <w:color w:val="auto"/>
                <w:sz w:val="32"/>
                <w:szCs w:val="32"/>
                <w:highlight w:val="none"/>
              </w:rPr>
              <w:t>次</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highlight w:val="none"/>
                <w:u w:val="single"/>
              </w:rPr>
            </w:pPr>
            <w:r>
              <w:rPr>
                <w:rFonts w:hint="eastAsia" w:ascii="楷体_GB2312" w:eastAsia="楷体_GB2312"/>
                <w:color w:val="auto"/>
                <w:sz w:val="32"/>
                <w:szCs w:val="32"/>
                <w:highlight w:val="none"/>
              </w:rPr>
              <w:t>接受诉讼时间</w:t>
            </w:r>
            <w:r>
              <w:rPr>
                <w:rFonts w:ascii="楷体_GB2312" w:eastAsia="楷体_GB2312"/>
                <w:color w:val="auto"/>
                <w:sz w:val="32"/>
                <w:szCs w:val="32"/>
                <w:highlight w:val="none"/>
              </w:rPr>
              <w:t>：</w:t>
            </w:r>
            <w:r>
              <w:rPr>
                <w:rFonts w:hint="eastAsia" w:ascii="楷体_GB2312" w:eastAsia="楷体_GB2312"/>
                <w:color w:val="auto"/>
                <w:sz w:val="32"/>
                <w:szCs w:val="32"/>
                <w:highlight w:val="none"/>
                <w:u w:val="single"/>
              </w:rPr>
              <w:t xml:space="preserve">   </w:t>
            </w:r>
            <w:r>
              <w:rPr>
                <w:rFonts w:ascii="楷体_GB2312" w:eastAsia="楷体_GB2312"/>
                <w:color w:val="auto"/>
                <w:sz w:val="32"/>
                <w:szCs w:val="32"/>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highlight w:val="none"/>
              </w:rPr>
            </w:pPr>
            <w:r>
              <w:rPr>
                <w:rFonts w:hint="eastAsia" w:ascii="楷体_GB2312" w:eastAsia="楷体_GB2312"/>
                <w:color w:val="auto"/>
                <w:sz w:val="32"/>
                <w:szCs w:val="32"/>
                <w:highlight w:val="none"/>
              </w:rPr>
              <w:t>接受</w:t>
            </w:r>
            <w:r>
              <w:rPr>
                <w:rFonts w:ascii="楷体_GB2312" w:eastAsia="楷体_GB2312"/>
                <w:color w:val="auto"/>
                <w:sz w:val="32"/>
                <w:szCs w:val="32"/>
                <w:highlight w:val="none"/>
              </w:rPr>
              <w:t>诉讼类型：</w:t>
            </w:r>
            <w:r>
              <w:rPr>
                <w:rFonts w:hint="eastAsia" w:ascii="楷体_GB2312" w:eastAsia="楷体_GB2312"/>
                <w:color w:val="auto"/>
                <w:sz w:val="32"/>
                <w:szCs w:val="32"/>
                <w:highlight w:val="none"/>
              </w:rPr>
              <w:t>民事诉讼</w:t>
            </w:r>
            <w:r>
              <w:rPr>
                <w:rFonts w:hint="eastAsia" w:eastAsia="楷体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highlight w:val="none"/>
              </w:rPr>
            </w:pPr>
            <w:r>
              <w:rPr>
                <w:rFonts w:hint="eastAsia" w:ascii="楷体_GB2312" w:eastAsia="楷体_GB2312"/>
                <w:color w:val="auto"/>
                <w:sz w:val="32"/>
                <w:szCs w:val="32"/>
                <w:highlight w:val="none"/>
              </w:rPr>
              <w:t>刑事诉讼</w:t>
            </w:r>
            <w:r>
              <w:rPr>
                <w:rFonts w:hint="eastAsia" w:eastAsia="楷体_GB2312"/>
                <w:color w:val="auto"/>
                <w:sz w:val="32"/>
                <w:szCs w:val="32"/>
                <w:highlight w:val="none"/>
              </w:rPr>
              <w:t>□</w:t>
            </w:r>
            <w:r>
              <w:rPr>
                <w:rFonts w:eastAsia="楷体_GB2312"/>
                <w:color w:val="auto"/>
                <w:sz w:val="32"/>
                <w:szCs w:val="32"/>
                <w:highlight w:val="none"/>
              </w:rPr>
              <w:t xml:space="preserve">  </w:t>
            </w:r>
            <w:r>
              <w:rPr>
                <w:rFonts w:hint="eastAsia" w:eastAsia="楷体_GB2312"/>
                <w:color w:val="auto"/>
                <w:sz w:val="32"/>
                <w:szCs w:val="32"/>
                <w:highlight w:val="none"/>
              </w:rPr>
              <w:t>行政诉讼□</w:t>
            </w:r>
            <w:r>
              <w:rPr>
                <w:rFonts w:hint="eastAsia" w:ascii="楷体_GB2312" w:eastAsia="楷体_GB2312"/>
                <w:color w:val="auto"/>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highlight w:val="none"/>
              </w:rPr>
            </w:pPr>
            <w:r>
              <w:rPr>
                <w:rFonts w:hint="eastAsia" w:ascii="楷体_GB2312" w:eastAsia="楷体_GB2312"/>
                <w:color w:val="auto"/>
                <w:sz w:val="32"/>
                <w:szCs w:val="32"/>
                <w:highlight w:val="none"/>
              </w:rPr>
              <w:t>法院判决</w:t>
            </w:r>
            <w:r>
              <w:rPr>
                <w:rFonts w:ascii="楷体_GB2312" w:eastAsia="楷体_GB2312"/>
                <w:color w:val="auto"/>
                <w:sz w:val="32"/>
                <w:szCs w:val="32"/>
                <w:highlight w:val="none"/>
              </w:rPr>
              <w:t>结果：</w:t>
            </w:r>
            <w:r>
              <w:rPr>
                <w:rFonts w:hint="eastAsia" w:ascii="楷体_GB2312" w:eastAsia="楷体_GB2312"/>
                <w:color w:val="auto"/>
                <w:sz w:val="32"/>
                <w:szCs w:val="32"/>
                <w:highlight w:val="none"/>
              </w:rPr>
              <w:t xml:space="preserve">  已判决</w:t>
            </w:r>
            <w:r>
              <w:rPr>
                <w:rFonts w:hint="eastAsia" w:eastAsia="楷体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正在</w:t>
            </w:r>
            <w:r>
              <w:rPr>
                <w:rFonts w:eastAsia="楷体_GB2312"/>
                <w:color w:val="auto"/>
                <w:sz w:val="32"/>
                <w:szCs w:val="32"/>
                <w:highlight w:val="none"/>
              </w:rPr>
              <w:t>审理中</w:t>
            </w:r>
            <w:r>
              <w:rPr>
                <w:rFonts w:hint="eastAsia" w:eastAsia="楷体_GB2312"/>
                <w:color w:val="auto"/>
                <w:sz w:val="32"/>
                <w:szCs w:val="32"/>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6" w:hRule="atLeast"/>
          <w:jc w:val="center"/>
        </w:trPr>
        <w:tc>
          <w:tcPr>
            <w:tcW w:w="3261"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highlight w:val="none"/>
              </w:rPr>
            </w:pPr>
            <w:r>
              <w:rPr>
                <w:rFonts w:hint="eastAsia" w:eastAsia="楷体_GB2312"/>
                <w:color w:val="auto"/>
                <w:sz w:val="32"/>
                <w:szCs w:val="32"/>
                <w:highlight w:val="none"/>
              </w:rPr>
              <w:t>上一年度</w:t>
            </w:r>
            <w:r>
              <w:rPr>
                <w:rFonts w:eastAsia="楷体_GB2312"/>
                <w:color w:val="auto"/>
                <w:sz w:val="32"/>
                <w:szCs w:val="32"/>
                <w:highlight w:val="none"/>
              </w:rPr>
              <w:t>单位</w:t>
            </w:r>
            <w:r>
              <w:rPr>
                <w:rFonts w:hint="eastAsia" w:eastAsia="楷体_GB2312"/>
                <w:color w:val="auto"/>
                <w:sz w:val="32"/>
                <w:szCs w:val="32"/>
                <w:highlight w:val="none"/>
              </w:rPr>
              <w:t>是否有</w:t>
            </w:r>
            <w:r>
              <w:rPr>
                <w:rFonts w:eastAsia="楷体_GB2312"/>
                <w:color w:val="auto"/>
                <w:sz w:val="32"/>
                <w:szCs w:val="32"/>
                <w:highlight w:val="none"/>
              </w:rPr>
              <w:t>接受捐赠或</w:t>
            </w:r>
            <w:r>
              <w:rPr>
                <w:rFonts w:hint="eastAsia" w:eastAsia="楷体_GB2312"/>
                <w:color w:val="auto"/>
                <w:sz w:val="32"/>
                <w:szCs w:val="32"/>
                <w:highlight w:val="none"/>
              </w:rPr>
              <w:t>资助</w:t>
            </w:r>
            <w:r>
              <w:rPr>
                <w:rFonts w:eastAsia="楷体_GB2312"/>
                <w:color w:val="auto"/>
                <w:sz w:val="32"/>
                <w:szCs w:val="32"/>
                <w:highlight w:val="none"/>
              </w:rPr>
              <w:t>的情况</w:t>
            </w:r>
          </w:p>
        </w:tc>
        <w:tc>
          <w:tcPr>
            <w:tcW w:w="992"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hint="eastAsia" w:eastAsia="楷体_GB2312"/>
                <w:color w:val="auto"/>
                <w:sz w:val="32"/>
                <w:szCs w:val="32"/>
                <w:highlight w:val="none"/>
                <w:lang w:val="en" w:eastAsia="zh-CN"/>
              </w:rPr>
            </w:pPr>
            <w:r>
              <w:rPr>
                <w:rFonts w:hint="eastAsia" w:eastAsia="楷体_GB2312"/>
                <w:color w:val="auto"/>
                <w:sz w:val="32"/>
                <w:szCs w:val="32"/>
                <w:highlight w:val="none"/>
              </w:rPr>
              <w:t>否</w:t>
            </w:r>
            <w:r>
              <w:rPr>
                <w:rFonts w:hint="default" w:eastAsia="楷体_GB2312"/>
                <w:color w:val="auto"/>
                <w:sz w:val="32"/>
                <w:szCs w:val="32"/>
                <w:lang w:val="en"/>
              </w:rPr>
              <w:t>☑</w:t>
            </w:r>
          </w:p>
          <w:p>
            <w:pPr>
              <w:keepNext w:val="0"/>
              <w:keepLines w:val="0"/>
              <w:pageBreakBefore w:val="0"/>
              <w:tabs>
                <w:tab w:val="left" w:pos="456"/>
              </w:tabs>
              <w:kinsoku/>
              <w:wordWrap/>
              <w:overflowPunct/>
              <w:topLinePunct w:val="0"/>
              <w:autoSpaceDE/>
              <w:autoSpaceDN/>
              <w:bidi w:val="0"/>
              <w:adjustRightInd/>
              <w:snapToGrid/>
              <w:spacing w:line="520" w:lineRule="exact"/>
              <w:ind w:right="0" w:rightChars="0" w:firstLine="0" w:firstLineChars="0"/>
              <w:textAlignment w:val="auto"/>
              <w:rPr>
                <w:rFonts w:eastAsia="楷体_GB2312"/>
                <w:color w:val="auto"/>
                <w:sz w:val="32"/>
                <w:szCs w:val="32"/>
                <w:highlight w:val="none"/>
              </w:rPr>
            </w:pPr>
            <w:r>
              <w:rPr>
                <w:rFonts w:eastAsia="楷体_GB2312"/>
                <w:color w:val="auto"/>
                <w:sz w:val="32"/>
                <w:szCs w:val="32"/>
                <w:highlight w:val="none"/>
              </w:rPr>
              <w:tab/>
            </w:r>
          </w:p>
        </w:tc>
        <w:tc>
          <w:tcPr>
            <w:tcW w:w="446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highlight w:val="none"/>
              </w:rPr>
            </w:pPr>
            <w:r>
              <w:rPr>
                <w:rFonts w:hint="eastAsia" w:eastAsia="楷体_GB2312"/>
                <w:color w:val="auto"/>
                <w:sz w:val="32"/>
                <w:szCs w:val="32"/>
                <w:highlight w:val="none"/>
              </w:rPr>
              <w:t>是□</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ascii="楷体_GB2312" w:eastAsia="楷体_GB2312"/>
                <w:color w:val="auto"/>
                <w:sz w:val="32"/>
                <w:szCs w:val="32"/>
                <w:highlight w:val="none"/>
              </w:rPr>
            </w:pPr>
            <w:r>
              <w:rPr>
                <w:rFonts w:hint="eastAsia" w:ascii="楷体_GB2312" w:eastAsia="楷体_GB2312"/>
                <w:color w:val="auto"/>
                <w:sz w:val="32"/>
                <w:szCs w:val="32"/>
                <w:highlight w:val="none"/>
              </w:rPr>
              <w:t>接受捐赠或资助</w:t>
            </w:r>
            <w:r>
              <w:rPr>
                <w:rFonts w:ascii="楷体_GB2312" w:eastAsia="楷体_GB2312"/>
                <w:color w:val="auto"/>
                <w:sz w:val="32"/>
                <w:szCs w:val="32"/>
                <w:highlight w:val="none"/>
              </w:rPr>
              <w:t>是否符合本单位的宗旨和业务范围</w:t>
            </w:r>
            <w:r>
              <w:rPr>
                <w:rFonts w:hint="eastAsia" w:ascii="楷体_GB2312" w:eastAsia="楷体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highlight w:val="none"/>
              </w:rPr>
            </w:pPr>
            <w:r>
              <w:rPr>
                <w:rFonts w:hint="eastAsia" w:ascii="楷体_GB2312" w:eastAsia="楷体_GB2312"/>
                <w:color w:val="auto"/>
                <w:sz w:val="32"/>
                <w:szCs w:val="32"/>
                <w:highlight w:val="none"/>
              </w:rPr>
              <w:t>是</w:t>
            </w:r>
            <w:r>
              <w:rPr>
                <w:rFonts w:hint="eastAsia" w:eastAsia="楷体_GB2312"/>
                <w:color w:val="auto"/>
                <w:sz w:val="32"/>
                <w:szCs w:val="32"/>
                <w:highlight w:val="none"/>
              </w:rPr>
              <w:t>□  否□</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rPr>
            </w:pPr>
            <w:r>
              <w:rPr>
                <w:rFonts w:hint="eastAsia" w:ascii="楷体_GB2312" w:eastAsia="楷体_GB2312"/>
                <w:color w:val="auto"/>
                <w:sz w:val="32"/>
                <w:szCs w:val="32"/>
                <w:highlight w:val="none"/>
              </w:rPr>
              <w:t>是否</w:t>
            </w:r>
            <w:r>
              <w:rPr>
                <w:rFonts w:ascii="楷体_GB2312" w:eastAsia="楷体_GB2312"/>
                <w:color w:val="auto"/>
                <w:sz w:val="32"/>
                <w:szCs w:val="32"/>
                <w:highlight w:val="none"/>
              </w:rPr>
              <w:t>根据与捐赠人、资助人约定的期限、</w:t>
            </w:r>
            <w:r>
              <w:rPr>
                <w:rFonts w:hint="eastAsia" w:ascii="楷体_GB2312" w:eastAsia="楷体_GB2312"/>
                <w:color w:val="auto"/>
                <w:sz w:val="32"/>
                <w:szCs w:val="32"/>
                <w:highlight w:val="none"/>
              </w:rPr>
              <w:t>方式</w:t>
            </w:r>
            <w:r>
              <w:rPr>
                <w:rFonts w:ascii="楷体_GB2312" w:eastAsia="楷体_GB2312"/>
                <w:color w:val="auto"/>
                <w:sz w:val="32"/>
                <w:szCs w:val="32"/>
                <w:highlight w:val="none"/>
              </w:rPr>
              <w:t>和合法用途使用：</w:t>
            </w:r>
            <w:r>
              <w:rPr>
                <w:rFonts w:hint="eastAsia" w:ascii="楷体_GB2312" w:eastAsia="楷体_GB2312"/>
                <w:color w:val="auto"/>
                <w:sz w:val="32"/>
                <w:szCs w:val="32"/>
                <w:highlight w:val="none"/>
              </w:rPr>
              <w:t>是</w:t>
            </w:r>
            <w:r>
              <w:rPr>
                <w:rFonts w:hint="eastAsia" w:eastAsia="楷体_GB2312"/>
                <w:color w:val="auto"/>
                <w:sz w:val="32"/>
                <w:szCs w:val="32"/>
                <w:highlight w:val="none"/>
              </w:rPr>
              <w:t>□  否□</w:t>
            </w:r>
            <w:r>
              <w:rPr>
                <w:rFonts w:hint="eastAsia" w:ascii="楷体_GB2312" w:eastAsia="楷体_GB2312"/>
                <w:color w:val="auto"/>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highlight w:val="none"/>
                <w:lang w:val="en-US" w:eastAsia="zh-CN"/>
              </w:rPr>
            </w:pPr>
            <w:r>
              <w:rPr>
                <w:rFonts w:hint="eastAsia" w:ascii="楷体_GB2312" w:eastAsia="楷体_GB2312"/>
                <w:color w:val="auto"/>
                <w:sz w:val="32"/>
                <w:szCs w:val="32"/>
                <w:highlight w:val="none"/>
                <w:lang w:eastAsia="zh-CN"/>
              </w:rPr>
              <w:t>接受捐赠资助及其使用情况：</w:t>
            </w:r>
            <w:r>
              <w:rPr>
                <w:rFonts w:hint="eastAsia" w:ascii="楷体_GB2312" w:eastAsia="楷体_GB2312"/>
                <w:color w:val="auto"/>
                <w:sz w:val="32"/>
                <w:szCs w:val="32"/>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ascii="楷体_GB2312" w:eastAsia="楷体_GB2312"/>
                <w:color w:val="auto"/>
                <w:sz w:val="32"/>
                <w:szCs w:val="32"/>
                <w:highlight w:val="none"/>
              </w:rPr>
            </w:pPr>
            <w:r>
              <w:rPr>
                <w:rFonts w:hint="eastAsia" w:ascii="楷体_GB2312" w:eastAsia="楷体_GB2312"/>
                <w:color w:val="auto"/>
                <w:sz w:val="32"/>
                <w:szCs w:val="32"/>
                <w:highlight w:val="none"/>
                <w:lang w:val="en-US" w:eastAsia="zh-CN"/>
              </w:rPr>
              <w:t xml:space="preserve"> </w:t>
            </w:r>
            <w:r>
              <w:rPr>
                <w:rFonts w:hint="eastAsia" w:ascii="楷体_GB2312" w:eastAsia="楷体_GB2312"/>
                <w:color w:val="auto"/>
                <w:sz w:val="32"/>
                <w:szCs w:val="32"/>
                <w:highlight w:val="none"/>
                <w:u w:val="single"/>
                <w:lang w:val="en-US" w:eastAsia="zh-CN"/>
              </w:rPr>
              <w:t xml:space="preserve">                        </w:t>
            </w:r>
            <w:r>
              <w:rPr>
                <w:rFonts w:hint="eastAsia" w:ascii="楷体_GB2312" w:eastAsia="楷体_GB2312"/>
                <w:color w:val="auto"/>
                <w:sz w:val="32"/>
                <w:szCs w:val="32"/>
                <w:highlight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5" w:hRule="atLeast"/>
          <w:jc w:val="center"/>
        </w:trPr>
        <w:tc>
          <w:tcPr>
            <w:tcW w:w="3261" w:type="dxa"/>
            <w:gridSpan w:val="3"/>
            <w:noWrap w:val="0"/>
            <w:vAlign w:val="top"/>
          </w:tcPr>
          <w:p>
            <w:pPr>
              <w:tabs>
                <w:tab w:val="left" w:pos="2196"/>
              </w:tabs>
              <w:ind w:firstLine="320" w:firstLineChars="100"/>
              <w:rPr>
                <w:rFonts w:eastAsia="楷体_GB2312"/>
                <w:color w:val="FF0000"/>
                <w:sz w:val="32"/>
                <w:szCs w:val="32"/>
                <w:highlight w:val="none"/>
              </w:rPr>
            </w:pPr>
            <w:r>
              <w:rPr>
                <w:rFonts w:hint="eastAsia" w:eastAsia="楷体_GB2312"/>
                <w:color w:val="auto"/>
                <w:sz w:val="32"/>
                <w:szCs w:val="32"/>
                <w:highlight w:val="none"/>
              </w:rPr>
              <w:t>开展业务活动情况</w:t>
            </w:r>
          </w:p>
        </w:tc>
        <w:tc>
          <w:tcPr>
            <w:tcW w:w="5458" w:type="dxa"/>
            <w:gridSpan w:val="15"/>
            <w:noWrap w:val="0"/>
            <w:vAlign w:val="top"/>
          </w:tcPr>
          <w:p>
            <w:pPr>
              <w:numPr>
                <w:ilvl w:val="0"/>
                <w:numId w:val="0"/>
              </w:numPr>
              <w:snapToGrid w:val="0"/>
              <w:spacing w:line="240" w:lineRule="auto"/>
              <w:ind w:firstLine="481"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val="en-US" w:eastAsia="zh-CN" w:bidi="ar"/>
              </w:rPr>
              <w:t>一、执行本单位章程的情况</w:t>
            </w:r>
            <w:r>
              <w:rPr>
                <w:rFonts w:hint="eastAsia" w:ascii="仿宋_GB2312" w:hAnsi="仿宋_GB2312" w:eastAsia="仿宋_GB2312" w:cs="仿宋_GB2312"/>
                <w:b/>
                <w:bCs/>
                <w:sz w:val="24"/>
                <w:szCs w:val="24"/>
                <w:highlight w:val="none"/>
                <w:lang w:val="en-US" w:eastAsia="zh-CN" w:bidi="ar"/>
              </w:rPr>
              <w:br w:type="textWrapping"/>
            </w:r>
            <w:r>
              <w:rPr>
                <w:rFonts w:hint="eastAsia" w:ascii="仿宋_GB2312" w:hAnsi="仿宋_GB2312" w:eastAsia="仿宋_GB2312" w:cs="仿宋_GB2312"/>
                <w:b/>
                <w:bCs/>
                <w:sz w:val="24"/>
                <w:szCs w:val="24"/>
                <w:highlight w:val="none"/>
                <w:lang w:val="en-US" w:eastAsia="zh-CN" w:bidi="ar"/>
              </w:rPr>
              <w:t xml:space="preserve">    </w:t>
            </w:r>
            <w:r>
              <w:rPr>
                <w:rFonts w:hint="eastAsia" w:ascii="仿宋_GB2312" w:hAnsi="仿宋_GB2312" w:eastAsia="仿宋_GB2312" w:cs="仿宋_GB2312"/>
                <w:sz w:val="24"/>
                <w:szCs w:val="24"/>
                <w:highlight w:val="none"/>
                <w:lang w:val="en-US" w:eastAsia="zh-CN"/>
              </w:rPr>
              <w:t>中心章程规定了本单位以下基本情况：一是本单位业务主管部门为深圳市住房和建设局；二是本单位的领导体制是：实行行政领导人负责制，以领导班子会议研究讨论形成集体意见作为决策形式。三是本单位宗旨是承担房地产市场、人才安居与住房保障、住房规划、房屋租赁、房屋价格评估与指导、宜居建设等领域的政策研究和技术支持。四是本单位业务运行原则和办法为在举办单位党组的领导下，执行国家、省、市各项法律法规和规章制度，坚持勤俭办事业，发挥事业单位公益性作用，通过在住房和城市建设领域提供高质量研究和技术服务，为我市经济社会发展作出贡献。</w:t>
            </w:r>
          </w:p>
          <w:p>
            <w:pPr>
              <w:numPr>
                <w:ilvl w:val="0"/>
                <w:numId w:val="0"/>
              </w:numPr>
              <w:snapToGrid w:val="0"/>
              <w:spacing w:line="240" w:lineRule="auto"/>
              <w:ind w:firstLine="480" w:firstLineChars="200"/>
              <w:jc w:val="left"/>
              <w:rPr>
                <w:rFonts w:hint="eastAsia" w:ascii="仿宋_GB2312" w:hAnsi="仿宋_GB2312" w:eastAsia="仿宋_GB2312" w:cs="仿宋_GB2312"/>
                <w:b/>
                <w:bCs/>
                <w:sz w:val="24"/>
                <w:szCs w:val="24"/>
                <w:highlight w:val="none"/>
                <w:lang w:eastAsia="zh-CN" w:bidi="ar"/>
              </w:rPr>
            </w:pPr>
            <w:r>
              <w:rPr>
                <w:rFonts w:hint="eastAsia" w:ascii="仿宋_GB2312" w:hAnsi="仿宋_GB2312" w:eastAsia="仿宋_GB2312" w:cs="仿宋_GB2312"/>
                <w:sz w:val="24"/>
                <w:szCs w:val="24"/>
                <w:highlight w:val="none"/>
                <w:lang w:val="en-US" w:eastAsia="zh-CN"/>
              </w:rPr>
              <w:t>2022年度，我</w:t>
            </w:r>
            <w:r>
              <w:rPr>
                <w:rFonts w:hint="eastAsia" w:ascii="仿宋_GB2312" w:hAnsi="仿宋_GB2312" w:eastAsia="仿宋_GB2312" w:cs="仿宋_GB2312"/>
                <w:sz w:val="24"/>
                <w:szCs w:val="24"/>
                <w:highlight w:val="none"/>
                <w:lang w:eastAsia="zh-CN"/>
              </w:rPr>
              <w:t>中心</w:t>
            </w:r>
            <w:r>
              <w:rPr>
                <w:rFonts w:hint="eastAsia" w:ascii="仿宋_GB2312" w:hAnsi="仿宋_GB2312" w:eastAsia="仿宋_GB2312" w:cs="仿宋_GB2312"/>
                <w:sz w:val="24"/>
                <w:szCs w:val="24"/>
                <w:highlight w:val="none"/>
              </w:rPr>
              <w:t>按照</w:t>
            </w:r>
            <w:r>
              <w:rPr>
                <w:rFonts w:hint="eastAsia" w:ascii="仿宋_GB2312" w:hAnsi="仿宋_GB2312" w:eastAsia="仿宋_GB2312" w:cs="仿宋_GB2312"/>
                <w:sz w:val="24"/>
                <w:szCs w:val="24"/>
                <w:highlight w:val="none"/>
                <w:lang w:eastAsia="zh-CN"/>
              </w:rPr>
              <w:t>市住房和建设局</w:t>
            </w:r>
            <w:r>
              <w:rPr>
                <w:rFonts w:hint="eastAsia" w:ascii="仿宋_GB2312" w:hAnsi="仿宋_GB2312" w:eastAsia="仿宋_GB2312" w:cs="仿宋_GB2312"/>
                <w:sz w:val="24"/>
                <w:szCs w:val="24"/>
                <w:highlight w:val="none"/>
              </w:rPr>
              <w:t>住房和城市建设工作会议</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rPr>
              <w:t>部署要求，全力落实</w:t>
            </w:r>
            <w:r>
              <w:rPr>
                <w:rFonts w:hint="eastAsia" w:ascii="仿宋_GB2312" w:hAnsi="仿宋_GB2312" w:eastAsia="仿宋_GB2312" w:cs="仿宋_GB2312"/>
                <w:sz w:val="24"/>
                <w:szCs w:val="24"/>
                <w:highlight w:val="none"/>
                <w:lang w:eastAsia="zh-CN"/>
              </w:rPr>
              <w:t>业务主管部门</w:t>
            </w:r>
            <w:r>
              <w:rPr>
                <w:rFonts w:hint="eastAsia" w:ascii="仿宋_GB2312" w:hAnsi="仿宋_GB2312" w:eastAsia="仿宋_GB2312" w:cs="仿宋_GB2312"/>
                <w:sz w:val="24"/>
                <w:szCs w:val="24"/>
                <w:highlight w:val="none"/>
              </w:rPr>
              <w:t>“2+3+10+10”系列政策举措，</w:t>
            </w:r>
            <w:r>
              <w:rPr>
                <w:rFonts w:hint="eastAsia" w:ascii="仿宋_GB2312" w:hAnsi="仿宋_GB2312" w:eastAsia="仿宋_GB2312" w:cs="仿宋_GB2312"/>
                <w:sz w:val="24"/>
                <w:szCs w:val="24"/>
                <w:highlight w:val="none"/>
                <w:lang w:eastAsia="zh-CN"/>
              </w:rPr>
              <w:t>严格落实党管一切、党建引领的政治要求，严格执行本单位章程，按照中心各项制度规定及决策程序开展相关工作，</w:t>
            </w:r>
            <w:r>
              <w:rPr>
                <w:rFonts w:hint="eastAsia" w:ascii="仿宋_GB2312" w:hAnsi="仿宋_GB2312" w:eastAsia="仿宋_GB2312" w:cs="仿宋_GB2312"/>
                <w:sz w:val="24"/>
                <w:szCs w:val="24"/>
                <w:highlight w:val="none"/>
              </w:rPr>
              <w:t>在房地产管理、住房体系建设、保障性住房建设筹集、住房价格体系、住有宜居等</w:t>
            </w:r>
            <w:r>
              <w:rPr>
                <w:rFonts w:hint="eastAsia" w:ascii="仿宋_GB2312" w:hAnsi="仿宋_GB2312" w:eastAsia="仿宋_GB2312" w:cs="仿宋_GB2312"/>
                <w:sz w:val="24"/>
                <w:szCs w:val="24"/>
                <w:highlight w:val="none"/>
                <w:lang w:eastAsia="zh-CN"/>
              </w:rPr>
              <w:t>中心主要职能</w:t>
            </w:r>
            <w:r>
              <w:rPr>
                <w:rFonts w:hint="eastAsia" w:ascii="仿宋_GB2312" w:hAnsi="仿宋_GB2312" w:eastAsia="仿宋_GB2312" w:cs="仿宋_GB2312"/>
                <w:sz w:val="24"/>
                <w:szCs w:val="24"/>
                <w:highlight w:val="none"/>
              </w:rPr>
              <w:t>方面</w:t>
            </w:r>
            <w:r>
              <w:rPr>
                <w:rFonts w:hint="eastAsia" w:ascii="仿宋_GB2312" w:hAnsi="仿宋_GB2312" w:eastAsia="仿宋_GB2312" w:cs="仿宋_GB2312"/>
                <w:sz w:val="24"/>
                <w:szCs w:val="24"/>
                <w:highlight w:val="none"/>
                <w:lang w:eastAsia="zh-CN"/>
              </w:rPr>
              <w:t>不断</w:t>
            </w:r>
            <w:r>
              <w:rPr>
                <w:rFonts w:hint="eastAsia" w:ascii="仿宋_GB2312" w:hAnsi="仿宋_GB2312" w:eastAsia="仿宋_GB2312" w:cs="仿宋_GB2312"/>
                <w:sz w:val="24"/>
                <w:szCs w:val="24"/>
                <w:highlight w:val="none"/>
              </w:rPr>
              <w:t>探索实践，不断夯实发展基础</w:t>
            </w:r>
            <w:r>
              <w:rPr>
                <w:rFonts w:hint="eastAsia" w:ascii="仿宋_GB2312" w:hAnsi="仿宋_GB2312" w:eastAsia="仿宋_GB2312" w:cs="仿宋_GB2312"/>
                <w:sz w:val="24"/>
                <w:szCs w:val="24"/>
                <w:highlight w:val="none"/>
                <w:lang w:eastAsia="zh-CN"/>
              </w:rPr>
              <w:t>，不断创新研究方式，充分发挥我局智囊团的政策支持和技术服务作用，发挥事业单位的公益效益和经济效益。</w:t>
            </w:r>
            <w:r>
              <w:rPr>
                <w:rFonts w:hint="eastAsia" w:ascii="仿宋_GB2312" w:hAnsi="仿宋_GB2312" w:eastAsia="仿宋_GB2312" w:cs="仿宋_GB2312"/>
                <w:b/>
                <w:bCs/>
                <w:sz w:val="24"/>
                <w:szCs w:val="24"/>
                <w:highlight w:val="none"/>
                <w:lang w:eastAsia="zh-CN" w:bidi="ar"/>
              </w:rPr>
              <w:br w:type="textWrapping"/>
            </w:r>
            <w:r>
              <w:rPr>
                <w:rFonts w:hint="eastAsia" w:ascii="仿宋_GB2312" w:hAnsi="仿宋_GB2312" w:eastAsia="仿宋_GB2312" w:cs="仿宋_GB2312"/>
                <w:b/>
                <w:bCs/>
                <w:sz w:val="24"/>
                <w:szCs w:val="24"/>
                <w:highlight w:val="none"/>
                <w:lang w:val="en-US" w:eastAsia="zh-CN" w:bidi="ar"/>
              </w:rPr>
              <w:t xml:space="preserve">    二、</w:t>
            </w:r>
            <w:r>
              <w:rPr>
                <w:rFonts w:hint="eastAsia" w:ascii="仿宋_GB2312" w:hAnsi="仿宋_GB2312" w:eastAsia="仿宋_GB2312" w:cs="仿宋_GB2312"/>
                <w:b/>
                <w:bCs/>
                <w:sz w:val="24"/>
                <w:szCs w:val="24"/>
                <w:highlight w:val="none"/>
                <w:lang w:eastAsia="zh-CN" w:bidi="ar"/>
              </w:rPr>
              <w:t>业务情况及主要社会效益及经济效益</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（一）全力服务房地产管理工作</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坚决落实局有关房地产业处和研究中心混编部署要求，积极调配中心力量，参与房地产业处“三组一专班”工作，主动服务局稳增长、稳市场、保交楼、保稳定、促建设、防风险等中心工作。</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一是稳增长。</w:t>
            </w:r>
            <w:r>
              <w:rPr>
                <w:rFonts w:hint="eastAsia" w:ascii="仿宋_GB2312" w:hAnsi="仿宋_GB2312" w:eastAsia="仿宋_GB2312" w:cs="仿宋_GB2312"/>
                <w:sz w:val="24"/>
                <w:szCs w:val="24"/>
                <w:highlight w:val="none"/>
              </w:rPr>
              <w:t>协助推进2022年房地产领域各项经济指标任务，统筹协调各区以及发改、规资、统计等部门，有效发挥房地产在稳定经济大盘中的作用。1—11月，实现房地产开发投资2956.6亿元，同比增长9.4%，高于同期全国平均增速（-9.8%）19.2个百分点；实现商品房销售面积541.1万平方米，同比下降21.0%，高于同期全国平均增速（-23.3%）2.3个百分点；实现新开工住房面积1277.6万平方米，完成年度目标的85.2%。</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二是稳市场。</w:t>
            </w:r>
            <w:r>
              <w:rPr>
                <w:rFonts w:hint="eastAsia" w:ascii="仿宋_GB2312" w:hAnsi="仿宋_GB2312" w:eastAsia="仿宋_GB2312" w:cs="仿宋_GB2312"/>
                <w:sz w:val="24"/>
                <w:szCs w:val="24"/>
                <w:highlight w:val="none"/>
              </w:rPr>
              <w:t>统筹整合市场研究力量，密切监测市场变化情况，</w:t>
            </w:r>
            <w:bookmarkStart w:id="0" w:name="OLE_LINK18"/>
            <w:r>
              <w:rPr>
                <w:rFonts w:hint="eastAsia" w:ascii="仿宋_GB2312" w:hAnsi="仿宋_GB2312" w:eastAsia="仿宋_GB2312" w:cs="仿宋_GB2312"/>
                <w:sz w:val="24"/>
                <w:szCs w:val="24"/>
                <w:highlight w:val="none"/>
              </w:rPr>
              <w:t>维护更新全国和我市房地产监测系统，</w:t>
            </w:r>
            <w:bookmarkStart w:id="1" w:name="OLE_LINK22"/>
            <w:r>
              <w:rPr>
                <w:rFonts w:hint="eastAsia" w:ascii="仿宋_GB2312" w:hAnsi="仿宋_GB2312" w:eastAsia="仿宋_GB2312" w:cs="仿宋_GB2312"/>
                <w:sz w:val="24"/>
                <w:szCs w:val="24"/>
                <w:highlight w:val="none"/>
              </w:rPr>
              <w:t>协助处室完成全国监测系统深圳数据的更新与维护。</w:t>
            </w:r>
            <w:bookmarkEnd w:id="1"/>
            <w:r>
              <w:rPr>
                <w:rFonts w:hint="eastAsia" w:ascii="仿宋_GB2312" w:hAnsi="仿宋_GB2312" w:eastAsia="仿宋_GB2312" w:cs="仿宋_GB2312"/>
                <w:sz w:val="24"/>
                <w:szCs w:val="24"/>
                <w:highlight w:val="none"/>
              </w:rPr>
              <w:t>编制在中心和处室内部发送的日报 348 期，报送市领导的月报、市场监测预警报告、房地产长效机制试点工作月报各10 期，报送上级和有关部门的材料数十篇。完成全市156个项目的价格指导和50宗居住用地普通商品住房的限价测算工作，完成了3617个住宅小区二手住房成交参考价格的测算和报审工作，协助处室处理二手住房成交参考价格相关信访的答复和处置工作。协助处室开展我市各区房地产考核工作，向各区下发月度监测、季度评价以及年度考核结果。同时，结合市场形势，进一步加强政策研究，研究储备了一批保障刚性和改善性住房需求的政策措施，完善房地产长效机制工具箱。</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三是其他重点工作。</w:t>
            </w:r>
            <w:r>
              <w:rPr>
                <w:rFonts w:hint="eastAsia" w:ascii="仿宋_GB2312" w:hAnsi="仿宋_GB2312" w:eastAsia="仿宋_GB2312" w:cs="仿宋_GB2312"/>
                <w:sz w:val="24"/>
                <w:szCs w:val="24"/>
                <w:highlight w:val="none"/>
              </w:rPr>
              <w:t>保交楼方面，选调精干力量参与保交楼专班，调动各级干部职工参与保交楼项目督导近30批次，协助推动保交楼工作取得阶段性成效。实现恒大9个项目</w:t>
            </w:r>
            <w:r>
              <w:rPr>
                <w:rFonts w:hint="eastAsia" w:ascii="仿宋_GB2312" w:hAnsi="仿宋_GB2312" w:eastAsia="仿宋_GB2312" w:cs="仿宋_GB2312"/>
                <w:sz w:val="24"/>
                <w:szCs w:val="24"/>
                <w:highlight w:val="none"/>
                <w:lang w:eastAsia="zh-CN"/>
              </w:rPr>
              <w:t>党的</w:t>
            </w:r>
            <w:r>
              <w:rPr>
                <w:rFonts w:hint="eastAsia" w:ascii="仿宋_GB2312" w:hAnsi="仿宋_GB2312" w:eastAsia="仿宋_GB2312" w:cs="仿宋_GB2312"/>
                <w:sz w:val="24"/>
                <w:szCs w:val="24"/>
                <w:highlight w:val="none"/>
              </w:rPr>
              <w:t>二十大前全部销号，佳兆业8个项目中2个已竣工交付，其余6个项目均为正常施工。防风险方面，持续跟踪监测重点房企债务风险和保交楼风险，协助处置房地产领域突出信访问题，完成住房与物业管理领域涉稳民生调研工作。强监管方面，配合修订完善《深圳市房地产市场监管办法》，完善房地产预售资金行政监管模式。</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（二）推动完善住房政策体系</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协助推动我市住房保障体系与国家住房保障体系衔接落地，按照“加快建立多主体供给、多渠道保障、租购并举的住房制度”重要要求，推动完善我市住房保障政策顶层设计和保障性租赁住房支持体系。</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一是聚焦政策顶层设计。</w:t>
            </w:r>
            <w:r>
              <w:rPr>
                <w:rFonts w:hint="eastAsia" w:ascii="仿宋_GB2312" w:hAnsi="仿宋_GB2312" w:eastAsia="仿宋_GB2312" w:cs="仿宋_GB2312"/>
                <w:sz w:val="24"/>
                <w:szCs w:val="24"/>
                <w:highlight w:val="none"/>
              </w:rPr>
              <w:t>承担《深圳市共有产权住房管理办法》《深圳市人才安居办法（修订）》研究起草，协助统筹《深圳市保障性住房规划建设管理办法》等四个政府规章送审及市委市政府会议材料准备工作。目前，四个政府规章待市委常委会审议通过后将适时面向社会公开征求意见，《深圳市人才安居办法（修订）》已形成初稿待提请市政府审议。其中，《&lt;深圳市人才安居办法&gt;修订若干问题研究》在深圳市2021年度全面依法治市调研课题评选中荣获优秀奖。</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二是配合做好政策衔接。</w:t>
            </w:r>
            <w:r>
              <w:rPr>
                <w:rFonts w:hint="eastAsia" w:ascii="仿宋_GB2312" w:hAnsi="仿宋_GB2312" w:eastAsia="仿宋_GB2312" w:cs="仿宋_GB2312"/>
                <w:sz w:val="24"/>
                <w:szCs w:val="24"/>
                <w:highlight w:val="none"/>
              </w:rPr>
              <w:t>协助处室做好新旧住房保障体系衔接，妥善处理历史遗留问题，承担保障性住房条例修订、共有产权住房定价规则、房补政策优化、政策实施效果评估等项目十余项。起草《深圳市安居型商品房取得完全产权和上市交易办法》，测算比较45个已售安居型商品房项目的利益平衡，研究46个已批准建设的人才住房项目配售方案。</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三是推动保障性租赁住房加快发展。</w:t>
            </w:r>
            <w:r>
              <w:rPr>
                <w:rFonts w:hint="eastAsia" w:ascii="仿宋_GB2312" w:hAnsi="仿宋_GB2312" w:eastAsia="仿宋_GB2312" w:cs="仿宋_GB2312"/>
                <w:sz w:val="24"/>
                <w:szCs w:val="24"/>
                <w:highlight w:val="none"/>
              </w:rPr>
              <w:t>以完善保租房政策立法为重点，在保租房建设、政府管理规章的基础上，着力开展保租房项目认定、非居住房屋改建保租房等配套政策研究。目前，非居住房屋改建保租房政策已经出台，保租房项目认定办法已完成公开征求意见，待市政府审议。配合局处室加强租赁市场监管，协助开展中央财政支持住房租赁市场试点收尾、绩效评价等工作，顺利通过总体考核；研究解决资金监管过程中的疑难问题，推进住房租赁资金监管落地实施；配合开展保障性租赁住房用地出让相关工作，研究起草保障性租赁住房建设和管理任务书；协助开展住房租赁监管服务平台中保障性租赁住房模块相关功能需求分析。</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（三）挖掘保障性住房建设筹集潜力</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一是编制落实住房发展年度实施计划。</w:t>
            </w:r>
            <w:r>
              <w:rPr>
                <w:rFonts w:hint="eastAsia" w:ascii="仿宋_GB2312" w:hAnsi="仿宋_GB2312" w:eastAsia="仿宋_GB2312" w:cs="仿宋_GB2312"/>
                <w:sz w:val="24"/>
                <w:szCs w:val="24"/>
                <w:highlight w:val="none"/>
              </w:rPr>
              <w:t>梳理统计全市86个年内建设筹集保障性住房项目、37个年内基本建成（含竣工）保障性住房项目、200多个在建年内产生有效投资的保障性住房项目，在此基础上，配合处室完成《深圳市住房发展2022年度实施计划》编制并于2022年6月经市政府同意印发实施。台账化、系统化实时跟踪、监测及有效管理各区保障性住房项目，每月动态监测2022年度公共租赁住房、出售型保障性住房、保障性租赁住房的用地供应、建设筹集、基本建成（含竣工）、投资情况，确保保障性住房计划及时有效实施。1—11月实际建设筹集保障性住房11.7万套（间），完成年度计划97.8%，其中保障性租赁住房9.6万套（间），完成年度计划103.2%。</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二是推动落实市领导“按需定建”任务要求。</w:t>
            </w:r>
            <w:r>
              <w:rPr>
                <w:rFonts w:hint="eastAsia" w:ascii="仿宋_GB2312" w:hAnsi="仿宋_GB2312" w:eastAsia="仿宋_GB2312" w:cs="仿宋_GB2312"/>
                <w:sz w:val="24"/>
                <w:szCs w:val="24"/>
                <w:highlight w:val="none"/>
              </w:rPr>
              <w:t>突破原有规划计划，创新建设和筹集举措，系统谋划2023—2025年度保租房建设和筹集工作，推动建设和筹集保障性租赁住房40.5万套（间）任务落实到具体项目和责任单位。开展年度保障性住房建设筹集的跟踪调查工作，做好与民生实事、经济稳增长的衔接，跟进保障性租赁住房住建部APP系统。</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三是研究谋划住房发展中长期规划。</w:t>
            </w:r>
            <w:r>
              <w:rPr>
                <w:rFonts w:hint="eastAsia" w:ascii="仿宋_GB2312" w:hAnsi="仿宋_GB2312" w:eastAsia="仿宋_GB2312" w:cs="仿宋_GB2312"/>
                <w:sz w:val="24"/>
                <w:szCs w:val="24"/>
                <w:highlight w:val="none"/>
              </w:rPr>
              <w:t>加强住房需求研究，开展住房需求分类理论研究，充分利用大数据人群画像、居住行为调查等技术手段，从资格、能力、意愿三个维度构建家庭全生命周期需求定量模型。举中心领导和各部门之合力，主导开展深圳市住房发展2035规划编制工作。</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（四）优化各类房屋价格监测和评估体系</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一是研究优化保障性住房定价机制。</w:t>
            </w:r>
            <w:r>
              <w:rPr>
                <w:rFonts w:hint="eastAsia" w:ascii="仿宋_GB2312" w:hAnsi="仿宋_GB2312" w:eastAsia="仿宋_GB2312" w:cs="仿宋_GB2312"/>
                <w:sz w:val="24"/>
                <w:szCs w:val="24"/>
                <w:highlight w:val="none"/>
              </w:rPr>
              <w:t>研究拟定公共租赁住房、政府组织配租的保障性租赁住房租金测算规则及技术思路，做好新旧衔接；研究共有产权住房销售定价模式，搭建集数据管理、结果测算、追踪查询为一体的销售价格测算系统，提升效率和科学性。</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二是保障性住房日常定价和测算。</w:t>
            </w:r>
            <w:r>
              <w:rPr>
                <w:rFonts w:hint="eastAsia" w:ascii="仿宋_GB2312" w:hAnsi="仿宋_GB2312" w:eastAsia="仿宋_GB2312" w:cs="仿宋_GB2312"/>
                <w:sz w:val="24"/>
                <w:szCs w:val="24"/>
                <w:highlight w:val="none"/>
              </w:rPr>
              <w:t>完成80余个保障性住房租金定价项目（另有61个项目已开展信息复核及租金测算工作）；完成并出具西湖梧桐居等8个“工改保”项目和A301-0583等22宗招拍挂出让用地的安居型商品房销售价格测算报告；完成并出具宝安海岸悦府、海乐华府2个已批准建设的人才住房项目和T503-0063等9宗招拍挂出让用地的人才住房项目销售价格测算报告；完成庆宜华苑片区棚户区改造项目（二期）增购面积价格评估测算工作;完成梅林苑、洪湖肉菜市场综合楼等历史遗留问题住房销售价格评估工作；完成万科金域缇香花园一期、新城和润家园经济适用住房上市交易价格评估测算工作。</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三是推动发布年度全市房屋租赁参考价格。</w:t>
            </w:r>
            <w:r>
              <w:rPr>
                <w:rFonts w:hint="eastAsia" w:ascii="仿宋_GB2312" w:hAnsi="仿宋_GB2312" w:eastAsia="仿宋_GB2312" w:cs="仿宋_GB2312"/>
                <w:sz w:val="24"/>
                <w:szCs w:val="24"/>
                <w:highlight w:val="none"/>
              </w:rPr>
              <w:t>完成各类房屋租赁参考价格的评估和编制工作，形成对外发布的《2022 年度全市房屋租赁参考价格》成果，该成果覆盖4319 个小区（含 3786 个存量商品住房楼盘、318个统建楼楼盘、215 个商务公寓楼盘）、2042 个城中村、4500个产业园区配套宿舍和 6702 个产业园区。</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四是建立完善房屋基础数据库。</w:t>
            </w:r>
            <w:r>
              <w:rPr>
                <w:rFonts w:hint="eastAsia" w:ascii="仿宋_GB2312" w:hAnsi="仿宋_GB2312" w:eastAsia="仿宋_GB2312" w:cs="仿宋_GB2312"/>
                <w:sz w:val="24"/>
                <w:szCs w:val="24"/>
                <w:highlight w:val="none"/>
              </w:rPr>
              <w:t>完成了从城市级到房屋级的多层基础数据库体系设计、进行了界面开发，采用了三维城市空间可视化CIM模型底座，初步形成了数据查询、统计的工具平台。开展数字资源采集与数据治理工作，常态化采集城市POI数据资源，对各类结构化和空间数据进行治理，形成数据资源与空间信息的关联衔接，扩充各项研究工作的信息基础。</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（五）不断完善宜居城市支持体系</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一是开展深圳特色城市宜居发展研究。</w:t>
            </w:r>
            <w:r>
              <w:rPr>
                <w:rFonts w:hint="eastAsia" w:ascii="仿宋_GB2312" w:hAnsi="仿宋_GB2312" w:eastAsia="仿宋_GB2312" w:cs="仿宋_GB2312"/>
                <w:sz w:val="24"/>
                <w:szCs w:val="24"/>
                <w:highlight w:val="none"/>
              </w:rPr>
              <w:t>组织研究新发展理念下的深圳特色城市宜居发展模型和“住有宜居”综合评价指标体系，宜居城市建设行动路径及方法。协助城市建设处统筹全市宜居城市建设发展，研究构建宜居城市顶层设计，开展宜居城市评估及宜居地图绘制，同时协助房屋安全处开展补齐宜居城市建设短板的老旧小区改造、加装电梯及城中村改造探索性工作。配合深圳市报送联合国人居环境奖等相关工作。</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二是持续提升工程建设标准技术管理质量。</w:t>
            </w:r>
            <w:r>
              <w:rPr>
                <w:rFonts w:hint="eastAsia" w:ascii="仿宋_GB2312" w:hAnsi="仿宋_GB2312" w:eastAsia="仿宋_GB2312" w:cs="仿宋_GB2312"/>
                <w:sz w:val="24"/>
                <w:szCs w:val="24"/>
                <w:highlight w:val="none"/>
              </w:rPr>
              <w:t>积极推进我市工程建设地方标准立项、评复审及在编标准技术质量管理工作，支持设计处与造价站统筹管理全市工程建设领域地方标准，2022年度累计开展阶段性标准技术管理80余项，开展各类标准评审100余部，协调联系各专业委专家委员逾200人次，标准委在我市工程建设标准方面的权威性得到初步确立。配合设计处完成首批中央综改项目《中小学校项目规范》，开展市工程建设标准化技术委员会专家委员及BIM专业委的增补工作，工程建设标准化专业技术人才数量达到476名。</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三是配合推动建筑领域“双碳”专项工作。</w:t>
            </w:r>
            <w:r>
              <w:rPr>
                <w:rFonts w:hint="eastAsia" w:ascii="仿宋_GB2312" w:hAnsi="仿宋_GB2312" w:eastAsia="仿宋_GB2312" w:cs="仿宋_GB2312"/>
                <w:sz w:val="24"/>
                <w:szCs w:val="24"/>
                <w:highlight w:val="none"/>
              </w:rPr>
              <w:t>支持设计处统筹深圳市城市建设领域碳达峰碳中和工作，研究制定建筑领域碳达峰技术路径和行动计划，同时，研究构建城市建设领域碳排放监测与管理系统，梳理采集公共建筑基础信息及能耗数据约2万栋，为全面推进城市建设领域重点建筑的节能降碳工作提供重要支撑。</w:t>
            </w:r>
          </w:p>
          <w:bookmarkEnd w:id="0"/>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（六）持续优化内部管理和支撑体系</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一是高标准推进党建工作。</w:t>
            </w:r>
            <w:r>
              <w:rPr>
                <w:rFonts w:hint="eastAsia" w:ascii="仿宋_GB2312" w:hAnsi="仿宋_GB2312" w:eastAsia="仿宋_GB2312" w:cs="仿宋_GB2312"/>
                <w:sz w:val="24"/>
                <w:szCs w:val="24"/>
                <w:highlight w:val="none"/>
              </w:rPr>
              <w:t>按时组织“第一议题”、党章党规党纪专题学习，定期召开“三会一课”、组织生活会议，完成每季度谈心谈话、党费收缴，顺利完成支部委员会换届选举工作；如期开展“我为群众办实事”困难学生帮扶、疫情防控志愿服务工作；积极落实党史学习教育、爱国主义教育、联建共建等主题党日活动。</w:t>
            </w:r>
          </w:p>
          <w:p>
            <w:pPr>
              <w:snapToGrid w:val="0"/>
              <w:spacing w:line="240" w:lineRule="auto"/>
              <w:ind w:firstLine="481"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二是坚决落实巡视审计整改。</w:t>
            </w:r>
            <w:r>
              <w:rPr>
                <w:rFonts w:hint="eastAsia" w:ascii="仿宋_GB2312" w:hAnsi="仿宋_GB2312" w:eastAsia="仿宋_GB2312" w:cs="仿宋_GB2312"/>
                <w:sz w:val="24"/>
                <w:szCs w:val="24"/>
                <w:highlight w:val="none"/>
              </w:rPr>
              <w:t>配合完成5次外部单位对中心审计工作，包括年初巡察审计、局内专项审计，完成巡察整改清单和自查自纠等工作。认真对照巡察反馈问题整改工作清单，坚决守住“房住不炒”政策底线，加强大额财政资金使用绩效自评，规范劳务派遣人员和借调人员管理。</w:t>
            </w:r>
          </w:p>
          <w:p>
            <w:pPr>
              <w:snapToGrid w:val="0"/>
              <w:spacing w:line="240" w:lineRule="auto"/>
              <w:ind w:firstLine="481" w:firstLineChars="200"/>
              <w:rPr>
                <w:rFonts w:hint="eastAsia" w:ascii="仿宋_GB2312" w:hAnsi="仿宋_GB2312" w:eastAsia="仿宋_GB2312" w:cs="仿宋_GB2312"/>
                <w:sz w:val="24"/>
                <w:szCs w:val="24"/>
                <w:highlight w:val="none"/>
                <w:lang w:bidi="ar"/>
              </w:rPr>
            </w:pPr>
            <w:r>
              <w:rPr>
                <w:rFonts w:hint="eastAsia" w:ascii="仿宋_GB2312" w:hAnsi="仿宋_GB2312" w:eastAsia="仿宋_GB2312" w:cs="仿宋_GB2312"/>
                <w:b/>
                <w:bCs/>
                <w:sz w:val="24"/>
                <w:szCs w:val="24"/>
                <w:highlight w:val="none"/>
              </w:rPr>
              <w:t>三是不断完善内部管理。</w:t>
            </w:r>
            <w:r>
              <w:rPr>
                <w:rFonts w:hint="eastAsia" w:ascii="仿宋_GB2312" w:hAnsi="仿宋_GB2312" w:eastAsia="仿宋_GB2312" w:cs="仿宋_GB2312"/>
                <w:sz w:val="24"/>
                <w:szCs w:val="24"/>
                <w:highlight w:val="none"/>
              </w:rPr>
              <w:t>依据上级内部控制相关文件管理要求，结合中心发展，重新修订中心内控各项制度和《中心薪酬管理办法》《中心岗位设置方案》，完成中心内控体系搭建。推进中心理事会改选、岗位设置、2022年第二批员额人员选聘、临聘人员招聘、正副部长推荐考察等；完成了7名员额人员的档案专审工作。开展作风整治提升行动。</w:t>
            </w:r>
          </w:p>
          <w:p>
            <w:pPr>
              <w:numPr>
                <w:ilvl w:val="0"/>
                <w:numId w:val="0"/>
              </w:numPr>
              <w:snapToGrid w:val="0"/>
              <w:spacing w:line="240" w:lineRule="auto"/>
              <w:ind w:leftChars="200"/>
              <w:jc w:val="left"/>
              <w:rPr>
                <w:rFonts w:hint="eastAsia" w:ascii="仿宋_GB2312" w:hAnsi="仿宋_GB2312" w:eastAsia="仿宋_GB2312" w:cs="仿宋_GB2312"/>
                <w:b/>
                <w:bCs/>
                <w:sz w:val="24"/>
                <w:szCs w:val="24"/>
                <w:highlight w:val="none"/>
                <w:lang w:eastAsia="zh-CN" w:bidi="ar"/>
              </w:rPr>
            </w:pPr>
            <w:r>
              <w:rPr>
                <w:rFonts w:hint="eastAsia" w:ascii="仿宋_GB2312" w:hAnsi="仿宋_GB2312" w:eastAsia="仿宋_GB2312" w:cs="仿宋_GB2312"/>
                <w:b/>
                <w:bCs/>
                <w:sz w:val="24"/>
                <w:szCs w:val="24"/>
                <w:highlight w:val="none"/>
                <w:lang w:eastAsia="zh-CN" w:bidi="ar"/>
              </w:rPr>
              <w:t>三、存在的问题</w:t>
            </w:r>
          </w:p>
          <w:p>
            <w:pPr>
              <w:numPr>
                <w:ilvl w:val="0"/>
                <w:numId w:val="0"/>
              </w:numPr>
              <w:snapToGrid w:val="0"/>
              <w:spacing w:line="240" w:lineRule="auto"/>
              <w:ind w:firstLine="480" w:firstLineChars="200"/>
              <w:jc w:val="left"/>
              <w:rPr>
                <w:rFonts w:hint="eastAsia" w:ascii="仿宋_GB2312" w:hAnsi="仿宋_GB2312" w:eastAsia="仿宋_GB2312" w:cs="仿宋_GB2312"/>
                <w:b/>
                <w:bCs/>
                <w:sz w:val="24"/>
                <w:szCs w:val="24"/>
                <w:highlight w:val="none"/>
                <w:lang w:eastAsia="zh-CN" w:bidi="ar"/>
              </w:rPr>
            </w:pPr>
            <w:r>
              <w:rPr>
                <w:rFonts w:hint="eastAsia" w:ascii="仿宋_GB2312" w:hAnsi="仿宋_GB2312" w:eastAsia="仿宋_GB2312" w:cs="仿宋_GB2312"/>
                <w:sz w:val="24"/>
                <w:szCs w:val="24"/>
                <w:highlight w:val="none"/>
              </w:rPr>
              <w:t>2022年虽然较好地完成各项目标任务，但也暴露一些问题需要在以后工作中改进</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eastAsia="zh-CN"/>
              </w:rPr>
              <w:br w:type="textWrapping"/>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一是不同业务之间专业跨度较大，业务交流融合不够</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br w:type="textWrapping"/>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二是干部职工流动、上升通道不畅，一定程度挫伤工作积极性</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br w:type="textWrapping"/>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三是业务收入来源不稳定，工作经费保障不</w:t>
            </w:r>
            <w:r>
              <w:rPr>
                <w:rFonts w:hint="eastAsia" w:ascii="仿宋_GB2312" w:hAnsi="仿宋_GB2312" w:eastAsia="仿宋_GB2312" w:cs="仿宋_GB2312"/>
                <w:sz w:val="24"/>
                <w:szCs w:val="24"/>
                <w:highlight w:val="none"/>
                <w:lang w:eastAsia="zh-CN"/>
              </w:rPr>
              <w:t>够</w:t>
            </w:r>
            <w:r>
              <w:rPr>
                <w:rFonts w:hint="eastAsia" w:ascii="仿宋_GB2312" w:hAnsi="仿宋_GB2312" w:eastAsia="仿宋_GB2312" w:cs="仿宋_GB2312"/>
                <w:sz w:val="24"/>
                <w:szCs w:val="24"/>
                <w:highlight w:val="none"/>
              </w:rPr>
              <w:t>充分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br w:type="textWrapping"/>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四是人才储备不够，专业支撑能力和业务水平需进一步提升。</w:t>
            </w:r>
          </w:p>
          <w:p>
            <w:pPr>
              <w:numPr>
                <w:ilvl w:val="0"/>
                <w:numId w:val="0"/>
              </w:numPr>
              <w:snapToGrid w:val="0"/>
              <w:spacing w:line="240" w:lineRule="auto"/>
              <w:ind w:firstLine="481" w:firstLineChars="200"/>
              <w:rPr>
                <w:rFonts w:hint="eastAsia" w:ascii="仿宋_GB2312" w:hAnsi="仿宋_GB2312" w:eastAsia="仿宋_GB2312" w:cs="仿宋_GB2312"/>
                <w:b/>
                <w:bCs/>
                <w:sz w:val="24"/>
                <w:szCs w:val="24"/>
                <w:highlight w:val="none"/>
                <w:lang w:bidi="ar"/>
              </w:rPr>
            </w:pPr>
            <w:r>
              <w:rPr>
                <w:rFonts w:hint="eastAsia" w:ascii="仿宋_GB2312" w:hAnsi="仿宋_GB2312" w:eastAsia="仿宋_GB2312" w:cs="仿宋_GB2312"/>
                <w:b/>
                <w:bCs/>
                <w:sz w:val="24"/>
                <w:szCs w:val="24"/>
                <w:highlight w:val="none"/>
                <w:lang w:eastAsia="zh-CN" w:bidi="ar"/>
              </w:rPr>
              <w:t>四、整改措施及下一步工作思路</w:t>
            </w:r>
          </w:p>
          <w:p>
            <w:pPr>
              <w:snapToGrid w:val="0"/>
              <w:spacing w:line="24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2023年，研究中心将继续发挥业务专长，提升政策研究和市场分析能力，协助处室推动我市住房和房地产事业高质量发展。</w:t>
            </w:r>
          </w:p>
          <w:p>
            <w:pPr>
              <w:snapToGrid w:val="0"/>
              <w:spacing w:line="240" w:lineRule="auto"/>
              <w:ind w:firstLine="481"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
                <w:bCs/>
                <w:sz w:val="24"/>
                <w:szCs w:val="24"/>
                <w:highlight w:val="none"/>
              </w:rPr>
              <w:t>一是持续加强房地产市场监测、价格指导和调控政策研究。</w:t>
            </w:r>
            <w:r>
              <w:rPr>
                <w:rFonts w:hint="eastAsia" w:ascii="仿宋_GB2312" w:hAnsi="仿宋_GB2312" w:eastAsia="仿宋_GB2312" w:cs="仿宋_GB2312"/>
                <w:sz w:val="24"/>
                <w:szCs w:val="24"/>
                <w:highlight w:val="none"/>
              </w:rPr>
              <w:t>继续开展全国和深圳监测系统数据的更新、审核工作，确保数据更新的及时性和准确性。不断优化整合市场机构研究力量，提升市场监测和研究水平。配合处室完成招拍挂地块上普通商品住房、新建商品住房和商务公寓的价格指导相关工作，持续开展二手住宅成交参考价格测算和更新、发布工作。积极配合协助处室开展我市房地产调控分区考核工作，夯实各区调控主体责任，确保完成全市房地产调控考核任务的目标。配合处室推进稳增长、促投资、增供给等系列工作。</w:t>
            </w:r>
          </w:p>
          <w:p>
            <w:pPr>
              <w:snapToGrid w:val="0"/>
              <w:spacing w:line="240" w:lineRule="auto"/>
              <w:ind w:firstLine="481"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
                <w:bCs/>
                <w:sz w:val="24"/>
                <w:szCs w:val="24"/>
                <w:highlight w:val="none"/>
              </w:rPr>
              <w:t>二是跟踪推动</w:t>
            </w:r>
            <w:r>
              <w:rPr>
                <w:rFonts w:hint="eastAsia" w:ascii="仿宋_GB2312" w:hAnsi="仿宋_GB2312" w:eastAsia="仿宋_GB2312" w:cs="仿宋_GB2312"/>
                <w:b/>
                <w:sz w:val="24"/>
                <w:szCs w:val="24"/>
                <w:highlight w:val="none"/>
              </w:rPr>
              <w:t>2023</w:t>
            </w:r>
            <w:r>
              <w:rPr>
                <w:rFonts w:hint="eastAsia" w:ascii="仿宋_GB2312" w:hAnsi="仿宋_GB2312" w:eastAsia="仿宋_GB2312" w:cs="仿宋_GB2312"/>
                <w:b/>
                <w:bCs/>
                <w:sz w:val="24"/>
                <w:szCs w:val="24"/>
                <w:highlight w:val="none"/>
              </w:rPr>
              <w:t>年度住房建设筹集。</w:t>
            </w:r>
            <w:r>
              <w:rPr>
                <w:rFonts w:hint="eastAsia" w:ascii="仿宋_GB2312" w:hAnsi="仿宋_GB2312" w:eastAsia="仿宋_GB2312" w:cs="仿宋_GB2312"/>
                <w:bCs/>
                <w:sz w:val="24"/>
                <w:szCs w:val="24"/>
                <w:highlight w:val="none"/>
              </w:rPr>
              <w:t>2023年计划建设筹集保障性住房12.5万套（间），力争实现建设筹集保障性住房18.5万套（间）。摸排梳理可提前建设、基本建成、竣工、投资的保障性住房项目，进一步强化保障性住房信息化跟踪监测工作，形成常态化、信息化、全生命周期的保障性住房监测评估体系。加强对保租房年度计划编制、任务分解、项目挖潜、储备库建立、年度监测评价以及非居改保租项目跟踪评估等技术支持，推进完成2023年度市场化保障性租赁住房建设筹集任务。</w:t>
            </w:r>
          </w:p>
          <w:p>
            <w:pPr>
              <w:pStyle w:val="5"/>
              <w:spacing w:line="240" w:lineRule="auto"/>
              <w:ind w:firstLine="481" w:firstLineChars="200"/>
              <w:jc w:val="both"/>
              <w:rPr>
                <w:rFonts w:hint="eastAsia" w:ascii="仿宋_GB2312" w:hAnsi="仿宋_GB2312" w:eastAsia="仿宋_GB2312" w:cs="仿宋_GB2312"/>
                <w:bCs/>
                <w:sz w:val="24"/>
                <w:szCs w:val="24"/>
                <w:highlight w:val="none"/>
              </w:rPr>
            </w:pPr>
            <w:r>
              <w:rPr>
                <w:rFonts w:hint="eastAsia" w:ascii="仿宋_GB2312" w:hAnsi="仿宋_GB2312" w:eastAsia="仿宋_GB2312" w:cs="仿宋_GB2312"/>
                <w:b/>
                <w:sz w:val="24"/>
                <w:szCs w:val="24"/>
                <w:highlight w:val="none"/>
              </w:rPr>
              <w:t>三是推动住房保障、保障性租赁住房、市场监管系列政策落地实施。</w:t>
            </w:r>
            <w:r>
              <w:rPr>
                <w:rFonts w:hint="eastAsia" w:ascii="仿宋_GB2312" w:hAnsi="仿宋_GB2312" w:eastAsia="仿宋_GB2312" w:cs="仿宋_GB2312"/>
                <w:bCs/>
                <w:sz w:val="24"/>
                <w:szCs w:val="24"/>
                <w:highlight w:val="none"/>
              </w:rPr>
              <w:t>推动住房保障政府规章在2023年上半年落地实施，妥善处理历史遗留问题，加快研究和推进相关配套细则文件出台。持续创新和完善保障性住房定价体系，完善政府组织配租的保障性租赁住房和共有产权住房定价规则。推进保租房建设管理、房地产市场监管等政府规章以及非居住房屋改建、保租房项目认定和财政补助等配套政策出台，加快完善长租房市场的规范发展举措。</w:t>
            </w:r>
          </w:p>
          <w:p>
            <w:pPr>
              <w:pStyle w:val="5"/>
              <w:spacing w:line="240" w:lineRule="auto"/>
              <w:ind w:firstLine="481" w:firstLineChars="200"/>
              <w:jc w:val="both"/>
              <w:rPr>
                <w:rFonts w:hint="eastAsia" w:ascii="仿宋_GB2312" w:hAnsi="仿宋_GB2312" w:eastAsia="仿宋_GB2312" w:cs="仿宋_GB2312"/>
                <w:bCs/>
                <w:sz w:val="24"/>
                <w:szCs w:val="24"/>
                <w:highlight w:val="none"/>
              </w:rPr>
            </w:pPr>
            <w:r>
              <w:rPr>
                <w:rFonts w:hint="eastAsia" w:ascii="仿宋_GB2312" w:hAnsi="仿宋_GB2312" w:eastAsia="仿宋_GB2312" w:cs="仿宋_GB2312"/>
                <w:b/>
                <w:bCs/>
                <w:sz w:val="24"/>
                <w:szCs w:val="24"/>
                <w:highlight w:val="none"/>
              </w:rPr>
              <w:t>四是持续做好租赁参考价格的编制、更新、发布等技术服务。</w:t>
            </w:r>
            <w:r>
              <w:rPr>
                <w:rFonts w:hint="eastAsia" w:ascii="仿宋_GB2312" w:hAnsi="仿宋_GB2312" w:eastAsia="仿宋_GB2312" w:cs="仿宋_GB2312"/>
                <w:sz w:val="24"/>
                <w:szCs w:val="24"/>
                <w:highlight w:val="none"/>
              </w:rPr>
              <w:t>做好租赁参考价格首次发布后风险分析和应对、舆情引导和监测、政策解读、异议处理和反馈答疑等工作，根据反馈意见，对相关数据基础、评估模型、编制技术体系等进行优化</w:t>
            </w:r>
            <w:bookmarkStart w:id="2" w:name="OLE_LINK1"/>
            <w:r>
              <w:rPr>
                <w:rFonts w:hint="eastAsia" w:ascii="仿宋_GB2312" w:hAnsi="仿宋_GB2312" w:eastAsia="仿宋_GB2312" w:cs="仿宋_GB2312"/>
                <w:sz w:val="24"/>
                <w:szCs w:val="24"/>
                <w:highlight w:val="none"/>
              </w:rPr>
              <w:t xml:space="preserve">，做好 </w:t>
            </w:r>
            <w:r>
              <w:rPr>
                <w:rFonts w:hint="eastAsia" w:ascii="仿宋_GB2312" w:hAnsi="仿宋_GB2312" w:eastAsia="仿宋_GB2312" w:cs="仿宋_GB2312"/>
                <w:bCs/>
                <w:sz w:val="24"/>
                <w:szCs w:val="24"/>
                <w:highlight w:val="none"/>
              </w:rPr>
              <w:t>2023 年</w:t>
            </w:r>
            <w:r>
              <w:rPr>
                <w:rFonts w:hint="eastAsia" w:ascii="仿宋_GB2312" w:hAnsi="仿宋_GB2312" w:eastAsia="仿宋_GB2312" w:cs="仿宋_GB2312"/>
                <w:sz w:val="24"/>
                <w:szCs w:val="24"/>
                <w:highlight w:val="none"/>
              </w:rPr>
              <w:t>度房屋租赁参考价格发布前各项准备工作。编制</w:t>
            </w:r>
            <w:r>
              <w:rPr>
                <w:rFonts w:hint="eastAsia" w:ascii="仿宋_GB2312" w:hAnsi="仿宋_GB2312" w:eastAsia="仿宋_GB2312" w:cs="仿宋_GB2312"/>
                <w:bCs/>
                <w:sz w:val="24"/>
                <w:szCs w:val="24"/>
                <w:highlight w:val="none"/>
              </w:rPr>
              <w:t>全市办公用房租赁参考价格评估、商业办公租赁价格指数</w:t>
            </w:r>
            <w:bookmarkEnd w:id="2"/>
            <w:r>
              <w:rPr>
                <w:rFonts w:hint="eastAsia" w:ascii="仿宋_GB2312" w:hAnsi="仿宋_GB2312" w:eastAsia="仿宋_GB2312" w:cs="仿宋_GB2312"/>
                <w:bCs/>
                <w:sz w:val="24"/>
                <w:szCs w:val="24"/>
                <w:highlight w:val="none"/>
              </w:rPr>
              <w:t>。</w:t>
            </w:r>
          </w:p>
          <w:p>
            <w:pPr>
              <w:pStyle w:val="5"/>
              <w:spacing w:line="240" w:lineRule="auto"/>
              <w:ind w:firstLine="481" w:firstLineChars="200"/>
              <w:jc w:val="both"/>
              <w:rPr>
                <w:rFonts w:eastAsia="楷体_GB2312"/>
                <w:color w:val="FF0000"/>
                <w:szCs w:val="21"/>
                <w:highlight w:val="none"/>
              </w:rPr>
            </w:pPr>
            <w:r>
              <w:rPr>
                <w:rFonts w:hint="eastAsia" w:ascii="仿宋_GB2312" w:hAnsi="仿宋_GB2312" w:eastAsia="仿宋_GB2312" w:cs="仿宋_GB2312"/>
                <w:b/>
                <w:sz w:val="24"/>
                <w:szCs w:val="24"/>
                <w:highlight w:val="none"/>
              </w:rPr>
              <w:t>五是强化住有宜居和工程建设标准、建筑碳达峰的研究和技术支持工作。</w:t>
            </w:r>
            <w:r>
              <w:rPr>
                <w:rFonts w:hint="eastAsia" w:ascii="仿宋_GB2312" w:hAnsi="仿宋_GB2312" w:eastAsia="仿宋_GB2312" w:cs="仿宋_GB2312"/>
                <w:bCs/>
                <w:sz w:val="24"/>
                <w:szCs w:val="24"/>
                <w:highlight w:val="none"/>
              </w:rPr>
              <w:t>配合开展深圳一流宜居城市建设跟踪评价，针对老旧小区改造及既有住宅加装电梯工作的政策难点和实施堵点研究，深圳市物业管理居民满意度提升研究。持续完善工程建设地方标准的质量进度把控工作，建立完善BIM、CIM、绿色建筑、建筑低碳等一系列重点发展领域标准体系架构，探索标准国际化发展路径。持续推进建筑碳达峰研究专项工作，高质量完成建筑基础信息与能耗调查工作，建设建筑领域碳排放监测管理系统，推进编制深圳市公共建筑能耗分级等标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2" w:hRule="atLeast"/>
          <w:jc w:val="center"/>
        </w:trPr>
        <w:tc>
          <w:tcPr>
            <w:tcW w:w="3261" w:type="dxa"/>
            <w:gridSpan w:val="3"/>
            <w:vMerge w:val="restart"/>
            <w:noWrap w:val="0"/>
            <w:vAlign w:val="top"/>
          </w:tcPr>
          <w:p>
            <w:pPr>
              <w:ind w:left="59"/>
              <w:rPr>
                <w:rFonts w:hint="eastAsia" w:eastAsia="楷体_GB2312"/>
                <w:color w:val="FF0000"/>
                <w:sz w:val="32"/>
                <w:szCs w:val="32"/>
                <w:highlight w:val="none"/>
                <w:lang w:eastAsia="zh-CN"/>
              </w:rPr>
            </w:pPr>
          </w:p>
          <w:p>
            <w:pPr>
              <w:ind w:left="59"/>
              <w:rPr>
                <w:rFonts w:hint="eastAsia" w:eastAsia="楷体_GB2312"/>
                <w:color w:val="FF0000"/>
                <w:sz w:val="32"/>
                <w:szCs w:val="32"/>
                <w:highlight w:val="none"/>
                <w:lang w:eastAsia="zh-CN"/>
              </w:rPr>
            </w:pPr>
          </w:p>
          <w:p>
            <w:pPr>
              <w:ind w:left="59"/>
              <w:jc w:val="center"/>
              <w:rPr>
                <w:rFonts w:hint="eastAsia" w:eastAsia="楷体_GB2312"/>
                <w:color w:val="FF0000"/>
                <w:sz w:val="32"/>
                <w:szCs w:val="32"/>
                <w:highlight w:val="none"/>
                <w:lang w:eastAsia="zh-CN"/>
              </w:rPr>
            </w:pPr>
            <w:r>
              <w:rPr>
                <w:rFonts w:hint="eastAsia" w:eastAsia="楷体_GB2312"/>
                <w:color w:val="auto"/>
                <w:sz w:val="32"/>
                <w:szCs w:val="32"/>
                <w:highlight w:val="none"/>
                <w:lang w:eastAsia="zh-CN"/>
              </w:rPr>
              <w:t>公益服务投入</w:t>
            </w: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经费来源</w:t>
            </w:r>
          </w:p>
        </w:tc>
        <w:tc>
          <w:tcPr>
            <w:tcW w:w="2855"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r>
              <w:rPr>
                <w:rFonts w:hint="eastAsia" w:ascii="Times New Roman" w:hAnsi="Times New Roman" w:eastAsia="仿宋_GB2312" w:cs="Times New Roman"/>
                <w:bCs/>
                <w:sz w:val="24"/>
                <w:szCs w:val="24"/>
                <w:highlight w:val="none"/>
                <w:lang w:val="en-US" w:eastAsia="zh-CN"/>
              </w:rPr>
              <w:t>经费自理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lang w:eastAsia="zh-CN"/>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财务相关项目</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金额/比率</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备注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highlight w:val="none"/>
                <w:lang w:val="en-US" w:eastAsia="zh-CN"/>
              </w:rPr>
            </w:pPr>
            <w:r>
              <w:rPr>
                <w:rFonts w:hint="eastAsia" w:ascii="楷体_GB2312" w:eastAsia="楷体_GB2312"/>
                <w:color w:val="auto"/>
                <w:sz w:val="32"/>
                <w:szCs w:val="32"/>
                <w:highlight w:val="none"/>
                <w:lang w:eastAsia="zh-CN"/>
              </w:rPr>
              <w:t>开办资金（万元）</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24"/>
                <w:szCs w:val="24"/>
                <w:lang w:val="en-US" w:eastAsia="zh-CN"/>
              </w:rPr>
              <w:t>3000</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经费自给率（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24"/>
                <w:szCs w:val="24"/>
                <w:lang w:val="en-US" w:eastAsia="zh-CN"/>
              </w:rPr>
              <w:t>100</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人员支出占事业支出比率（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24"/>
                <w:szCs w:val="24"/>
              </w:rPr>
              <w:t>51.4</w:t>
            </w:r>
            <w:r>
              <w:rPr>
                <w:rFonts w:hint="eastAsia" w:ascii="仿宋_GB2312" w:hAnsi="仿宋_GB2312" w:eastAsia="仿宋_GB2312" w:cs="仿宋_GB2312"/>
                <w:sz w:val="24"/>
                <w:szCs w:val="24"/>
                <w:lang w:val="en-US" w:eastAsia="zh-CN"/>
              </w:rPr>
              <w:t>7</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公用支出占事业支出比率（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24"/>
                <w:szCs w:val="24"/>
              </w:rPr>
              <w:t>6.16</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资产负债率（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24"/>
                <w:szCs w:val="24"/>
              </w:rPr>
              <w:t>2.46</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收入增长率（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24"/>
                <w:szCs w:val="24"/>
              </w:rPr>
              <w:t>-42.05</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支出增长率（</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24"/>
                <w:szCs w:val="24"/>
              </w:rPr>
              <w:t>1.47</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highlight w:val="none"/>
              </w:rPr>
            </w:pPr>
          </w:p>
        </w:tc>
        <w:tc>
          <w:tcPr>
            <w:tcW w:w="260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收入支出比（</w:t>
            </w:r>
            <w:r>
              <w:rPr>
                <w:rFonts w:hint="eastAsia" w:ascii="楷体_GB2312" w:eastAsia="楷体_GB2312"/>
                <w:color w:val="auto"/>
                <w:sz w:val="32"/>
                <w:szCs w:val="32"/>
                <w:highlight w:val="none"/>
                <w:lang w:val="en-US" w:eastAsia="zh-CN"/>
              </w:rPr>
              <w:t>%</w:t>
            </w:r>
            <w:r>
              <w:rPr>
                <w:rFonts w:hint="eastAsia" w:ascii="楷体_GB2312" w:eastAsia="楷体_GB2312"/>
                <w:color w:val="auto"/>
                <w:sz w:val="32"/>
                <w:szCs w:val="32"/>
                <w:highlight w:val="none"/>
                <w:lang w:eastAsia="zh-CN"/>
              </w:rPr>
              <w:t>）</w:t>
            </w:r>
          </w:p>
        </w:tc>
        <w:tc>
          <w:tcPr>
            <w:tcW w:w="118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24"/>
                <w:szCs w:val="24"/>
                <w:lang w:val="en-US" w:eastAsia="zh-CN"/>
              </w:rPr>
              <w:t>141.80</w:t>
            </w:r>
          </w:p>
        </w:tc>
        <w:tc>
          <w:tcPr>
            <w:tcW w:w="16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3261" w:type="dxa"/>
            <w:gridSpan w:val="3"/>
            <w:vMerge w:val="restart"/>
            <w:noWrap w:val="0"/>
            <w:vAlign w:val="top"/>
          </w:tcPr>
          <w:p>
            <w:pPr>
              <w:ind w:left="59"/>
              <w:rPr>
                <w:rFonts w:hint="eastAsia" w:eastAsia="楷体_GB2312"/>
                <w:color w:val="FF0000"/>
                <w:sz w:val="32"/>
                <w:szCs w:val="32"/>
                <w:highlight w:val="none"/>
                <w:lang w:eastAsia="zh-CN"/>
              </w:rPr>
            </w:pPr>
            <w:r>
              <w:rPr>
                <w:rFonts w:hint="eastAsia" w:eastAsia="楷体_GB2312"/>
                <w:color w:val="auto"/>
                <w:sz w:val="32"/>
                <w:szCs w:val="32"/>
                <w:highlight w:val="none"/>
                <w:lang w:eastAsia="zh-CN"/>
              </w:rPr>
              <w:t>其他组织利用国有资产举办事业单位情况</w:t>
            </w: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党组织建设情况（如有则填写）</w:t>
            </w:r>
          </w:p>
        </w:tc>
        <w:tc>
          <w:tcPr>
            <w:tcW w:w="3639" w:type="dxa"/>
            <w:gridSpan w:val="7"/>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Calibri" w:hAnsi="Calibri" w:eastAsia="楷体_GB2312" w:cs="Times New Roman"/>
                <w:color w:val="auto"/>
                <w:kern w:val="2"/>
                <w:sz w:val="24"/>
                <w:szCs w:val="24"/>
                <w:highlight w:val="none"/>
                <w:u w:val="none"/>
                <w:lang w:val="en-US" w:eastAsia="zh-CN" w:bidi="ar"/>
              </w:rPr>
              <w:br w:type="textWrapping"/>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3" w:hRule="atLeast"/>
          <w:jc w:val="center"/>
        </w:trPr>
        <w:tc>
          <w:tcPr>
            <w:tcW w:w="3261" w:type="dxa"/>
            <w:gridSpan w:val="3"/>
            <w:vMerge w:val="continue"/>
            <w:noWrap w:val="0"/>
            <w:vAlign w:val="top"/>
          </w:tcPr>
          <w:p>
            <w:pPr>
              <w:ind w:left="59"/>
              <w:rPr>
                <w:rFonts w:hint="eastAsia" w:eastAsia="楷体_GB2312"/>
                <w:color w:val="FF0000"/>
                <w:sz w:val="32"/>
                <w:szCs w:val="32"/>
                <w:highlight w:val="none"/>
                <w:lang w:eastAsia="zh-CN"/>
              </w:rPr>
            </w:pPr>
          </w:p>
        </w:tc>
        <w:tc>
          <w:tcPr>
            <w:tcW w:w="1819" w:type="dxa"/>
            <w:gridSpan w:val="8"/>
            <w:vMerge w:val="restart"/>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理事会运行情况</w:t>
            </w:r>
          </w:p>
        </w:tc>
        <w:tc>
          <w:tcPr>
            <w:tcW w:w="1969"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人员组成情况</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before="313" w:beforeLines="100" w:line="52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hint="eastAsia" w:eastAsia="楷体_GB2312"/>
                <w:color w:val="FF0000"/>
                <w:sz w:val="32"/>
                <w:szCs w:val="32"/>
                <w:highlight w:val="none"/>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c>
          <w:tcPr>
            <w:tcW w:w="1969"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召开会议情况</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before="313" w:beforeLines="100" w:line="52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8" w:hRule="atLeast"/>
          <w:jc w:val="center"/>
        </w:trPr>
        <w:tc>
          <w:tcPr>
            <w:tcW w:w="3261" w:type="dxa"/>
            <w:gridSpan w:val="3"/>
            <w:vMerge w:val="continue"/>
            <w:noWrap w:val="0"/>
            <w:vAlign w:val="top"/>
          </w:tcPr>
          <w:p>
            <w:pPr>
              <w:ind w:left="59"/>
              <w:rPr>
                <w:rFonts w:hint="eastAsia" w:eastAsia="楷体_GB2312"/>
                <w:color w:val="FF0000"/>
                <w:sz w:val="32"/>
                <w:szCs w:val="32"/>
                <w:highlight w:val="none"/>
                <w:lang w:eastAsia="zh-CN"/>
              </w:rPr>
            </w:pPr>
          </w:p>
        </w:tc>
        <w:tc>
          <w:tcPr>
            <w:tcW w:w="1819" w:type="dxa"/>
            <w:gridSpan w:val="8"/>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p>
        </w:tc>
        <w:tc>
          <w:tcPr>
            <w:tcW w:w="1969"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决策决议情况</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CESI仿宋-GB2312" w:hAnsi="CESI仿宋-GB2312" w:eastAsia="CESI仿宋-GB2312" w:cs="CESI仿宋-GB2312"/>
                <w:color w:val="auto"/>
                <w:sz w:val="24"/>
                <w:szCs w:val="24"/>
                <w:highlight w:val="none"/>
                <w:lang w:eastAsia="zh-CN"/>
              </w:rPr>
              <w:t>审议通过中心理事会章程、中心员额人员规模、员额人员管理办法、岗位管理办法。</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jc w:val="center"/>
        </w:trPr>
        <w:tc>
          <w:tcPr>
            <w:tcW w:w="3261" w:type="dxa"/>
            <w:gridSpan w:val="3"/>
            <w:vMerge w:val="continue"/>
            <w:noWrap w:val="0"/>
            <w:vAlign w:val="top"/>
          </w:tcPr>
          <w:p>
            <w:pPr>
              <w:ind w:left="59"/>
              <w:rPr>
                <w:rFonts w:hint="eastAsia" w:eastAsia="楷体_GB2312"/>
                <w:color w:val="FF0000"/>
                <w:sz w:val="32"/>
                <w:szCs w:val="32"/>
                <w:highlight w:val="none"/>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兴办企业情况</w:t>
            </w:r>
          </w:p>
        </w:tc>
        <w:tc>
          <w:tcPr>
            <w:tcW w:w="1969" w:type="dxa"/>
            <w:gridSpan w:val="5"/>
            <w:noWrap w:val="0"/>
            <w:vAlign w:val="top"/>
          </w:tcPr>
          <w:p>
            <w:pPr>
              <w:keepNext w:val="0"/>
              <w:keepLines w:val="0"/>
              <w:pageBreakBefore w:val="0"/>
              <w:widowControl w:val="0"/>
              <w:kinsoku/>
              <w:wordWrap/>
              <w:overflowPunct/>
              <w:topLinePunct w:val="0"/>
              <w:autoSpaceDE/>
              <w:autoSpaceDN/>
              <w:bidi w:val="0"/>
              <w:adjustRightInd/>
              <w:snapToGrid/>
              <w:spacing w:before="157" w:beforeLines="50" w:line="52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CESI仿宋-GB2312" w:hAnsi="CESI仿宋-GB2312" w:eastAsia="CESI仿宋-GB2312" w:cs="CESI仿宋-GB2312"/>
                <w:color w:val="auto"/>
                <w:sz w:val="24"/>
                <w:szCs w:val="24"/>
                <w:highlight w:val="none"/>
                <w:lang w:eastAsia="zh-CN"/>
              </w:rPr>
              <w:t>无</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8" w:hRule="atLeast"/>
          <w:jc w:val="center"/>
        </w:trPr>
        <w:tc>
          <w:tcPr>
            <w:tcW w:w="3261" w:type="dxa"/>
            <w:gridSpan w:val="3"/>
            <w:noWrap w:val="0"/>
            <w:vAlign w:val="top"/>
          </w:tcPr>
          <w:p>
            <w:pPr>
              <w:ind w:left="59"/>
              <w:rPr>
                <w:rFonts w:hint="eastAsia" w:eastAsia="楷体_GB2312"/>
                <w:color w:val="FF0000"/>
                <w:sz w:val="32"/>
                <w:szCs w:val="32"/>
                <w:highlight w:val="none"/>
                <w:lang w:eastAsia="zh-CN"/>
              </w:rPr>
            </w:pPr>
          </w:p>
        </w:tc>
        <w:tc>
          <w:tcPr>
            <w:tcW w:w="1819"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国有资产投入使用情况</w:t>
            </w:r>
          </w:p>
        </w:tc>
        <w:tc>
          <w:tcPr>
            <w:tcW w:w="1969"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CESI仿宋-GB2312" w:hAnsi="CESI仿宋-GB2312" w:eastAsia="CESI仿宋-GB2312" w:cs="CESI仿宋-GB2312"/>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r>
              <w:rPr>
                <w:rFonts w:hint="eastAsia" w:ascii="CESI仿宋-GB2312" w:hAnsi="CESI仿宋-GB2312" w:eastAsia="CESI仿宋-GB2312" w:cs="CESI仿宋-GB2312"/>
                <w:color w:val="auto"/>
                <w:sz w:val="24"/>
                <w:szCs w:val="24"/>
                <w:highlight w:val="none"/>
                <w:lang w:eastAsia="zh-CN"/>
              </w:rPr>
              <w:t>无</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55"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报告</w:t>
            </w:r>
            <w:r>
              <w:rPr>
                <w:rFonts w:eastAsia="楷体_GB2312"/>
                <w:color w:val="auto"/>
                <w:sz w:val="32"/>
                <w:szCs w:val="32"/>
                <w:highlight w:val="none"/>
              </w:rPr>
              <w:t>中</w:t>
            </w:r>
            <w:r>
              <w:rPr>
                <w:rFonts w:hint="eastAsia" w:eastAsia="楷体_GB2312"/>
                <w:color w:val="auto"/>
                <w:sz w:val="32"/>
                <w:szCs w:val="32"/>
                <w:highlight w:val="none"/>
              </w:rPr>
              <w:t>其他需要说明</w:t>
            </w:r>
            <w:r>
              <w:rPr>
                <w:rFonts w:eastAsia="楷体_GB2312"/>
                <w:color w:val="auto"/>
                <w:sz w:val="32"/>
                <w:szCs w:val="32"/>
                <w:highlight w:val="none"/>
              </w:rPr>
              <w:t>的情况</w:t>
            </w:r>
          </w:p>
        </w:tc>
        <w:tc>
          <w:tcPr>
            <w:tcW w:w="5458" w:type="dxa"/>
            <w:gridSpan w:val="15"/>
            <w:noWrap w:val="0"/>
            <w:vAlign w:val="top"/>
          </w:tcPr>
          <w:p>
            <w:pPr>
              <w:ind w:left="59"/>
              <w:rPr>
                <w:rFonts w:hint="eastAsia" w:eastAsia="楷体_GB2312"/>
                <w:color w:val="auto"/>
                <w:szCs w:val="21"/>
                <w:highlight w:val="none"/>
              </w:rPr>
            </w:pPr>
          </w:p>
          <w:p>
            <w:pPr>
              <w:ind w:left="59"/>
              <w:rPr>
                <w:rFonts w:eastAsia="楷体_GB2312"/>
                <w:color w:val="auto"/>
                <w:sz w:val="32"/>
                <w:szCs w:val="32"/>
                <w:highlight w:val="none"/>
              </w:rPr>
            </w:pPr>
            <w:r>
              <w:rPr>
                <w:rFonts w:hint="eastAsia" w:ascii="CESI仿宋-GB2312" w:hAnsi="CESI仿宋-GB2312" w:eastAsia="CESI仿宋-GB2312" w:cs="CESI仿宋-GB2312"/>
                <w:color w:val="auto"/>
                <w:sz w:val="28"/>
                <w:szCs w:val="28"/>
                <w:highlight w:val="none"/>
                <w:lang w:eastAsia="zh-CN"/>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20" w:hRule="atLeast"/>
          <w:jc w:val="center"/>
        </w:trPr>
        <w:tc>
          <w:tcPr>
            <w:tcW w:w="3261" w:type="dxa"/>
            <w:gridSpan w:val="3"/>
            <w:noWrap w:val="0"/>
            <w:vAlign w:val="top"/>
          </w:tcPr>
          <w:p>
            <w:pPr>
              <w:ind w:left="59"/>
              <w:rPr>
                <w:rFonts w:eastAsia="楷体_GB2312"/>
                <w:color w:val="auto"/>
                <w:sz w:val="32"/>
                <w:szCs w:val="32"/>
                <w:highlight w:val="none"/>
              </w:rPr>
            </w:pPr>
            <w:r>
              <w:rPr>
                <w:rFonts w:hint="eastAsia" w:eastAsia="楷体_GB2312"/>
                <w:color w:val="auto"/>
                <w:sz w:val="32"/>
                <w:szCs w:val="32"/>
                <w:highlight w:val="none"/>
              </w:rPr>
              <w:t>举办单位是否对</w:t>
            </w:r>
            <w:r>
              <w:rPr>
                <w:rFonts w:eastAsia="楷体_GB2312"/>
                <w:color w:val="auto"/>
                <w:sz w:val="32"/>
                <w:szCs w:val="32"/>
                <w:highlight w:val="none"/>
              </w:rPr>
              <w:t>本</w:t>
            </w:r>
            <w:r>
              <w:rPr>
                <w:rFonts w:hint="eastAsia" w:eastAsia="楷体_GB2312"/>
                <w:color w:val="auto"/>
                <w:sz w:val="32"/>
                <w:szCs w:val="32"/>
                <w:highlight w:val="none"/>
              </w:rPr>
              <w:t>年度报告书</w:t>
            </w:r>
            <w:r>
              <w:rPr>
                <w:rFonts w:eastAsia="楷体_GB2312"/>
                <w:color w:val="auto"/>
                <w:sz w:val="32"/>
                <w:szCs w:val="32"/>
                <w:highlight w:val="none"/>
              </w:rPr>
              <w:t>进行审查</w:t>
            </w:r>
          </w:p>
        </w:tc>
        <w:tc>
          <w:tcPr>
            <w:tcW w:w="5458" w:type="dxa"/>
            <w:gridSpan w:val="15"/>
            <w:noWrap w:val="0"/>
            <w:vAlign w:val="top"/>
          </w:tcPr>
          <w:p>
            <w:pPr>
              <w:rPr>
                <w:rFonts w:hint="eastAsia" w:eastAsia="楷体_GB2312"/>
                <w:color w:val="auto"/>
                <w:sz w:val="32"/>
                <w:szCs w:val="32"/>
                <w:highlight w:val="none"/>
                <w:lang w:val="en-US" w:eastAsia="zh-CN"/>
              </w:rPr>
            </w:pPr>
            <w:r>
              <w:rPr>
                <w:rFonts w:hint="eastAsia" w:eastAsia="楷体_GB2312"/>
                <w:color w:val="auto"/>
                <w:sz w:val="32"/>
                <w:szCs w:val="32"/>
                <w:highlight w:val="none"/>
                <w:lang w:eastAsia="zh-CN"/>
              </w:rPr>
              <w:t>经举办单位审查，可以向社会公示。☑</w:t>
            </w:r>
            <w:r>
              <w:rPr>
                <w:rFonts w:hint="eastAsia" w:eastAsia="楷体_GB2312"/>
                <w:color w:val="auto"/>
                <w:sz w:val="32"/>
                <w:szCs w:val="32"/>
                <w:highlight w:val="none"/>
                <w:lang w:val="en-US" w:eastAsia="zh-CN"/>
              </w:rPr>
              <w:t xml:space="preserve"> </w:t>
            </w:r>
          </w:p>
          <w:p>
            <w:pPr>
              <w:ind w:left="59"/>
              <w:rPr>
                <w:rFonts w:hint="eastAsia" w:eastAsia="楷体_GB2312"/>
                <w:color w:val="auto"/>
                <w:sz w:val="32"/>
                <w:szCs w:val="32"/>
                <w:highlight w:val="none"/>
                <w:lang w:val="en-US" w:eastAsia="zh-CN"/>
              </w:rPr>
            </w:pPr>
            <w:r>
              <w:rPr>
                <w:rFonts w:hint="eastAsia" w:eastAsia="楷体_GB2312"/>
                <w:color w:val="auto"/>
                <w:sz w:val="32"/>
                <w:szCs w:val="32"/>
                <w:highlight w:val="none"/>
                <w:lang w:eastAsia="zh-CN"/>
              </w:rPr>
              <w:t>经举办单位审查，</w:t>
            </w:r>
            <w:r>
              <w:rPr>
                <w:rFonts w:hint="eastAsia" w:eastAsia="楷体_GB2312"/>
                <w:color w:val="auto"/>
                <w:sz w:val="32"/>
                <w:szCs w:val="32"/>
                <w:highlight w:val="none"/>
                <w:lang w:val="en-US" w:eastAsia="zh-CN"/>
              </w:rPr>
              <w:t>不宜向社会公示。</w:t>
            </w:r>
            <w:r>
              <w:rPr>
                <w:rFonts w:hint="eastAsia" w:eastAsia="楷体_GB2312"/>
                <w:color w:val="auto"/>
                <w:sz w:val="32"/>
                <w:szCs w:val="32"/>
                <w:highlight w:val="none"/>
                <w:lang w:eastAsia="zh-CN"/>
              </w:rPr>
              <w:t>□</w:t>
            </w:r>
            <w:r>
              <w:rPr>
                <w:rFonts w:hint="eastAsia" w:eastAsia="楷体_GB2312"/>
                <w:color w:val="auto"/>
                <w:sz w:val="32"/>
                <w:szCs w:val="32"/>
                <w:highlight w:val="none"/>
                <w:lang w:val="en-US" w:eastAsia="zh-CN"/>
              </w:rPr>
              <w:t xml:space="preserve">  </w:t>
            </w:r>
          </w:p>
          <w:p>
            <w:pPr>
              <w:ind w:left="59"/>
              <w:rPr>
                <w:rFonts w:hint="eastAsia" w:eastAsia="楷体_GB2312"/>
                <w:color w:val="auto"/>
                <w:sz w:val="32"/>
                <w:szCs w:val="32"/>
                <w:highlight w:val="none"/>
                <w:lang w:val="en-US" w:eastAsia="zh-CN"/>
              </w:rPr>
            </w:pPr>
            <w:r>
              <w:rPr>
                <w:rFonts w:hint="eastAsia" w:eastAsia="楷体_GB2312"/>
                <w:color w:val="auto"/>
                <w:sz w:val="32"/>
                <w:szCs w:val="32"/>
                <w:highlight w:val="none"/>
                <w:lang w:eastAsia="zh-CN"/>
              </w:rPr>
              <w:t>审查时间：</w:t>
            </w:r>
            <w:r>
              <w:rPr>
                <w:rFonts w:hint="eastAsia" w:eastAsia="楷体_GB2312"/>
                <w:color w:val="auto"/>
                <w:sz w:val="32"/>
                <w:szCs w:val="32"/>
                <w:highlight w:val="none"/>
                <w:lang w:val="en-US" w:eastAsia="zh-CN"/>
              </w:rPr>
              <w:t>2023年3月27日</w:t>
            </w:r>
            <w:r>
              <w:rPr>
                <w:rFonts w:hint="eastAsia" w:eastAsia="楷体_GB2312"/>
                <w:color w:val="auto"/>
                <w:sz w:val="32"/>
                <w:szCs w:val="32"/>
                <w:highlight w:val="none"/>
                <w:lang w:eastAsia="zh-CN"/>
              </w:rPr>
              <w:t>（举办单位公章）</w:t>
            </w:r>
            <w:r>
              <w:rPr>
                <w:rFonts w:hint="eastAsia" w:eastAsia="楷体_GB2312"/>
                <w:color w:val="auto"/>
                <w:sz w:val="32"/>
                <w:szCs w:val="32"/>
                <w:highlight w:val="none"/>
                <w:lang w:val="en-US" w:eastAsia="zh-CN"/>
              </w:rPr>
              <w:t xml:space="preserve"> </w:t>
            </w:r>
          </w:p>
          <w:p>
            <w:pPr>
              <w:ind w:left="59"/>
              <w:rPr>
                <w:rFonts w:eastAsia="楷体_GB2312"/>
                <w:color w:val="auto"/>
                <w:sz w:val="32"/>
                <w:szCs w:val="32"/>
                <w:highlight w:val="none"/>
              </w:rPr>
            </w:pPr>
            <w:r>
              <w:rPr>
                <w:rFonts w:hint="eastAsia" w:eastAsia="楷体_GB2312"/>
                <w:color w:val="auto"/>
                <w:sz w:val="32"/>
                <w:szCs w:val="32"/>
                <w:highlight w:val="none"/>
                <w:lang w:val="en-US" w:eastAsia="zh-CN"/>
              </w:rPr>
              <w:t>未经举办单位审查</w:t>
            </w:r>
            <w:r>
              <w:rPr>
                <w:rFonts w:hint="eastAsia" w:eastAsia="楷体_GB2312"/>
                <w:color w:val="auto"/>
                <w:sz w:val="32"/>
                <w:szCs w:val="32"/>
                <w:highlight w:val="none"/>
                <w:lang w:eastAsia="zh-CN"/>
              </w:rPr>
              <w:t>□，具体原因：</w:t>
            </w:r>
            <w:r>
              <w:rPr>
                <w:rFonts w:hint="eastAsia" w:eastAsia="楷体_GB2312"/>
                <w:color w:val="auto"/>
                <w:sz w:val="32"/>
                <w:szCs w:val="32"/>
                <w:highlight w:val="none"/>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restart"/>
            <w:noWrap w:val="0"/>
            <w:vAlign w:val="top"/>
          </w:tcPr>
          <w:p>
            <w:pPr>
              <w:rPr>
                <w:rFonts w:eastAsia="楷体_GB2312"/>
                <w:color w:val="auto"/>
                <w:sz w:val="32"/>
                <w:szCs w:val="32"/>
                <w:highlight w:val="none"/>
              </w:rPr>
            </w:pPr>
            <w:r>
              <w:rPr>
                <w:rFonts w:hint="eastAsia" w:eastAsia="楷体_GB2312"/>
                <w:color w:val="auto"/>
                <w:sz w:val="32"/>
                <w:szCs w:val="32"/>
                <w:highlight w:val="none"/>
              </w:rPr>
              <w:t>报告联系人</w:t>
            </w:r>
          </w:p>
        </w:tc>
        <w:tc>
          <w:tcPr>
            <w:tcW w:w="1137" w:type="dxa"/>
            <w:gridSpan w:val="5"/>
            <w:noWrap w:val="0"/>
            <w:vAlign w:val="top"/>
          </w:tcPr>
          <w:p>
            <w:pPr>
              <w:keepNext w:val="0"/>
              <w:keepLines w:val="0"/>
              <w:pageBreakBefore w:val="0"/>
              <w:widowControl w:val="0"/>
              <w:kinsoku/>
              <w:wordWrap/>
              <w:overflowPunct/>
              <w:topLinePunct w:val="0"/>
              <w:autoSpaceDE/>
              <w:autoSpaceDN/>
              <w:bidi w:val="0"/>
              <w:adjustRightInd/>
              <w:snapToGrid/>
              <w:spacing w:before="313" w:beforeLines="100"/>
              <w:ind w:left="0" w:firstLine="160" w:firstLineChars="50"/>
              <w:jc w:val="center"/>
              <w:textAlignment w:val="auto"/>
              <w:rPr>
                <w:rFonts w:hint="eastAsia" w:eastAsia="楷体_GB2312"/>
                <w:color w:val="auto"/>
                <w:sz w:val="32"/>
                <w:szCs w:val="32"/>
                <w:highlight w:val="none"/>
              </w:rPr>
            </w:pPr>
            <w:r>
              <w:rPr>
                <w:rFonts w:hint="eastAsia" w:eastAsia="楷体_GB2312"/>
                <w:color w:val="auto"/>
                <w:sz w:val="32"/>
                <w:szCs w:val="32"/>
                <w:highlight w:val="none"/>
              </w:rPr>
              <w:t>姓名</w:t>
            </w:r>
          </w:p>
        </w:tc>
        <w:tc>
          <w:tcPr>
            <w:tcW w:w="2651" w:type="dxa"/>
            <w:gridSpan w:val="8"/>
            <w:noWrap w:val="0"/>
            <w:vAlign w:val="top"/>
          </w:tcPr>
          <w:p>
            <w:pPr>
              <w:jc w:val="center"/>
              <w:rPr>
                <w:rFonts w:hint="eastAsia" w:eastAsia="楷体_GB2312"/>
                <w:color w:val="auto"/>
                <w:sz w:val="32"/>
                <w:szCs w:val="32"/>
                <w:highlight w:val="none"/>
              </w:rPr>
            </w:pPr>
            <w:r>
              <w:rPr>
                <w:rFonts w:hint="eastAsia" w:eastAsia="楷体_GB2312"/>
                <w:color w:val="auto"/>
                <w:sz w:val="32"/>
                <w:szCs w:val="32"/>
                <w:highlight w:val="none"/>
              </w:rPr>
              <w:t>办公</w:t>
            </w:r>
            <w:r>
              <w:rPr>
                <w:rFonts w:hint="eastAsia" w:eastAsia="楷体_GB2312"/>
                <w:color w:val="auto"/>
                <w:sz w:val="32"/>
                <w:szCs w:val="32"/>
                <w:highlight w:val="none"/>
              </w:rPr>
              <w:br w:type="textWrapping"/>
            </w:r>
            <w:r>
              <w:rPr>
                <w:rFonts w:hint="eastAsia" w:eastAsia="楷体_GB2312"/>
                <w:color w:val="auto"/>
                <w:sz w:val="32"/>
                <w:szCs w:val="32"/>
                <w:highlight w:val="none"/>
              </w:rPr>
              <w:t>电话</w:t>
            </w:r>
          </w:p>
        </w:tc>
        <w:tc>
          <w:tcPr>
            <w:tcW w:w="1670" w:type="dxa"/>
            <w:gridSpan w:val="2"/>
            <w:noWrap w:val="0"/>
            <w:vAlign w:val="top"/>
          </w:tcPr>
          <w:p>
            <w:pPr>
              <w:keepNext w:val="0"/>
              <w:keepLines w:val="0"/>
              <w:pageBreakBefore w:val="0"/>
              <w:widowControl w:val="0"/>
              <w:kinsoku/>
              <w:wordWrap/>
              <w:overflowPunct/>
              <w:topLinePunct w:val="0"/>
              <w:autoSpaceDE/>
              <w:autoSpaceDN/>
              <w:bidi w:val="0"/>
              <w:adjustRightInd/>
              <w:snapToGrid/>
              <w:spacing w:before="313" w:beforeLines="100"/>
              <w:textAlignment w:val="auto"/>
              <w:rPr>
                <w:rFonts w:eastAsia="楷体_GB2312"/>
                <w:color w:val="auto"/>
                <w:sz w:val="32"/>
                <w:szCs w:val="32"/>
                <w:highlight w:val="none"/>
              </w:rPr>
            </w:pPr>
            <w:r>
              <w:rPr>
                <w:rFonts w:hint="eastAsia" w:eastAsia="楷体_GB2312"/>
                <w:color w:val="auto"/>
                <w:sz w:val="32"/>
                <w:szCs w:val="32"/>
                <w:highlight w:val="none"/>
              </w:rPr>
              <w:t>电子邮箱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3261" w:type="dxa"/>
            <w:gridSpan w:val="3"/>
            <w:vMerge w:val="continue"/>
            <w:noWrap w:val="0"/>
            <w:vAlign w:val="top"/>
          </w:tcPr>
          <w:p>
            <w:pPr>
              <w:ind w:left="59"/>
              <w:rPr>
                <w:rFonts w:eastAsia="楷体_GB2312"/>
                <w:color w:val="auto"/>
                <w:sz w:val="32"/>
                <w:szCs w:val="32"/>
                <w:highlight w:val="none"/>
              </w:rPr>
            </w:pPr>
          </w:p>
        </w:tc>
        <w:tc>
          <w:tcPr>
            <w:tcW w:w="1137" w:type="dxa"/>
            <w:gridSpan w:val="5"/>
            <w:noWrap w:val="0"/>
            <w:vAlign w:val="top"/>
          </w:tcPr>
          <w:p>
            <w:pPr>
              <w:ind w:left="59"/>
              <w:jc w:val="center"/>
              <w:rPr>
                <w:rFonts w:eastAsia="楷体_GB2312"/>
                <w:color w:val="auto"/>
                <w:sz w:val="32"/>
                <w:szCs w:val="32"/>
                <w:highlight w:val="none"/>
              </w:rPr>
            </w:pPr>
            <w:r>
              <w:rPr>
                <w:rFonts w:hint="eastAsia" w:ascii="Times New Roman" w:hAnsi="Times New Roman" w:eastAsia="仿宋_GB2312"/>
                <w:sz w:val="24"/>
                <w:szCs w:val="24"/>
                <w:highlight w:val="none"/>
              </w:rPr>
              <w:t>魏蓓</w:t>
            </w:r>
          </w:p>
        </w:tc>
        <w:tc>
          <w:tcPr>
            <w:tcW w:w="2651" w:type="dxa"/>
            <w:gridSpan w:val="8"/>
            <w:noWrap w:val="0"/>
            <w:vAlign w:val="top"/>
          </w:tcPr>
          <w:p>
            <w:pPr>
              <w:ind w:left="59"/>
              <w:jc w:val="center"/>
              <w:rPr>
                <w:rFonts w:eastAsia="楷体_GB2312"/>
                <w:color w:val="auto"/>
                <w:sz w:val="32"/>
                <w:szCs w:val="32"/>
                <w:highlight w:val="none"/>
              </w:rPr>
            </w:pPr>
            <w:r>
              <w:rPr>
                <w:rFonts w:hint="eastAsia" w:ascii="Times New Roman" w:hAnsi="Times New Roman" w:eastAsia="仿宋_GB2312"/>
                <w:sz w:val="24"/>
                <w:szCs w:val="24"/>
                <w:highlight w:val="none"/>
              </w:rPr>
              <w:t>0755-</w:t>
            </w:r>
            <w:r>
              <w:rPr>
                <w:rFonts w:hint="eastAsia" w:ascii="Times New Roman" w:hAnsi="Times New Roman" w:eastAsia="仿宋_GB2312"/>
                <w:sz w:val="24"/>
                <w:szCs w:val="24"/>
                <w:highlight w:val="none"/>
                <w:lang w:val="en-US" w:eastAsia="zh-CN"/>
              </w:rPr>
              <w:t>83689871</w:t>
            </w:r>
          </w:p>
        </w:tc>
        <w:tc>
          <w:tcPr>
            <w:tcW w:w="1670" w:type="dxa"/>
            <w:gridSpan w:val="2"/>
            <w:noWrap w:val="0"/>
            <w:vAlign w:val="top"/>
          </w:tcPr>
          <w:p>
            <w:pPr>
              <w:ind w:left="59"/>
              <w:jc w:val="center"/>
              <w:rPr>
                <w:rFonts w:eastAsia="楷体_GB2312"/>
                <w:color w:val="auto"/>
                <w:sz w:val="32"/>
                <w:szCs w:val="32"/>
                <w:highlight w:val="none"/>
              </w:rPr>
            </w:pPr>
            <w:r>
              <w:rPr>
                <w:rFonts w:ascii="Times New Roman" w:hAnsi="Times New Roman" w:eastAsia="仿宋_GB2312"/>
                <w:sz w:val="24"/>
                <w:szCs w:val="24"/>
                <w:highlight w:val="none"/>
              </w:rPr>
              <w:t>yj_zhb@zjj.sz.gov.cn</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28"/>
          <w:szCs w:val="28"/>
          <w:shd w:val="clear" w:color="auto" w:fill="FFFFFF"/>
        </w:rPr>
        <w:t>（以上信息由事业单位法人进行真实性、准确性</w:t>
      </w:r>
      <w:r>
        <w:rPr>
          <w:rFonts w:hint="eastAsia" w:ascii="仿宋_GB2312" w:hAnsi="仿宋_GB2312" w:eastAsia="仿宋_GB2312" w:cs="仿宋_GB2312"/>
          <w:color w:val="auto"/>
          <w:sz w:val="28"/>
          <w:szCs w:val="28"/>
          <w:shd w:val="clear" w:color="auto" w:fill="FFFFFF"/>
          <w:lang w:eastAsia="zh-CN"/>
        </w:rPr>
        <w:t>、</w:t>
      </w:r>
      <w:r>
        <w:rPr>
          <w:rFonts w:hint="eastAsia" w:ascii="仿宋_GB2312" w:hAnsi="仿宋_GB2312" w:eastAsia="仿宋_GB2312" w:cs="仿宋_GB2312"/>
          <w:color w:val="auto"/>
          <w:sz w:val="28"/>
          <w:szCs w:val="28"/>
          <w:shd w:val="clear" w:color="auto" w:fill="FFFFFF"/>
        </w:rPr>
        <w:t>完整性审核和保密性审查后自行提供</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b w:val="0"/>
          <w:bCs w:val="0"/>
          <w:color w:val="auto"/>
          <w:sz w:val="28"/>
          <w:szCs w:val="28"/>
          <w:shd w:val="clear" w:color="auto" w:fill="FFFFFF"/>
          <w:lang w:eastAsia="zh-CN"/>
        </w:rPr>
        <w:t>并对全部</w:t>
      </w:r>
      <w:r>
        <w:rPr>
          <w:rFonts w:hint="eastAsia" w:ascii="仿宋_GB2312" w:hAnsi="仿宋_GB2312" w:eastAsia="仿宋_GB2312" w:cs="仿宋_GB2312"/>
          <w:b w:val="0"/>
          <w:bCs w:val="0"/>
          <w:color w:val="auto"/>
          <w:sz w:val="28"/>
          <w:szCs w:val="28"/>
          <w:shd w:val="clear" w:color="auto" w:fill="FFFFFF"/>
        </w:rPr>
        <w:t>信息内容的真实性、准确性</w:t>
      </w:r>
      <w:r>
        <w:rPr>
          <w:rFonts w:hint="eastAsia" w:ascii="仿宋_GB2312" w:hAnsi="仿宋_GB2312" w:eastAsia="仿宋_GB2312" w:cs="仿宋_GB2312"/>
          <w:b w:val="0"/>
          <w:bCs w:val="0"/>
          <w:color w:val="auto"/>
          <w:sz w:val="28"/>
          <w:szCs w:val="28"/>
          <w:shd w:val="clear" w:color="auto" w:fill="FFFFFF"/>
          <w:lang w:eastAsia="zh-CN"/>
        </w:rPr>
        <w:t>、</w:t>
      </w:r>
      <w:r>
        <w:rPr>
          <w:rFonts w:hint="eastAsia" w:ascii="仿宋_GB2312" w:hAnsi="仿宋_GB2312" w:eastAsia="仿宋_GB2312" w:cs="仿宋_GB2312"/>
          <w:b w:val="0"/>
          <w:bCs w:val="0"/>
          <w:color w:val="auto"/>
          <w:sz w:val="28"/>
          <w:szCs w:val="28"/>
          <w:shd w:val="clear" w:color="auto" w:fill="FFFFFF"/>
        </w:rPr>
        <w:t>完整性和合法性</w:t>
      </w:r>
      <w:r>
        <w:rPr>
          <w:rFonts w:hint="eastAsia" w:ascii="仿宋_GB2312" w:hAnsi="仿宋_GB2312" w:eastAsia="仿宋_GB2312" w:cs="仿宋_GB2312"/>
          <w:b w:val="0"/>
          <w:bCs w:val="0"/>
          <w:color w:val="auto"/>
          <w:sz w:val="28"/>
          <w:szCs w:val="28"/>
          <w:shd w:val="clear" w:color="auto" w:fill="FFFFFF"/>
          <w:lang w:eastAsia="zh-CN"/>
        </w:rPr>
        <w:t>负责</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color w:val="auto"/>
          <w:sz w:val="28"/>
          <w:szCs w:val="28"/>
          <w:shd w:val="clear" w:color="auto" w:fill="FFFFFF"/>
        </w:rPr>
        <w:t>）</w:t>
      </w:r>
    </w:p>
    <w:p/>
    <w:p>
      <w:pPr>
        <w:pStyle w:val="6"/>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黑体-GB2312">
    <w:panose1 w:val="02000500000000000000"/>
    <w:charset w:val="86"/>
    <w:family w:val="auto"/>
    <w:pitch w:val="default"/>
    <w:sig w:usb0="800002BF" w:usb1="184F6CF8" w:usb2="00000012" w:usb3="00000000" w:csb0="0004000F"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mZThlY2Q2MTUxODE0YmI1YzMwZWE1ZjIyMmZhNjkifQ=="/>
  </w:docVars>
  <w:rsids>
    <w:rsidRoot w:val="639F11F2"/>
    <w:rsid w:val="004D2B61"/>
    <w:rsid w:val="04846602"/>
    <w:rsid w:val="05EC3EB4"/>
    <w:rsid w:val="097DC45D"/>
    <w:rsid w:val="0BBFFCA0"/>
    <w:rsid w:val="0DBD85BF"/>
    <w:rsid w:val="0DF12EF5"/>
    <w:rsid w:val="0DF330C2"/>
    <w:rsid w:val="1287060E"/>
    <w:rsid w:val="12E4C56D"/>
    <w:rsid w:val="13F3585C"/>
    <w:rsid w:val="1497C3B9"/>
    <w:rsid w:val="1560216A"/>
    <w:rsid w:val="19F56AB4"/>
    <w:rsid w:val="1F7F9E8E"/>
    <w:rsid w:val="1FAE2AB6"/>
    <w:rsid w:val="28ED3EC6"/>
    <w:rsid w:val="294027E5"/>
    <w:rsid w:val="2C2F75FB"/>
    <w:rsid w:val="2DC80B28"/>
    <w:rsid w:val="2E7B5470"/>
    <w:rsid w:val="2EEFB39E"/>
    <w:rsid w:val="2F6E01C1"/>
    <w:rsid w:val="356FB711"/>
    <w:rsid w:val="35FF554A"/>
    <w:rsid w:val="367F5E73"/>
    <w:rsid w:val="376F03B4"/>
    <w:rsid w:val="38592C2B"/>
    <w:rsid w:val="3AF7D35D"/>
    <w:rsid w:val="3BAB0D97"/>
    <w:rsid w:val="3BEFE734"/>
    <w:rsid w:val="3DA7066E"/>
    <w:rsid w:val="3EAF8216"/>
    <w:rsid w:val="3EB78DC3"/>
    <w:rsid w:val="3F5719B0"/>
    <w:rsid w:val="3FBF0494"/>
    <w:rsid w:val="3FF70011"/>
    <w:rsid w:val="3FF7E583"/>
    <w:rsid w:val="40182927"/>
    <w:rsid w:val="417E3DFD"/>
    <w:rsid w:val="483F6DCD"/>
    <w:rsid w:val="4BFD84C3"/>
    <w:rsid w:val="52F782D3"/>
    <w:rsid w:val="53722A3B"/>
    <w:rsid w:val="537F254C"/>
    <w:rsid w:val="57D5A03F"/>
    <w:rsid w:val="58F35922"/>
    <w:rsid w:val="5BFD10DB"/>
    <w:rsid w:val="5CDAB4F6"/>
    <w:rsid w:val="5DB3F1B2"/>
    <w:rsid w:val="5DB60DEC"/>
    <w:rsid w:val="5E9EA1E1"/>
    <w:rsid w:val="5EBF34BF"/>
    <w:rsid w:val="5F7655A1"/>
    <w:rsid w:val="5FABC562"/>
    <w:rsid w:val="5FBF0BDD"/>
    <w:rsid w:val="639F11F2"/>
    <w:rsid w:val="63FB7ABE"/>
    <w:rsid w:val="65FF580B"/>
    <w:rsid w:val="67EED6BC"/>
    <w:rsid w:val="68F468B1"/>
    <w:rsid w:val="697F95A7"/>
    <w:rsid w:val="6BE7B607"/>
    <w:rsid w:val="6C772CCF"/>
    <w:rsid w:val="6CAE6A95"/>
    <w:rsid w:val="6CE70D3B"/>
    <w:rsid w:val="6EFD05F7"/>
    <w:rsid w:val="6FDBFFC1"/>
    <w:rsid w:val="6FFF3B24"/>
    <w:rsid w:val="6FFFF134"/>
    <w:rsid w:val="729FD4BE"/>
    <w:rsid w:val="73DF2D23"/>
    <w:rsid w:val="75691601"/>
    <w:rsid w:val="76BA1697"/>
    <w:rsid w:val="76BBD09E"/>
    <w:rsid w:val="7734247B"/>
    <w:rsid w:val="773EBBBD"/>
    <w:rsid w:val="77EFEC54"/>
    <w:rsid w:val="77FB4BC2"/>
    <w:rsid w:val="77FD0570"/>
    <w:rsid w:val="79CC0F1C"/>
    <w:rsid w:val="79E17C67"/>
    <w:rsid w:val="79FF9901"/>
    <w:rsid w:val="7A3EB6EA"/>
    <w:rsid w:val="7BEBC369"/>
    <w:rsid w:val="7BF57DE3"/>
    <w:rsid w:val="7BFC616E"/>
    <w:rsid w:val="7BFFC38F"/>
    <w:rsid w:val="7C7D4C4B"/>
    <w:rsid w:val="7CFBC865"/>
    <w:rsid w:val="7DDEB429"/>
    <w:rsid w:val="7DEFBFA9"/>
    <w:rsid w:val="7DFBD689"/>
    <w:rsid w:val="7DFD4EDB"/>
    <w:rsid w:val="7E28D648"/>
    <w:rsid w:val="7EE2B221"/>
    <w:rsid w:val="7EE77357"/>
    <w:rsid w:val="7F8EC725"/>
    <w:rsid w:val="7F9DA9E9"/>
    <w:rsid w:val="7FA7D023"/>
    <w:rsid w:val="7FBBEAE9"/>
    <w:rsid w:val="7FC7F78B"/>
    <w:rsid w:val="7FECA4E8"/>
    <w:rsid w:val="7FED86CC"/>
    <w:rsid w:val="7FEF156C"/>
    <w:rsid w:val="7FFBFA94"/>
    <w:rsid w:val="7FFF44E8"/>
    <w:rsid w:val="7FFF6BAF"/>
    <w:rsid w:val="867B4DC6"/>
    <w:rsid w:val="963BB663"/>
    <w:rsid w:val="9DFF22EF"/>
    <w:rsid w:val="9E3F0CD3"/>
    <w:rsid w:val="9FF74319"/>
    <w:rsid w:val="A5EEB50F"/>
    <w:rsid w:val="A6FF0B57"/>
    <w:rsid w:val="AA9B7EEB"/>
    <w:rsid w:val="AE7B5111"/>
    <w:rsid w:val="AEBF1C1C"/>
    <w:rsid w:val="AEBF766E"/>
    <w:rsid w:val="AEFE1BFE"/>
    <w:rsid w:val="AF4BE240"/>
    <w:rsid w:val="AFBFF1AE"/>
    <w:rsid w:val="AFF64742"/>
    <w:rsid w:val="AFFF7A05"/>
    <w:rsid w:val="BDBF4B54"/>
    <w:rsid w:val="BDE109CD"/>
    <w:rsid w:val="BDFF58BD"/>
    <w:rsid w:val="BEBCFCC2"/>
    <w:rsid w:val="BFEB88B1"/>
    <w:rsid w:val="BFF73C15"/>
    <w:rsid w:val="CA928031"/>
    <w:rsid w:val="CBFD890A"/>
    <w:rsid w:val="CFEF849E"/>
    <w:rsid w:val="CFEFE0A0"/>
    <w:rsid w:val="D3DAB7FC"/>
    <w:rsid w:val="D7CB648E"/>
    <w:rsid w:val="DBB64911"/>
    <w:rsid w:val="DCF94463"/>
    <w:rsid w:val="DDBF5679"/>
    <w:rsid w:val="DDF3BD5A"/>
    <w:rsid w:val="DE3706B4"/>
    <w:rsid w:val="DEAF8AA5"/>
    <w:rsid w:val="DEDE94C2"/>
    <w:rsid w:val="DEFE1131"/>
    <w:rsid w:val="DEFFD361"/>
    <w:rsid w:val="DF3FCE71"/>
    <w:rsid w:val="DF6F00DB"/>
    <w:rsid w:val="DF7FCA7D"/>
    <w:rsid w:val="DFDFCEB9"/>
    <w:rsid w:val="E3BF5ACC"/>
    <w:rsid w:val="E6E2AD3B"/>
    <w:rsid w:val="E6FE661D"/>
    <w:rsid w:val="EA5FC436"/>
    <w:rsid w:val="EB5FD582"/>
    <w:rsid w:val="EBA7F454"/>
    <w:rsid w:val="EBD70960"/>
    <w:rsid w:val="ED4FF327"/>
    <w:rsid w:val="EE679F6A"/>
    <w:rsid w:val="EEEF2477"/>
    <w:rsid w:val="EFBBB561"/>
    <w:rsid w:val="EFFE2FE9"/>
    <w:rsid w:val="F3FE8C1C"/>
    <w:rsid w:val="F4F0E076"/>
    <w:rsid w:val="F5DB5178"/>
    <w:rsid w:val="F5FFF76F"/>
    <w:rsid w:val="F6FFDB70"/>
    <w:rsid w:val="F7D614CE"/>
    <w:rsid w:val="F7DDCD4E"/>
    <w:rsid w:val="F7EFE62C"/>
    <w:rsid w:val="FAE5FF05"/>
    <w:rsid w:val="FBB57A1E"/>
    <w:rsid w:val="FBDBA532"/>
    <w:rsid w:val="FBF7C1E2"/>
    <w:rsid w:val="FC1DCD4E"/>
    <w:rsid w:val="FD3D3B21"/>
    <w:rsid w:val="FD4E4799"/>
    <w:rsid w:val="FD7C342A"/>
    <w:rsid w:val="FD9FA52A"/>
    <w:rsid w:val="FDB7E9D3"/>
    <w:rsid w:val="FECF2834"/>
    <w:rsid w:val="FEEA0B54"/>
    <w:rsid w:val="FEF69878"/>
    <w:rsid w:val="FEFD345E"/>
    <w:rsid w:val="FF9F82A3"/>
    <w:rsid w:val="FFCD1361"/>
    <w:rsid w:val="FFCF3CED"/>
    <w:rsid w:val="FFE704E8"/>
    <w:rsid w:val="FFFD0434"/>
    <w:rsid w:val="FFFF406D"/>
    <w:rsid w:val="FFFFAA10"/>
    <w:rsid w:val="FFFFE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TOC2"/>
    <w:basedOn w:val="1"/>
    <w:next w:val="1"/>
    <w:qFormat/>
    <w:uiPriority w:val="0"/>
    <w:pPr>
      <w:ind w:left="420" w:leftChars="200"/>
    </w:pPr>
    <w:rPr>
      <w:rFonts w:ascii="Calibri" w:hAnsi="Calibri" w:eastAsia="宋体" w:cs="Times New Roman"/>
    </w:rPr>
  </w:style>
  <w:style w:type="paragraph" w:styleId="3">
    <w:name w:val="Normal Indent"/>
    <w:basedOn w:val="1"/>
    <w:next w:val="4"/>
    <w:qFormat/>
    <w:uiPriority w:val="0"/>
    <w:pPr>
      <w:ind w:firstLine="420"/>
    </w:pPr>
    <w:rPr>
      <w:szCs w:val="20"/>
    </w:rPr>
  </w:style>
  <w:style w:type="paragraph" w:styleId="4">
    <w:name w:val="Body Text"/>
    <w:basedOn w:val="1"/>
    <w:next w:val="1"/>
    <w:qFormat/>
    <w:uiPriority w:val="0"/>
    <w:pPr>
      <w:spacing w:line="360" w:lineRule="auto"/>
    </w:pPr>
    <w:rPr>
      <w:b/>
      <w:bCs/>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8608</Words>
  <Characters>8921</Characters>
  <Lines>0</Lines>
  <Paragraphs>0</Paragraphs>
  <TotalTime>0</TotalTime>
  <ScaleCrop>false</ScaleCrop>
  <LinksUpToDate>false</LinksUpToDate>
  <CharactersWithSpaces>10160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2023-03-12T11:56:00Z</dcterms:created>
  <dc:creator>罗兴婷</dc:creator>
  <cp:lastModifiedBy>luoxingting</cp:lastModifiedBy>
  <cp:lastPrinted>2023-03-29T01:25:00Z</cp:lastPrinted>
  <dcterms:modified xsi:type="dcterms:W3CDTF">2024-03-20T10:06:53Z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8C7F70150E714765870C88F0A4D4A2EC</vt:lpwstr>
  </property>
</Properties>
</file>