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ink/ink1.xml" ContentType="application/inkml+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6DF9E">
      <w:pPr>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版本号：</w:t>
      </w:r>
      <w:r>
        <w:rPr>
          <w:rFonts w:hint="eastAsia" w:ascii="宋体" w:hAnsi="宋体" w:eastAsia="宋体" w:cs="宋体"/>
          <w:b/>
          <w:bCs/>
          <w:color w:val="auto"/>
          <w:highlight w:val="none"/>
        </w:rPr>
        <w:t>202</w:t>
      </w:r>
      <w:r>
        <w:rPr>
          <w:rFonts w:hint="eastAsia" w:ascii="宋体" w:hAnsi="宋体" w:eastAsia="宋体" w:cs="宋体"/>
          <w:b/>
          <w:bCs/>
          <w:color w:val="auto"/>
          <w:highlight w:val="none"/>
          <w:lang w:val="en-US" w:eastAsia="zh-CN"/>
        </w:rPr>
        <w:t>5</w:t>
      </w:r>
      <w:r>
        <w:rPr>
          <w:rFonts w:hint="eastAsia" w:ascii="宋体" w:hAnsi="宋体" w:eastAsia="宋体" w:cs="宋体"/>
          <w:b/>
          <w:bCs/>
          <w:color w:val="auto"/>
          <w:highlight w:val="none"/>
        </w:rPr>
        <w:t>年</w:t>
      </w:r>
      <w:r>
        <w:rPr>
          <w:rFonts w:hint="eastAsia" w:ascii="宋体" w:hAnsi="宋体" w:eastAsia="宋体" w:cs="宋体"/>
          <w:b/>
          <w:bCs/>
          <w:color w:val="auto"/>
          <w:highlight w:val="none"/>
        </w:rPr>
        <w:t>1</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highlight w:val="none"/>
        </w:rPr>
        <w:t>月版</w:t>
      </w:r>
      <w:bookmarkStart w:id="80" w:name="_GoBack"/>
      <w:bookmarkEnd w:id="80"/>
    </w:p>
    <w:p w14:paraId="67315EC6">
      <w:pPr>
        <w:jc w:val="left"/>
        <w:rPr>
          <w:rFonts w:ascii="宋体" w:hAnsi="宋体" w:eastAsia="宋体" w:cs="宋体"/>
          <w:snapToGrid w:val="0"/>
          <w:color w:val="auto"/>
          <w:kern w:val="0"/>
          <w:szCs w:val="21"/>
          <w:highlight w:val="none"/>
        </w:rPr>
      </w:pPr>
    </w:p>
    <w:p w14:paraId="014C8777">
      <w:pPr>
        <w:tabs>
          <w:tab w:val="left" w:pos="4080"/>
        </w:tabs>
        <w:jc w:val="left"/>
        <w:rPr>
          <w:rFonts w:ascii="宋体" w:hAnsi="宋体" w:eastAsia="宋体" w:cs="宋体"/>
          <w:snapToGrid w:val="0"/>
          <w:color w:val="auto"/>
          <w:kern w:val="0"/>
          <w:szCs w:val="21"/>
          <w:highlight w:val="none"/>
        </w:rPr>
      </w:pPr>
    </w:p>
    <w:p w14:paraId="2E8706BD">
      <w:pPr>
        <w:ind w:firstLine="5511" w:firstLineChars="2614"/>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标段编号：</w:t>
      </w:r>
      <w:r>
        <w:rPr>
          <w:rFonts w:hint="eastAsia" w:ascii="宋体" w:hAnsi="宋体" w:eastAsia="宋体" w:cs="宋体"/>
          <w:snapToGrid w:val="0"/>
          <w:color w:val="auto"/>
          <w:szCs w:val="21"/>
          <w:highlight w:val="none"/>
          <w:u w:val="single"/>
          <w:lang w:bidi="ar"/>
        </w:rPr>
        <w:t xml:space="preserve">      </w:t>
      </w:r>
    </w:p>
    <w:p w14:paraId="62D8CF85">
      <w:pPr>
        <w:jc w:val="left"/>
        <w:rPr>
          <w:rFonts w:ascii="宋体" w:hAnsi="宋体"/>
          <w:snapToGrid w:val="0"/>
          <w:color w:val="auto"/>
          <w:kern w:val="0"/>
          <w:szCs w:val="21"/>
          <w:highlight w:val="none"/>
        </w:rPr>
      </w:pPr>
    </w:p>
    <w:p w14:paraId="510E739A">
      <w:pPr>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 </w:t>
      </w:r>
    </w:p>
    <w:p w14:paraId="49F69325">
      <w:pPr>
        <w:jc w:val="left"/>
        <w:rPr>
          <w:rFonts w:ascii="宋体" w:hAnsi="宋体"/>
          <w:snapToGrid w:val="0"/>
          <w:color w:val="auto"/>
          <w:kern w:val="0"/>
          <w:szCs w:val="21"/>
          <w:highlight w:val="none"/>
        </w:rPr>
      </w:pPr>
    </w:p>
    <w:p w14:paraId="4ACBD474">
      <w:pPr>
        <w:spacing w:line="360" w:lineRule="auto"/>
        <w:jc w:val="center"/>
        <w:rPr>
          <w:rFonts w:ascii="黑体" w:hAnsi="宋体" w:eastAsia="黑体"/>
          <w:snapToGrid w:val="0"/>
          <w:color w:val="auto"/>
          <w:kern w:val="0"/>
          <w:sz w:val="72"/>
          <w:szCs w:val="72"/>
          <w:highlight w:val="none"/>
        </w:rPr>
      </w:pPr>
      <w:r>
        <w:rPr>
          <w:rFonts w:hint="eastAsia" w:ascii="黑体" w:hAnsi="宋体" w:eastAsia="黑体"/>
          <w:snapToGrid w:val="0"/>
          <w:color w:val="auto"/>
          <w:kern w:val="0"/>
          <w:sz w:val="72"/>
          <w:szCs w:val="72"/>
          <w:highlight w:val="none"/>
        </w:rPr>
        <w:t>深圳市建设工程</w:t>
      </w:r>
    </w:p>
    <w:p w14:paraId="6E71CEEF">
      <w:pPr>
        <w:spacing w:line="360" w:lineRule="auto"/>
        <w:jc w:val="center"/>
        <w:rPr>
          <w:rFonts w:ascii="黑体" w:hAnsi="宋体" w:eastAsia="黑体"/>
          <w:snapToGrid w:val="0"/>
          <w:color w:val="auto"/>
          <w:kern w:val="0"/>
          <w:sz w:val="72"/>
          <w:szCs w:val="72"/>
          <w:highlight w:val="none"/>
        </w:rPr>
      </w:pPr>
      <w:r>
        <w:rPr>
          <w:rFonts w:hint="eastAsia" w:ascii="黑体" w:hAnsi="宋体" w:eastAsia="黑体"/>
          <w:snapToGrid w:val="0"/>
          <w:color w:val="auto"/>
          <w:kern w:val="0"/>
          <w:sz w:val="72"/>
          <w:szCs w:val="72"/>
          <w:highlight w:val="none"/>
        </w:rPr>
        <w:t>其他类招标文件</w:t>
      </w:r>
    </w:p>
    <w:p w14:paraId="33346E88">
      <w:pPr>
        <w:jc w:val="left"/>
        <w:rPr>
          <w:rFonts w:ascii="黑体" w:eastAsia="黑体"/>
          <w:snapToGrid w:val="0"/>
          <w:color w:val="auto"/>
          <w:kern w:val="0"/>
          <w:sz w:val="30"/>
          <w:szCs w:val="30"/>
          <w:highlight w:val="none"/>
        </w:rPr>
      </w:pPr>
    </w:p>
    <w:p w14:paraId="74A9953B">
      <w:pPr>
        <w:jc w:val="left"/>
        <w:rPr>
          <w:rFonts w:ascii="黑体" w:eastAsia="黑体"/>
          <w:b/>
          <w:snapToGrid w:val="0"/>
          <w:color w:val="auto"/>
          <w:kern w:val="0"/>
          <w:sz w:val="30"/>
          <w:szCs w:val="30"/>
          <w:highlight w:val="none"/>
        </w:rPr>
      </w:pPr>
    </w:p>
    <w:p w14:paraId="6F6B09A2">
      <w:pPr>
        <w:jc w:val="left"/>
        <w:rPr>
          <w:rFonts w:ascii="黑体" w:eastAsia="黑体"/>
          <w:b/>
          <w:snapToGrid w:val="0"/>
          <w:color w:val="auto"/>
          <w:kern w:val="0"/>
          <w:sz w:val="30"/>
          <w:szCs w:val="30"/>
          <w:highlight w:val="none"/>
        </w:rPr>
      </w:pPr>
    </w:p>
    <w:p w14:paraId="07D743A2">
      <w:pPr>
        <w:jc w:val="center"/>
        <w:rPr>
          <w:rFonts w:ascii="宋体" w:hAnsi="宋体" w:eastAsia="宋体" w:cs="宋体"/>
          <w:b/>
          <w:bCs/>
          <w:snapToGrid w:val="0"/>
          <w:color w:val="auto"/>
          <w:kern w:val="0"/>
          <w:sz w:val="28"/>
          <w:szCs w:val="28"/>
          <w:highlight w:val="none"/>
        </w:rPr>
      </w:pPr>
      <w:r>
        <w:rPr>
          <w:rFonts w:hint="eastAsia" w:ascii="宋体" w:hAnsi="宋体" w:eastAsia="宋体" w:cs="宋体"/>
          <w:b/>
          <w:bCs/>
          <w:snapToGrid w:val="0"/>
          <w:color w:val="auto"/>
          <w:kern w:val="0"/>
          <w:sz w:val="28"/>
          <w:szCs w:val="28"/>
          <w:highlight w:val="none"/>
        </w:rPr>
        <w:t>〔示范文本〕</w:t>
      </w:r>
    </w:p>
    <w:p w14:paraId="1873113A">
      <w:pPr>
        <w:jc w:val="left"/>
        <w:rPr>
          <w:rFonts w:ascii="黑体" w:eastAsia="黑体"/>
          <w:b/>
          <w:snapToGrid w:val="0"/>
          <w:color w:val="auto"/>
          <w:kern w:val="0"/>
          <w:sz w:val="30"/>
          <w:szCs w:val="30"/>
          <w:highlight w:val="none"/>
        </w:rPr>
      </w:pPr>
    </w:p>
    <w:p w14:paraId="134C3B50">
      <w:pPr>
        <w:adjustRightInd w:val="0"/>
        <w:snapToGrid w:val="0"/>
        <w:spacing w:line="360" w:lineRule="auto"/>
        <w:ind w:firstLine="840" w:firstLineChars="300"/>
        <w:jc w:val="left"/>
        <w:rPr>
          <w:rFonts w:ascii="宋体"/>
          <w:b/>
          <w:bCs/>
          <w:color w:val="auto"/>
          <w:sz w:val="28"/>
          <w:highlight w:val="none"/>
        </w:rPr>
      </w:pPr>
    </w:p>
    <w:p w14:paraId="2000C103">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标段名称：</w:t>
      </w:r>
      <w:r>
        <w:rPr>
          <w:rFonts w:hint="eastAsia" w:ascii="宋体" w:hAnsi="宋体" w:eastAsia="宋体" w:cs="宋体"/>
          <w:color w:val="auto"/>
          <w:sz w:val="28"/>
          <w:highlight w:val="none"/>
          <w:u w:val="single"/>
          <w:lang w:bidi="ar"/>
        </w:rPr>
        <w:t xml:space="preserve">      </w:t>
      </w:r>
    </w:p>
    <w:p w14:paraId="2AC7979C">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招 标 人：</w:t>
      </w:r>
      <w:r>
        <w:rPr>
          <w:rFonts w:hint="eastAsia" w:ascii="宋体" w:hAnsi="宋体" w:eastAsia="宋体" w:cs="宋体"/>
          <w:color w:val="auto"/>
          <w:sz w:val="28"/>
          <w:highlight w:val="none"/>
          <w:u w:val="single"/>
          <w:lang w:bidi="ar"/>
        </w:rPr>
        <w:t xml:space="preserve">      </w:t>
      </w:r>
    </w:p>
    <w:p w14:paraId="4D76D83B">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color w:val="auto"/>
          <w:sz w:val="28"/>
          <w:highlight w:val="none"/>
          <w:u w:val="single"/>
          <w:lang w:bidi="ar"/>
        </w:rPr>
        <w:t xml:space="preserve">      </w:t>
      </w:r>
    </w:p>
    <w:p w14:paraId="246978E1">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招标代理机构：</w:t>
      </w:r>
      <w:r>
        <w:rPr>
          <w:rFonts w:hint="eastAsia" w:ascii="宋体" w:hAnsi="宋体" w:eastAsia="宋体" w:cs="宋体"/>
          <w:color w:val="auto"/>
          <w:sz w:val="28"/>
          <w:highlight w:val="none"/>
          <w:u w:val="single"/>
          <w:lang w:bidi="ar"/>
        </w:rPr>
        <w:t xml:space="preserve">      </w:t>
      </w:r>
    </w:p>
    <w:p w14:paraId="63DC57DF">
      <w:pPr>
        <w:adjustRightInd w:val="0"/>
        <w:snapToGrid w:val="0"/>
        <w:spacing w:line="360" w:lineRule="auto"/>
        <w:ind w:left="1260" w:firstLine="843" w:firstLineChars="300"/>
        <w:jc w:val="left"/>
        <w:rPr>
          <w:rFonts w:ascii="宋体" w:hAnsi="宋体" w:eastAsia="宋体" w:cs="宋体"/>
          <w:b/>
          <w:bCs/>
          <w:color w:val="auto"/>
          <w:kern w:val="0"/>
          <w:sz w:val="28"/>
          <w:highlight w:val="none"/>
        </w:rPr>
      </w:pPr>
      <w:r>
        <w:rPr>
          <w:rFonts w:hint="eastAsia" w:ascii="宋体" w:hAnsi="宋体" w:eastAsia="宋体" w:cs="宋体"/>
          <w:b/>
          <w:bCs/>
          <w:color w:val="auto"/>
          <w:kern w:val="0"/>
          <w:sz w:val="28"/>
          <w:highlight w:val="none"/>
        </w:rPr>
        <w:t>法定代表人或其委托代理人：</w:t>
      </w:r>
      <w:r>
        <w:rPr>
          <w:rFonts w:hint="eastAsia" w:ascii="宋体" w:hAnsi="宋体" w:eastAsia="宋体" w:cs="宋体"/>
          <w:color w:val="auto"/>
          <w:sz w:val="28"/>
          <w:highlight w:val="none"/>
          <w:u w:val="single"/>
          <w:lang w:bidi="ar"/>
        </w:rPr>
        <w:t xml:space="preserve">      </w:t>
      </w:r>
    </w:p>
    <w:p w14:paraId="24D0A0B5">
      <w:pPr>
        <w:rPr>
          <w:snapToGrid w:val="0"/>
          <w:color w:val="auto"/>
          <w:kern w:val="0"/>
          <w:highlight w:val="none"/>
        </w:rPr>
      </w:pPr>
    </w:p>
    <w:p w14:paraId="48134C11">
      <w:pPr>
        <w:pStyle w:val="54"/>
        <w:tabs>
          <w:tab w:val="right" w:leader="dot" w:pos="9299"/>
        </w:tabs>
        <w:rPr>
          <w:rFonts w:ascii="宋体" w:hAnsi="宋体"/>
          <w:b/>
          <w:snapToGrid w:val="0"/>
          <w:color w:val="auto"/>
          <w:kern w:val="0"/>
          <w:szCs w:val="21"/>
          <w:highlight w:val="none"/>
        </w:rPr>
        <w:sectPr>
          <w:footerReference r:id="rId4" w:type="default"/>
          <w:pgSz w:w="11907" w:h="16839"/>
          <w:pgMar w:top="1361" w:right="1304" w:bottom="1304" w:left="1304" w:header="1247" w:footer="737" w:gutter="0"/>
          <w:cols w:space="720" w:num="1"/>
          <w:docGrid w:linePitch="380" w:charSpace="-4301"/>
        </w:sectPr>
      </w:pPr>
    </w:p>
    <w:p w14:paraId="27D0BF04">
      <w:pPr>
        <w:jc w:val="center"/>
        <w:rPr>
          <w:rFonts w:ascii="宋体" w:hAnsi="宋体" w:eastAsia="宋体" w:cs="宋体"/>
          <w:b/>
          <w:bCs/>
          <w:color w:val="auto"/>
          <w:sz w:val="36"/>
          <w:szCs w:val="36"/>
          <w:highlight w:val="none"/>
        </w:rPr>
      </w:pPr>
      <w:bookmarkStart w:id="0" w:name="_Toc13356"/>
      <w:bookmarkStart w:id="1" w:name="_Toc10107"/>
      <w:bookmarkStart w:id="2" w:name="_Toc31876"/>
      <w:bookmarkStart w:id="3" w:name="_Toc19810"/>
      <w:bookmarkStart w:id="4" w:name="_Toc31678"/>
      <w:bookmarkStart w:id="5" w:name="_Toc21277"/>
      <w:bookmarkStart w:id="6" w:name="_Toc32065"/>
      <w:bookmarkStart w:id="7" w:name="_Toc26460"/>
      <w:bookmarkStart w:id="8" w:name="_Toc20260"/>
      <w:bookmarkStart w:id="9" w:name="_Toc14585"/>
      <w:r>
        <w:rPr>
          <w:rFonts w:hint="eastAsia" w:ascii="宋体" w:hAnsi="宋体" w:eastAsia="宋体" w:cs="宋体"/>
          <w:b/>
          <w:bCs/>
          <w:color w:val="auto"/>
          <w:sz w:val="36"/>
          <w:szCs w:val="36"/>
          <w:highlight w:val="none"/>
        </w:rPr>
        <w:t>目  录</w:t>
      </w:r>
    </w:p>
    <w:p w14:paraId="3413A285">
      <w:pPr>
        <w:pStyle w:val="54"/>
        <w:tabs>
          <w:tab w:val="right" w:leader="dot" w:pos="9299"/>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TOC \o "1-3" \h \u </w:instrText>
      </w:r>
      <w:r>
        <w:rPr>
          <w:rFonts w:hint="eastAsia" w:ascii="宋体" w:hAnsi="宋体" w:cs="宋体"/>
          <w:color w:val="auto"/>
          <w:sz w:val="24"/>
          <w:szCs w:val="24"/>
          <w:highlight w:val="none"/>
        </w:rPr>
        <w:fldChar w:fldCharType="separate"/>
      </w:r>
      <w:r>
        <w:rPr>
          <w:color w:val="auto"/>
          <w:highlight w:val="none"/>
        </w:rPr>
        <w:fldChar w:fldCharType="begin"/>
      </w:r>
      <w:r>
        <w:rPr>
          <w:color w:val="auto"/>
          <w:highlight w:val="none"/>
        </w:rPr>
        <w:instrText xml:space="preserve"> HYPERLINK \l "_Toc3117" </w:instrText>
      </w:r>
      <w:r>
        <w:rPr>
          <w:color w:val="auto"/>
          <w:highlight w:val="none"/>
        </w:rPr>
        <w:fldChar w:fldCharType="separate"/>
      </w:r>
      <w:r>
        <w:rPr>
          <w:rFonts w:hint="eastAsia" w:ascii="宋体" w:hAnsi="宋体" w:cs="宋体"/>
          <w:color w:val="auto"/>
          <w:sz w:val="24"/>
          <w:szCs w:val="24"/>
          <w:highlight w:val="none"/>
        </w:rPr>
        <w:t>第一章  使用说明</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_Toc3117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DA14D31">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"_Toc7536" </w:instrText>
      </w:r>
      <w:r>
        <w:rPr>
          <w:color w:val="auto"/>
          <w:highlight w:val="none"/>
        </w:rPr>
        <w:fldChar w:fldCharType="separate"/>
      </w:r>
      <w:r>
        <w:rPr>
          <w:rFonts w:hint="eastAsia" w:ascii="宋体" w:hAnsi="宋体" w:cs="宋体"/>
          <w:color w:val="auto"/>
          <w:sz w:val="24"/>
          <w:szCs w:val="24"/>
          <w:highlight w:val="none"/>
        </w:rPr>
        <w:t>第二章  投标须知</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_Toc7536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4307C26C">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"_Toc24016" </w:instrText>
      </w:r>
      <w:r>
        <w:rPr>
          <w:color w:val="auto"/>
          <w:highlight w:val="none"/>
        </w:rPr>
        <w:fldChar w:fldCharType="separate"/>
      </w:r>
      <w:r>
        <w:rPr>
          <w:rFonts w:hint="eastAsia" w:ascii="宋体" w:hAnsi="宋体" w:cs="宋体"/>
          <w:color w:val="auto"/>
          <w:sz w:val="24"/>
          <w:szCs w:val="24"/>
          <w:highlight w:val="none"/>
        </w:rPr>
        <w:t>一、投标须知前附表</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_Toc24016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77E266F6">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"_Toc13927" </w:instrText>
      </w:r>
      <w:r>
        <w:rPr>
          <w:color w:val="auto"/>
          <w:highlight w:val="none"/>
        </w:rPr>
        <w:fldChar w:fldCharType="separate"/>
      </w:r>
      <w:r>
        <w:rPr>
          <w:rFonts w:hint="eastAsia" w:ascii="宋体" w:hAnsi="宋体" w:cs="宋体"/>
          <w:snapToGrid w:val="0"/>
          <w:color w:val="auto"/>
          <w:kern w:val="0"/>
          <w:sz w:val="24"/>
          <w:szCs w:val="24"/>
          <w:highlight w:val="none"/>
        </w:rPr>
        <w:t>(一)招标工程情况介绍</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_Toc13927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4B1E8C9A">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"_Toc15592" </w:instrText>
      </w:r>
      <w:r>
        <w:rPr>
          <w:color w:val="auto"/>
          <w:highlight w:val="none"/>
        </w:rPr>
        <w:fldChar w:fldCharType="separate"/>
      </w:r>
      <w:r>
        <w:rPr>
          <w:rFonts w:hint="eastAsia" w:ascii="宋体" w:hAnsi="宋体" w:cs="宋体"/>
          <w:snapToGrid w:val="0"/>
          <w:color w:val="auto"/>
          <w:kern w:val="0"/>
          <w:sz w:val="24"/>
          <w:szCs w:val="24"/>
          <w:highlight w:val="none"/>
        </w:rPr>
        <w:t>二、投标文件否决性条款</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_Toc15592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63727201">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"_Toc8259" </w:instrText>
      </w:r>
      <w:r>
        <w:rPr>
          <w:color w:val="auto"/>
          <w:highlight w:val="none"/>
        </w:rPr>
        <w:fldChar w:fldCharType="separate"/>
      </w:r>
      <w:r>
        <w:rPr>
          <w:rFonts w:hint="eastAsia" w:ascii="宋体" w:hAnsi="宋体" w:cs="宋体"/>
          <w:color w:val="auto"/>
          <w:sz w:val="24"/>
          <w:szCs w:val="24"/>
          <w:highlight w:val="none"/>
        </w:rPr>
        <w:t>三、招投标须知正文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_Toc8259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955848C">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"_Toc23177" </w:instrText>
      </w:r>
      <w:r>
        <w:rPr>
          <w:color w:val="auto"/>
          <w:highlight w:val="none"/>
        </w:rPr>
        <w:fldChar w:fldCharType="separate"/>
      </w:r>
      <w:r>
        <w:rPr>
          <w:rFonts w:hint="eastAsia" w:ascii="宋体" w:hAnsi="宋体" w:cs="宋体"/>
          <w:color w:val="auto"/>
          <w:sz w:val="24"/>
          <w:szCs w:val="24"/>
          <w:highlight w:val="none"/>
        </w:rPr>
        <w:t>（一）招标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_Toc23177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7D52D7F0">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"_Toc25569" </w:instrText>
      </w:r>
      <w:r>
        <w:rPr>
          <w:color w:val="auto"/>
          <w:highlight w:val="none"/>
        </w:rPr>
        <w:fldChar w:fldCharType="separate"/>
      </w:r>
      <w:r>
        <w:rPr>
          <w:rFonts w:hint="eastAsia" w:ascii="宋体" w:hAnsi="宋体" w:cs="宋体"/>
          <w:snapToGrid w:val="0"/>
          <w:color w:val="auto"/>
          <w:kern w:val="0"/>
          <w:sz w:val="24"/>
          <w:szCs w:val="24"/>
          <w:highlight w:val="none"/>
        </w:rPr>
        <w:t>（二）投标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_Toc25569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713991EB">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"_Toc12238" </w:instrText>
      </w:r>
      <w:r>
        <w:rPr>
          <w:color w:val="auto"/>
          <w:highlight w:val="none"/>
        </w:rPr>
        <w:fldChar w:fldCharType="separate"/>
      </w:r>
      <w:r>
        <w:rPr>
          <w:rFonts w:hint="eastAsia" w:ascii="宋体" w:hAnsi="宋体" w:cs="宋体"/>
          <w:snapToGrid w:val="0"/>
          <w:color w:val="auto"/>
          <w:kern w:val="0"/>
          <w:sz w:val="24"/>
          <w:szCs w:val="24"/>
          <w:highlight w:val="none"/>
        </w:rPr>
        <w:t>（三）资格后审</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_Toc12238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6B6481B2">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"_Toc8924" </w:instrText>
      </w:r>
      <w:r>
        <w:rPr>
          <w:color w:val="auto"/>
          <w:highlight w:val="none"/>
        </w:rPr>
        <w:fldChar w:fldCharType="separate"/>
      </w:r>
      <w:r>
        <w:rPr>
          <w:rFonts w:hint="eastAsia" w:ascii="宋体" w:hAnsi="宋体" w:cs="宋体"/>
          <w:color w:val="auto"/>
          <w:sz w:val="24"/>
          <w:szCs w:val="24"/>
          <w:highlight w:val="none"/>
        </w:rPr>
        <w:t>（四）开标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_Toc8924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20</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614FA15">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"_Toc22821" </w:instrText>
      </w:r>
      <w:r>
        <w:rPr>
          <w:color w:val="auto"/>
          <w:highlight w:val="none"/>
        </w:rPr>
        <w:fldChar w:fldCharType="separate"/>
      </w:r>
      <w:r>
        <w:rPr>
          <w:rFonts w:hint="eastAsia" w:ascii="宋体" w:hAnsi="宋体" w:cs="宋体"/>
          <w:color w:val="auto"/>
          <w:sz w:val="24"/>
          <w:szCs w:val="24"/>
          <w:highlight w:val="none"/>
        </w:rPr>
        <w:t>（五）评标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_Toc22821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5BAF0349">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"_Toc3102" </w:instrText>
      </w:r>
      <w:r>
        <w:rPr>
          <w:color w:val="auto"/>
          <w:highlight w:val="none"/>
        </w:rPr>
        <w:fldChar w:fldCharType="separate"/>
      </w:r>
      <w:r>
        <w:rPr>
          <w:rFonts w:hint="eastAsia" w:ascii="宋体" w:hAnsi="宋体" w:cs="宋体"/>
          <w:snapToGrid w:val="0"/>
          <w:color w:val="auto"/>
          <w:kern w:val="0"/>
          <w:sz w:val="24"/>
          <w:szCs w:val="24"/>
          <w:highlight w:val="none"/>
        </w:rPr>
        <w:t>（六）定标</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_Toc3102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40E6D173">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"_Toc9506" </w:instrText>
      </w:r>
      <w:r>
        <w:rPr>
          <w:color w:val="auto"/>
          <w:highlight w:val="none"/>
        </w:rPr>
        <w:fldChar w:fldCharType="separate"/>
      </w:r>
      <w:r>
        <w:rPr>
          <w:rFonts w:hint="eastAsia" w:ascii="宋体" w:hAnsi="宋体" w:cs="宋体"/>
          <w:snapToGrid w:val="0"/>
          <w:color w:val="auto"/>
          <w:kern w:val="0"/>
          <w:sz w:val="24"/>
          <w:szCs w:val="24"/>
          <w:highlight w:val="none"/>
        </w:rPr>
        <w:t>（七）中标通知书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_Toc9506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28</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5478EBA">
      <w:pPr>
        <w:pStyle w:val="40"/>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"_Toc27132" </w:instrText>
      </w:r>
      <w:r>
        <w:rPr>
          <w:color w:val="auto"/>
          <w:highlight w:val="none"/>
        </w:rPr>
        <w:fldChar w:fldCharType="separate"/>
      </w:r>
      <w:r>
        <w:rPr>
          <w:rFonts w:hint="eastAsia" w:ascii="宋体" w:hAnsi="宋体" w:cs="宋体"/>
          <w:color w:val="auto"/>
          <w:sz w:val="24"/>
          <w:szCs w:val="24"/>
          <w:highlight w:val="none"/>
        </w:rPr>
        <w:t>（八）合同的授予</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_Toc27132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29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80B0E23">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"_Toc15018" </w:instrText>
      </w:r>
      <w:r>
        <w:rPr>
          <w:color w:val="auto"/>
          <w:highlight w:val="none"/>
        </w:rPr>
        <w:fldChar w:fldCharType="separate"/>
      </w:r>
      <w:r>
        <w:rPr>
          <w:rFonts w:hint="eastAsia" w:ascii="宋体" w:hAnsi="宋体" w:cs="宋体"/>
          <w:color w:val="auto"/>
          <w:sz w:val="24"/>
          <w:szCs w:val="24"/>
          <w:highlight w:val="none"/>
        </w:rPr>
        <w:t>第三章  招标人对招标文件及合同范本的补充/修改</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_Toc15018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3D39E124">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"_Toc15902" </w:instrText>
      </w:r>
      <w:r>
        <w:rPr>
          <w:color w:val="auto"/>
          <w:highlight w:val="none"/>
        </w:rPr>
        <w:fldChar w:fldCharType="separate"/>
      </w:r>
      <w:r>
        <w:rPr>
          <w:rFonts w:hint="eastAsia" w:ascii="宋体" w:hAnsi="宋体" w:cs="宋体"/>
          <w:snapToGrid w:val="0"/>
          <w:color w:val="auto"/>
          <w:kern w:val="0"/>
          <w:sz w:val="24"/>
          <w:szCs w:val="24"/>
          <w:highlight w:val="none"/>
        </w:rPr>
        <w:t>第四章  投标文件格式</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_Toc15902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220F71DE">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"_Toc6581" </w:instrText>
      </w:r>
      <w:r>
        <w:rPr>
          <w:color w:val="auto"/>
          <w:highlight w:val="none"/>
        </w:rPr>
        <w:fldChar w:fldCharType="separate"/>
      </w:r>
      <w:r>
        <w:rPr>
          <w:rFonts w:hint="eastAsia" w:ascii="宋体" w:hAnsi="宋体" w:cs="宋体"/>
          <w:snapToGrid w:val="0"/>
          <w:color w:val="auto"/>
          <w:kern w:val="0"/>
          <w:sz w:val="24"/>
          <w:szCs w:val="24"/>
          <w:highlight w:val="none"/>
        </w:rPr>
        <w:t>资格审查文件</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_Toc6581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7AB92F58">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"_Toc16838" </w:instrText>
      </w:r>
      <w:r>
        <w:rPr>
          <w:color w:val="auto"/>
          <w:highlight w:val="none"/>
        </w:rPr>
        <w:fldChar w:fldCharType="separate"/>
      </w:r>
      <w:r>
        <w:rPr>
          <w:rFonts w:hint="eastAsia" w:ascii="宋体" w:hAnsi="宋体" w:cs="宋体"/>
          <w:snapToGrid w:val="0"/>
          <w:color w:val="auto"/>
          <w:kern w:val="0"/>
          <w:sz w:val="24"/>
          <w:szCs w:val="24"/>
          <w:highlight w:val="none"/>
        </w:rPr>
        <w:t>技术标书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_Toc16838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108E753D">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"_Toc4866" </w:instrText>
      </w:r>
      <w:r>
        <w:rPr>
          <w:color w:val="auto"/>
          <w:highlight w:val="none"/>
        </w:rPr>
        <w:fldChar w:fldCharType="separate"/>
      </w:r>
      <w:r>
        <w:rPr>
          <w:rFonts w:hint="eastAsia" w:ascii="宋体" w:hAnsi="宋体" w:cs="宋体"/>
          <w:snapToGrid w:val="0"/>
          <w:color w:val="auto"/>
          <w:kern w:val="0"/>
          <w:sz w:val="24"/>
          <w:szCs w:val="24"/>
          <w:highlight w:val="none"/>
        </w:rPr>
        <w:t>商务标书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_Toc4866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52</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749A5969">
      <w:pPr>
        <w:pStyle w:val="66"/>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"_Toc5427" </w:instrText>
      </w:r>
      <w:r>
        <w:rPr>
          <w:color w:val="auto"/>
          <w:highlight w:val="none"/>
        </w:rPr>
        <w:fldChar w:fldCharType="separate"/>
      </w:r>
      <w:r>
        <w:rPr>
          <w:rFonts w:hint="eastAsia" w:ascii="宋体" w:hAnsi="宋体" w:cs="宋体"/>
          <w:color w:val="auto"/>
          <w:sz w:val="24"/>
          <w:szCs w:val="24"/>
          <w:highlight w:val="none"/>
        </w:rPr>
        <w:t>业绩文件</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_Toc5427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70DDBF45">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"_Toc30309" </w:instrText>
      </w:r>
      <w:r>
        <w:rPr>
          <w:color w:val="auto"/>
          <w:highlight w:val="none"/>
        </w:rPr>
        <w:fldChar w:fldCharType="separate"/>
      </w:r>
      <w:r>
        <w:rPr>
          <w:rFonts w:hint="eastAsia" w:ascii="宋体" w:hAnsi="宋体" w:cs="宋体"/>
          <w:snapToGrid w:val="0"/>
          <w:color w:val="auto"/>
          <w:kern w:val="0"/>
          <w:sz w:val="24"/>
          <w:szCs w:val="24"/>
          <w:highlight w:val="none"/>
        </w:rPr>
        <w:t xml:space="preserve">第五章 </w:t>
      </w:r>
      <w:r>
        <w:rPr>
          <w:rFonts w:hint="eastAsia" w:ascii="宋体" w:hAnsi="宋体" w:cs="宋体"/>
          <w:color w:val="auto"/>
          <w:sz w:val="24"/>
          <w:szCs w:val="24"/>
          <w:highlight w:val="none"/>
        </w:rPr>
        <w:t>合同条款及格式</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_Toc30309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58</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052F348D">
      <w:pPr>
        <w:pStyle w:val="54"/>
        <w:tabs>
          <w:tab w:val="right" w:leader="dot" w:pos="9299"/>
        </w:tabs>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"_Toc32559" </w:instrText>
      </w:r>
      <w:r>
        <w:rPr>
          <w:color w:val="auto"/>
          <w:highlight w:val="none"/>
        </w:rPr>
        <w:fldChar w:fldCharType="separate"/>
      </w:r>
      <w:r>
        <w:rPr>
          <w:rFonts w:hint="eastAsia" w:ascii="宋体" w:hAnsi="宋体" w:cs="宋体"/>
          <w:color w:val="auto"/>
          <w:sz w:val="24"/>
          <w:szCs w:val="24"/>
          <w:highlight w:val="none"/>
        </w:rPr>
        <w:t>第六章  任务书</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_Toc32559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59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14:paraId="660B4D56">
      <w:pPr>
        <w:rPr>
          <w:color w:val="auto"/>
          <w:highlight w:val="none"/>
        </w:rPr>
      </w:pPr>
      <w:r>
        <w:rPr>
          <w:rFonts w:hint="eastAsia"/>
          <w:color w:val="auto"/>
          <w:highlight w:val="none"/>
        </w:rPr>
        <w:fldChar w:fldCharType="end"/>
      </w:r>
    </w:p>
    <w:p w14:paraId="180CBB35">
      <w:pPr>
        <w:rPr>
          <w:color w:val="auto"/>
          <w:highlight w:val="none"/>
        </w:rPr>
      </w:pPr>
      <w:r>
        <w:rPr>
          <w:rFonts w:hint="eastAsia"/>
          <w:color w:val="auto"/>
          <w:highlight w:val="none"/>
        </w:rPr>
        <w:br w:type="page"/>
      </w:r>
    </w:p>
    <w:p w14:paraId="39F594CD">
      <w:pPr>
        <w:pStyle w:val="2"/>
        <w:rPr>
          <w:rFonts w:ascii="黑体" w:hAnsi="黑体" w:eastAsia="黑体" w:cs="黑体"/>
          <w:b w:val="0"/>
          <w:bCs/>
          <w:color w:val="auto"/>
          <w:szCs w:val="32"/>
          <w:highlight w:val="none"/>
        </w:rPr>
      </w:pPr>
      <w:bookmarkStart w:id="10" w:name="_Toc3117"/>
      <w:r>
        <w:rPr>
          <w:rFonts w:hint="eastAsia" w:ascii="黑体" w:hAnsi="黑体" w:eastAsia="黑体" w:cs="黑体"/>
          <w:b w:val="0"/>
          <w:bCs/>
          <w:color w:val="auto"/>
          <w:szCs w:val="32"/>
          <w:highlight w:val="none"/>
        </w:rPr>
        <w:t>第一章  使用说明</w:t>
      </w:r>
      <w:bookmarkEnd w:id="0"/>
      <w:bookmarkEnd w:id="1"/>
      <w:bookmarkEnd w:id="2"/>
      <w:bookmarkEnd w:id="3"/>
      <w:bookmarkEnd w:id="4"/>
      <w:bookmarkEnd w:id="5"/>
      <w:bookmarkEnd w:id="6"/>
      <w:bookmarkEnd w:id="7"/>
      <w:bookmarkEnd w:id="8"/>
      <w:bookmarkEnd w:id="9"/>
      <w:bookmarkEnd w:id="10"/>
    </w:p>
    <w:p w14:paraId="0153AD77">
      <w:pPr>
        <w:spacing w:line="360" w:lineRule="auto"/>
        <w:ind w:firstLine="420" w:firstLineChars="200"/>
        <w:jc w:val="left"/>
        <w:rPr>
          <w:rFonts w:ascii="宋体" w:hAnsi="宋体"/>
          <w:color w:val="auto"/>
          <w:szCs w:val="21"/>
          <w:highlight w:val="none"/>
        </w:rPr>
      </w:pPr>
    </w:p>
    <w:p w14:paraId="4878DD37">
      <w:pPr>
        <w:numPr>
          <w:ilvl w:val="0"/>
          <w:numId w:val="11"/>
        </w:num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为了规范工程建设项目其他类招标投标活动，</w:t>
      </w:r>
      <w:r>
        <w:rPr>
          <w:rFonts w:hint="eastAsia" w:ascii="宋体" w:hAnsi="宋体" w:eastAsia="宋体" w:cs="宋体"/>
          <w:color w:val="auto"/>
          <w:kern w:val="0"/>
          <w:szCs w:val="21"/>
          <w:highlight w:val="none"/>
        </w:rPr>
        <w:t>保障招标人和投标人的合法权益，根据国家及深圳市有关法律、法规、规章和规范性文件的规定，结合我市实际，遵循公开、公平、公正和诚实信用的原则，深圳市住房和建设局制定了</w:t>
      </w:r>
      <w:r>
        <w:rPr>
          <w:rFonts w:hint="eastAsia" w:ascii="宋体" w:hAnsi="宋体" w:eastAsia="宋体" w:cs="宋体"/>
          <w:color w:val="auto"/>
          <w:szCs w:val="21"/>
          <w:highlight w:val="none"/>
        </w:rPr>
        <w:t>《深圳市建设工程其他类招标文件示范文本》</w:t>
      </w:r>
      <w:r>
        <w:rPr>
          <w:rFonts w:hint="eastAsia" w:ascii="宋体" w:hAnsi="宋体" w:eastAsia="宋体" w:cs="宋体"/>
          <w:color w:val="auto"/>
          <w:kern w:val="0"/>
          <w:szCs w:val="21"/>
          <w:highlight w:val="none"/>
        </w:rPr>
        <w:t xml:space="preserve">（以下简称“本范本”）。            </w:t>
      </w:r>
      <w:r>
        <w:rPr>
          <w:rFonts w:hint="eastAsia" w:ascii="宋体" w:hAnsi="宋体" w:eastAsia="宋体" w:cs="宋体"/>
          <w:color w:val="auto"/>
          <w:szCs w:val="21"/>
          <w:highlight w:val="none"/>
        </w:rPr>
        <w:t xml:space="preserve"> </w:t>
      </w:r>
    </w:p>
    <w:p w14:paraId="109CC1A9">
      <w:pPr>
        <w:numPr>
          <w:ilvl w:val="0"/>
          <w:numId w:val="11"/>
        </w:num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本招标文件适用于采用电子招投标及计算机评标的深圳市工程其他类招标。</w:t>
      </w:r>
    </w:p>
    <w:p w14:paraId="3225CB54">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三、本示范文本的主要编写依据：</w:t>
      </w:r>
    </w:p>
    <w:p w14:paraId="202A4B80">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1．《中华人民共和国建筑法》；</w:t>
      </w:r>
    </w:p>
    <w:p w14:paraId="7EA8C181">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2．《中华人民共和国招标投标法》；</w:t>
      </w:r>
    </w:p>
    <w:p w14:paraId="712B8DCB">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3．《中华人民共和国民法典》；</w:t>
      </w:r>
    </w:p>
    <w:p w14:paraId="22BF8F4B">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4.《电子招标投标办法》；</w:t>
      </w:r>
    </w:p>
    <w:p w14:paraId="21E00F98">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5．《深圳经济特区建设工程施工招标投标条例》；</w:t>
      </w:r>
    </w:p>
    <w:p w14:paraId="594590FB">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6．《工程建设项目施工招标投标办法》；</w:t>
      </w:r>
    </w:p>
    <w:p w14:paraId="4D74A855">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7．《工程建设项目货物招标投标办法》（国家建设等7部委第27号令）；</w:t>
      </w:r>
    </w:p>
    <w:p w14:paraId="3BEC34E8">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 《关于创新完善体制机制推动招标投标市场规范健康发展的意见》(国办发〔2024〕21号）；</w:t>
      </w:r>
    </w:p>
    <w:p w14:paraId="48E7F6A9">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9.《招标人主体责任履行指引》（发改法规〔2025〕1358号）</w:t>
      </w:r>
    </w:p>
    <w:p w14:paraId="1D82B221">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．《关于建设工程招标投标改革若干规定》（深府〔2015〕73号）；</w:t>
      </w:r>
    </w:p>
    <w:p w14:paraId="55E947F0">
      <w:pPr>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《关于进一步规范建设工程招标投标活动的通知》</w:t>
      </w:r>
      <w:r>
        <w:rPr>
          <w:rFonts w:hint="eastAsia" w:ascii="宋体" w:hAnsi="宋体" w:eastAsia="宋体" w:cs="宋体"/>
          <w:color w:val="auto"/>
          <w:szCs w:val="21"/>
          <w:highlight w:val="none"/>
        </w:rPr>
        <w:t>(深府</w:t>
      </w:r>
      <w:r>
        <w:rPr>
          <w:rFonts w:hint="eastAsia" w:ascii="宋体" w:hAnsi="宋体" w:eastAsia="宋体" w:cs="宋体"/>
          <w:color w:val="auto"/>
          <w:szCs w:val="21"/>
          <w:highlight w:val="none"/>
          <w:lang w:val="en-US" w:eastAsia="zh-CN"/>
        </w:rPr>
        <w:t>规</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号)</w:t>
      </w:r>
      <w:r>
        <w:rPr>
          <w:rFonts w:hint="eastAsia" w:ascii="宋体" w:hAnsi="宋体" w:eastAsia="宋体" w:cs="宋体"/>
          <w:color w:val="auto"/>
          <w:szCs w:val="21"/>
          <w:highlight w:val="none"/>
          <w:lang w:eastAsia="zh-CN"/>
        </w:rPr>
        <w:t>；</w:t>
      </w:r>
    </w:p>
    <w:p w14:paraId="50A6707A">
      <w:pPr>
        <w:adjustRightInd/>
        <w:snapToGrid/>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、其他有关工程建设的法律、法规、规章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规范性文件</w:t>
      </w:r>
      <w:r>
        <w:rPr>
          <w:rFonts w:hint="eastAsia" w:ascii="宋体" w:hAnsi="宋体" w:eastAsia="宋体" w:cs="宋体"/>
          <w:color w:val="auto"/>
          <w:szCs w:val="21"/>
          <w:highlight w:val="none"/>
          <w:lang w:val="en-US" w:eastAsia="zh-CN"/>
        </w:rPr>
        <w:t>和政策文件</w:t>
      </w:r>
      <w:r>
        <w:rPr>
          <w:rFonts w:hint="eastAsia" w:ascii="宋体" w:hAnsi="宋体" w:eastAsia="宋体" w:cs="宋体"/>
          <w:color w:val="auto"/>
          <w:szCs w:val="21"/>
          <w:highlight w:val="none"/>
        </w:rPr>
        <w:t>。</w:t>
      </w:r>
    </w:p>
    <w:p w14:paraId="508BF34C">
      <w:pPr>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四、本工程招标投标活动在</w:t>
      </w:r>
      <w:r>
        <w:rPr>
          <w:rFonts w:hint="eastAsia" w:ascii="宋体" w:hAnsi="宋体" w:eastAsia="宋体" w:cs="宋体"/>
          <w:b w:val="0"/>
          <w:bCs w:val="0"/>
          <w:i w:val="0"/>
          <w:iCs w:val="0"/>
          <w:color w:val="auto"/>
          <w:spacing w:val="0"/>
          <w:w w:val="100"/>
          <w:sz w:val="21"/>
          <w:szCs w:val="21"/>
          <w:highlight w:val="none"/>
          <w:vertAlign w:val="baseline"/>
        </w:rPr>
        <w:t>深圳交易集团有限公司（深圳公共资源交易中心）</w:t>
      </w:r>
      <w:r>
        <w:rPr>
          <w:rFonts w:hint="eastAsia" w:ascii="宋体" w:hAnsi="宋体" w:eastAsia="宋体" w:cs="宋体"/>
          <w:color w:val="auto"/>
          <w:szCs w:val="21"/>
          <w:highlight w:val="none"/>
        </w:rPr>
        <w:t>进行。</w:t>
      </w:r>
    </w:p>
    <w:p w14:paraId="7A5D2426">
      <w:pPr>
        <w:spacing w:line="360" w:lineRule="auto"/>
        <w:ind w:firstLine="42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五、该招标文件所指交易网为：深圳公共资源交易网（http://www.szggzy.com/）</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本招标文件所指交易平台的网址详见投标须知前附表。</w:t>
      </w:r>
    </w:p>
    <w:p w14:paraId="2745E44A">
      <w:pPr>
        <w:spacing w:line="360" w:lineRule="auto"/>
        <w:ind w:firstLine="420"/>
        <w:jc w:val="left"/>
        <w:rPr>
          <w:rFonts w:hint="eastAsia" w:ascii="宋体" w:hAnsi="宋体" w:eastAsia="宋体" w:cs="宋体"/>
          <w:b w:val="0"/>
          <w:bCs w:val="0"/>
          <w:i w:val="0"/>
          <w:iCs w:val="0"/>
          <w:color w:val="auto"/>
          <w:spacing w:val="0"/>
          <w:w w:val="100"/>
          <w:sz w:val="21"/>
          <w:szCs w:val="21"/>
          <w:highlight w:val="none"/>
          <w:vertAlign w:val="baseline"/>
        </w:rPr>
      </w:pPr>
      <w:r>
        <w:rPr>
          <w:rFonts w:hint="eastAsia" w:ascii="宋体" w:hAnsi="宋体" w:eastAsia="宋体" w:cs="宋体"/>
          <w:color w:val="auto"/>
          <w:szCs w:val="21"/>
          <w:highlight w:val="none"/>
        </w:rPr>
        <w:t>六、招标人和投标人应事先办理企业数字证书或电子营业执照以及相关人员的数字证书（商务标书由非投标单位的造价工程师编制的，该造价工程师也应办理数字证书）。有关手续请查看交易网中的“</w:t>
      </w:r>
      <w:r>
        <w:rPr>
          <w:rFonts w:hint="eastAsia" w:ascii="宋体" w:hAnsi="宋体" w:eastAsia="宋体" w:cs="宋体"/>
          <w:color w:val="auto"/>
          <w:szCs w:val="21"/>
          <w:highlight w:val="none"/>
          <w:lang w:val="en-US" w:eastAsia="zh-CN"/>
        </w:rPr>
        <w:t>建设工程</w:t>
      </w:r>
      <w:r>
        <w:rPr>
          <w:rFonts w:hint="eastAsia" w:ascii="宋体" w:hAnsi="宋体" w:eastAsia="宋体" w:cs="宋体"/>
          <w:color w:val="auto"/>
          <w:szCs w:val="21"/>
          <w:highlight w:val="none"/>
        </w:rPr>
        <w:t>数字证书办事指南”。使用电子营业执照的，须提前在国家市场监督管理总局“电子营业执照”微信小程序电子营业执照应用程序中下载本企业电子营业执照，</w:t>
      </w:r>
      <w:r>
        <w:rPr>
          <w:rFonts w:hint="eastAsia" w:ascii="宋体" w:hAnsi="宋体" w:eastAsia="宋体" w:cs="宋体"/>
          <w:b w:val="0"/>
          <w:bCs w:val="0"/>
          <w:i w:val="0"/>
          <w:iCs w:val="0"/>
          <w:color w:val="auto"/>
          <w:spacing w:val="0"/>
          <w:w w:val="100"/>
          <w:sz w:val="21"/>
          <w:szCs w:val="21"/>
          <w:highlight w:val="none"/>
          <w:vertAlign w:val="baseline"/>
        </w:rPr>
        <w:t>有关手续请查看交易网“电子营业执照用户使用手册”。</w:t>
      </w:r>
    </w:p>
    <w:p w14:paraId="276E2A0E">
      <w:pPr>
        <w:spacing w:line="360" w:lineRule="auto"/>
        <w:ind w:firstLine="42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七、电子招标文件通过</w:t>
      </w:r>
      <w:r>
        <w:rPr>
          <w:rFonts w:hint="eastAsia" w:ascii="宋体" w:hAnsi="宋体" w:eastAsia="宋体" w:cs="宋体"/>
          <w:color w:val="auto"/>
          <w:szCs w:val="21"/>
          <w:highlight w:val="none"/>
          <w:lang w:val="en-US" w:eastAsia="zh-CN"/>
        </w:rPr>
        <w:t>交易平台在线编制</w:t>
      </w:r>
      <w:r>
        <w:rPr>
          <w:rFonts w:hint="eastAsia" w:ascii="宋体" w:hAnsi="宋体" w:eastAsia="宋体" w:cs="宋体"/>
          <w:color w:val="auto"/>
          <w:szCs w:val="21"/>
          <w:highlight w:val="none"/>
          <w:lang w:eastAsia="zh-CN"/>
        </w:rPr>
        <w:t>，电子投标文件编制工具在交易网的服务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）页面获取。</w:t>
      </w:r>
    </w:p>
    <w:p w14:paraId="06B1DED9">
      <w:pPr>
        <w:spacing w:line="360" w:lineRule="auto"/>
        <w:ind w:firstLine="42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本项目的招标公告在深圳公共资源交易网(https://www.szggzy.com/)、广东省公共资源交易平台（https://ygp.gdzwfw.gov.cn/#/44/index）、广东省招标投标监管网(网址:http://zbtb.gd. gov.sn/)和中国招标投标公共服务平台(网址:http://www.cebpubservice.com/)发布。</w:t>
      </w:r>
    </w:p>
    <w:p w14:paraId="3EECF5AB">
      <w:pPr>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八、有关招标问题的说明</w:t>
      </w:r>
    </w:p>
    <w:p w14:paraId="158F3E53">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招标文件中的所有空格招标人必须按实填写，无内容者或不采用者应填写“无”。对本招标文件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14:paraId="45AE0A05">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2．招标文件的建设规模应描述整个建设项目的规模情况和使用功能。</w:t>
      </w:r>
    </w:p>
    <w:p w14:paraId="4DDDE400">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3．招标文件的招标范围，应详细说明本次招标工程的具体项目、结构类型等定量规模和项目特征。</w:t>
      </w:r>
    </w:p>
    <w:p w14:paraId="4A013F9C">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4．采用本示范文本以外的评标方法应经建设</w:t>
      </w:r>
      <w:r>
        <w:rPr>
          <w:rFonts w:hint="eastAsia" w:ascii="宋体" w:hAnsi="宋体" w:eastAsia="宋体" w:cs="宋体"/>
          <w:color w:val="auto"/>
          <w:kern w:val="0"/>
          <w:szCs w:val="21"/>
          <w:highlight w:val="none"/>
        </w:rPr>
        <w:t>、交通</w:t>
      </w:r>
      <w:r>
        <w:rPr>
          <w:rFonts w:hint="eastAsia" w:ascii="宋体" w:hAnsi="宋体" w:eastAsia="宋体" w:cs="宋体"/>
          <w:color w:val="auto"/>
          <w:szCs w:val="21"/>
          <w:highlight w:val="none"/>
        </w:rPr>
        <w:t>行政主管部门批准，并且必须在招标文件的评标方法中进行详细描述。</w:t>
      </w:r>
    </w:p>
    <w:p w14:paraId="7C280E82">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5.采用本示范文本以外的定标方法应经建设</w:t>
      </w:r>
      <w:r>
        <w:rPr>
          <w:rFonts w:hint="eastAsia" w:ascii="宋体" w:hAnsi="宋体" w:eastAsia="宋体" w:cs="宋体"/>
          <w:color w:val="auto"/>
          <w:kern w:val="0"/>
          <w:szCs w:val="21"/>
          <w:highlight w:val="none"/>
        </w:rPr>
        <w:t>、交通</w:t>
      </w:r>
      <w:r>
        <w:rPr>
          <w:rFonts w:hint="eastAsia" w:ascii="宋体" w:hAnsi="宋体" w:eastAsia="宋体" w:cs="宋体"/>
          <w:color w:val="auto"/>
          <w:szCs w:val="21"/>
          <w:highlight w:val="none"/>
        </w:rPr>
        <w:t>行政主管部门批准，并且必须在招标文件中进行详细描述。</w:t>
      </w:r>
    </w:p>
    <w:p w14:paraId="5E62320B">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6.招标人注意事项：</w:t>
      </w:r>
    </w:p>
    <w:p w14:paraId="7A8E8EF6">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6.1招标人提交的电子招标文件格式为</w:t>
      </w:r>
      <w:r>
        <w:rPr>
          <w:rFonts w:hint="eastAsia" w:ascii="宋体" w:hAnsi="宋体" w:eastAsia="宋体" w:cs="宋体"/>
          <w:snapToGrid w:val="0"/>
          <w:color w:val="auto"/>
          <w:kern w:val="0"/>
          <w:szCs w:val="21"/>
          <w:highlight w:val="none"/>
        </w:rPr>
        <w:t>*.</w:t>
      </w:r>
      <w:r>
        <w:rPr>
          <w:color w:val="auto"/>
          <w:highlight w:val="none"/>
        </w:rPr>
        <w:t>QTZB</w:t>
      </w:r>
      <w:r>
        <w:rPr>
          <w:rFonts w:hint="eastAsia" w:ascii="宋体" w:hAnsi="宋体" w:eastAsia="宋体" w:cs="宋体"/>
          <w:snapToGrid w:val="0"/>
          <w:color w:val="auto"/>
          <w:kern w:val="0"/>
          <w:szCs w:val="21"/>
          <w:highlight w:val="none"/>
        </w:rPr>
        <w:t>或*.</w:t>
      </w:r>
      <w:r>
        <w:rPr>
          <w:color w:val="auto"/>
          <w:highlight w:val="none"/>
        </w:rPr>
        <w:t>TYZB</w:t>
      </w:r>
      <w:r>
        <w:rPr>
          <w:rFonts w:hint="eastAsia" w:ascii="宋体" w:hAnsi="宋体" w:eastAsia="宋体" w:cs="宋体"/>
          <w:color w:val="auto"/>
          <w:szCs w:val="21"/>
          <w:highlight w:val="none"/>
        </w:rPr>
        <w:t>，且必须是</w:t>
      </w:r>
      <w:r>
        <w:rPr>
          <w:rFonts w:hint="eastAsia" w:ascii="宋体" w:hAnsi="宋体" w:eastAsia="宋体" w:cs="宋体"/>
          <w:color w:val="auto"/>
          <w:szCs w:val="21"/>
          <w:highlight w:val="none"/>
          <w:lang w:val="en-US" w:eastAsia="zh-CN"/>
        </w:rPr>
        <w:t>交易平台编制</w:t>
      </w:r>
      <w:r>
        <w:rPr>
          <w:rFonts w:hint="eastAsia" w:ascii="宋体" w:hAnsi="宋体" w:eastAsia="宋体" w:cs="宋体"/>
          <w:color w:val="auto"/>
          <w:szCs w:val="21"/>
          <w:highlight w:val="none"/>
        </w:rPr>
        <w:t>生成的。</w:t>
      </w:r>
    </w:p>
    <w:p w14:paraId="1A1303F8">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6.2电子招标文件备案时，需通过交易平台上传提交电子招标文件。</w:t>
      </w:r>
    </w:p>
    <w:p w14:paraId="2D09F067">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6.3 </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公布在交易网</w:t>
      </w:r>
      <w:r>
        <w:rPr>
          <w:rFonts w:hint="eastAsia" w:ascii="宋体" w:hAnsi="宋体" w:eastAsia="宋体" w:cs="宋体"/>
          <w:color w:val="auto"/>
          <w:szCs w:val="21"/>
          <w:highlight w:val="none"/>
          <w:lang w:eastAsia="zh-CN"/>
        </w:rPr>
        <w:t>的</w:t>
      </w:r>
      <w:r>
        <w:rPr>
          <w:rFonts w:ascii="宋体" w:hAnsi="宋体" w:eastAsia="宋体" w:cs="宋体"/>
          <w:color w:val="auto"/>
          <w:szCs w:val="21"/>
          <w:highlight w:val="none"/>
        </w:rPr>
        <w:t>交易公告—建设工程—</w:t>
      </w:r>
      <w:r>
        <w:rPr>
          <w:rFonts w:hint="eastAsia" w:ascii="宋体" w:hAnsi="宋体" w:eastAsia="宋体" w:cs="宋体"/>
          <w:color w:val="auto"/>
          <w:szCs w:val="21"/>
          <w:highlight w:val="none"/>
          <w:lang w:eastAsia="zh-CN"/>
        </w:rPr>
        <w:t>最高投标限价</w:t>
      </w:r>
      <w:r>
        <w:rPr>
          <w:rFonts w:ascii="宋体" w:hAnsi="宋体" w:eastAsia="宋体" w:cs="宋体"/>
          <w:color w:val="auto"/>
          <w:szCs w:val="21"/>
          <w:highlight w:val="none"/>
        </w:rPr>
        <w:t>公示</w:t>
      </w:r>
      <w:r>
        <w:rPr>
          <w:rFonts w:hint="eastAsia" w:ascii="宋体" w:hAnsi="宋体" w:eastAsia="宋体" w:cs="宋体"/>
          <w:color w:val="auto"/>
          <w:szCs w:val="21"/>
          <w:highlight w:val="none"/>
        </w:rPr>
        <w:t>模块，“附件信息”所挂文件均为参考文件，如果“附件信息”所挂文件中有关数据与“</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公示”模块公示数据不一致的，以“</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公示”模块公示数据为准。如招标人需更改“</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公示”模块公示数据，则按照重新公示方式进行办理，并确保公示时间符合要求。</w:t>
      </w:r>
    </w:p>
    <w:p w14:paraId="43B5A1A1">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bidi="ar"/>
        </w:rPr>
        <w:t>附件信息”所挂文件可以是JPG、Word、Excel等格式，由招标人自行选择。</w:t>
      </w:r>
    </w:p>
    <w:p w14:paraId="0EFD8F94">
      <w:pPr>
        <w:numPr>
          <w:ilvl w:val="0"/>
          <w:numId w:val="12"/>
        </w:num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有关投标问题的说明</w:t>
      </w:r>
    </w:p>
    <w:p w14:paraId="22840669">
      <w:pPr>
        <w:wordWrap w:val="0"/>
        <w:adjustRightInd w:val="0"/>
        <w:snapToGrid w:val="0"/>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1.参加投标的单位（包含联合体投标的各成员）</w:t>
      </w:r>
      <w:r>
        <w:rPr>
          <w:rFonts w:hint="eastAsia" w:ascii="宋体" w:hAnsi="宋体" w:eastAsia="宋体" w:cs="宋体"/>
          <w:color w:val="auto"/>
          <w:kern w:val="0"/>
          <w:szCs w:val="21"/>
          <w:highlight w:val="none"/>
        </w:rPr>
        <w:t>须办理企业信息登记。勘察、设计、施工、监理、造价、检测等企业须在深圳市住房和建设局“企业与人员信息诚信申报平台”办理信息登记，</w:t>
      </w:r>
      <w:r>
        <w:rPr>
          <w:rFonts w:hint="eastAsia" w:ascii="宋体" w:hAnsi="宋体" w:eastAsia="宋体" w:cs="宋体"/>
          <w:b w:val="0"/>
          <w:bCs w:val="0"/>
          <w:i w:val="0"/>
          <w:iCs w:val="0"/>
          <w:color w:val="auto"/>
          <w:spacing w:val="0"/>
          <w:w w:val="100"/>
          <w:sz w:val="21"/>
          <w:szCs w:val="21"/>
          <w:highlight w:val="none"/>
          <w:vertAlign w:val="baseline"/>
        </w:rPr>
        <w:t>其他企业在深圳交易集团有限公司（深圳公共资源交易中心）-统一用户中心办理企业信息登记（https://trade.szggzy.com/ggzy/center/#/login）。</w:t>
      </w:r>
    </w:p>
    <w:p w14:paraId="38EFA964">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2.投标人获取招标文件后，应仔细阅读招标文件及附件的全部内容，附件与招标文件具有同等效力。</w:t>
      </w:r>
    </w:p>
    <w:p w14:paraId="0F47EF6C">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3.投标人应在投标截止时间前，登录交易网免费查阅或下载招标文件、答疑及招标文件补充通知。</w:t>
      </w:r>
    </w:p>
    <w:p w14:paraId="104687DC">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4.投标人对招标文件有不同意见或不明之处，应在交易平台向招标人提出。</w:t>
      </w:r>
    </w:p>
    <w:p w14:paraId="28215BE8">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5.投标人应在遵循招标文件的各项规定和要求的前提下，编制投标文件。投标文件必须满足招标文件中的实质性要求和条件。投标文件若出现否决性条款的情形其投标将会被否决。</w:t>
      </w:r>
    </w:p>
    <w:p w14:paraId="7F09D85E">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6.投标人应严格按招标文件要求，在截标前使用投标人（或联合体主体）企业机构数字证书或电子营业执照，通过交易平台递交电子投标文件，上传成功后打印回执；为避免因网络堵塞、延迟、操作失误或其他不可抗力等因素影响投标文件传输，建议应预留充足时间上传投标文件。</w:t>
      </w:r>
      <w:r>
        <w:rPr>
          <w:rFonts w:hint="eastAsia" w:ascii="宋体" w:hAnsi="宋体" w:eastAsia="宋体" w:cs="宋体"/>
          <w:color w:val="auto"/>
          <w:kern w:val="0"/>
          <w:szCs w:val="21"/>
          <w:highlight w:val="none"/>
        </w:rPr>
        <w:t>投标人在递交投标文件时登记的投标员应为本单位在职人员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在该</w:t>
      </w:r>
      <w:r>
        <w:rPr>
          <w:rFonts w:hint="eastAsia" w:ascii="宋体" w:hAnsi="宋体" w:eastAsia="宋体" w:cs="宋体"/>
          <w:color w:val="auto"/>
          <w:kern w:val="0"/>
          <w:szCs w:val="21"/>
          <w:highlight w:val="none"/>
          <w:lang w:eastAsia="zh-CN"/>
        </w:rPr>
        <w:t>单位工作且签订劳动合同,并</w:t>
      </w:r>
      <w:r>
        <w:rPr>
          <w:rFonts w:hint="eastAsia" w:ascii="宋体" w:hAnsi="宋体" w:eastAsia="宋体" w:cs="宋体"/>
          <w:color w:val="auto"/>
          <w:kern w:val="0"/>
          <w:szCs w:val="21"/>
          <w:highlight w:val="none"/>
          <w:lang w:val="en-US" w:eastAsia="zh-CN"/>
        </w:rPr>
        <w:t>由该</w:t>
      </w:r>
      <w:r>
        <w:rPr>
          <w:rFonts w:hint="eastAsia" w:ascii="宋体" w:hAnsi="宋体" w:eastAsia="宋体" w:cs="宋体"/>
          <w:color w:val="auto"/>
          <w:kern w:val="0"/>
          <w:szCs w:val="21"/>
          <w:highlight w:val="none"/>
          <w:lang w:eastAsia="zh-CN"/>
        </w:rPr>
        <w:t>单位</w:t>
      </w:r>
      <w:r>
        <w:rPr>
          <w:rFonts w:hint="eastAsia" w:ascii="宋体" w:hAnsi="宋体" w:eastAsia="宋体" w:cs="宋体"/>
          <w:color w:val="auto"/>
          <w:kern w:val="0"/>
          <w:szCs w:val="21"/>
          <w:highlight w:val="none"/>
          <w:lang w:val="en-US" w:eastAsia="zh-CN"/>
        </w:rPr>
        <w:t>购买</w:t>
      </w:r>
      <w:r>
        <w:rPr>
          <w:rFonts w:hint="eastAsia" w:ascii="宋体" w:hAnsi="宋体" w:eastAsia="宋体" w:cs="宋体"/>
          <w:color w:val="auto"/>
          <w:kern w:val="0"/>
          <w:szCs w:val="21"/>
          <w:highlight w:val="none"/>
          <w:lang w:eastAsia="zh-CN"/>
        </w:rPr>
        <w:t>社会保险</w:t>
      </w:r>
      <w:r>
        <w:rPr>
          <w:rFonts w:hint="eastAsia" w:ascii="宋体" w:hAnsi="宋体" w:eastAsia="宋体" w:cs="宋体"/>
          <w:color w:val="auto"/>
          <w:kern w:val="0"/>
          <w:szCs w:val="21"/>
          <w:highlight w:val="none"/>
          <w:lang w:val="en-US" w:eastAsia="zh-CN"/>
        </w:rPr>
        <w:t>的人员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，投标人应对投标员身份信息的真实性、有效性负责。</w:t>
      </w:r>
    </w:p>
    <w:p w14:paraId="5BC9A10F">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7.交易</w:t>
      </w:r>
      <w:r>
        <w:rPr>
          <w:rFonts w:hint="eastAsia" w:ascii="宋体" w:hAnsi="宋体" w:eastAsia="宋体" w:cs="宋体"/>
          <w:color w:val="auto"/>
          <w:szCs w:val="21"/>
          <w:highlight w:val="none"/>
          <w:lang w:val="en-US" w:eastAsia="zh-CN"/>
        </w:rPr>
        <w:t>网</w:t>
      </w:r>
      <w:r>
        <w:rPr>
          <w:rFonts w:hint="eastAsia" w:ascii="宋体" w:hAnsi="宋体" w:eastAsia="宋体" w:cs="宋体"/>
          <w:color w:val="auto"/>
          <w:szCs w:val="21"/>
          <w:highlight w:val="none"/>
        </w:rPr>
        <w:t>是投标人获取建设工程电子招标文件和电子送审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文件的唯一合法渠道。投标人需随时关注交易网</w:t>
      </w:r>
      <w:r>
        <w:rPr>
          <w:rFonts w:hint="eastAsia" w:ascii="宋体" w:hAnsi="宋体" w:eastAsia="宋体" w:cs="宋体"/>
          <w:color w:val="auto"/>
          <w:szCs w:val="21"/>
          <w:highlight w:val="none"/>
          <w:lang w:val="en-US" w:eastAsia="zh-CN"/>
        </w:rPr>
        <w:t>或交易平台</w:t>
      </w:r>
      <w:r>
        <w:rPr>
          <w:rFonts w:hint="eastAsia" w:ascii="宋体" w:hAnsi="宋体" w:eastAsia="宋体" w:cs="宋体"/>
          <w:color w:val="auto"/>
          <w:szCs w:val="21"/>
          <w:highlight w:val="none"/>
        </w:rPr>
        <w:t>，确认所投标的项目招标文件（</w:t>
      </w:r>
      <w:r>
        <w:rPr>
          <w:rFonts w:ascii="宋体" w:hAnsi="宋体" w:eastAsia="宋体" w:cs="宋体"/>
          <w:snapToGrid w:val="0"/>
          <w:color w:val="auto"/>
          <w:kern w:val="0"/>
          <w:szCs w:val="21"/>
          <w:highlight w:val="none"/>
        </w:rPr>
        <w:t xml:space="preserve"> </w:t>
      </w:r>
      <w:r>
        <w:rPr>
          <w:color w:val="auto"/>
          <w:highlight w:val="none"/>
        </w:rPr>
        <w:t>TYZB</w:t>
      </w:r>
      <w:r>
        <w:rPr>
          <w:rFonts w:hint="eastAsia"/>
          <w:color w:val="auto"/>
          <w:highlight w:val="none"/>
        </w:rPr>
        <w:t>、</w:t>
      </w:r>
      <w:r>
        <w:rPr>
          <w:color w:val="auto"/>
          <w:highlight w:val="none"/>
        </w:rPr>
        <w:t>QTZB</w:t>
      </w:r>
      <w:r>
        <w:rPr>
          <w:rFonts w:hint="eastAsia" w:ascii="宋体" w:hAnsi="宋体" w:eastAsia="宋体" w:cs="宋体"/>
          <w:color w:val="auto"/>
          <w:szCs w:val="21"/>
          <w:highlight w:val="none"/>
        </w:rPr>
        <w:t>）和电子送审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文件是否更新。如果有更新，须下载最新的招标文件和电子送审</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文件用于制作电子投标文件，否则后果由投标人自行承担。</w:t>
      </w:r>
    </w:p>
    <w:p w14:paraId="68EC9534">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8.投标人应当遵守深圳交易集团有限公司（深圳公共资源交易中心）的相关规定，违反规定导致的不利后果，由投标人自行承担。</w:t>
      </w:r>
    </w:p>
    <w:p w14:paraId="345E63A6">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9.投标人须对投标资料的真实性负责。招标人有权将投标文件的部分或全部内容向外公示，若公示期间收到有关弄虚作假投诉的，招标人将提请建设、交通行政主管部门查处。一旦查实将严格按照法律法规作出处理。</w:t>
      </w:r>
    </w:p>
    <w:p w14:paraId="7B0D6098">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10.若投标人资质证书或安全生产许可证被暂扣或吊销，但仍参与投标的，招标人将取消其投标或中标资格、没收其投标保证金，建设行政主管部门或有关行政管理部门将按弄虚作假行为对其进行行政处罚。</w:t>
      </w:r>
    </w:p>
    <w:p w14:paraId="65BAA848">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11.投标人注意事项：</w:t>
      </w:r>
    </w:p>
    <w:p w14:paraId="3C3BAEB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11.1《电子文件编制工具》安装软件可在</w:t>
      </w:r>
      <w:r>
        <w:rPr>
          <w:rFonts w:hint="eastAsia" w:ascii="宋体" w:hAnsi="宋体" w:eastAsia="宋体" w:cs="宋体"/>
          <w:color w:val="auto"/>
          <w:szCs w:val="21"/>
          <w:highlight w:val="none"/>
          <w:lang w:eastAsia="zh-CN"/>
        </w:rPr>
        <w:t>交易网的服务</w:t>
      </w:r>
      <w:r>
        <w:rPr>
          <w:rFonts w:hint="eastAsia" w:ascii="宋体" w:hAnsi="宋体" w:eastAsia="宋体" w:cs="宋体"/>
          <w:color w:val="auto"/>
          <w:szCs w:val="21"/>
          <w:highlight w:val="none"/>
          <w:lang w:val="en-US" w:eastAsia="zh-CN"/>
        </w:rPr>
        <w:t>指南</w:t>
      </w:r>
      <w:r>
        <w:rPr>
          <w:rFonts w:hint="eastAsia" w:ascii="宋体" w:hAnsi="宋体" w:eastAsia="宋体" w:cs="宋体"/>
          <w:color w:val="auto"/>
          <w:szCs w:val="21"/>
          <w:highlight w:val="none"/>
          <w:lang w:eastAsia="zh-CN"/>
        </w:rPr>
        <w:t>-建设工程-资料下载-工具下载（</w:t>
      </w:r>
      <w:r>
        <w:rPr>
          <w:rFonts w:hint="eastAsia" w:ascii="宋体" w:hAnsi="宋体" w:eastAsia="宋体" w:cs="宋体"/>
          <w:color w:val="auto"/>
          <w:szCs w:val="21"/>
          <w:highlight w:val="none"/>
          <w:lang w:val="en-US" w:eastAsia="zh-CN"/>
        </w:rPr>
        <w:t>投标编制文件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，请注意使用正确的版本，并及时更新。</w:t>
      </w:r>
    </w:p>
    <w:p w14:paraId="38F3760C">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11.2电子投标文件必须按招标文件要求有数字证书或电子营业执照签名方为合法的投标文件。未对电子文件进行数字证书或电子营业执照签名的以及对投标文件进行加密但在开标会规定的时间内没有进行解密的，开标会现场将作为不予受理的投标文件处理。</w:t>
      </w:r>
    </w:p>
    <w:p w14:paraId="4F840E1F">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在电子文件编制工具中，生成电子标书时，须将所签名的证书或电子营业执照的电子签名签署到相应的位置中。</w:t>
      </w:r>
    </w:p>
    <w:p w14:paraId="22D9203D">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11.3评标时以电子标书为准，因此在制作电子标书的时候，需要反复核对相关报价，每一个货物只允许有一个报价，任何有选择的报价将不予接受。如果递交的投标文件已加密但未在规定时间内成功解密，则视为此投标文件无法读取导入。</w:t>
      </w:r>
    </w:p>
    <w:p w14:paraId="109E9F47">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投标人可使用电子投标文件编制工具中的加密功能对网上传输的投标文件中各部分内容进行加密（可使用数字证书或电子营业执照进行加密）,其中：用于投标文件加密的数字证书必须是本单位的任意一个数字证书，包括机构数字证书、机构个人数字证书。用于投标文件加密的电子营业执照必须是由本单位法定代表人在市场监督管理总局的电子营业执照小程序中下载的真实有效的电子营业执照，且投标操作人员须法定代表人在授权并下载本单位电子营业执照后才可进行标书加密等相关操作。</w:t>
      </w:r>
    </w:p>
    <w:p w14:paraId="33C15D0D">
      <w:pPr>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11.4在编制技术标投标文件时，如果需要粘贴图片，可使用J</w:t>
      </w:r>
      <w:r>
        <w:rPr>
          <w:rFonts w:ascii="宋体" w:hAnsi="宋体" w:eastAsia="宋体" w:cs="宋体"/>
          <w:color w:val="auto"/>
          <w:szCs w:val="21"/>
          <w:highlight w:val="none"/>
        </w:rPr>
        <w:t>PG/PNG/BMP</w:t>
      </w:r>
      <w:r>
        <w:rPr>
          <w:rFonts w:hint="eastAsia" w:ascii="宋体" w:hAnsi="宋体" w:eastAsia="宋体" w:cs="宋体"/>
          <w:color w:val="auto"/>
          <w:szCs w:val="21"/>
          <w:highlight w:val="none"/>
        </w:rPr>
        <w:t>格式的文件，并且每张图片的分辨率应小于100dpi，</w:t>
      </w:r>
      <w:r>
        <w:rPr>
          <w:rFonts w:hint="eastAsia" w:ascii="宋体" w:hAnsi="宋体" w:eastAsia="宋体" w:cs="宋体"/>
          <w:b w:val="0"/>
          <w:bCs w:val="0"/>
          <w:i w:val="0"/>
          <w:iCs w:val="0"/>
          <w:color w:val="auto"/>
          <w:spacing w:val="0"/>
          <w:w w:val="100"/>
          <w:sz w:val="21"/>
          <w:szCs w:val="21"/>
          <w:highlight w:val="none"/>
          <w:vertAlign w:val="baseline"/>
        </w:rPr>
        <w:t>最终的标书文件所占用的磁盘空间必须小于50</w:t>
      </w:r>
      <w:r>
        <w:rPr>
          <w:rFonts w:hint="eastAsia" w:ascii="宋体" w:hAnsi="宋体" w:eastAsia="宋体" w:cs="宋体"/>
          <w:b w:val="0"/>
          <w:bCs w:val="0"/>
          <w:i w:val="0"/>
          <w:iCs w:val="0"/>
          <w:color w:val="auto"/>
          <w:spacing w:val="0"/>
          <w:w w:val="100"/>
          <w:sz w:val="21"/>
          <w:szCs w:val="21"/>
          <w:highlight w:val="none"/>
          <w:vertAlign w:val="baseline"/>
          <w:lang w:val="en-US" w:eastAsia="zh-CN"/>
        </w:rPr>
        <w:t>0</w:t>
      </w:r>
      <w:r>
        <w:rPr>
          <w:rFonts w:hint="eastAsia" w:ascii="宋体" w:hAnsi="宋体" w:eastAsia="宋体" w:cs="宋体"/>
          <w:b w:val="0"/>
          <w:bCs w:val="0"/>
          <w:i w:val="0"/>
          <w:iCs w:val="0"/>
          <w:color w:val="auto"/>
          <w:spacing w:val="0"/>
          <w:w w:val="100"/>
          <w:sz w:val="21"/>
          <w:szCs w:val="21"/>
          <w:highlight w:val="none"/>
          <w:vertAlign w:val="baseline"/>
        </w:rPr>
        <w:t>0M；资审文件占用的磁盘空间必须小于</w:t>
      </w:r>
      <w:r>
        <w:rPr>
          <w:rFonts w:hint="eastAsia" w:ascii="宋体" w:hAnsi="宋体" w:eastAsia="宋体" w:cs="宋体"/>
          <w:b w:val="0"/>
          <w:bCs w:val="0"/>
          <w:i w:val="0"/>
          <w:iCs w:val="0"/>
          <w:color w:val="auto"/>
          <w:spacing w:val="0"/>
          <w:w w:val="100"/>
          <w:sz w:val="21"/>
          <w:szCs w:val="21"/>
          <w:highlight w:val="none"/>
          <w:vertAlign w:val="baseline"/>
          <w:lang w:val="en-US" w:eastAsia="zh-CN"/>
        </w:rPr>
        <w:t>2</w:t>
      </w:r>
      <w:r>
        <w:rPr>
          <w:rFonts w:hint="eastAsia" w:ascii="宋体" w:hAnsi="宋体" w:eastAsia="宋体" w:cs="宋体"/>
          <w:b w:val="0"/>
          <w:bCs w:val="0"/>
          <w:i w:val="0"/>
          <w:iCs w:val="0"/>
          <w:color w:val="auto"/>
          <w:spacing w:val="0"/>
          <w:w w:val="100"/>
          <w:sz w:val="21"/>
          <w:szCs w:val="21"/>
          <w:highlight w:val="none"/>
          <w:vertAlign w:val="baseline"/>
        </w:rPr>
        <w:t>00M。</w:t>
      </w:r>
    </w:p>
    <w:p w14:paraId="38E6FD41">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12.本工程采用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kern w:val="0"/>
          <w:szCs w:val="21"/>
          <w:highlight w:val="none"/>
        </w:rPr>
        <w:t>进行投标、开标及评标</w:t>
      </w:r>
      <w:r>
        <w:rPr>
          <w:rFonts w:hint="eastAsia" w:ascii="宋体" w:hAnsi="宋体" w:eastAsia="宋体" w:cs="宋体"/>
          <w:color w:val="auto"/>
          <w:szCs w:val="21"/>
          <w:highlight w:val="none"/>
        </w:rPr>
        <w:t>，请认真阅读本说明，若有疑问可通过载明的联系方式要求技术咨询。</w:t>
      </w:r>
    </w:p>
    <w:p w14:paraId="33EAA814">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十、关于</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咨询方式：</w:t>
      </w:r>
    </w:p>
    <w:p w14:paraId="3C62143C">
      <w:pPr>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建设工程技术咨询电话:0755-36568999、0755-88653390</w:t>
      </w:r>
      <w:r>
        <w:rPr>
          <w:rFonts w:hint="eastAsia" w:ascii="宋体" w:hAnsi="宋体" w:eastAsia="宋体" w:cs="宋体"/>
          <w:color w:val="auto"/>
          <w:szCs w:val="21"/>
          <w:highlight w:val="none"/>
          <w:lang w:val="en-US" w:eastAsia="zh-CN"/>
        </w:rPr>
        <w:t>。</w:t>
      </w:r>
    </w:p>
    <w:tbl>
      <w:tblPr>
        <w:tblStyle w:val="78"/>
        <w:tblpPr w:leftFromText="180" w:rightFromText="180" w:vertAnchor="text" w:horzAnchor="page" w:tblpXSpec="center" w:tblpY="333"/>
        <w:tblOverlap w:val="never"/>
        <w:tblW w:w="9675" w:type="dxa"/>
        <w:jc w:val="center"/>
        <w:tblLayout w:type="fixed"/>
        <w:tblCellMar>
          <w:top w:w="0" w:type="dxa"/>
          <w:left w:w="108" w:type="dxa"/>
          <w:bottom w:w="0" w:type="dxa"/>
          <w:right w:w="108" w:type="dxa"/>
        </w:tblCellMar>
      </w:tblPr>
      <w:tblGrid>
        <w:gridCol w:w="1587"/>
        <w:gridCol w:w="2988"/>
        <w:gridCol w:w="1845"/>
        <w:gridCol w:w="3255"/>
      </w:tblGrid>
      <w:tr w14:paraId="46720D86">
        <w:tblPrEx>
          <w:tblCellMar>
            <w:top w:w="0" w:type="dxa"/>
            <w:left w:w="108" w:type="dxa"/>
            <w:bottom w:w="0" w:type="dxa"/>
            <w:right w:w="108" w:type="dxa"/>
          </w:tblCellMar>
        </w:tblPrEx>
        <w:trPr>
          <w:trHeight w:val="454" w:hRule="atLeast"/>
          <w:jc w:val="center"/>
        </w:trPr>
        <w:tc>
          <w:tcPr>
            <w:tcW w:w="1587" w:type="dxa"/>
            <w:vAlign w:val="bottom"/>
          </w:tcPr>
          <w:p w14:paraId="5AA3CA77">
            <w:pPr>
              <w:widowControl/>
              <w:jc w:val="left"/>
              <w:rPr>
                <w:rFonts w:ascii="宋体" w:hAnsi="宋体" w:eastAsia="宋体" w:cs="宋体"/>
                <w:color w:val="auto"/>
                <w:kern w:val="0"/>
                <w:szCs w:val="21"/>
                <w:highlight w:val="none"/>
              </w:rPr>
            </w:pPr>
            <w:bookmarkStart w:id="11" w:name="_Toc30023"/>
            <w:bookmarkStart w:id="12" w:name="_Toc22605"/>
            <w:r>
              <w:rPr>
                <w:rFonts w:hint="eastAsia" w:ascii="宋体" w:hAnsi="宋体" w:eastAsia="宋体" w:cs="宋体"/>
                <w:color w:val="auto"/>
                <w:kern w:val="0"/>
                <w:szCs w:val="21"/>
                <w:highlight w:val="none"/>
              </w:rPr>
              <w:t>招 标 人：</w:t>
            </w:r>
          </w:p>
        </w:tc>
        <w:tc>
          <w:tcPr>
            <w:tcW w:w="2988" w:type="dxa"/>
            <w:vAlign w:val="center"/>
          </w:tcPr>
          <w:p w14:paraId="67AB2A7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4DE1792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255" w:type="dxa"/>
            <w:vAlign w:val="center"/>
          </w:tcPr>
          <w:p w14:paraId="268FE5B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55D5CD2C">
        <w:tblPrEx>
          <w:tblCellMar>
            <w:top w:w="0" w:type="dxa"/>
            <w:left w:w="108" w:type="dxa"/>
            <w:bottom w:w="0" w:type="dxa"/>
            <w:right w:w="108" w:type="dxa"/>
          </w:tblCellMar>
        </w:tblPrEx>
        <w:trPr>
          <w:trHeight w:val="454" w:hRule="atLeast"/>
          <w:jc w:val="center"/>
        </w:trPr>
        <w:tc>
          <w:tcPr>
            <w:tcW w:w="1587" w:type="dxa"/>
            <w:vAlign w:val="bottom"/>
          </w:tcPr>
          <w:p w14:paraId="13ADBFC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法定代表人或其委托代理人：</w:t>
            </w:r>
          </w:p>
        </w:tc>
        <w:tc>
          <w:tcPr>
            <w:tcW w:w="2988" w:type="dxa"/>
            <w:vAlign w:val="center"/>
          </w:tcPr>
          <w:p w14:paraId="114F9CB1">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31D4954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w:t>
            </w:r>
          </w:p>
          <w:p w14:paraId="15DDCA0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其委托代理人：</w:t>
            </w:r>
          </w:p>
        </w:tc>
        <w:tc>
          <w:tcPr>
            <w:tcW w:w="3255" w:type="dxa"/>
            <w:vAlign w:val="center"/>
          </w:tcPr>
          <w:p w14:paraId="55CFB1D2">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439BF949">
        <w:tblPrEx>
          <w:tblCellMar>
            <w:top w:w="0" w:type="dxa"/>
            <w:left w:w="108" w:type="dxa"/>
            <w:bottom w:w="0" w:type="dxa"/>
            <w:right w:w="108" w:type="dxa"/>
          </w:tblCellMar>
        </w:tblPrEx>
        <w:trPr>
          <w:trHeight w:val="454" w:hRule="atLeast"/>
          <w:jc w:val="center"/>
        </w:trPr>
        <w:tc>
          <w:tcPr>
            <w:tcW w:w="1587" w:type="dxa"/>
            <w:vAlign w:val="bottom"/>
          </w:tcPr>
          <w:p w14:paraId="6E27B71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2988" w:type="dxa"/>
            <w:vAlign w:val="center"/>
          </w:tcPr>
          <w:p w14:paraId="77B789C5">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2C20FCE0">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p>
        </w:tc>
        <w:tc>
          <w:tcPr>
            <w:tcW w:w="3255" w:type="dxa"/>
            <w:vAlign w:val="center"/>
          </w:tcPr>
          <w:p w14:paraId="1C4F443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2A91E464">
        <w:tblPrEx>
          <w:tblCellMar>
            <w:top w:w="0" w:type="dxa"/>
            <w:left w:w="108" w:type="dxa"/>
            <w:bottom w:w="0" w:type="dxa"/>
            <w:right w:w="108" w:type="dxa"/>
          </w:tblCellMar>
        </w:tblPrEx>
        <w:trPr>
          <w:trHeight w:val="454" w:hRule="atLeast"/>
          <w:jc w:val="center"/>
        </w:trPr>
        <w:tc>
          <w:tcPr>
            <w:tcW w:w="1587" w:type="dxa"/>
            <w:vAlign w:val="bottom"/>
          </w:tcPr>
          <w:p w14:paraId="541FC356">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2988" w:type="dxa"/>
            <w:vAlign w:val="center"/>
          </w:tcPr>
          <w:p w14:paraId="77A3434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18FF01CD">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tc>
        <w:tc>
          <w:tcPr>
            <w:tcW w:w="3255" w:type="dxa"/>
            <w:vAlign w:val="center"/>
          </w:tcPr>
          <w:p w14:paraId="6D551F0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73A404BF">
        <w:tblPrEx>
          <w:tblCellMar>
            <w:top w:w="0" w:type="dxa"/>
            <w:left w:w="108" w:type="dxa"/>
            <w:bottom w:w="0" w:type="dxa"/>
            <w:right w:w="108" w:type="dxa"/>
          </w:tblCellMar>
        </w:tblPrEx>
        <w:trPr>
          <w:trHeight w:val="454" w:hRule="atLeast"/>
          <w:jc w:val="center"/>
        </w:trPr>
        <w:tc>
          <w:tcPr>
            <w:tcW w:w="1587" w:type="dxa"/>
            <w:vAlign w:val="bottom"/>
          </w:tcPr>
          <w:p w14:paraId="4EF0D5A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2988" w:type="dxa"/>
            <w:vAlign w:val="center"/>
          </w:tcPr>
          <w:p w14:paraId="1F646D8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2480F23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传真电话：</w:t>
            </w:r>
          </w:p>
        </w:tc>
        <w:tc>
          <w:tcPr>
            <w:tcW w:w="3255" w:type="dxa"/>
            <w:vAlign w:val="center"/>
          </w:tcPr>
          <w:p w14:paraId="0505BB0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129A3F38">
        <w:tblPrEx>
          <w:tblCellMar>
            <w:top w:w="0" w:type="dxa"/>
            <w:left w:w="108" w:type="dxa"/>
            <w:bottom w:w="0" w:type="dxa"/>
            <w:right w:w="108" w:type="dxa"/>
          </w:tblCellMar>
        </w:tblPrEx>
        <w:trPr>
          <w:trHeight w:val="454" w:hRule="atLeast"/>
          <w:jc w:val="center"/>
        </w:trPr>
        <w:tc>
          <w:tcPr>
            <w:tcW w:w="1587" w:type="dxa"/>
            <w:vAlign w:val="bottom"/>
          </w:tcPr>
          <w:p w14:paraId="59036C91">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2988" w:type="dxa"/>
            <w:vAlign w:val="center"/>
          </w:tcPr>
          <w:p w14:paraId="41624FA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3F498818">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电子信箱：</w:t>
            </w:r>
          </w:p>
        </w:tc>
        <w:tc>
          <w:tcPr>
            <w:tcW w:w="3255" w:type="dxa"/>
            <w:vAlign w:val="center"/>
          </w:tcPr>
          <w:p w14:paraId="4DB7A2E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7AA996FC">
        <w:tblPrEx>
          <w:tblCellMar>
            <w:top w:w="0" w:type="dxa"/>
            <w:left w:w="108" w:type="dxa"/>
            <w:bottom w:w="0" w:type="dxa"/>
            <w:right w:w="108" w:type="dxa"/>
          </w:tblCellMar>
        </w:tblPrEx>
        <w:trPr>
          <w:trHeight w:val="454" w:hRule="atLeast"/>
          <w:jc w:val="center"/>
        </w:trPr>
        <w:tc>
          <w:tcPr>
            <w:tcW w:w="1587" w:type="dxa"/>
            <w:vAlign w:val="bottom"/>
          </w:tcPr>
          <w:p w14:paraId="2FFCEDD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2988" w:type="dxa"/>
            <w:vAlign w:val="center"/>
          </w:tcPr>
          <w:p w14:paraId="59F93F8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c>
          <w:tcPr>
            <w:tcW w:w="1845" w:type="dxa"/>
            <w:vAlign w:val="bottom"/>
          </w:tcPr>
          <w:p w14:paraId="355C3A0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    期：</w:t>
            </w:r>
          </w:p>
        </w:tc>
        <w:tc>
          <w:tcPr>
            <w:tcW w:w="3255" w:type="dxa"/>
            <w:vAlign w:val="center"/>
          </w:tcPr>
          <w:p w14:paraId="0523A960">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p>
        </w:tc>
      </w:tr>
    </w:tbl>
    <w:p w14:paraId="21FED582">
      <w:pPr>
        <w:widowControl/>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6517C1E9">
      <w:pPr>
        <w:spacing w:line="360" w:lineRule="auto"/>
        <w:jc w:val="center"/>
        <w:outlineLvl w:val="0"/>
        <w:rPr>
          <w:rFonts w:ascii="黑体" w:eastAsia="黑体"/>
          <w:bCs/>
          <w:color w:val="auto"/>
          <w:sz w:val="32"/>
          <w:szCs w:val="32"/>
          <w:highlight w:val="none"/>
        </w:rPr>
      </w:pPr>
      <w:bookmarkStart w:id="13" w:name="_Toc7536"/>
      <w:r>
        <w:rPr>
          <w:rFonts w:hint="eastAsia" w:ascii="黑体" w:eastAsia="黑体"/>
          <w:bCs/>
          <w:color w:val="auto"/>
          <w:sz w:val="32"/>
          <w:szCs w:val="32"/>
          <w:highlight w:val="none"/>
        </w:rPr>
        <w:t>第二章  投标须知</w:t>
      </w:r>
      <w:bookmarkEnd w:id="11"/>
      <w:bookmarkEnd w:id="12"/>
      <w:bookmarkEnd w:id="13"/>
    </w:p>
    <w:p w14:paraId="09D0AA39">
      <w:pPr>
        <w:spacing w:line="360" w:lineRule="auto"/>
        <w:jc w:val="center"/>
        <w:outlineLvl w:val="1"/>
        <w:rPr>
          <w:rFonts w:ascii="黑体" w:hAnsi="宋体" w:eastAsia="黑体"/>
          <w:bCs/>
          <w:snapToGrid w:val="0"/>
          <w:color w:val="auto"/>
          <w:kern w:val="0"/>
          <w:sz w:val="32"/>
          <w:szCs w:val="32"/>
          <w:highlight w:val="none"/>
        </w:rPr>
      </w:pPr>
      <w:bookmarkStart w:id="14" w:name="_Toc24016"/>
      <w:bookmarkStart w:id="15" w:name="_Toc24236"/>
      <w:r>
        <w:rPr>
          <w:rFonts w:hint="eastAsia" w:ascii="黑体" w:hAnsi="宋体" w:eastAsia="黑体"/>
          <w:bCs/>
          <w:color w:val="auto"/>
          <w:sz w:val="32"/>
          <w:szCs w:val="32"/>
          <w:highlight w:val="none"/>
        </w:rPr>
        <w:t>一、投标须知前附表</w:t>
      </w:r>
      <w:bookmarkEnd w:id="14"/>
      <w:bookmarkEnd w:id="15"/>
    </w:p>
    <w:tbl>
      <w:tblPr>
        <w:tblStyle w:val="78"/>
        <w:tblW w:w="9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92"/>
        <w:gridCol w:w="6652"/>
      </w:tblGrid>
      <w:tr w14:paraId="69F62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673" w:type="dxa"/>
            <w:vAlign w:val="center"/>
          </w:tcPr>
          <w:p w14:paraId="53D49DA3">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序号</w:t>
            </w:r>
          </w:p>
        </w:tc>
        <w:tc>
          <w:tcPr>
            <w:tcW w:w="2192" w:type="dxa"/>
            <w:vAlign w:val="center"/>
          </w:tcPr>
          <w:p w14:paraId="09B8779A">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内  容</w:t>
            </w:r>
          </w:p>
        </w:tc>
        <w:tc>
          <w:tcPr>
            <w:tcW w:w="6652" w:type="dxa"/>
            <w:vAlign w:val="center"/>
          </w:tcPr>
          <w:p w14:paraId="53C33F3B">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规  定</w:t>
            </w:r>
          </w:p>
        </w:tc>
      </w:tr>
      <w:tr w14:paraId="4F756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673" w:type="dxa"/>
            <w:vAlign w:val="center"/>
          </w:tcPr>
          <w:p w14:paraId="22AE3093">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p>
        </w:tc>
        <w:tc>
          <w:tcPr>
            <w:tcW w:w="2192" w:type="dxa"/>
            <w:vAlign w:val="center"/>
          </w:tcPr>
          <w:p w14:paraId="64010259">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标段名称</w:t>
            </w:r>
          </w:p>
        </w:tc>
        <w:tc>
          <w:tcPr>
            <w:tcW w:w="6652" w:type="dxa"/>
            <w:vAlign w:val="center"/>
          </w:tcPr>
          <w:p w14:paraId="251773FF">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14:paraId="2F061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673" w:type="dxa"/>
            <w:vAlign w:val="center"/>
          </w:tcPr>
          <w:p w14:paraId="7A759893">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w:t>
            </w:r>
          </w:p>
        </w:tc>
        <w:tc>
          <w:tcPr>
            <w:tcW w:w="2192" w:type="dxa"/>
            <w:vAlign w:val="center"/>
          </w:tcPr>
          <w:p w14:paraId="0B88FC20">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工程地点</w:t>
            </w:r>
          </w:p>
        </w:tc>
        <w:tc>
          <w:tcPr>
            <w:tcW w:w="6652" w:type="dxa"/>
            <w:vAlign w:val="center"/>
          </w:tcPr>
          <w:p w14:paraId="4818BCF8">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14:paraId="3A3C2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3" w:type="dxa"/>
            <w:vAlign w:val="center"/>
          </w:tcPr>
          <w:p w14:paraId="04CA10FB">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p>
        </w:tc>
        <w:tc>
          <w:tcPr>
            <w:tcW w:w="2192" w:type="dxa"/>
            <w:vAlign w:val="center"/>
          </w:tcPr>
          <w:p w14:paraId="3D8E90C1">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是否场外工程</w:t>
            </w:r>
          </w:p>
        </w:tc>
        <w:tc>
          <w:tcPr>
            <w:tcW w:w="6652" w:type="dxa"/>
            <w:vAlign w:val="center"/>
          </w:tcPr>
          <w:p w14:paraId="6ED3887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□是  □否</w:t>
            </w:r>
          </w:p>
          <w:p w14:paraId="59784BBB">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行政监督部门</w:t>
            </w:r>
            <w:r>
              <w:rPr>
                <w:rFonts w:hint="eastAsia" w:ascii="宋体" w:hAnsi="宋体" w:eastAsia="宋体" w:cs="宋体"/>
                <w:color w:val="auto"/>
                <w:kern w:val="0"/>
                <w:szCs w:val="21"/>
                <w:highlight w:val="none"/>
                <w:u w:val="single"/>
              </w:rPr>
              <w:t xml:space="preserve">      </w:t>
            </w:r>
          </w:p>
        </w:tc>
      </w:tr>
      <w:tr w14:paraId="1881B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673" w:type="dxa"/>
            <w:vAlign w:val="center"/>
          </w:tcPr>
          <w:p w14:paraId="5DB37A53">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w:t>
            </w:r>
          </w:p>
        </w:tc>
        <w:tc>
          <w:tcPr>
            <w:tcW w:w="2192" w:type="dxa"/>
            <w:vAlign w:val="center"/>
          </w:tcPr>
          <w:p w14:paraId="718B7CC5">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总投资额</w:t>
            </w:r>
          </w:p>
        </w:tc>
        <w:tc>
          <w:tcPr>
            <w:tcW w:w="6652" w:type="dxa"/>
            <w:vAlign w:val="center"/>
          </w:tcPr>
          <w:p w14:paraId="2B9E61EA">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14:paraId="047C8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673" w:type="dxa"/>
            <w:vAlign w:val="center"/>
          </w:tcPr>
          <w:p w14:paraId="68D4A6D0">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w:t>
            </w:r>
          </w:p>
        </w:tc>
        <w:tc>
          <w:tcPr>
            <w:tcW w:w="2192" w:type="dxa"/>
            <w:vAlign w:val="center"/>
          </w:tcPr>
          <w:p w14:paraId="21DC8E68">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招标范围</w:t>
            </w:r>
          </w:p>
        </w:tc>
        <w:tc>
          <w:tcPr>
            <w:tcW w:w="6652" w:type="dxa"/>
            <w:vAlign w:val="center"/>
          </w:tcPr>
          <w:p w14:paraId="0A7F9E40">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14:paraId="27981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3" w:type="dxa"/>
            <w:vMerge w:val="restart"/>
            <w:vAlign w:val="center"/>
          </w:tcPr>
          <w:p w14:paraId="08A76D64">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w:t>
            </w:r>
          </w:p>
        </w:tc>
        <w:tc>
          <w:tcPr>
            <w:tcW w:w="2192" w:type="dxa"/>
            <w:vMerge w:val="restart"/>
            <w:vAlign w:val="center"/>
          </w:tcPr>
          <w:p w14:paraId="67C9663F">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资金来源</w:t>
            </w:r>
            <w:r>
              <w:rPr>
                <w:rFonts w:hint="eastAsia" w:ascii="宋体" w:hAnsi="宋体" w:eastAsia="宋体" w:cs="宋体"/>
                <w:color w:val="auto"/>
                <w:kern w:val="0"/>
                <w:szCs w:val="21"/>
                <w:highlight w:val="none"/>
                <w:lang w:eastAsia="zh-CN"/>
              </w:rPr>
              <w:t>及支持中小企业发展措施</w:t>
            </w:r>
          </w:p>
        </w:tc>
        <w:tc>
          <w:tcPr>
            <w:tcW w:w="6652" w:type="dxa"/>
            <w:vAlign w:val="center"/>
          </w:tcPr>
          <w:p w14:paraId="322BA1A3">
            <w:pPr>
              <w:adjustRightInd/>
              <w:snapToGrid/>
              <w:spacing w:line="240" w:lineRule="auto"/>
              <w:rPr>
                <w:rFonts w:hint="eastAsia" w:ascii="宋体" w:hAnsi="宋体" w:eastAsia="宋体" w:cs="宋体"/>
                <w:bCs/>
                <w:color w:val="auto"/>
                <w:kern w:val="0"/>
                <w:szCs w:val="21"/>
                <w:highlight w:val="none"/>
                <w:u w:val="none"/>
              </w:rPr>
            </w:pPr>
            <w:r>
              <w:rPr>
                <w:rFonts w:hint="eastAsia" w:ascii="宋体" w:hAnsi="宋体" w:eastAsia="宋体" w:cs="宋体"/>
                <w:bCs/>
                <w:color w:val="auto"/>
                <w:kern w:val="0"/>
                <w:szCs w:val="21"/>
                <w:highlight w:val="none"/>
                <w:u w:val="none"/>
                <w:lang w:eastAsia="zh-CN"/>
              </w:rPr>
              <w:t>资金来源：</w:t>
            </w:r>
            <w:r>
              <w:rPr>
                <w:rFonts w:hint="eastAsia" w:ascii="宋体" w:hAnsi="宋体" w:eastAsia="宋体" w:cs="宋体"/>
                <w:bCs/>
                <w:color w:val="auto"/>
                <w:kern w:val="0"/>
                <w:szCs w:val="21"/>
                <w:highlight w:val="none"/>
                <w:u w:val="none"/>
              </w:rPr>
              <w:t xml:space="preserve"> </w:t>
            </w:r>
            <w:r>
              <w:rPr>
                <w:rFonts w:hint="eastAsia" w:ascii="宋体" w:hAnsi="宋体" w:eastAsia="宋体" w:cs="宋体"/>
                <w:bCs/>
                <w:color w:val="auto"/>
                <w:kern w:val="0"/>
                <w:szCs w:val="21"/>
                <w:highlight w:val="none"/>
                <w:u w:val="none"/>
                <w:lang w:val="en-US" w:eastAsia="zh-CN"/>
              </w:rPr>
              <w:t xml:space="preserve">     </w:t>
            </w:r>
            <w:r>
              <w:rPr>
                <w:rFonts w:hint="eastAsia" w:ascii="宋体" w:hAnsi="宋体" w:eastAsia="宋体" w:cs="宋体"/>
                <w:bCs/>
                <w:color w:val="auto"/>
                <w:kern w:val="0"/>
                <w:szCs w:val="21"/>
                <w:highlight w:val="none"/>
                <w:u w:val="none"/>
              </w:rPr>
              <w:t xml:space="preserve">     </w:t>
            </w:r>
          </w:p>
          <w:p w14:paraId="4D280121">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政府投资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5B44D2F1">
            <w:pPr>
              <w:adjustRightInd/>
              <w:snapToGrid/>
              <w:spacing w:line="240" w:lineRule="auto"/>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□国有企业投资</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14F2C1D3">
            <w:pPr>
              <w:adjustRightInd/>
              <w:snapToGrid/>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□集体资金投资</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p w14:paraId="016141DC">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lang w:eastAsia="zh-CN"/>
              </w:rPr>
              <w:t>□其他</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占比</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 xml:space="preserve">% </w:t>
            </w:r>
          </w:p>
        </w:tc>
      </w:tr>
      <w:tr w14:paraId="31EE5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3" w:type="dxa"/>
            <w:vMerge w:val="continue"/>
            <w:vAlign w:val="center"/>
          </w:tcPr>
          <w:p w14:paraId="59A04775">
            <w:pPr>
              <w:spacing w:line="360" w:lineRule="auto"/>
              <w:jc w:val="center"/>
              <w:rPr>
                <w:rFonts w:hint="eastAsia" w:ascii="宋体" w:hAnsi="宋体" w:eastAsia="宋体" w:cs="宋体"/>
                <w:snapToGrid w:val="0"/>
                <w:color w:val="auto"/>
                <w:kern w:val="0"/>
                <w:szCs w:val="21"/>
                <w:highlight w:val="none"/>
              </w:rPr>
            </w:pPr>
          </w:p>
        </w:tc>
        <w:tc>
          <w:tcPr>
            <w:tcW w:w="2192" w:type="dxa"/>
            <w:vMerge w:val="continue"/>
            <w:vAlign w:val="center"/>
          </w:tcPr>
          <w:p w14:paraId="651864F7">
            <w:pPr>
              <w:spacing w:line="360" w:lineRule="auto"/>
              <w:jc w:val="center"/>
              <w:rPr>
                <w:rFonts w:hint="eastAsia" w:ascii="宋体" w:hAnsi="宋体" w:eastAsia="宋体" w:cs="宋体"/>
                <w:snapToGrid w:val="0"/>
                <w:color w:val="auto"/>
                <w:kern w:val="0"/>
                <w:szCs w:val="21"/>
                <w:highlight w:val="none"/>
              </w:rPr>
            </w:pPr>
          </w:p>
        </w:tc>
        <w:tc>
          <w:tcPr>
            <w:tcW w:w="6652" w:type="dxa"/>
            <w:vAlign w:val="center"/>
          </w:tcPr>
          <w:p w14:paraId="6FA16B56">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val="en-US" w:eastAsia="zh-CN"/>
              </w:rPr>
              <w:t>是否采取下列支持中小企业发展措施：</w:t>
            </w: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eastAsia="zh-CN"/>
              </w:rPr>
              <w:t>是</w:t>
            </w:r>
            <w:r>
              <w:rPr>
                <w:rFonts w:hint="eastAsia" w:ascii="宋体" w:hAnsi="宋体" w:eastAsia="宋体" w:cs="宋体"/>
                <w:color w:val="auto"/>
                <w:kern w:val="0"/>
                <w:szCs w:val="21"/>
                <w:highlight w:val="none"/>
                <w:u w:val="none"/>
                <w:lang w:val="en-US" w:eastAsia="zh-CN"/>
              </w:rPr>
              <w:t xml:space="preserve">   </w:t>
            </w:r>
            <w:r>
              <w:rPr>
                <w:rFonts w:hint="eastAsia" w:ascii="宋体" w:hAnsi="宋体" w:eastAsia="宋体" w:cs="宋体"/>
                <w:color w:val="auto"/>
                <w:kern w:val="0"/>
                <w:szCs w:val="21"/>
                <w:highlight w:val="none"/>
                <w:u w:val="none"/>
                <w:lang w:eastAsia="zh-CN"/>
              </w:rPr>
              <w:t>□否</w:t>
            </w:r>
          </w:p>
          <w:p w14:paraId="35FF6944">
            <w:pPr>
              <w:adjustRightInd w:val="0"/>
              <w:snapToGrid w:val="0"/>
              <w:spacing w:line="360" w:lineRule="auto"/>
              <w:ind w:firstLine="0" w:firstLineChars="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同等条件下优先选择符合条件的中小企业中标。</w:t>
            </w:r>
          </w:p>
          <w:p w14:paraId="2EFD2E0C">
            <w:pPr>
              <w:adjustRightInd w:val="0"/>
              <w:snapToGrid w:val="0"/>
              <w:spacing w:line="360" w:lineRule="auto"/>
              <w:ind w:firstLine="0" w:firstLineChars="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lang w:eastAsia="zh-CN"/>
              </w:rPr>
              <w:t>□</w:t>
            </w:r>
            <w:r>
              <w:rPr>
                <w:rFonts w:hint="eastAsia" w:ascii="宋体" w:hAnsi="宋体" w:eastAsia="宋体" w:cs="宋体"/>
                <w:color w:val="auto"/>
                <w:kern w:val="0"/>
                <w:szCs w:val="21"/>
                <w:highlight w:val="none"/>
                <w:u w:val="none"/>
                <w:lang w:val="en-US" w:eastAsia="zh-CN"/>
              </w:rPr>
              <w:t>投标人为大型企业的，中标后需将合同金额的</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none"/>
                <w:lang w:val="en-US" w:eastAsia="zh-CN"/>
              </w:rPr>
              <w:t>%依法分包给符合条件的中小企业。</w:t>
            </w:r>
          </w:p>
          <w:p w14:paraId="2745B6F2">
            <w:pPr>
              <w:adjustRightInd w:val="0"/>
              <w:snapToGrid w:val="0"/>
              <w:spacing w:line="360" w:lineRule="auto"/>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u w:val="none"/>
              </w:rPr>
              <w:t>□</w:t>
            </w:r>
            <w:r>
              <w:rPr>
                <w:rFonts w:hint="default" w:ascii="宋体" w:hAnsi="宋体" w:eastAsia="宋体" w:cs="宋体"/>
                <w:color w:val="auto"/>
                <w:kern w:val="0"/>
                <w:szCs w:val="21"/>
                <w:highlight w:val="none"/>
                <w:u w:val="none"/>
                <w:lang w:val="en-US" w:eastAsia="zh-CN"/>
              </w:rPr>
              <w:t>以联合体形式参加本次投标的，</w:t>
            </w:r>
            <w:r>
              <w:rPr>
                <w:rFonts w:hint="eastAsia" w:ascii="宋体" w:hAnsi="宋体" w:eastAsia="宋体" w:cs="宋体"/>
                <w:color w:val="auto"/>
                <w:kern w:val="0"/>
                <w:szCs w:val="21"/>
                <w:highlight w:val="none"/>
                <w:u w:val="none"/>
                <w:lang w:val="en-US" w:eastAsia="zh-CN"/>
              </w:rPr>
              <w:t>联合体中中小企业承担的</w:t>
            </w:r>
            <w:r>
              <w:rPr>
                <w:rFonts w:hint="default" w:ascii="宋体" w:hAnsi="宋体" w:eastAsia="宋体" w:cs="宋体"/>
                <w:color w:val="auto"/>
                <w:kern w:val="0"/>
                <w:szCs w:val="21"/>
                <w:highlight w:val="none"/>
                <w:u w:val="none"/>
                <w:lang w:val="en-US" w:eastAsia="zh-CN"/>
              </w:rPr>
              <w:t>合同份额需达到</w:t>
            </w:r>
            <w:r>
              <w:rPr>
                <w:rFonts w:hint="eastAsia" w:ascii="宋体" w:hAnsi="宋体" w:eastAsia="宋体" w:cs="宋体"/>
                <w:color w:val="auto"/>
                <w:kern w:val="0"/>
                <w:szCs w:val="21"/>
                <w:highlight w:val="none"/>
                <w:u w:val="single"/>
                <w:lang w:val="en-US" w:eastAsia="zh-CN"/>
              </w:rPr>
              <w:t xml:space="preserve">   </w:t>
            </w:r>
            <w:r>
              <w:rPr>
                <w:rFonts w:hint="default" w:ascii="宋体" w:hAnsi="宋体" w:eastAsia="宋体" w:cs="宋体"/>
                <w:color w:val="auto"/>
                <w:kern w:val="0"/>
                <w:szCs w:val="21"/>
                <w:highlight w:val="none"/>
                <w:u w:val="none"/>
                <w:lang w:val="en-US" w:eastAsia="zh-CN"/>
              </w:rPr>
              <w:t>%以上。</w:t>
            </w:r>
          </w:p>
          <w:p w14:paraId="117D67C5">
            <w:pPr>
              <w:adjustRightInd w:val="0"/>
              <w:snapToGrid w:val="0"/>
              <w:spacing w:line="360" w:lineRule="auto"/>
              <w:rPr>
                <w:color w:val="auto"/>
                <w:highlight w:val="none"/>
              </w:rPr>
            </w:pPr>
            <w:r>
              <w:rPr>
                <w:rFonts w:hint="eastAsia" w:ascii="宋体" w:hAnsi="宋体" w:eastAsia="宋体" w:cs="宋体"/>
                <w:color w:val="auto"/>
                <w:kern w:val="0"/>
                <w:szCs w:val="21"/>
                <w:highlight w:val="none"/>
                <w:u w:val="none"/>
              </w:rPr>
              <w:t>□</w:t>
            </w:r>
            <w:r>
              <w:rPr>
                <w:rFonts w:hint="eastAsia" w:ascii="宋体" w:hAnsi="宋体" w:eastAsia="宋体" w:cs="宋体"/>
                <w:color w:val="auto"/>
                <w:kern w:val="0"/>
                <w:szCs w:val="21"/>
                <w:highlight w:val="none"/>
                <w:u w:val="none"/>
                <w:lang w:val="en-US" w:eastAsia="zh-CN"/>
              </w:rPr>
              <w:t>其他措施</w:t>
            </w:r>
            <w:r>
              <w:rPr>
                <w:rFonts w:hint="eastAsia" w:ascii="宋体" w:hAnsi="宋体" w:eastAsia="宋体" w:cs="宋体"/>
                <w:color w:val="auto"/>
                <w:kern w:val="0"/>
                <w:szCs w:val="21"/>
                <w:highlight w:val="none"/>
                <w:u w:val="single"/>
                <w:lang w:val="en-US" w:eastAsia="zh-CN"/>
              </w:rPr>
              <w:t xml:space="preserve">            </w:t>
            </w:r>
          </w:p>
          <w:p w14:paraId="5A0D4534">
            <w:pPr>
              <w:adjustRightInd w:val="0"/>
              <w:snapToGrid w:val="0"/>
              <w:spacing w:line="360" w:lineRule="auto"/>
              <w:jc w:val="left"/>
              <w:rPr>
                <w:rFonts w:hint="eastAsia" w:ascii="宋体" w:hAnsi="宋体" w:eastAsia="宋体" w:cs="宋体"/>
                <w:snapToGrid w:val="0"/>
                <w:color w:val="auto"/>
                <w:szCs w:val="21"/>
                <w:highlight w:val="none"/>
                <w:u w:val="single"/>
                <w:lang w:bidi="ar"/>
              </w:rPr>
            </w:pPr>
            <w:r>
              <w:rPr>
                <w:rFonts w:hint="eastAsia" w:ascii="宋体" w:hAnsi="宋体" w:eastAsia="宋体" w:cs="宋体"/>
                <w:color w:val="auto"/>
                <w:kern w:val="0"/>
                <w:szCs w:val="21"/>
                <w:highlight w:val="none"/>
                <w:u w:val="none"/>
                <w:lang w:eastAsia="zh-CN"/>
              </w:rPr>
              <w:t>注：根据《深圳市住房和建设局关于在政府投资建设工程招标投标中落实支持中小企业发展政策的通知》（深建市场〔2024〕3号）的规定，依法必须进行招标且适宜由中小企业承接的</w:t>
            </w:r>
            <w:r>
              <w:rPr>
                <w:rFonts w:hint="eastAsia" w:ascii="宋体" w:hAnsi="宋体" w:eastAsia="宋体" w:cs="宋体"/>
                <w:b/>
                <w:bCs/>
                <w:color w:val="auto"/>
                <w:kern w:val="0"/>
                <w:szCs w:val="21"/>
                <w:highlight w:val="none"/>
                <w:u w:val="none"/>
                <w:lang w:eastAsia="zh-CN"/>
              </w:rPr>
              <w:t>政府投资建设工程项目</w:t>
            </w:r>
            <w:r>
              <w:rPr>
                <w:rFonts w:hint="eastAsia" w:ascii="宋体" w:hAnsi="宋体" w:eastAsia="宋体" w:cs="宋体"/>
                <w:color w:val="auto"/>
                <w:kern w:val="0"/>
                <w:szCs w:val="21"/>
                <w:highlight w:val="none"/>
                <w:u w:val="none"/>
                <w:lang w:eastAsia="zh-CN"/>
              </w:rPr>
              <w:t>，建设单位可以采取相应措施促进中小企业发展，并确保中小企业承接（含分包）部分的预算金额达到项目预算总额的40%</w:t>
            </w:r>
            <w:r>
              <w:rPr>
                <w:rFonts w:hint="eastAsia" w:ascii="宋体" w:hAnsi="宋体" w:eastAsia="宋体" w:cs="宋体"/>
                <w:color w:val="auto"/>
                <w:kern w:val="0"/>
                <w:szCs w:val="21"/>
                <w:highlight w:val="none"/>
                <w:lang w:val="en-US" w:eastAsia="zh-CN"/>
              </w:rPr>
              <w:t>。</w:t>
            </w:r>
          </w:p>
        </w:tc>
      </w:tr>
      <w:tr w14:paraId="0F825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673" w:type="dxa"/>
            <w:vMerge w:val="restart"/>
            <w:vAlign w:val="center"/>
          </w:tcPr>
          <w:p w14:paraId="5BF23E78">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w:t>
            </w:r>
          </w:p>
        </w:tc>
        <w:tc>
          <w:tcPr>
            <w:tcW w:w="2192" w:type="dxa"/>
            <w:vMerge w:val="restart"/>
            <w:vAlign w:val="center"/>
          </w:tcPr>
          <w:p w14:paraId="241013CC">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投标人资格要求</w:t>
            </w:r>
          </w:p>
        </w:tc>
        <w:tc>
          <w:tcPr>
            <w:tcW w:w="6652" w:type="dxa"/>
            <w:vAlign w:val="center"/>
          </w:tcPr>
          <w:p w14:paraId="544C372A">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tc>
      </w:tr>
      <w:tr w14:paraId="0A380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3" w:type="dxa"/>
            <w:vMerge w:val="continue"/>
            <w:vAlign w:val="center"/>
          </w:tcPr>
          <w:p w14:paraId="1849D4E1">
            <w:pPr>
              <w:spacing w:line="360" w:lineRule="auto"/>
              <w:jc w:val="center"/>
              <w:rPr>
                <w:rFonts w:hint="eastAsia" w:ascii="宋体" w:hAnsi="宋体" w:eastAsia="宋体" w:cs="宋体"/>
                <w:snapToGrid w:val="0"/>
                <w:color w:val="auto"/>
                <w:kern w:val="0"/>
                <w:szCs w:val="21"/>
                <w:highlight w:val="none"/>
              </w:rPr>
            </w:pPr>
          </w:p>
        </w:tc>
        <w:tc>
          <w:tcPr>
            <w:tcW w:w="2192" w:type="dxa"/>
            <w:vMerge w:val="continue"/>
            <w:vAlign w:val="center"/>
          </w:tcPr>
          <w:p w14:paraId="1733DDA0">
            <w:pPr>
              <w:spacing w:line="360" w:lineRule="auto"/>
              <w:jc w:val="center"/>
              <w:rPr>
                <w:rFonts w:hint="eastAsia" w:ascii="宋体" w:hAnsi="宋体" w:eastAsia="宋体" w:cs="宋体"/>
                <w:snapToGrid w:val="0"/>
                <w:color w:val="auto"/>
                <w:kern w:val="0"/>
                <w:szCs w:val="21"/>
                <w:highlight w:val="none"/>
              </w:rPr>
            </w:pPr>
          </w:p>
        </w:tc>
        <w:tc>
          <w:tcPr>
            <w:tcW w:w="6652" w:type="dxa"/>
            <w:vAlign w:val="center"/>
          </w:tcPr>
          <w:p w14:paraId="199AC104">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利害关系单位投标：</w:t>
            </w:r>
            <w:r>
              <w:rPr>
                <w:rFonts w:hint="eastAsia" w:ascii="宋体" w:hAnsi="宋体" w:eastAsia="宋体" w:cs="宋体"/>
                <w:color w:val="auto"/>
                <w:kern w:val="0"/>
                <w:szCs w:val="21"/>
                <w:highlight w:val="none"/>
              </w:rPr>
              <w:t>□接受    □不接受</w:t>
            </w:r>
          </w:p>
          <w:p w14:paraId="33DF456F">
            <w:pPr>
              <w:spacing w:line="360" w:lineRule="auto"/>
              <w:jc w:val="left"/>
              <w:rPr>
                <w:rFonts w:hint="eastAsia" w:ascii="宋体" w:hAnsi="宋体" w:eastAsia="宋体" w:cs="宋体"/>
                <w:snapToGrid w:val="0"/>
                <w:color w:val="auto"/>
                <w:szCs w:val="21"/>
                <w:highlight w:val="none"/>
                <w:u w:val="single"/>
                <w:lang w:bidi="ar"/>
              </w:rPr>
            </w:pPr>
            <w:r>
              <w:rPr>
                <w:rFonts w:hint="default" w:ascii="宋体" w:hAnsi="宋体" w:eastAsia="宋体" w:cs="宋体"/>
                <w:b w:val="0"/>
                <w:bCs w:val="0"/>
                <w:color w:val="auto"/>
                <w:kern w:val="0"/>
                <w:sz w:val="21"/>
                <w:szCs w:val="21"/>
                <w:highlight w:val="none"/>
                <w:lang w:val="en-US" w:eastAsia="zh-CN"/>
              </w:rPr>
              <w:t>招标人可接受与其存在利害关系单位的投标，但在评标委员会评审合格投标人中，按照投标报价由低往高排序，该利害关系单位的排位未在前1/2（含与其中投标报价差价不超过1%的投标人）人数时，不得确定其为中标人</w:t>
            </w:r>
            <w:r>
              <w:rPr>
                <w:rFonts w:hint="eastAsia" w:ascii="宋体" w:hAnsi="宋体" w:eastAsia="宋体" w:cs="宋体"/>
                <w:b w:val="0"/>
                <w:bCs w:val="0"/>
                <w:color w:val="auto"/>
                <w:kern w:val="0"/>
                <w:sz w:val="21"/>
                <w:szCs w:val="21"/>
                <w:highlight w:val="none"/>
                <w:vertAlign w:val="superscript"/>
                <w:lang w:val="en-US" w:eastAsia="zh-CN"/>
              </w:rPr>
              <w:t>[</w:t>
            </w:r>
            <w:r>
              <w:rPr>
                <w:rStyle w:val="133"/>
                <w:rFonts w:hint="eastAsia" w:ascii="宋体" w:hAnsi="宋体" w:eastAsia="宋体" w:cs="宋体"/>
                <w:b w:val="0"/>
                <w:bCs w:val="0"/>
                <w:color w:val="auto"/>
                <w:kern w:val="0"/>
                <w:sz w:val="21"/>
                <w:szCs w:val="21"/>
                <w:highlight w:val="none"/>
                <w:lang w:val="en-US" w:eastAsia="zh-CN"/>
              </w:rPr>
              <w:footnoteReference w:id="0"/>
            </w:r>
            <w:r>
              <w:rPr>
                <w:rFonts w:hint="eastAsia" w:ascii="宋体" w:hAnsi="宋体" w:eastAsia="宋体" w:cs="宋体"/>
                <w:b w:val="0"/>
                <w:bCs w:val="0"/>
                <w:color w:val="auto"/>
                <w:kern w:val="0"/>
                <w:sz w:val="21"/>
                <w:szCs w:val="21"/>
                <w:highlight w:val="none"/>
                <w:vertAlign w:val="superscript"/>
                <w:lang w:val="en-US" w:eastAsia="zh-CN"/>
              </w:rPr>
              <w:t>]</w:t>
            </w:r>
            <w:r>
              <w:rPr>
                <w:rFonts w:hint="default" w:ascii="宋体" w:hAnsi="宋体" w:eastAsia="宋体" w:cs="宋体"/>
                <w:b w:val="0"/>
                <w:bCs w:val="0"/>
                <w:color w:val="auto"/>
                <w:kern w:val="0"/>
                <w:sz w:val="21"/>
                <w:szCs w:val="21"/>
                <w:highlight w:val="none"/>
                <w:lang w:val="en-US" w:eastAsia="zh-CN"/>
              </w:rPr>
              <w:t>。</w:t>
            </w:r>
          </w:p>
        </w:tc>
      </w:tr>
      <w:tr w14:paraId="29660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3" w:type="dxa"/>
            <w:vAlign w:val="center"/>
          </w:tcPr>
          <w:p w14:paraId="535C1B9B">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8</w:t>
            </w:r>
          </w:p>
        </w:tc>
        <w:tc>
          <w:tcPr>
            <w:tcW w:w="2192" w:type="dxa"/>
            <w:vAlign w:val="center"/>
          </w:tcPr>
          <w:p w14:paraId="5EC67CD8">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资格审查方式</w:t>
            </w:r>
          </w:p>
        </w:tc>
        <w:tc>
          <w:tcPr>
            <w:tcW w:w="6652" w:type="dxa"/>
            <w:vAlign w:val="center"/>
          </w:tcPr>
          <w:p w14:paraId="44D53D56">
            <w:pPr>
              <w:spacing w:line="360" w:lineRule="auto"/>
              <w:jc w:val="left"/>
              <w:rPr>
                <w:rFonts w:ascii="宋体" w:hAnsi="宋体" w:eastAsia="宋体" w:cs="宋体"/>
                <w:b/>
                <w:snapToGrid w:val="0"/>
                <w:color w:val="auto"/>
                <w:kern w:val="0"/>
                <w:szCs w:val="21"/>
                <w:highlight w:val="none"/>
              </w:rPr>
            </w:pPr>
            <w:r>
              <w:rPr>
                <w:rFonts w:hint="eastAsia" w:ascii="宋体" w:hAnsi="宋体" w:eastAsia="宋体" w:cs="宋体"/>
                <w:snapToGrid w:val="0"/>
                <w:color w:val="auto"/>
                <w:kern w:val="0"/>
                <w:szCs w:val="21"/>
                <w:highlight w:val="none"/>
              </w:rPr>
              <w:t>资格后审</w:t>
            </w:r>
          </w:p>
        </w:tc>
      </w:tr>
      <w:tr w14:paraId="220D9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73" w:type="dxa"/>
            <w:vAlign w:val="center"/>
          </w:tcPr>
          <w:p w14:paraId="4868D354">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w:t>
            </w:r>
          </w:p>
        </w:tc>
        <w:tc>
          <w:tcPr>
            <w:tcW w:w="2192" w:type="dxa"/>
            <w:vAlign w:val="center"/>
          </w:tcPr>
          <w:p w14:paraId="6B8B96F1">
            <w:pPr>
              <w:spacing w:line="360" w:lineRule="auto"/>
              <w:jc w:val="center"/>
              <w:rPr>
                <w:rFonts w:ascii="宋体" w:hAnsi="宋体" w:eastAsia="宋体" w:cs="宋体"/>
                <w:color w:val="auto"/>
                <w:szCs w:val="21"/>
                <w:highlight w:val="none"/>
              </w:rPr>
            </w:pPr>
            <w:r>
              <w:rPr>
                <w:rFonts w:hint="eastAsia" w:ascii="宋体" w:hAnsi="宋体" w:eastAsia="宋体" w:cs="宋体"/>
                <w:color w:val="auto"/>
                <w:szCs w:val="21"/>
                <w:highlight w:val="none"/>
              </w:rPr>
              <w:t>是否接受</w:t>
            </w:r>
          </w:p>
          <w:p w14:paraId="7D3F3F55">
            <w:pPr>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szCs w:val="21"/>
                <w:highlight w:val="none"/>
              </w:rPr>
              <w:t>联合体投标</w:t>
            </w:r>
          </w:p>
        </w:tc>
        <w:tc>
          <w:tcPr>
            <w:tcW w:w="6652" w:type="dxa"/>
            <w:vAlign w:val="center"/>
          </w:tcPr>
          <w:p w14:paraId="4ECA7179">
            <w:pPr>
              <w:spacing w:line="360" w:lineRule="auto"/>
              <w:rPr>
                <w:rFonts w:ascii="宋体" w:hAnsi="宋体" w:eastAsia="宋体" w:cs="宋体"/>
                <w:snapToGrid w:val="0"/>
                <w:color w:val="auto"/>
                <w:kern w:val="0"/>
                <w:szCs w:val="21"/>
                <w:highlight w:val="none"/>
                <w:u w:val="single"/>
              </w:rPr>
            </w:pPr>
            <w:r>
              <w:rPr>
                <w:rFonts w:hint="eastAsia" w:ascii="宋体" w:hAnsi="宋体" w:eastAsia="宋体" w:cs="宋体"/>
                <w:color w:val="auto"/>
                <w:szCs w:val="21"/>
                <w:highlight w:val="none"/>
                <w:lang w:bidi="ar"/>
              </w:rPr>
              <w:t>□</w:t>
            </w:r>
            <w:r>
              <w:rPr>
                <w:rFonts w:hint="eastAsia" w:ascii="宋体" w:hAnsi="宋体" w:eastAsia="宋体" w:cs="宋体"/>
                <w:color w:val="auto"/>
                <w:szCs w:val="21"/>
                <w:highlight w:val="none"/>
              </w:rPr>
              <w:t xml:space="preserve">不接受   </w:t>
            </w:r>
            <w:r>
              <w:rPr>
                <w:rFonts w:hint="eastAsia" w:ascii="宋体" w:hAnsi="宋体" w:eastAsia="宋体" w:cs="宋体"/>
                <w:color w:val="auto"/>
                <w:szCs w:val="21"/>
                <w:highlight w:val="none"/>
                <w:lang w:bidi="ar"/>
              </w:rPr>
              <w:t>□</w:t>
            </w:r>
            <w:r>
              <w:rPr>
                <w:rFonts w:hint="eastAsia" w:ascii="宋体" w:hAnsi="宋体" w:eastAsia="宋体" w:cs="宋体"/>
                <w:color w:val="auto"/>
                <w:szCs w:val="21"/>
                <w:highlight w:val="none"/>
              </w:rPr>
              <w:t>接受</w:t>
            </w:r>
          </w:p>
        </w:tc>
      </w:tr>
      <w:tr w14:paraId="2C229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3" w:type="dxa"/>
            <w:vAlign w:val="center"/>
          </w:tcPr>
          <w:p w14:paraId="4A64527B">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10</w:t>
            </w:r>
          </w:p>
        </w:tc>
        <w:tc>
          <w:tcPr>
            <w:tcW w:w="2192" w:type="dxa"/>
            <w:vAlign w:val="center"/>
          </w:tcPr>
          <w:p w14:paraId="5C84F23E">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项目负责人资格要求</w:t>
            </w:r>
          </w:p>
        </w:tc>
        <w:tc>
          <w:tcPr>
            <w:tcW w:w="6652" w:type="dxa"/>
            <w:vAlign w:val="center"/>
          </w:tcPr>
          <w:p w14:paraId="6568C6AC">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szCs w:val="21"/>
                <w:highlight w:val="none"/>
                <w:u w:val="single"/>
                <w:lang w:bidi="ar"/>
              </w:rPr>
              <w:t xml:space="preserve">      </w:t>
            </w:r>
          </w:p>
        </w:tc>
      </w:tr>
      <w:tr w14:paraId="64BAF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673" w:type="dxa"/>
            <w:vAlign w:val="center"/>
          </w:tcPr>
          <w:p w14:paraId="7D5094AC">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w:t>
            </w:r>
          </w:p>
        </w:tc>
        <w:tc>
          <w:tcPr>
            <w:tcW w:w="2192" w:type="dxa"/>
            <w:vAlign w:val="center"/>
          </w:tcPr>
          <w:p w14:paraId="234F5E7C">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投标报价要求</w:t>
            </w:r>
          </w:p>
        </w:tc>
        <w:tc>
          <w:tcPr>
            <w:tcW w:w="6652" w:type="dxa"/>
            <w:vAlign w:val="center"/>
          </w:tcPr>
          <w:p w14:paraId="659D428B">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szCs w:val="21"/>
                <w:highlight w:val="none"/>
              </w:rPr>
              <w:t>为：</w:t>
            </w:r>
            <w:r>
              <w:rPr>
                <w:rFonts w:hint="eastAsia" w:ascii="宋体" w:hAnsi="宋体" w:eastAsia="宋体" w:cs="宋体"/>
                <w:color w:val="auto"/>
                <w:szCs w:val="21"/>
                <w:highlight w:val="none"/>
                <w:u w:val="single"/>
                <w:lang w:bidi="ar"/>
              </w:rPr>
              <w:t xml:space="preserve">      </w:t>
            </w:r>
            <w:r>
              <w:rPr>
                <w:rFonts w:hint="eastAsia" w:ascii="宋体" w:hAnsi="宋体" w:eastAsia="宋体" w:cs="宋体"/>
                <w:color w:val="auto"/>
                <w:kern w:val="0"/>
                <w:szCs w:val="21"/>
                <w:highlight w:val="none"/>
              </w:rPr>
              <w:t xml:space="preserve">万元 </w:t>
            </w:r>
          </w:p>
          <w:p w14:paraId="7503E769">
            <w:pPr>
              <w:adjustRightInd w:val="0"/>
              <w:snapToGrid w:val="0"/>
              <w:spacing w:line="360" w:lineRule="auto"/>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lang w:val="en-US" w:eastAsia="zh-CN"/>
              </w:rPr>
              <w:t>投标报价的其他要求：</w:t>
            </w:r>
            <w:r>
              <w:rPr>
                <w:rFonts w:hint="eastAsia" w:ascii="宋体" w:hAnsi="宋体" w:eastAsia="宋体" w:cs="宋体"/>
                <w:color w:val="auto"/>
                <w:kern w:val="0"/>
                <w:szCs w:val="21"/>
                <w:highlight w:val="none"/>
                <w:u w:val="single"/>
                <w:lang w:val="en-US" w:eastAsia="zh-CN"/>
              </w:rPr>
              <w:t xml:space="preserve">            </w:t>
            </w:r>
          </w:p>
        </w:tc>
      </w:tr>
      <w:tr w14:paraId="529DF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3" w:type="dxa"/>
            <w:vAlign w:val="center"/>
          </w:tcPr>
          <w:p w14:paraId="1D125EA8">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w:t>
            </w:r>
          </w:p>
        </w:tc>
        <w:tc>
          <w:tcPr>
            <w:tcW w:w="2192" w:type="dxa"/>
            <w:vAlign w:val="center"/>
          </w:tcPr>
          <w:p w14:paraId="6A69BE85">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投标文件组成</w:t>
            </w:r>
          </w:p>
        </w:tc>
        <w:tc>
          <w:tcPr>
            <w:tcW w:w="6652" w:type="dxa"/>
            <w:vAlign w:val="center"/>
          </w:tcPr>
          <w:p w14:paraId="21BE42D3">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以电子文件形式通过“</w:t>
            </w:r>
            <w:r>
              <w:rPr>
                <w:rFonts w:hint="eastAsia" w:ascii="宋体" w:hAnsi="宋体" w:eastAsia="宋体" w:cs="宋体"/>
                <w:color w:val="auto"/>
                <w:kern w:val="0"/>
                <w:szCs w:val="21"/>
                <w:highlight w:val="none"/>
              </w:rPr>
              <w:t>电子招标投标交易平台</w:t>
            </w:r>
            <w:r>
              <w:rPr>
                <w:rFonts w:hint="eastAsia" w:ascii="宋体" w:hAnsi="宋体" w:eastAsia="宋体" w:cs="宋体"/>
                <w:color w:val="auto"/>
                <w:szCs w:val="21"/>
                <w:highlight w:val="none"/>
              </w:rPr>
              <w:t>”网上递交下列文件：</w:t>
            </w:r>
          </w:p>
          <w:p w14:paraId="22FEF1A3">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1、技术标（含资信标）电子标书1份</w:t>
            </w:r>
          </w:p>
          <w:p w14:paraId="49E045E0">
            <w:pPr>
              <w:tabs>
                <w:tab w:val="left" w:pos="360"/>
              </w:tabs>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rPr>
              <w:t>2、商务标电子标书1份</w:t>
            </w:r>
          </w:p>
          <w:p w14:paraId="1429A124">
            <w:pPr>
              <w:spacing w:line="240" w:lineRule="auto"/>
              <w:jc w:val="left"/>
              <w:rPr>
                <w:rFonts w:ascii="宋体" w:hAnsi="宋体" w:eastAsia="宋体" w:cs="宋体"/>
                <w:color w:val="auto"/>
                <w:szCs w:val="21"/>
                <w:highlight w:val="none"/>
              </w:rPr>
            </w:pPr>
            <w:r>
              <w:rPr>
                <w:rFonts w:hint="eastAsia" w:ascii="宋体" w:hAnsi="宋体" w:eastAsia="宋体" w:cs="宋体"/>
                <w:color w:val="auto"/>
                <w:szCs w:val="21"/>
                <w:highlight w:val="none"/>
                <w:lang w:bidi="ar"/>
              </w:rPr>
              <w:t xml:space="preserve">□ </w:t>
            </w:r>
            <w:r>
              <w:rPr>
                <w:rFonts w:hint="eastAsia" w:ascii="宋体" w:hAnsi="宋体" w:eastAsia="宋体" w:cs="宋体"/>
                <w:color w:val="auto"/>
                <w:szCs w:val="21"/>
                <w:highlight w:val="none"/>
              </w:rPr>
              <w:t>3、资格审查文件电子标书1份</w:t>
            </w:r>
          </w:p>
          <w:p w14:paraId="63FDB294">
            <w:pPr>
              <w:tabs>
                <w:tab w:val="left" w:pos="360"/>
              </w:tabs>
              <w:spacing w:line="360" w:lineRule="auto"/>
              <w:rPr>
                <w:rFonts w:ascii="宋体" w:hAnsi="宋体" w:eastAsia="宋体" w:cs="宋体"/>
                <w:strike w:val="0"/>
                <w:color w:val="auto"/>
                <w:szCs w:val="21"/>
                <w:highlight w:val="none"/>
              </w:rPr>
            </w:pPr>
            <w:r>
              <w:rPr>
                <w:rFonts w:hint="eastAsia" w:ascii="宋体" w:hAnsi="宋体" w:eastAsia="宋体" w:cs="宋体"/>
                <w:strike w:val="0"/>
                <w:color w:val="auto"/>
                <w:szCs w:val="21"/>
                <w:highlight w:val="none"/>
                <w:lang w:bidi="ar"/>
              </w:rPr>
              <w:t xml:space="preserve">□ </w:t>
            </w:r>
            <w:r>
              <w:rPr>
                <w:rFonts w:hint="eastAsia" w:ascii="宋体" w:hAnsi="宋体" w:eastAsia="宋体" w:cs="宋体"/>
                <w:strike w:val="0"/>
                <w:color w:val="auto"/>
                <w:szCs w:val="21"/>
                <w:highlight w:val="none"/>
              </w:rPr>
              <w:t>4、业绩文件电子标书1份</w:t>
            </w:r>
          </w:p>
          <w:p w14:paraId="1BDC947A">
            <w:pPr>
              <w:tabs>
                <w:tab w:val="left" w:pos="360"/>
              </w:tabs>
              <w:spacing w:line="360" w:lineRule="auto"/>
              <w:jc w:val="left"/>
              <w:rPr>
                <w:rFonts w:hint="eastAsia" w:ascii="宋体" w:hAnsi="宋体" w:eastAsia="宋体" w:cs="宋体"/>
                <w:strike w:val="0"/>
                <w:color w:val="auto"/>
                <w:szCs w:val="21"/>
                <w:highlight w:val="none"/>
              </w:rPr>
            </w:pPr>
            <w:r>
              <w:rPr>
                <w:rFonts w:hint="eastAsia" w:ascii="宋体" w:hAnsi="宋体" w:eastAsia="宋体" w:cs="宋体"/>
                <w:strike w:val="0"/>
                <w:color w:val="auto"/>
                <w:szCs w:val="21"/>
                <w:highlight w:val="none"/>
              </w:rPr>
              <w:t>（业绩文件包含:</w:t>
            </w:r>
            <w:r>
              <w:rPr>
                <w:rFonts w:hint="eastAsia" w:ascii="宋体" w:hAnsi="宋体" w:eastAsia="宋体" w:cs="宋体"/>
                <w:strike w:val="0"/>
                <w:color w:val="auto"/>
                <w:szCs w:val="21"/>
                <w:highlight w:val="none"/>
              </w:rPr>
              <w:fldChar w:fldCharType="begin"/>
            </w:r>
            <w:r>
              <w:rPr>
                <w:rFonts w:hint="eastAsia" w:ascii="宋体" w:hAnsi="宋体" w:eastAsia="宋体" w:cs="宋体"/>
                <w:strike w:val="0"/>
                <w:color w:val="auto"/>
                <w:szCs w:val="21"/>
                <w:highlight w:val="none"/>
              </w:rPr>
              <w:instrText xml:space="preserve"> = 1 \* GB3 </w:instrText>
            </w:r>
            <w:r>
              <w:rPr>
                <w:rFonts w:hint="eastAsia" w:ascii="宋体" w:hAnsi="宋体" w:eastAsia="宋体" w:cs="宋体"/>
                <w:strike w:val="0"/>
                <w:color w:val="auto"/>
                <w:szCs w:val="21"/>
                <w:highlight w:val="none"/>
              </w:rPr>
              <w:fldChar w:fldCharType="separate"/>
            </w:r>
            <w:r>
              <w:rPr>
                <w:rFonts w:hint="eastAsia" w:ascii="宋体" w:hAnsi="宋体" w:eastAsia="宋体" w:cs="宋体"/>
                <w:strike w:val="0"/>
                <w:color w:val="auto"/>
                <w:szCs w:val="21"/>
                <w:highlight w:val="none"/>
              </w:rPr>
              <w:t>①</w:t>
            </w:r>
            <w:r>
              <w:rPr>
                <w:rFonts w:hint="eastAsia" w:ascii="宋体" w:hAnsi="宋体" w:eastAsia="宋体" w:cs="宋体"/>
                <w:strike w:val="0"/>
                <w:color w:val="auto"/>
                <w:szCs w:val="21"/>
                <w:highlight w:val="none"/>
              </w:rPr>
              <w:fldChar w:fldCharType="end"/>
            </w:r>
            <w:r>
              <w:rPr>
                <w:rFonts w:hint="eastAsia" w:ascii="宋体" w:hAnsi="宋体" w:eastAsia="宋体" w:cs="宋体"/>
                <w:strike w:val="0"/>
                <w:color w:val="auto"/>
                <w:szCs w:val="21"/>
                <w:highlight w:val="none"/>
              </w:rPr>
              <w:t xml:space="preserve">招标公告中业绩要求所需提供的证明文件(若有);  </w:t>
            </w:r>
            <w:r>
              <w:rPr>
                <w:rFonts w:hint="eastAsia" w:ascii="宋体" w:hAnsi="宋体" w:eastAsia="宋体" w:cs="宋体"/>
                <w:strike w:val="0"/>
                <w:color w:val="auto"/>
                <w:szCs w:val="21"/>
                <w:highlight w:val="none"/>
              </w:rPr>
              <w:fldChar w:fldCharType="begin"/>
            </w:r>
            <w:r>
              <w:rPr>
                <w:rFonts w:hint="eastAsia" w:ascii="宋体" w:hAnsi="宋体" w:eastAsia="宋体" w:cs="宋体"/>
                <w:strike w:val="0"/>
                <w:color w:val="auto"/>
                <w:szCs w:val="21"/>
                <w:highlight w:val="none"/>
              </w:rPr>
              <w:instrText xml:space="preserve"> = 2 \* GB3 </w:instrText>
            </w:r>
            <w:r>
              <w:rPr>
                <w:rFonts w:hint="eastAsia" w:ascii="宋体" w:hAnsi="宋体" w:eastAsia="宋体" w:cs="宋体"/>
                <w:strike w:val="0"/>
                <w:color w:val="auto"/>
                <w:szCs w:val="21"/>
                <w:highlight w:val="none"/>
              </w:rPr>
              <w:fldChar w:fldCharType="separate"/>
            </w:r>
            <w:r>
              <w:rPr>
                <w:rFonts w:hint="eastAsia" w:ascii="宋体" w:hAnsi="宋体" w:eastAsia="宋体" w:cs="宋体"/>
                <w:strike w:val="0"/>
                <w:color w:val="auto"/>
                <w:szCs w:val="21"/>
                <w:highlight w:val="none"/>
              </w:rPr>
              <w:t>②</w:t>
            </w:r>
            <w:r>
              <w:rPr>
                <w:rFonts w:hint="eastAsia" w:ascii="宋体" w:hAnsi="宋体" w:eastAsia="宋体" w:cs="宋体"/>
                <w:strike w:val="0"/>
                <w:color w:val="auto"/>
                <w:szCs w:val="21"/>
                <w:highlight w:val="none"/>
              </w:rPr>
              <w:fldChar w:fldCharType="end"/>
            </w:r>
            <w:r>
              <w:rPr>
                <w:rFonts w:hint="eastAsia" w:ascii="宋体" w:hAnsi="宋体" w:eastAsia="宋体" w:cs="宋体"/>
                <w:strike w:val="0"/>
                <w:color w:val="auto"/>
                <w:szCs w:val="21"/>
                <w:highlight w:val="none"/>
              </w:rPr>
              <w:t>招标文件中要求提供的所有业绩证明文件）</w:t>
            </w:r>
          </w:p>
          <w:p w14:paraId="02FFD10D">
            <w:pPr>
              <w:tabs>
                <w:tab w:val="left" w:pos="360"/>
              </w:tabs>
              <w:spacing w:line="360" w:lineRule="auto"/>
              <w:jc w:val="left"/>
              <w:rPr>
                <w:rFonts w:hint="eastAsia" w:ascii="宋体" w:hAnsi="宋体" w:eastAsia="宋体" w:cs="宋体"/>
                <w:strike w:val="0"/>
                <w:color w:val="auto"/>
                <w:szCs w:val="21"/>
                <w:highlight w:val="none"/>
              </w:rPr>
            </w:pPr>
            <w:r>
              <w:rPr>
                <w:rFonts w:hint="eastAsia" w:ascii="宋体" w:hAnsi="宋体" w:eastAsia="宋体" w:cs="宋体"/>
                <w:color w:val="auto"/>
                <w:kern w:val="0"/>
                <w:szCs w:val="21"/>
                <w:highlight w:val="none"/>
                <w:lang w:val="en-US" w:eastAsia="zh-CN"/>
              </w:rPr>
              <w:t>注：</w:t>
            </w:r>
            <w:r>
              <w:rPr>
                <w:rFonts w:hint="eastAsia" w:ascii="宋体" w:hAnsi="宋体" w:eastAsia="宋体" w:cs="宋体"/>
                <w:color w:val="auto"/>
                <w:kern w:val="0"/>
                <w:szCs w:val="21"/>
                <w:highlight w:val="none"/>
                <w:lang w:eastAsia="zh-CN"/>
              </w:rPr>
              <w:t>招标人将同类工程经验（业绩）作为投标资格条件</w:t>
            </w:r>
            <w:r>
              <w:rPr>
                <w:rFonts w:hint="eastAsia" w:ascii="宋体" w:hAnsi="宋体" w:eastAsia="宋体" w:cs="宋体"/>
                <w:color w:val="auto"/>
                <w:kern w:val="0"/>
                <w:szCs w:val="21"/>
                <w:highlight w:val="none"/>
                <w:lang w:val="en-US" w:eastAsia="zh-CN"/>
              </w:rPr>
              <w:t>或者择优要素的，</w:t>
            </w:r>
            <w:r>
              <w:rPr>
                <w:rFonts w:hint="eastAsia" w:ascii="宋体" w:hAnsi="宋体" w:eastAsia="宋体" w:cs="宋体"/>
                <w:color w:val="auto"/>
                <w:kern w:val="0"/>
                <w:szCs w:val="21"/>
                <w:highlight w:val="none"/>
                <w:lang w:eastAsia="zh-CN"/>
              </w:rPr>
              <w:t>投标人应</w:t>
            </w:r>
            <w:r>
              <w:rPr>
                <w:rFonts w:hint="eastAsia" w:ascii="宋体" w:hAnsi="宋体" w:eastAsia="宋体" w:cs="宋体"/>
                <w:color w:val="auto"/>
                <w:kern w:val="0"/>
                <w:szCs w:val="21"/>
                <w:highlight w:val="none"/>
                <w:lang w:val="en-US" w:eastAsia="zh-CN"/>
              </w:rPr>
              <w:t>将</w:t>
            </w:r>
            <w:r>
              <w:rPr>
                <w:rFonts w:hint="eastAsia" w:ascii="宋体" w:hAnsi="宋体" w:eastAsia="宋体" w:cs="宋体"/>
                <w:color w:val="auto"/>
                <w:kern w:val="0"/>
                <w:szCs w:val="21"/>
                <w:highlight w:val="none"/>
                <w:lang w:eastAsia="zh-CN"/>
              </w:rPr>
              <w:t>同类工程经验（业绩）</w:t>
            </w:r>
            <w:r>
              <w:rPr>
                <w:rFonts w:hint="eastAsia" w:ascii="宋体" w:hAnsi="宋体" w:eastAsia="宋体" w:cs="宋体"/>
                <w:color w:val="auto"/>
                <w:kern w:val="0"/>
                <w:szCs w:val="21"/>
                <w:highlight w:val="none"/>
                <w:lang w:val="en-US" w:eastAsia="zh-CN"/>
              </w:rPr>
              <w:t>编入业绩文件中，</w:t>
            </w:r>
            <w:r>
              <w:rPr>
                <w:rFonts w:hint="eastAsia" w:ascii="宋体" w:hAnsi="宋体" w:eastAsia="宋体" w:cs="宋体"/>
                <w:color w:val="auto"/>
                <w:kern w:val="0"/>
                <w:szCs w:val="21"/>
                <w:highlight w:val="none"/>
                <w:lang w:eastAsia="zh-CN"/>
              </w:rPr>
              <w:t>在</w:t>
            </w:r>
            <w:r>
              <w:rPr>
                <w:rFonts w:hint="eastAsia" w:ascii="宋体" w:hAnsi="宋体" w:eastAsia="宋体" w:cs="宋体"/>
                <w:color w:val="auto"/>
                <w:kern w:val="0"/>
                <w:szCs w:val="21"/>
                <w:highlight w:val="none"/>
              </w:rPr>
              <w:t>资格审查结束后</w:t>
            </w:r>
            <w:r>
              <w:rPr>
                <w:rFonts w:hint="eastAsia" w:ascii="宋体" w:hAnsi="宋体" w:eastAsia="宋体" w:cs="宋体"/>
                <w:color w:val="auto"/>
                <w:kern w:val="0"/>
                <w:szCs w:val="21"/>
                <w:highlight w:val="none"/>
                <w:lang w:eastAsia="zh-CN"/>
              </w:rPr>
              <w:t>对外进行公示，</w:t>
            </w:r>
            <w:r>
              <w:rPr>
                <w:rFonts w:hint="eastAsia" w:ascii="宋体" w:hAnsi="宋体" w:eastAsia="宋体" w:cs="宋体"/>
                <w:color w:val="auto"/>
                <w:kern w:val="0"/>
                <w:szCs w:val="21"/>
                <w:highlight w:val="none"/>
                <w:lang w:val="en-US" w:eastAsia="zh-CN"/>
              </w:rPr>
              <w:t>未按规定提交的，招标人应按该投标人无相应业绩处理。</w:t>
            </w:r>
          </w:p>
        </w:tc>
      </w:tr>
      <w:tr w14:paraId="31035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3" w:type="dxa"/>
            <w:vAlign w:val="center"/>
          </w:tcPr>
          <w:p w14:paraId="7C8C4DE9">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w:t>
            </w:r>
          </w:p>
        </w:tc>
        <w:tc>
          <w:tcPr>
            <w:tcW w:w="2192" w:type="dxa"/>
            <w:vAlign w:val="center"/>
          </w:tcPr>
          <w:p w14:paraId="4D068FA7">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踏勘现场</w:t>
            </w:r>
          </w:p>
        </w:tc>
        <w:tc>
          <w:tcPr>
            <w:tcW w:w="6652" w:type="dxa"/>
            <w:vAlign w:val="center"/>
          </w:tcPr>
          <w:p w14:paraId="5AC92BF1">
            <w:pPr>
              <w:adjustRightInd w:val="0"/>
              <w:snapToGrid w:val="0"/>
              <w:spacing w:line="360" w:lineRule="auto"/>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详细地点：</w:t>
            </w:r>
            <w:r>
              <w:rPr>
                <w:rFonts w:hint="eastAsia" w:ascii="宋体" w:hAnsi="宋体" w:eastAsia="宋体" w:cs="宋体"/>
                <w:snapToGrid w:val="0"/>
                <w:color w:val="auto"/>
                <w:szCs w:val="21"/>
                <w:highlight w:val="none"/>
                <w:u w:val="single"/>
                <w:lang w:bidi="ar"/>
              </w:rPr>
              <w:t xml:space="preserve">      </w:t>
            </w:r>
          </w:p>
        </w:tc>
      </w:tr>
      <w:tr w14:paraId="65C29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3" w:type="dxa"/>
            <w:vMerge w:val="restart"/>
            <w:vAlign w:val="center"/>
          </w:tcPr>
          <w:p w14:paraId="5B38908A">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14</w:t>
            </w:r>
          </w:p>
        </w:tc>
        <w:tc>
          <w:tcPr>
            <w:tcW w:w="2192" w:type="dxa"/>
            <w:vMerge w:val="restart"/>
            <w:vAlign w:val="center"/>
          </w:tcPr>
          <w:p w14:paraId="09B73D3D">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投标担保</w:t>
            </w:r>
          </w:p>
        </w:tc>
        <w:tc>
          <w:tcPr>
            <w:tcW w:w="6652" w:type="dxa"/>
            <w:vAlign w:val="center"/>
          </w:tcPr>
          <w:p w14:paraId="313B9087">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□投标保证金额:</w:t>
            </w:r>
            <w:r>
              <w:rPr>
                <w:rFonts w:hint="eastAsia" w:ascii="宋体" w:hAnsi="宋体" w:eastAsia="宋体" w:cs="宋体"/>
                <w:snapToGrid w:val="0"/>
                <w:color w:val="auto"/>
                <w:szCs w:val="21"/>
                <w:highlight w:val="none"/>
                <w:u w:val="single"/>
                <w:lang w:bidi="ar"/>
              </w:rPr>
              <w:t xml:space="preserve">      </w:t>
            </w:r>
            <w:r>
              <w:rPr>
                <w:rFonts w:hint="eastAsia" w:ascii="宋体" w:hAnsi="宋体" w:eastAsia="宋体" w:cs="宋体"/>
                <w:color w:val="auto"/>
                <w:kern w:val="0"/>
                <w:szCs w:val="21"/>
                <w:highlight w:val="none"/>
              </w:rPr>
              <w:t>万元</w:t>
            </w:r>
          </w:p>
          <w:p w14:paraId="54B09E58">
            <w:pPr>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□无需提供投标担保</w:t>
            </w:r>
          </w:p>
          <w:p w14:paraId="54693539">
            <w:pPr>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val="en-US" w:eastAsia="zh-CN"/>
              </w:rPr>
              <w:t>根据《深圳市住房和建设局关于推行差异化缴纳投标保证金进一步降低招标投标交易成本的通知》（深建市场〔2023〕2号）的规定，</w:t>
            </w:r>
          </w:p>
          <w:p w14:paraId="3A306AED">
            <w:pPr>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政府投资建设工程的设计等服务类项目原则上不再收取投标保证金，政府投资建设工程以外的其他依法必须招标建设工程项目，鼓励招标人免收投标保证金。</w:t>
            </w:r>
          </w:p>
        </w:tc>
      </w:tr>
      <w:tr w14:paraId="64C75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jc w:val="center"/>
        </w:trPr>
        <w:tc>
          <w:tcPr>
            <w:tcW w:w="673" w:type="dxa"/>
            <w:vMerge w:val="continue"/>
            <w:vAlign w:val="center"/>
          </w:tcPr>
          <w:p w14:paraId="41D91AE5">
            <w:pPr>
              <w:spacing w:line="360" w:lineRule="auto"/>
              <w:jc w:val="center"/>
              <w:rPr>
                <w:rFonts w:ascii="宋体" w:hAnsi="宋体" w:eastAsia="宋体" w:cs="宋体"/>
                <w:snapToGrid w:val="0"/>
                <w:color w:val="auto"/>
                <w:kern w:val="0"/>
                <w:szCs w:val="21"/>
                <w:highlight w:val="none"/>
              </w:rPr>
            </w:pPr>
          </w:p>
        </w:tc>
        <w:tc>
          <w:tcPr>
            <w:tcW w:w="2192" w:type="dxa"/>
            <w:vMerge w:val="continue"/>
            <w:vAlign w:val="center"/>
          </w:tcPr>
          <w:p w14:paraId="3A02565C">
            <w:pPr>
              <w:spacing w:line="360" w:lineRule="auto"/>
              <w:jc w:val="center"/>
              <w:rPr>
                <w:rFonts w:ascii="宋体" w:hAnsi="宋体" w:eastAsia="宋体" w:cs="宋体"/>
                <w:snapToGrid w:val="0"/>
                <w:color w:val="auto"/>
                <w:kern w:val="0"/>
                <w:szCs w:val="21"/>
                <w:highlight w:val="none"/>
              </w:rPr>
            </w:pPr>
          </w:p>
        </w:tc>
        <w:tc>
          <w:tcPr>
            <w:tcW w:w="6652" w:type="dxa"/>
            <w:vAlign w:val="center"/>
          </w:tcPr>
          <w:p w14:paraId="37AA5E7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3054EE49">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1.银行保函（电子/纸质），由投标人基本账户开户银行所在网点或其上级银行机构出具</w:t>
            </w:r>
          </w:p>
          <w:p w14:paraId="54E0CF1F">
            <w:pPr>
              <w:adjustRightInd w:val="0"/>
              <w:snapToGrid w:val="0"/>
              <w:spacing w:line="360" w:lineRule="auto"/>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2.保证金（现金/支票），从投标人基本账户汇出</w:t>
            </w:r>
            <w:r>
              <w:rPr>
                <w:rFonts w:hint="eastAsia" w:ascii="宋体" w:hAnsi="宋体" w:eastAsia="宋体" w:cs="宋体"/>
                <w:color w:val="auto"/>
                <w:kern w:val="0"/>
                <w:szCs w:val="21"/>
                <w:highlight w:val="none"/>
                <w:u w:val="single"/>
              </w:rPr>
              <w:t xml:space="preserve">      </w:t>
            </w:r>
          </w:p>
          <w:p w14:paraId="74718B47">
            <w:pPr>
              <w:adjustRightInd w:val="0"/>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3.保证保险（电子/纸质），保费通过投标人基本账户支付</w:t>
            </w:r>
          </w:p>
          <w:p w14:paraId="3BE22ED9">
            <w:pPr>
              <w:adjustRightInd w:val="0"/>
              <w:snapToGrid w:val="0"/>
              <w:spacing w:line="360" w:lineRule="auto"/>
              <w:rPr>
                <w:rFonts w:hint="default" w:ascii="宋体" w:hAnsi="宋体" w:eastAsia="宋体" w:cs="宋体"/>
                <w:color w:val="auto"/>
                <w:kern w:val="0"/>
                <w:szCs w:val="21"/>
                <w:highlight w:val="none"/>
                <w:u w:val="single"/>
                <w:lang w:val="en-US" w:eastAsia="zh-CN"/>
              </w:rPr>
            </w:pPr>
            <w:r>
              <w:rPr>
                <w:rFonts w:hint="eastAsia" w:ascii="宋体" w:hAnsi="宋体" w:eastAsia="宋体" w:cs="宋体"/>
                <w:color w:val="auto"/>
                <w:kern w:val="0"/>
                <w:szCs w:val="21"/>
                <w:highlight w:val="none"/>
                <w:lang w:val="en-US" w:eastAsia="zh-CN"/>
              </w:rPr>
              <w:t>4.其他</w:t>
            </w:r>
            <w:r>
              <w:rPr>
                <w:rFonts w:hint="eastAsia" w:ascii="宋体" w:hAnsi="宋体" w:eastAsia="宋体" w:cs="宋体"/>
                <w:color w:val="auto"/>
                <w:kern w:val="0"/>
                <w:szCs w:val="21"/>
                <w:highlight w:val="none"/>
                <w:u w:val="single"/>
                <w:lang w:val="en-US" w:eastAsia="zh-CN"/>
              </w:rPr>
              <w:t xml:space="preserve">                 </w:t>
            </w:r>
          </w:p>
          <w:p w14:paraId="0EA7C7DC">
            <w:pPr>
              <w:adjustRightInd w:val="0"/>
              <w:snapToGrid w:val="0"/>
              <w:spacing w:line="360" w:lineRule="auto"/>
              <w:rPr>
                <w:rFonts w:hint="eastAsia" w:ascii="宋体" w:hAnsi="宋体" w:eastAsia="宋体" w:cs="宋体"/>
                <w:strike w:val="0"/>
                <w:color w:val="auto"/>
                <w:kern w:val="0"/>
                <w:szCs w:val="21"/>
                <w:highlight w:val="none"/>
                <w:lang w:eastAsia="zh-CN"/>
              </w:rPr>
            </w:pPr>
            <w:r>
              <w:rPr>
                <w:rFonts w:hint="eastAsia" w:ascii="宋体" w:hAnsi="宋体" w:eastAsia="宋体" w:cs="宋体"/>
                <w:color w:val="auto"/>
                <w:kern w:val="0"/>
                <w:szCs w:val="21"/>
                <w:highlight w:val="none"/>
                <w:lang w:val="en-US" w:eastAsia="zh-CN"/>
              </w:rPr>
              <w:t>注：1.</w:t>
            </w:r>
            <w:r>
              <w:rPr>
                <w:rFonts w:hint="eastAsia" w:ascii="宋体" w:hAnsi="宋体" w:eastAsia="宋体" w:cs="宋体"/>
                <w:strike w:val="0"/>
                <w:color w:val="auto"/>
                <w:kern w:val="0"/>
                <w:szCs w:val="21"/>
                <w:highlight w:val="none"/>
                <w:lang w:val="en-US" w:eastAsia="zh-CN"/>
              </w:rPr>
              <w:t>招标人可自主选择是否允许其他方式，如担保公司保函，采用其他方式的应要求</w:t>
            </w:r>
            <w:r>
              <w:rPr>
                <w:rFonts w:hint="eastAsia" w:ascii="宋体" w:hAnsi="宋体" w:eastAsia="宋体" w:cs="宋体"/>
                <w:strike w:val="0"/>
                <w:color w:val="auto"/>
                <w:kern w:val="0"/>
                <w:szCs w:val="21"/>
                <w:highlight w:val="none"/>
              </w:rPr>
              <w:t>保费通过投标人基本账户支付</w:t>
            </w:r>
            <w:r>
              <w:rPr>
                <w:rFonts w:hint="eastAsia" w:ascii="宋体" w:hAnsi="宋体" w:eastAsia="宋体" w:cs="宋体"/>
                <w:strike w:val="0"/>
                <w:color w:val="auto"/>
                <w:kern w:val="0"/>
                <w:szCs w:val="21"/>
                <w:highlight w:val="none"/>
                <w:lang w:eastAsia="zh-CN"/>
              </w:rPr>
              <w:t>。</w:t>
            </w:r>
          </w:p>
          <w:p w14:paraId="1CF02829">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2.鼓励投标人使用电子保函、保险。</w:t>
            </w:r>
          </w:p>
        </w:tc>
      </w:tr>
      <w:tr w14:paraId="55333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73" w:type="dxa"/>
            <w:vAlign w:val="center"/>
          </w:tcPr>
          <w:p w14:paraId="5FB8C5E0">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15</w:t>
            </w:r>
          </w:p>
        </w:tc>
        <w:tc>
          <w:tcPr>
            <w:tcW w:w="2192" w:type="dxa"/>
            <w:vAlign w:val="center"/>
          </w:tcPr>
          <w:p w14:paraId="224CFD48">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公布</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kern w:val="0"/>
                <w:szCs w:val="21"/>
                <w:highlight w:val="none"/>
              </w:rPr>
              <w:t>地址</w:t>
            </w:r>
          </w:p>
        </w:tc>
        <w:tc>
          <w:tcPr>
            <w:tcW w:w="6652" w:type="dxa"/>
            <w:vAlign w:val="center"/>
          </w:tcPr>
          <w:p w14:paraId="6E8DD3AD">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网址：深圳公共资源交易网</w:t>
            </w:r>
          </w:p>
        </w:tc>
      </w:tr>
      <w:tr w14:paraId="37573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673" w:type="dxa"/>
            <w:vAlign w:val="center"/>
          </w:tcPr>
          <w:p w14:paraId="643D30BC">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16</w:t>
            </w:r>
          </w:p>
        </w:tc>
        <w:tc>
          <w:tcPr>
            <w:tcW w:w="2192" w:type="dxa"/>
            <w:vAlign w:val="center"/>
          </w:tcPr>
          <w:p w14:paraId="1E5E97A8">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投标文件递交</w:t>
            </w:r>
          </w:p>
        </w:tc>
        <w:tc>
          <w:tcPr>
            <w:tcW w:w="6652" w:type="dxa"/>
            <w:vAlign w:val="center"/>
          </w:tcPr>
          <w:p w14:paraId="2B5CA36D">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截止时间：</w:t>
            </w:r>
            <w:r>
              <w:rPr>
                <w:rFonts w:hint="eastAsia" w:ascii="宋体" w:hAnsi="宋体" w:eastAsia="宋体" w:cs="宋体"/>
                <w:color w:val="auto"/>
                <w:kern w:val="0"/>
                <w:szCs w:val="21"/>
                <w:highlight w:val="none"/>
                <w:u w:val="single"/>
              </w:rPr>
              <w:t xml:space="preserve">      </w:t>
            </w:r>
          </w:p>
          <w:p w14:paraId="245E4830">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递交方式：</w:t>
            </w:r>
          </w:p>
          <w:p w14:paraId="2DEC3794">
            <w:pPr>
              <w:adjustRightInd w:val="0"/>
              <w:snapToGrid w:val="0"/>
              <w:spacing w:line="360" w:lineRule="auto"/>
              <w:jc w:val="left"/>
              <w:rPr>
                <w:rFonts w:hint="eastAsia" w:ascii="宋体" w:hAnsi="宋体" w:eastAsia="宋体" w:cs="宋体"/>
                <w:i w:val="0"/>
                <w:iCs w:val="0"/>
                <w:color w:val="auto"/>
                <w:kern w:val="0"/>
                <w:szCs w:val="21"/>
                <w:highlight w:val="none"/>
                <w:u w:val="singl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电子招标投标交易平台，网址：</w:t>
            </w:r>
            <w:r>
              <w:rPr>
                <w:rFonts w:hint="eastAsia" w:ascii="宋体" w:hAnsi="宋体" w:eastAsia="宋体" w:cs="宋体"/>
                <w:i w:val="0"/>
                <w:iCs w:val="0"/>
                <w:color w:val="auto"/>
                <w:kern w:val="0"/>
                <w:szCs w:val="21"/>
                <w:highlight w:val="none"/>
                <w:u w:val="single"/>
              </w:rPr>
              <w:t xml:space="preserve">            </w:t>
            </w:r>
          </w:p>
          <w:p w14:paraId="510F31A8">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其他：</w:t>
            </w:r>
            <w:r>
              <w:rPr>
                <w:rFonts w:hint="eastAsia" w:ascii="宋体" w:hAnsi="宋体" w:eastAsia="宋体" w:cs="宋体"/>
                <w:i w:val="0"/>
                <w:iCs w:val="0"/>
                <w:color w:val="auto"/>
                <w:kern w:val="0"/>
                <w:szCs w:val="21"/>
                <w:highlight w:val="none"/>
                <w:u w:val="single"/>
              </w:rPr>
              <w:t xml:space="preserve">             </w:t>
            </w:r>
          </w:p>
        </w:tc>
      </w:tr>
      <w:tr w14:paraId="17EA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73" w:type="dxa"/>
            <w:vAlign w:val="center"/>
          </w:tcPr>
          <w:p w14:paraId="5AB094B6">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17</w:t>
            </w:r>
          </w:p>
        </w:tc>
        <w:tc>
          <w:tcPr>
            <w:tcW w:w="2192" w:type="dxa"/>
            <w:vAlign w:val="center"/>
          </w:tcPr>
          <w:p w14:paraId="6326EA89">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投标有效期</w:t>
            </w:r>
          </w:p>
        </w:tc>
        <w:tc>
          <w:tcPr>
            <w:tcW w:w="6652" w:type="dxa"/>
            <w:vAlign w:val="center"/>
          </w:tcPr>
          <w:p w14:paraId="5C6CAE2D">
            <w:pPr>
              <w:spacing w:line="360" w:lineRule="auto"/>
              <w:rPr>
                <w:rFonts w:ascii="宋体" w:hAnsi="宋体" w:eastAsia="宋体" w:cs="宋体"/>
                <w:color w:val="auto"/>
                <w:kern w:val="0"/>
                <w:szCs w:val="21"/>
                <w:highlight w:val="none"/>
              </w:rPr>
            </w:pPr>
            <w:r>
              <w:rPr>
                <w:rFonts w:hint="eastAsia" w:ascii="宋体" w:hAnsi="宋体" w:eastAsia="宋体" w:cs="宋体"/>
                <w:color w:val="auto"/>
                <w:szCs w:val="21"/>
                <w:highlight w:val="none"/>
                <w:u w:val="single"/>
                <w:lang w:bidi="ar"/>
              </w:rPr>
              <w:t xml:space="preserve">      </w:t>
            </w:r>
            <w:r>
              <w:rPr>
                <w:rFonts w:hint="eastAsia" w:ascii="宋体" w:hAnsi="宋体" w:eastAsia="宋体" w:cs="宋体"/>
                <w:color w:val="auto"/>
                <w:szCs w:val="21"/>
                <w:highlight w:val="none"/>
              </w:rPr>
              <w:t>日历天（从投标截止之日算起）</w:t>
            </w:r>
          </w:p>
        </w:tc>
      </w:tr>
      <w:tr w14:paraId="404B7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673" w:type="dxa"/>
            <w:vAlign w:val="center"/>
          </w:tcPr>
          <w:p w14:paraId="5270AC1A">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18</w:t>
            </w:r>
          </w:p>
        </w:tc>
        <w:tc>
          <w:tcPr>
            <w:tcW w:w="2192" w:type="dxa"/>
            <w:vAlign w:val="center"/>
          </w:tcPr>
          <w:p w14:paraId="4D94D702">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招标会议时间</w:t>
            </w:r>
          </w:p>
        </w:tc>
        <w:tc>
          <w:tcPr>
            <w:tcW w:w="6652" w:type="dxa"/>
            <w:vAlign w:val="center"/>
          </w:tcPr>
          <w:p w14:paraId="448852B3">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资审会、开标会、评标会、定标会议时间及地点，在交易网进行查询。</w:t>
            </w:r>
          </w:p>
        </w:tc>
      </w:tr>
      <w:tr w14:paraId="0A157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atLeast"/>
          <w:jc w:val="center"/>
        </w:trPr>
        <w:tc>
          <w:tcPr>
            <w:tcW w:w="673" w:type="dxa"/>
            <w:vMerge w:val="restart"/>
            <w:vAlign w:val="center"/>
          </w:tcPr>
          <w:p w14:paraId="6BE8AD66">
            <w:pPr>
              <w:spacing w:line="360" w:lineRule="auto"/>
              <w:jc w:val="center"/>
              <w:rPr>
                <w:rFonts w:ascii="宋体" w:hAnsi="宋体" w:eastAsia="宋体" w:cs="宋体"/>
                <w:snapToGrid w:val="0"/>
                <w:color w:val="auto"/>
                <w:kern w:val="0"/>
                <w:szCs w:val="21"/>
                <w:highlight w:val="none"/>
              </w:rPr>
            </w:pPr>
          </w:p>
          <w:p w14:paraId="60F3CABB">
            <w:pPr>
              <w:spacing w:line="360" w:lineRule="auto"/>
              <w:jc w:val="center"/>
              <w:rPr>
                <w:rFonts w:ascii="宋体" w:hAnsi="宋体" w:eastAsia="宋体" w:cs="宋体"/>
                <w:snapToGrid w:val="0"/>
                <w:color w:val="auto"/>
                <w:kern w:val="0"/>
                <w:szCs w:val="21"/>
                <w:highlight w:val="none"/>
              </w:rPr>
            </w:pPr>
          </w:p>
          <w:p w14:paraId="2258B6CD">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19</w:t>
            </w:r>
          </w:p>
        </w:tc>
        <w:tc>
          <w:tcPr>
            <w:tcW w:w="2192" w:type="dxa"/>
            <w:vMerge w:val="restart"/>
            <w:vAlign w:val="center"/>
          </w:tcPr>
          <w:p w14:paraId="476F7B58">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p>
          <w:p w14:paraId="245ADA47">
            <w:pPr>
              <w:rPr>
                <w:rFonts w:ascii="宋体" w:hAnsi="宋体" w:eastAsia="宋体" w:cs="宋体"/>
                <w:color w:val="auto"/>
                <w:szCs w:val="21"/>
                <w:highlight w:val="none"/>
              </w:rPr>
            </w:pPr>
            <w:r>
              <w:rPr>
                <w:rFonts w:hint="eastAsia" w:ascii="宋体" w:hAnsi="宋体" w:eastAsia="宋体" w:cs="宋体"/>
                <w:color w:val="auto"/>
                <w:kern w:val="0"/>
                <w:szCs w:val="21"/>
                <w:highlight w:val="none"/>
              </w:rPr>
              <w:t>环节（资格审查合格的投标人＞20名）</w:t>
            </w:r>
          </w:p>
          <w:p w14:paraId="6F91C8E2">
            <w:pPr>
              <w:spacing w:line="360" w:lineRule="auto"/>
              <w:rPr>
                <w:rFonts w:ascii="宋体" w:hAnsi="宋体" w:eastAsia="宋体" w:cs="宋体"/>
                <w:snapToGrid w:val="0"/>
                <w:color w:val="auto"/>
                <w:kern w:val="0"/>
                <w:szCs w:val="21"/>
                <w:highlight w:val="none"/>
              </w:rPr>
            </w:pPr>
          </w:p>
        </w:tc>
        <w:tc>
          <w:tcPr>
            <w:tcW w:w="6652" w:type="dxa"/>
            <w:vAlign w:val="center"/>
          </w:tcPr>
          <w:p w14:paraId="49B392D9">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资格审查合格的投标人＞20名时，经淘汰进入后续招标程序的投标人为15至20名，具体数量产生方式为：</w:t>
            </w:r>
          </w:p>
          <w:p w14:paraId="7996141F">
            <w:pPr>
              <w:adjustRightInd w:val="0"/>
              <w:snapToGrid w:val="0"/>
              <w:spacing w:line="360" w:lineRule="auto"/>
              <w:jc w:val="left"/>
              <w:rPr>
                <w:rFonts w:ascii="宋体" w:hAnsi="宋体" w:eastAsia="宋体" w:cs="宋体"/>
                <w:color w:val="auto"/>
                <w:kern w:val="0"/>
                <w:szCs w:val="21"/>
                <w:highlight w:val="none"/>
              </w:rPr>
            </w:pPr>
            <w:bookmarkStart w:id="16" w:name="OLE_LINK18"/>
            <w:r>
              <w:rPr>
                <w:rFonts w:hint="eastAsia" w:ascii="宋体" w:hAnsi="宋体" w:eastAsia="宋体" w:cs="宋体"/>
                <w:color w:val="auto"/>
                <w:szCs w:val="21"/>
                <w:highlight w:val="none"/>
                <w:lang w:bidi="ar"/>
              </w:rPr>
              <w:t>□</w:t>
            </w:r>
            <w:bookmarkEnd w:id="16"/>
            <w:r>
              <w:rPr>
                <w:rFonts w:hint="eastAsia" w:ascii="宋体" w:hAnsi="宋体" w:eastAsia="宋体" w:cs="宋体"/>
                <w:color w:val="auto"/>
                <w:kern w:val="0"/>
                <w:szCs w:val="21"/>
                <w:highlight w:val="none"/>
              </w:rPr>
              <w:t>由计算机随机产生</w:t>
            </w:r>
          </w:p>
          <w:p w14:paraId="5B3296FD">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招标人自行确定：</w:t>
            </w:r>
            <w:r>
              <w:rPr>
                <w:rFonts w:hint="eastAsia" w:ascii="宋体" w:hAnsi="宋体" w:eastAsia="宋体" w:cs="宋体"/>
                <w:color w:val="auto"/>
                <w:szCs w:val="21"/>
                <w:highlight w:val="none"/>
                <w:u w:val="single"/>
                <w:lang w:bidi="ar"/>
              </w:rPr>
              <w:t xml:space="preserve">      </w:t>
            </w:r>
          </w:p>
          <w:p w14:paraId="74A173E4">
            <w:pPr>
              <w:widowControl/>
              <w:adjustRightInd w:val="0"/>
              <w:snapToGrid w:val="0"/>
              <w:spacing w:line="360" w:lineRule="auto"/>
              <w:ind w:firstLine="0" w:firstLineChars="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过多投标人淘汰</w:t>
            </w:r>
            <w:r>
              <w:rPr>
                <w:rFonts w:hint="eastAsia" w:ascii="宋体" w:hAnsi="宋体" w:eastAsia="宋体" w:cs="宋体"/>
                <w:color w:val="auto"/>
                <w:kern w:val="0"/>
                <w:szCs w:val="21"/>
                <w:highlight w:val="none"/>
                <w:lang w:val="en-US" w:eastAsia="zh-CN"/>
              </w:rPr>
              <w:t>方案</w:t>
            </w:r>
            <w:r>
              <w:rPr>
                <w:rStyle w:val="133"/>
                <w:rFonts w:hint="eastAsia" w:ascii="宋体" w:hAnsi="宋体" w:eastAsia="宋体" w:cs="宋体"/>
                <w:color w:val="auto"/>
                <w:kern w:val="0"/>
                <w:szCs w:val="21"/>
                <w:highlight w:val="none"/>
                <w:lang w:val="en-US" w:eastAsia="zh-CN"/>
              </w:rPr>
              <w:t>[</w:t>
            </w:r>
            <w:r>
              <w:rPr>
                <w:rStyle w:val="133"/>
                <w:rFonts w:hint="eastAsia" w:ascii="宋体" w:hAnsi="宋体" w:eastAsia="宋体" w:cs="宋体"/>
                <w:color w:val="auto"/>
                <w:kern w:val="0"/>
                <w:szCs w:val="21"/>
                <w:highlight w:val="none"/>
                <w:lang w:val="en-US" w:eastAsia="zh-CN"/>
              </w:rPr>
              <w:footnoteReference w:id="1"/>
            </w:r>
            <w:r>
              <w:rPr>
                <w:rStyle w:val="133"/>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60E11971">
            <w:pPr>
              <w:widowControl/>
              <w:adjustRightInd w:val="0"/>
              <w:snapToGrid w:val="0"/>
              <w:spacing w:line="36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注：1.招标人应结合项目实际，提前制定规则清晰、可操作性强的过多投标人淘汰方案，并在过多投标人淘汰方案中合规合理设置择优因素，明确各择优因素的优先程度。</w:t>
            </w:r>
          </w:p>
          <w:p w14:paraId="01C8C89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2.择优因素的设置应以投标人能否高质量履约为导向，可以突出投标人</w:t>
            </w:r>
            <w:r>
              <w:rPr>
                <w:rFonts w:hint="eastAsia" w:ascii="宋体" w:hAnsi="宋体" w:eastAsia="宋体" w:cs="宋体"/>
                <w:color w:val="auto"/>
                <w:sz w:val="21"/>
                <w:szCs w:val="21"/>
                <w:highlight w:val="none"/>
                <w:lang w:val="en-US" w:eastAsia="zh-CN"/>
              </w:rPr>
              <w:t>拟派项目负责人及管理团队成员的资历、能力、信誉，企业资质、业绩、履约等，具体择优因素由招标人根据实际确定。</w:t>
            </w:r>
          </w:p>
        </w:tc>
      </w:tr>
      <w:tr w14:paraId="3E21E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3" w:hRule="atLeast"/>
          <w:jc w:val="center"/>
        </w:trPr>
        <w:tc>
          <w:tcPr>
            <w:tcW w:w="673" w:type="dxa"/>
            <w:vMerge w:val="continue"/>
            <w:vAlign w:val="center"/>
          </w:tcPr>
          <w:p w14:paraId="168D2B16">
            <w:pPr>
              <w:spacing w:line="360" w:lineRule="auto"/>
              <w:jc w:val="center"/>
              <w:rPr>
                <w:rFonts w:hint="eastAsia" w:ascii="宋体" w:hAnsi="宋体" w:eastAsia="宋体" w:cs="宋体"/>
                <w:snapToGrid w:val="0"/>
                <w:color w:val="auto"/>
                <w:kern w:val="0"/>
                <w:szCs w:val="21"/>
                <w:highlight w:val="none"/>
              </w:rPr>
            </w:pPr>
          </w:p>
        </w:tc>
        <w:tc>
          <w:tcPr>
            <w:tcW w:w="2192" w:type="dxa"/>
            <w:vMerge w:val="continue"/>
            <w:vAlign w:val="center"/>
          </w:tcPr>
          <w:p w14:paraId="14285F9E">
            <w:pPr>
              <w:spacing w:line="360" w:lineRule="auto"/>
              <w:rPr>
                <w:rFonts w:ascii="宋体" w:hAnsi="宋体" w:eastAsia="宋体" w:cs="宋体"/>
                <w:snapToGrid w:val="0"/>
                <w:color w:val="auto"/>
                <w:kern w:val="0"/>
                <w:szCs w:val="21"/>
                <w:highlight w:val="none"/>
              </w:rPr>
            </w:pPr>
          </w:p>
        </w:tc>
        <w:tc>
          <w:tcPr>
            <w:tcW w:w="6652" w:type="dxa"/>
            <w:vAlign w:val="center"/>
          </w:tcPr>
          <w:p w14:paraId="1D6571C6">
            <w:pPr>
              <w:adjustRightInd w:val="0"/>
              <w:snapToGrid w:val="0"/>
              <w:spacing w:line="360" w:lineRule="auto"/>
              <w:ind w:firstLine="420" w:firstLineChars="200"/>
              <w:jc w:val="left"/>
              <w:rPr>
                <w:rFonts w:hAnsi="宋体" w:eastAsia="宋体" w:cs="宋体"/>
                <w:color w:val="auto"/>
                <w:highlight w:val="none"/>
              </w:rPr>
            </w:pPr>
            <w:r>
              <w:rPr>
                <w:rFonts w:hint="eastAsia" w:hAnsi="宋体" w:eastAsia="宋体" w:cs="宋体"/>
                <w:color w:val="auto"/>
                <w:highlight w:val="none"/>
              </w:rPr>
              <w:t>过多投标人淘汰方式：</w:t>
            </w:r>
          </w:p>
          <w:p w14:paraId="4ADA92E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 xml:space="preserve">直接票决           </w:t>
            </w: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 xml:space="preserve">逐轮票决       </w:t>
            </w:r>
          </w:p>
          <w:p w14:paraId="004F04BF">
            <w:pPr>
              <w:adjustRightInd w:val="0"/>
              <w:snapToGrid w:val="0"/>
              <w:spacing w:line="360" w:lineRule="auto"/>
              <w:ind w:firstLine="420" w:firstLineChars="200"/>
              <w:rPr>
                <w:rFonts w:hint="eastAsia" w:ascii="宋体" w:hAnsi="宋体" w:eastAsia="宋体" w:cs="宋体"/>
                <w:color w:val="auto"/>
                <w:kern w:val="0"/>
                <w:szCs w:val="21"/>
                <w:highlight w:val="none"/>
                <w:shd w:val="clear" w:color="auto" w:fill="FFFFFF"/>
                <w:lang w:eastAsia="zh-CN"/>
              </w:rPr>
            </w:pPr>
            <w:r>
              <w:rPr>
                <w:rFonts w:hint="eastAsia" w:ascii="宋体" w:hAnsi="宋体" w:eastAsia="宋体" w:cs="宋体"/>
                <w:color w:val="auto"/>
                <w:kern w:val="0"/>
                <w:szCs w:val="21"/>
                <w:highlight w:val="none"/>
                <w:shd w:val="clear" w:color="auto" w:fill="FFFFFF"/>
              </w:rPr>
              <w:t>计算规则：</w:t>
            </w:r>
            <w:r>
              <w:rPr>
                <w:rFonts w:hint="eastAsia" w:ascii="宋体" w:hAnsi="宋体" w:eastAsia="宋体" w:cs="宋体"/>
                <w:color w:val="auto"/>
                <w:kern w:val="0"/>
                <w:szCs w:val="21"/>
                <w:highlight w:val="none"/>
              </w:rPr>
              <w:t>简单多数。当被淘汰最后一名有并列情况以至超过应淘汰投标人数时，对此并列的投标人采取</w:t>
            </w:r>
            <w:r>
              <w:rPr>
                <w:rFonts w:hint="eastAsia" w:ascii="宋体" w:hAnsi="宋体" w:eastAsia="宋体" w:cs="宋体"/>
                <w:color w:val="auto"/>
                <w:kern w:val="0"/>
                <w:szCs w:val="21"/>
                <w:highlight w:val="none"/>
                <w:lang w:val="en-US" w:eastAsia="zh-CN"/>
              </w:rPr>
              <w:t>继续票决方式</w:t>
            </w:r>
            <w:r>
              <w:rPr>
                <w:rFonts w:hint="eastAsia" w:ascii="宋体" w:hAnsi="宋体" w:eastAsia="宋体" w:cs="宋体"/>
                <w:color w:val="auto"/>
                <w:kern w:val="0"/>
                <w:szCs w:val="21"/>
                <w:highlight w:val="none"/>
              </w:rPr>
              <w:t>确定</w:t>
            </w:r>
            <w:r>
              <w:rPr>
                <w:rFonts w:hint="eastAsia" w:ascii="宋体" w:hAnsi="宋体" w:eastAsia="宋体" w:cs="宋体"/>
                <w:color w:val="auto"/>
                <w:kern w:val="0"/>
                <w:szCs w:val="21"/>
                <w:highlight w:val="none"/>
                <w:lang w:val="en-US" w:eastAsia="zh-CN"/>
              </w:rPr>
              <w:t>入围投标人</w:t>
            </w:r>
            <w:r>
              <w:rPr>
                <w:rFonts w:hint="eastAsia" w:ascii="宋体" w:hAnsi="宋体" w:eastAsia="宋体" w:cs="宋体"/>
                <w:color w:val="auto"/>
                <w:kern w:val="0"/>
                <w:szCs w:val="21"/>
                <w:highlight w:val="none"/>
                <w:lang w:eastAsia="zh-CN"/>
              </w:rPr>
              <w:t>。</w:t>
            </w:r>
          </w:p>
        </w:tc>
      </w:tr>
      <w:tr w14:paraId="0AA2E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3" w:type="dxa"/>
            <w:vAlign w:val="center"/>
          </w:tcPr>
          <w:p w14:paraId="5EC92CB0">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20</w:t>
            </w:r>
          </w:p>
        </w:tc>
        <w:tc>
          <w:tcPr>
            <w:tcW w:w="2192" w:type="dxa"/>
            <w:vAlign w:val="center"/>
          </w:tcPr>
          <w:p w14:paraId="3D0576FC">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评标方法及标准</w:t>
            </w:r>
          </w:p>
        </w:tc>
        <w:tc>
          <w:tcPr>
            <w:tcW w:w="6652" w:type="dxa"/>
            <w:vAlign w:val="center"/>
          </w:tcPr>
          <w:p w14:paraId="00000D15">
            <w:pPr>
              <w:spacing w:line="360" w:lineRule="auto"/>
              <w:jc w:val="left"/>
              <w:rPr>
                <w:rFonts w:ascii="宋体" w:hAnsi="宋体" w:eastAsia="宋体" w:cs="宋体"/>
                <w:snapToGrid w:val="0"/>
                <w:color w:val="auto"/>
                <w:kern w:val="0"/>
                <w:szCs w:val="21"/>
                <w:highlight w:val="none"/>
              </w:rPr>
            </w:pPr>
            <w:bookmarkStart w:id="17" w:name="OLE_LINK19"/>
            <w:r>
              <w:rPr>
                <w:rFonts w:hint="eastAsia" w:ascii="宋体" w:hAnsi="宋体" w:eastAsia="宋体" w:cs="宋体"/>
                <w:color w:val="auto"/>
                <w:szCs w:val="21"/>
                <w:highlight w:val="none"/>
                <w:lang w:bidi="ar"/>
              </w:rPr>
              <w:t>□</w:t>
            </w:r>
            <w:bookmarkEnd w:id="17"/>
            <w:r>
              <w:rPr>
                <w:rFonts w:hint="eastAsia" w:ascii="宋体" w:hAnsi="宋体" w:eastAsia="宋体" w:cs="宋体"/>
                <w:snapToGrid w:val="0"/>
                <w:color w:val="auto"/>
                <w:kern w:val="0"/>
                <w:szCs w:val="21"/>
                <w:highlight w:val="none"/>
              </w:rPr>
              <w:t>定性评审法</w:t>
            </w:r>
          </w:p>
          <w:p w14:paraId="7C83026F">
            <w:pPr>
              <w:spacing w:line="360" w:lineRule="auto"/>
              <w:jc w:val="left"/>
              <w:rPr>
                <w:rFonts w:ascii="宋体" w:hAnsi="宋体" w:eastAsia="宋体" w:cs="宋体"/>
                <w:snapToGrid w:val="0"/>
                <w:color w:val="auto"/>
                <w:szCs w:val="21"/>
                <w:highlight w:val="none"/>
                <w:u w:val="single"/>
                <w:lang w:bidi="ar"/>
              </w:rPr>
            </w:pPr>
            <w:r>
              <w:rPr>
                <w:rFonts w:hint="eastAsia" w:ascii="宋体" w:hAnsi="宋体" w:eastAsia="宋体" w:cs="宋体"/>
                <w:color w:val="auto"/>
                <w:szCs w:val="21"/>
                <w:highlight w:val="none"/>
                <w:lang w:bidi="ar"/>
              </w:rPr>
              <w:t>□</w:t>
            </w:r>
            <w:r>
              <w:rPr>
                <w:rFonts w:hint="eastAsia" w:ascii="宋体" w:hAnsi="宋体" w:eastAsia="宋体" w:cs="宋体"/>
                <w:snapToGrid w:val="0"/>
                <w:color w:val="auto"/>
                <w:kern w:val="0"/>
                <w:szCs w:val="21"/>
                <w:highlight w:val="none"/>
              </w:rPr>
              <w:t>经建设、交通行政主管部门批准的其他方法：</w:t>
            </w:r>
            <w:r>
              <w:rPr>
                <w:rFonts w:hint="eastAsia" w:ascii="宋体" w:hAnsi="宋体" w:eastAsia="宋体" w:cs="宋体"/>
                <w:snapToGrid w:val="0"/>
                <w:color w:val="auto"/>
                <w:szCs w:val="21"/>
                <w:highlight w:val="none"/>
                <w:u w:val="single"/>
                <w:lang w:bidi="ar"/>
              </w:rPr>
              <w:t xml:space="preserve">      </w:t>
            </w:r>
          </w:p>
        </w:tc>
      </w:tr>
      <w:tr w14:paraId="3D7F3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673" w:type="dxa"/>
            <w:vAlign w:val="center"/>
          </w:tcPr>
          <w:p w14:paraId="56522B79">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21</w:t>
            </w:r>
          </w:p>
        </w:tc>
        <w:tc>
          <w:tcPr>
            <w:tcW w:w="2192" w:type="dxa"/>
            <w:vAlign w:val="center"/>
          </w:tcPr>
          <w:p w14:paraId="42C399C1">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专家推荐原则</w:t>
            </w:r>
          </w:p>
        </w:tc>
        <w:tc>
          <w:tcPr>
            <w:tcW w:w="6652" w:type="dxa"/>
            <w:vAlign w:val="center"/>
          </w:tcPr>
          <w:p w14:paraId="28B88BCB">
            <w:pPr>
              <w:adjustRightInd w:val="0"/>
              <w:snapToGrid w:val="0"/>
              <w:spacing w:line="36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招标人应根据项目实际合理设置评审要素，对专家评标质量提出要求，并明确专家推荐原则</w:t>
            </w:r>
            <w:r>
              <w:rPr>
                <w:rStyle w:val="133"/>
                <w:rFonts w:hint="eastAsia" w:ascii="宋体" w:hAnsi="宋体" w:eastAsia="宋体" w:cs="宋体"/>
                <w:color w:val="auto"/>
                <w:kern w:val="0"/>
                <w:szCs w:val="21"/>
                <w:highlight w:val="none"/>
              </w:rPr>
              <w:t>[</w:t>
            </w:r>
            <w:r>
              <w:rPr>
                <w:rStyle w:val="133"/>
                <w:rFonts w:hint="eastAsia" w:ascii="宋体" w:hAnsi="宋体" w:eastAsia="宋体" w:cs="宋体"/>
                <w:color w:val="auto"/>
                <w:kern w:val="0"/>
                <w:szCs w:val="21"/>
                <w:highlight w:val="none"/>
              </w:rPr>
              <w:footnoteReference w:id="2"/>
            </w:r>
            <w:r>
              <w:rPr>
                <w:rStyle w:val="133"/>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74085D4C">
            <w:pPr>
              <w:adjustRightInd w:val="0"/>
              <w:snapToGrid w:val="0"/>
              <w:spacing w:line="360" w:lineRule="auto"/>
              <w:jc w:val="left"/>
              <w:rPr>
                <w:rFonts w:hint="eastAsia" w:ascii="宋体" w:hAnsi="宋体" w:eastAsia="宋体" w:cs="宋体"/>
                <w:color w:val="auto"/>
                <w:kern w:val="0"/>
                <w:szCs w:val="21"/>
                <w:highlight w:val="none"/>
                <w:u w:val="single"/>
                <w:lang w:bidi="ar"/>
              </w:rPr>
            </w:pPr>
            <w:r>
              <w:rPr>
                <w:rFonts w:hint="eastAsia" w:ascii="宋体" w:hAnsi="宋体" w:eastAsia="宋体" w:cs="宋体"/>
                <w:color w:val="auto"/>
                <w:kern w:val="0"/>
                <w:szCs w:val="21"/>
                <w:highlight w:val="none"/>
                <w:lang w:val="en-US" w:eastAsia="zh-CN"/>
              </w:rPr>
              <w:t>注</w:t>
            </w:r>
            <w:r>
              <w:rPr>
                <w:rFonts w:hint="eastAsia" w:ascii="宋体" w:hAnsi="宋体" w:eastAsia="宋体" w:cs="宋体"/>
                <w:color w:val="auto"/>
                <w:kern w:val="0"/>
                <w:szCs w:val="21"/>
                <w:highlight w:val="none"/>
                <w:u w:val="single"/>
                <w:lang w:val="en-US" w:eastAsia="zh-CN"/>
              </w:rPr>
              <w:t>：招标人应根据项目实际，设置规则清晰、可操作性强的推荐中标候选人原则。</w:t>
            </w:r>
          </w:p>
        </w:tc>
      </w:tr>
      <w:tr w14:paraId="24785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673" w:type="dxa"/>
            <w:vAlign w:val="center"/>
          </w:tcPr>
          <w:p w14:paraId="31D1110F">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w:t>
            </w:r>
          </w:p>
        </w:tc>
        <w:tc>
          <w:tcPr>
            <w:tcW w:w="2192" w:type="dxa"/>
            <w:vAlign w:val="center"/>
          </w:tcPr>
          <w:p w14:paraId="1A0DC463">
            <w:pPr>
              <w:adjustRightInd w:val="0"/>
              <w:snapToGrid w:val="0"/>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评标地点</w:t>
            </w:r>
          </w:p>
        </w:tc>
        <w:tc>
          <w:tcPr>
            <w:tcW w:w="6652" w:type="dxa"/>
            <w:vAlign w:val="center"/>
          </w:tcPr>
          <w:p w14:paraId="30091BD4">
            <w:pPr>
              <w:adjustRightInd w:val="0"/>
              <w:snapToGrid w:val="0"/>
              <w:spacing w:line="360" w:lineRule="auto"/>
              <w:jc w:val="left"/>
              <w:rPr>
                <w:rFonts w:ascii="宋体" w:hAnsi="宋体" w:eastAsia="宋体" w:cs="宋体"/>
                <w:color w:val="auto"/>
                <w:kern w:val="0"/>
                <w:szCs w:val="21"/>
                <w:highlight w:val="none"/>
              </w:rPr>
            </w:pPr>
            <w:bookmarkStart w:id="18" w:name="OLE_LINK20"/>
            <w:r>
              <w:rPr>
                <w:rFonts w:hint="eastAsia" w:ascii="宋体" w:hAnsi="宋体" w:eastAsia="宋体" w:cs="宋体"/>
                <w:color w:val="auto"/>
                <w:szCs w:val="21"/>
                <w:highlight w:val="none"/>
                <w:lang w:bidi="ar"/>
              </w:rPr>
              <w:t>□</w:t>
            </w:r>
            <w:bookmarkEnd w:id="18"/>
            <w:r>
              <w:rPr>
                <w:rFonts w:hint="eastAsia" w:ascii="宋体" w:hAnsi="宋体" w:eastAsia="宋体" w:cs="宋体"/>
                <w:color w:val="auto"/>
                <w:kern w:val="0"/>
                <w:szCs w:val="21"/>
                <w:highlight w:val="none"/>
              </w:rPr>
              <w:t>交易场所评标</w:t>
            </w:r>
          </w:p>
          <w:p w14:paraId="629A660F">
            <w:pPr>
              <w:adjustRightInd w:val="0"/>
              <w:snapToGrid w:val="0"/>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其他：</w:t>
            </w:r>
            <w:r>
              <w:rPr>
                <w:rFonts w:hint="eastAsia" w:ascii="宋体" w:hAnsi="宋体" w:eastAsia="宋体" w:cs="宋体"/>
                <w:color w:val="auto"/>
                <w:szCs w:val="21"/>
                <w:highlight w:val="none"/>
                <w:u w:val="single"/>
                <w:lang w:bidi="ar"/>
              </w:rPr>
              <w:t xml:space="preserve">      </w:t>
            </w:r>
          </w:p>
        </w:tc>
      </w:tr>
      <w:tr w14:paraId="022CF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673" w:type="dxa"/>
            <w:vAlign w:val="center"/>
          </w:tcPr>
          <w:p w14:paraId="3F13CEAC">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w:t>
            </w:r>
          </w:p>
        </w:tc>
        <w:tc>
          <w:tcPr>
            <w:tcW w:w="2192" w:type="dxa"/>
            <w:vAlign w:val="center"/>
          </w:tcPr>
          <w:p w14:paraId="4F21176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w:t>
            </w:r>
          </w:p>
          <w:p w14:paraId="657F0FA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的人员组成</w:t>
            </w:r>
          </w:p>
        </w:tc>
        <w:tc>
          <w:tcPr>
            <w:tcW w:w="6652" w:type="dxa"/>
            <w:vAlign w:val="center"/>
          </w:tcPr>
          <w:p w14:paraId="4FB6348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由招标人依法组建</w:t>
            </w:r>
          </w:p>
        </w:tc>
      </w:tr>
      <w:tr w14:paraId="53EEE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3" w:type="dxa"/>
            <w:vAlign w:val="center"/>
          </w:tcPr>
          <w:p w14:paraId="6DDAD83C">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24</w:t>
            </w:r>
          </w:p>
        </w:tc>
        <w:tc>
          <w:tcPr>
            <w:tcW w:w="2192" w:type="dxa"/>
            <w:vAlign w:val="center"/>
          </w:tcPr>
          <w:p w14:paraId="3BE4814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定标工作规则和项目定标方案</w:t>
            </w:r>
          </w:p>
        </w:tc>
        <w:tc>
          <w:tcPr>
            <w:tcW w:w="6652" w:type="dxa"/>
            <w:vAlign w:val="center"/>
          </w:tcPr>
          <w:p w14:paraId="4118BA47">
            <w:pPr>
              <w:adjustRightInd w:val="0"/>
              <w:snapToGrid w:val="0"/>
              <w:spacing w:line="360" w:lineRule="auto"/>
              <w:jc w:val="left"/>
              <w:rPr>
                <w:rFonts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定标工作规则：</w:t>
            </w:r>
            <w:r>
              <w:rPr>
                <w:rFonts w:hint="eastAsia" w:ascii="宋体" w:hAnsi="宋体" w:eastAsia="宋体" w:cs="宋体"/>
                <w:color w:val="auto"/>
                <w:kern w:val="0"/>
                <w:szCs w:val="21"/>
                <w:highlight w:val="none"/>
                <w:u w:val="single"/>
              </w:rPr>
              <w:t xml:space="preserve">             </w:t>
            </w:r>
          </w:p>
          <w:p w14:paraId="4EE32BBC">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项目定标方案：在报招标人内设（上级）的纪检监察机构（或督察机构）备案的基础上，于招标公告备案时上传至备案系统加密保存</w:t>
            </w:r>
            <w:r>
              <w:rPr>
                <w:rStyle w:val="133"/>
                <w:rFonts w:hint="eastAsia" w:ascii="宋体" w:hAnsi="宋体" w:eastAsia="宋体" w:cs="宋体"/>
                <w:color w:val="auto"/>
                <w:kern w:val="0"/>
                <w:szCs w:val="21"/>
                <w:highlight w:val="none"/>
              </w:rPr>
              <w:t>[</w:t>
            </w:r>
            <w:r>
              <w:rPr>
                <w:rStyle w:val="133"/>
                <w:rFonts w:hint="eastAsia" w:ascii="宋体" w:hAnsi="宋体" w:eastAsia="宋体" w:cs="宋体"/>
                <w:color w:val="auto"/>
                <w:kern w:val="0"/>
                <w:szCs w:val="21"/>
                <w:highlight w:val="none"/>
              </w:rPr>
              <w:footnoteReference w:id="3"/>
            </w:r>
            <w:r>
              <w:rPr>
                <w:rStyle w:val="133"/>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rPr>
              <w:t>。</w:t>
            </w:r>
          </w:p>
          <w:p w14:paraId="412A17AA">
            <w:pPr>
              <w:adjustRightInd w:val="0"/>
              <w:snapToGrid w:val="0"/>
              <w:spacing w:line="360" w:lineRule="auto"/>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lang w:val="en-US" w:eastAsia="zh-CN"/>
              </w:rPr>
              <w:t>注 ：1.招标人应事先制定定标工作规则，</w:t>
            </w:r>
            <w:r>
              <w:rPr>
                <w:rFonts w:hint="eastAsia" w:ascii="宋体" w:hAnsi="宋体" w:eastAsia="宋体" w:cs="宋体"/>
                <w:color w:val="auto"/>
                <w:szCs w:val="21"/>
                <w:highlight w:val="none"/>
              </w:rPr>
              <w:t>对不同类别项目择优竞价结合方式、择优因素、竞价方法予以明确</w:t>
            </w:r>
            <w:r>
              <w:rPr>
                <w:rFonts w:hint="eastAsia" w:ascii="宋体" w:hAnsi="宋体" w:eastAsia="宋体" w:cs="宋体"/>
                <w:color w:val="auto"/>
                <w:szCs w:val="21"/>
                <w:highlight w:val="none"/>
                <w:lang w:val="en-US" w:eastAsia="zh-CN"/>
              </w:rPr>
              <w:t>。</w:t>
            </w:r>
          </w:p>
          <w:p w14:paraId="3DD98868">
            <w:pPr>
              <w:adjustRightInd w:val="0"/>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w:t>
            </w:r>
            <w:r>
              <w:rPr>
                <w:rFonts w:hint="eastAsia" w:ascii="宋体" w:hAnsi="宋体" w:eastAsia="宋体" w:cs="宋体"/>
                <w:color w:val="auto"/>
                <w:kern w:val="0"/>
                <w:szCs w:val="21"/>
                <w:highlight w:val="none"/>
                <w:lang w:val="en-US" w:eastAsia="zh-CN"/>
              </w:rPr>
              <w:t>定标委员会成员构成、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w:t>
            </w:r>
            <w:r>
              <w:rPr>
                <w:rFonts w:hint="eastAsia" w:ascii="宋体" w:hAnsi="宋体" w:eastAsia="宋体" w:cs="宋体"/>
                <w:color w:val="auto"/>
                <w:kern w:val="0"/>
                <w:szCs w:val="21"/>
                <w:highlight w:val="none"/>
                <w:lang w:eastAsia="zh-CN"/>
              </w:rPr>
              <w:t>。</w:t>
            </w:r>
          </w:p>
        </w:tc>
      </w:tr>
      <w:tr w14:paraId="1F623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73" w:type="dxa"/>
            <w:vMerge w:val="restart"/>
            <w:vAlign w:val="center"/>
          </w:tcPr>
          <w:p w14:paraId="34C87C9E">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25</w:t>
            </w:r>
          </w:p>
        </w:tc>
        <w:tc>
          <w:tcPr>
            <w:tcW w:w="2192" w:type="dxa"/>
            <w:vMerge w:val="restart"/>
            <w:vAlign w:val="center"/>
          </w:tcPr>
          <w:p w14:paraId="2EE994AF">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定标方法</w:t>
            </w:r>
          </w:p>
        </w:tc>
        <w:tc>
          <w:tcPr>
            <w:tcW w:w="6652" w:type="dxa"/>
            <w:vAlign w:val="center"/>
          </w:tcPr>
          <w:p w14:paraId="582E9A04">
            <w:pPr>
              <w:adjustRightInd w:val="0"/>
              <w:snapToGrid w:val="0"/>
              <w:spacing w:line="360" w:lineRule="auto"/>
              <w:jc w:val="left"/>
              <w:rPr>
                <w:rFonts w:ascii="宋体" w:hAnsi="宋体" w:eastAsia="宋体" w:cs="宋体"/>
                <w:color w:val="auto"/>
                <w:kern w:val="0"/>
                <w:szCs w:val="21"/>
                <w:highlight w:val="none"/>
              </w:rPr>
            </w:pPr>
            <w:bookmarkStart w:id="19" w:name="OLE_LINK21"/>
            <w:r>
              <w:rPr>
                <w:rFonts w:hint="eastAsia" w:ascii="宋体" w:hAnsi="宋体" w:eastAsia="宋体" w:cs="宋体"/>
                <w:color w:val="auto"/>
                <w:kern w:val="0"/>
                <w:szCs w:val="21"/>
                <w:highlight w:val="none"/>
              </w:rPr>
              <w:t xml:space="preserve">□直接票决定标法   </w:t>
            </w:r>
          </w:p>
          <w:p w14:paraId="0C2E5DC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3EEFF9FE">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简单多数     □简单多数（且过半数）    □对比胜出</w:t>
            </w:r>
            <w:bookmarkEnd w:id="19"/>
          </w:p>
        </w:tc>
      </w:tr>
      <w:tr w14:paraId="5763B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673" w:type="dxa"/>
            <w:vMerge w:val="continue"/>
            <w:vAlign w:val="center"/>
          </w:tcPr>
          <w:p w14:paraId="25DA3B08">
            <w:pPr>
              <w:adjustRightInd w:val="0"/>
              <w:snapToGrid w:val="0"/>
              <w:spacing w:line="360" w:lineRule="auto"/>
              <w:jc w:val="left"/>
              <w:rPr>
                <w:color w:val="auto"/>
                <w:highlight w:val="none"/>
              </w:rPr>
            </w:pPr>
          </w:p>
        </w:tc>
        <w:tc>
          <w:tcPr>
            <w:tcW w:w="2192" w:type="dxa"/>
            <w:vMerge w:val="continue"/>
            <w:vAlign w:val="center"/>
          </w:tcPr>
          <w:p w14:paraId="19BEB990">
            <w:pPr>
              <w:adjustRightInd w:val="0"/>
              <w:snapToGrid w:val="0"/>
              <w:spacing w:line="360" w:lineRule="auto"/>
              <w:jc w:val="left"/>
              <w:rPr>
                <w:color w:val="auto"/>
                <w:highlight w:val="none"/>
              </w:rPr>
            </w:pPr>
          </w:p>
        </w:tc>
        <w:tc>
          <w:tcPr>
            <w:tcW w:w="6652" w:type="dxa"/>
            <w:vAlign w:val="center"/>
          </w:tcPr>
          <w:p w14:paraId="7CEFADED">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逐轮票决定标法</w:t>
            </w:r>
          </w:p>
          <w:p w14:paraId="3D1D2090">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票决方式：</w:t>
            </w:r>
          </w:p>
          <w:p w14:paraId="04E3840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□简单多数       □对比胜出        □先票决后淘汰</w:t>
            </w:r>
          </w:p>
        </w:tc>
      </w:tr>
      <w:tr w14:paraId="4930E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673" w:type="dxa"/>
            <w:vMerge w:val="continue"/>
            <w:vAlign w:val="center"/>
          </w:tcPr>
          <w:p w14:paraId="2647875B">
            <w:pPr>
              <w:adjustRightInd w:val="0"/>
              <w:snapToGrid w:val="0"/>
              <w:spacing w:line="360" w:lineRule="auto"/>
              <w:jc w:val="left"/>
              <w:rPr>
                <w:rFonts w:ascii="宋体" w:hAnsi="宋体" w:eastAsia="宋体" w:cs="宋体"/>
                <w:color w:val="auto"/>
                <w:kern w:val="0"/>
                <w:szCs w:val="21"/>
                <w:highlight w:val="none"/>
              </w:rPr>
            </w:pPr>
          </w:p>
        </w:tc>
        <w:tc>
          <w:tcPr>
            <w:tcW w:w="2192" w:type="dxa"/>
            <w:vMerge w:val="continue"/>
            <w:vAlign w:val="center"/>
          </w:tcPr>
          <w:p w14:paraId="7AF3BCB1">
            <w:pPr>
              <w:adjustRightInd w:val="0"/>
              <w:snapToGrid w:val="0"/>
              <w:spacing w:line="360" w:lineRule="auto"/>
              <w:jc w:val="left"/>
              <w:rPr>
                <w:rFonts w:ascii="宋体" w:hAnsi="宋体" w:eastAsia="宋体" w:cs="宋体"/>
                <w:color w:val="auto"/>
                <w:kern w:val="0"/>
                <w:szCs w:val="21"/>
                <w:highlight w:val="none"/>
              </w:rPr>
            </w:pPr>
          </w:p>
        </w:tc>
        <w:tc>
          <w:tcPr>
            <w:tcW w:w="6652" w:type="dxa"/>
            <w:vAlign w:val="center"/>
          </w:tcPr>
          <w:p w14:paraId="379BCAC8">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rPr>
              <w:t>集体议事定标法</w:t>
            </w:r>
          </w:p>
        </w:tc>
      </w:tr>
      <w:tr w14:paraId="2717F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673" w:type="dxa"/>
            <w:vMerge w:val="continue"/>
            <w:vAlign w:val="center"/>
          </w:tcPr>
          <w:p w14:paraId="4F6ADE00">
            <w:pPr>
              <w:adjustRightInd w:val="0"/>
              <w:snapToGrid w:val="0"/>
              <w:spacing w:line="360" w:lineRule="auto"/>
              <w:jc w:val="left"/>
              <w:rPr>
                <w:rFonts w:ascii="宋体" w:hAnsi="宋体" w:eastAsia="宋体" w:cs="宋体"/>
                <w:color w:val="auto"/>
                <w:kern w:val="0"/>
                <w:szCs w:val="21"/>
                <w:highlight w:val="none"/>
              </w:rPr>
            </w:pPr>
          </w:p>
        </w:tc>
        <w:tc>
          <w:tcPr>
            <w:tcW w:w="2192" w:type="dxa"/>
            <w:vMerge w:val="continue"/>
            <w:vAlign w:val="center"/>
          </w:tcPr>
          <w:p w14:paraId="299F4708">
            <w:pPr>
              <w:adjustRightInd w:val="0"/>
              <w:snapToGrid w:val="0"/>
              <w:spacing w:line="360" w:lineRule="auto"/>
              <w:jc w:val="left"/>
              <w:rPr>
                <w:rFonts w:ascii="宋体" w:hAnsi="宋体" w:eastAsia="宋体" w:cs="宋体"/>
                <w:color w:val="auto"/>
                <w:kern w:val="0"/>
                <w:szCs w:val="21"/>
                <w:highlight w:val="none"/>
              </w:rPr>
            </w:pPr>
          </w:p>
        </w:tc>
        <w:tc>
          <w:tcPr>
            <w:tcW w:w="6652" w:type="dxa"/>
            <w:vAlign w:val="center"/>
          </w:tcPr>
          <w:p w14:paraId="2DD5C50C">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rPr>
              <w:t>经建设、交通</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主管部门批准的其他方法其它方法：</w:t>
            </w:r>
            <w:r>
              <w:rPr>
                <w:rFonts w:hint="eastAsia" w:ascii="宋体" w:hAnsi="宋体" w:eastAsia="宋体" w:cs="宋体"/>
                <w:color w:val="auto"/>
                <w:kern w:val="0"/>
                <w:szCs w:val="21"/>
                <w:highlight w:val="none"/>
                <w:u w:val="single"/>
                <w:lang w:bidi="ar"/>
              </w:rPr>
              <w:t xml:space="preserve">      </w:t>
            </w:r>
          </w:p>
        </w:tc>
      </w:tr>
      <w:tr w14:paraId="22866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673" w:type="dxa"/>
            <w:vAlign w:val="center"/>
          </w:tcPr>
          <w:p w14:paraId="77485ECC">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26</w:t>
            </w:r>
          </w:p>
        </w:tc>
        <w:tc>
          <w:tcPr>
            <w:tcW w:w="2192" w:type="dxa"/>
            <w:vAlign w:val="center"/>
          </w:tcPr>
          <w:p w14:paraId="536D5139">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履约担保</w:t>
            </w:r>
          </w:p>
        </w:tc>
        <w:tc>
          <w:tcPr>
            <w:tcW w:w="6652" w:type="dxa"/>
            <w:vAlign w:val="center"/>
          </w:tcPr>
          <w:p w14:paraId="2D85F5DF">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szCs w:val="21"/>
                <w:highlight w:val="none"/>
                <w:u w:val="single"/>
                <w:lang w:bidi="ar"/>
              </w:rPr>
              <w:t xml:space="preserve">      </w:t>
            </w:r>
          </w:p>
          <w:p w14:paraId="36EC43E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7AA90D10">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□银行保函 □保证保险 □专业工程担保公司担保</w:t>
            </w:r>
          </w:p>
        </w:tc>
      </w:tr>
      <w:tr w14:paraId="19CEB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jc w:val="center"/>
        </w:trPr>
        <w:tc>
          <w:tcPr>
            <w:tcW w:w="673" w:type="dxa"/>
            <w:vAlign w:val="center"/>
          </w:tcPr>
          <w:p w14:paraId="7A785F76">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27</w:t>
            </w:r>
          </w:p>
        </w:tc>
        <w:tc>
          <w:tcPr>
            <w:tcW w:w="2192" w:type="dxa"/>
            <w:vAlign w:val="center"/>
          </w:tcPr>
          <w:p w14:paraId="4A5B7645">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支付担保</w:t>
            </w:r>
          </w:p>
        </w:tc>
        <w:tc>
          <w:tcPr>
            <w:tcW w:w="6652" w:type="dxa"/>
            <w:vAlign w:val="center"/>
          </w:tcPr>
          <w:p w14:paraId="02A2A35B">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r>
              <w:rPr>
                <w:rFonts w:hint="eastAsia" w:ascii="宋体" w:hAnsi="宋体" w:eastAsia="宋体" w:cs="宋体"/>
                <w:color w:val="auto"/>
                <w:szCs w:val="21"/>
                <w:highlight w:val="none"/>
                <w:u w:val="single"/>
                <w:lang w:bidi="ar"/>
              </w:rPr>
              <w:t xml:space="preserve">      </w:t>
            </w:r>
          </w:p>
          <w:p w14:paraId="5AF4E877">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担保形式：</w:t>
            </w:r>
          </w:p>
          <w:p w14:paraId="16793536">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□银行保函 □保证保险 □专业工程担保公司担保</w:t>
            </w:r>
          </w:p>
        </w:tc>
      </w:tr>
      <w:tr w14:paraId="1250E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673" w:type="dxa"/>
            <w:vAlign w:val="center"/>
          </w:tcPr>
          <w:p w14:paraId="5EE74E97">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28</w:t>
            </w:r>
          </w:p>
        </w:tc>
        <w:tc>
          <w:tcPr>
            <w:tcW w:w="2192" w:type="dxa"/>
            <w:vAlign w:val="center"/>
          </w:tcPr>
          <w:p w14:paraId="011CA4BC">
            <w:pPr>
              <w:spacing w:line="360" w:lineRule="auto"/>
              <w:jc w:val="center"/>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发出中标通知书及签订合同</w:t>
            </w:r>
          </w:p>
        </w:tc>
        <w:tc>
          <w:tcPr>
            <w:tcW w:w="6652" w:type="dxa"/>
            <w:vAlign w:val="center"/>
          </w:tcPr>
          <w:p w14:paraId="638DC3EB">
            <w:pPr>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招标人和中标人应当自中标通知书发出之日起三十日内，按照招标文件和中标人的投标文件签订合同（因投诉暂停的除外）</w:t>
            </w:r>
          </w:p>
        </w:tc>
      </w:tr>
    </w:tbl>
    <w:p w14:paraId="2392F505">
      <w:pPr>
        <w:rPr>
          <w:snapToGrid w:val="0"/>
          <w:color w:val="auto"/>
          <w:kern w:val="0"/>
          <w:highlight w:val="none"/>
        </w:rPr>
      </w:pPr>
      <w:r>
        <w:rPr>
          <w:snapToGrid w:val="0"/>
          <w:color w:val="auto"/>
          <w:kern w:val="0"/>
          <w:highlight w:val="none"/>
        </w:rPr>
        <w:br w:type="page"/>
      </w:r>
    </w:p>
    <w:p w14:paraId="537E4B20">
      <w:pPr>
        <w:spacing w:line="360" w:lineRule="auto"/>
        <w:jc w:val="center"/>
        <w:outlineLvl w:val="2"/>
        <w:rPr>
          <w:rFonts w:ascii="黑体" w:hAnsi="宋体" w:eastAsia="黑体"/>
          <w:bCs/>
          <w:snapToGrid w:val="0"/>
          <w:color w:val="auto"/>
          <w:kern w:val="0"/>
          <w:sz w:val="32"/>
          <w:szCs w:val="32"/>
          <w:highlight w:val="none"/>
        </w:rPr>
      </w:pPr>
      <w:bookmarkStart w:id="20" w:name="_Toc13927"/>
      <w:r>
        <w:rPr>
          <w:rFonts w:hint="eastAsia" w:ascii="黑体" w:hAnsi="宋体" w:eastAsia="黑体"/>
          <w:bCs/>
          <w:snapToGrid w:val="0"/>
          <w:color w:val="auto"/>
          <w:kern w:val="0"/>
          <w:sz w:val="32"/>
          <w:szCs w:val="32"/>
          <w:highlight w:val="none"/>
        </w:rPr>
        <w:t>(一)招标工程情况介绍</w:t>
      </w:r>
      <w:bookmarkEnd w:id="20"/>
    </w:p>
    <w:p w14:paraId="6FD1358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（提示招标人：本章节为必填内容，招标人应当如实详细填写，并作为投标、评标的重要参考。如因招标人未填写或未如实填写本章节内容，造成的不利后果应由招标人承担。）</w:t>
      </w:r>
    </w:p>
    <w:p w14:paraId="43A0DD47">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1.工程概况、工程规模</w:t>
      </w:r>
    </w:p>
    <w:p w14:paraId="765E1E68">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p w14:paraId="04AAEF06">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2.工程主要特点</w:t>
      </w:r>
    </w:p>
    <w:p w14:paraId="1204510F">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p w14:paraId="04550CB5">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3.建议的评标要点</w:t>
      </w:r>
    </w:p>
    <w:p w14:paraId="353A91D8">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u w:val="single"/>
          <w:lang w:bidi="ar"/>
        </w:rPr>
        <w:t xml:space="preserve">      </w:t>
      </w:r>
    </w:p>
    <w:p w14:paraId="53AED98B">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4.其它：</w:t>
      </w:r>
    </w:p>
    <w:p w14:paraId="6AC8947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single"/>
          <w:lang w:bidi="ar"/>
        </w:rPr>
        <w:t xml:space="preserve">      </w:t>
      </w:r>
    </w:p>
    <w:p w14:paraId="34C39A95">
      <w:pPr>
        <w:ind w:left="1680" w:firstLine="420"/>
        <w:rPr>
          <w:rFonts w:ascii="黑体" w:hAnsi="宋体" w:eastAsia="黑体"/>
          <w:b/>
          <w:color w:val="auto"/>
          <w:sz w:val="32"/>
          <w:highlight w:val="none"/>
        </w:rPr>
      </w:pPr>
    </w:p>
    <w:p w14:paraId="0F9DB878">
      <w:pPr>
        <w:ind w:left="2100" w:firstLine="420"/>
        <w:rPr>
          <w:rFonts w:ascii="黑体" w:hAnsi="宋体" w:eastAsia="黑体"/>
          <w:bCs/>
          <w:color w:val="auto"/>
          <w:sz w:val="32"/>
          <w:highlight w:val="none"/>
        </w:rPr>
      </w:pPr>
      <w:r>
        <w:rPr>
          <w:rFonts w:hint="eastAsia" w:ascii="黑体" w:hAnsi="宋体" w:eastAsia="黑体"/>
          <w:bCs/>
          <w:color w:val="auto"/>
          <w:sz w:val="32"/>
          <w:highlight w:val="none"/>
        </w:rPr>
        <w:t>(二)招标投标分段限时投诉的规定</w:t>
      </w:r>
    </w:p>
    <w:p w14:paraId="66A948B5">
      <w:pPr>
        <w:ind w:firstLine="420" w:firstLineChars="200"/>
        <w:rPr>
          <w:bCs/>
          <w:color w:val="auto"/>
          <w:szCs w:val="21"/>
          <w:highlight w:val="none"/>
        </w:rPr>
      </w:pPr>
    </w:p>
    <w:p w14:paraId="38BE5FF0">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深圳市工程建设项目招标投标实行招标人负责制。招标人应当依法处理异议，配合行政监督部门处理投诉。</w:t>
      </w:r>
      <w:r>
        <w:rPr>
          <w:rFonts w:hint="eastAsia" w:ascii="宋体" w:hAnsi="宋体" w:eastAsia="宋体" w:cs="宋体"/>
          <w:bCs/>
          <w:color w:val="auto"/>
          <w:szCs w:val="21"/>
          <w:highlight w:val="none"/>
          <w:lang w:val="en-US" w:eastAsia="zh-CN"/>
        </w:rPr>
        <w:t>市（区）</w:t>
      </w:r>
      <w:r>
        <w:rPr>
          <w:rFonts w:hint="eastAsia" w:ascii="宋体" w:hAnsi="宋体" w:eastAsia="宋体" w:cs="宋体"/>
          <w:bCs/>
          <w:color w:val="auto"/>
          <w:szCs w:val="21"/>
          <w:highlight w:val="none"/>
        </w:rPr>
        <w:t>建设</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lang w:val="en-US" w:eastAsia="zh-CN"/>
        </w:rPr>
        <w:t>交通</w:t>
      </w:r>
      <w:r>
        <w:rPr>
          <w:rFonts w:hint="eastAsia" w:ascii="宋体" w:hAnsi="宋体" w:eastAsia="宋体" w:cs="宋体"/>
          <w:bCs/>
          <w:color w:val="auto"/>
          <w:szCs w:val="21"/>
          <w:highlight w:val="none"/>
        </w:rPr>
        <w:t>行政主管部门按照职责分工和监管权限，受理和处理工程建设项目招标投标投诉，对工程建设项目招标投标的异议处理进行监督。</w:t>
      </w:r>
    </w:p>
    <w:p w14:paraId="44897649">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关于建设工程招标投标改革的若干规定》（深府</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2015</w:t>
      </w:r>
      <w:r>
        <w:rPr>
          <w:rFonts w:hint="eastAsia" w:ascii="仿宋_GB2312" w:hAnsi="仿宋_GB2312" w:eastAsia="仿宋_GB2312" w:cs="仿宋_GB2312"/>
          <w:bCs/>
          <w:color w:val="auto"/>
          <w:szCs w:val="21"/>
          <w:highlight w:val="none"/>
        </w:rPr>
        <w:t>〕</w:t>
      </w:r>
      <w:r>
        <w:rPr>
          <w:rFonts w:hint="eastAsia" w:ascii="宋体" w:hAnsi="宋体" w:eastAsia="宋体" w:cs="宋体"/>
          <w:bCs/>
          <w:color w:val="auto"/>
          <w:szCs w:val="21"/>
          <w:highlight w:val="none"/>
        </w:rPr>
        <w:t>73号）、《深圳市工程建设项目招标投标活动异议和投诉处理办法》</w:t>
      </w:r>
      <w:r>
        <w:rPr>
          <w:rFonts w:hint="eastAsia" w:ascii="宋体" w:hAnsi="宋体" w:eastAsia="宋体" w:cs="宋体"/>
          <w:bCs/>
          <w:color w:val="auto"/>
          <w:szCs w:val="21"/>
          <w:highlight w:val="none"/>
        </w:rPr>
        <w:t>（深建规〔2025〕13号）</w:t>
      </w:r>
      <w:r>
        <w:rPr>
          <w:rFonts w:hint="eastAsia" w:ascii="宋体" w:hAnsi="宋体" w:eastAsia="宋体" w:cs="宋体"/>
          <w:bCs/>
          <w:color w:val="auto"/>
          <w:szCs w:val="21"/>
          <w:highlight w:val="none"/>
        </w:rPr>
        <w:t>的规定。</w:t>
      </w:r>
    </w:p>
    <w:p w14:paraId="54F6D578">
      <w:pPr>
        <w:spacing w:line="360" w:lineRule="auto"/>
        <w:ind w:firstLine="420" w:firstLineChars="200"/>
        <w:rPr>
          <w:rFonts w:ascii="宋体" w:hAnsi="宋体" w:eastAsia="宋体" w:cs="宋体"/>
          <w:bCs/>
          <w:color w:val="auto"/>
          <w:szCs w:val="21"/>
          <w:highlight w:val="none"/>
        </w:rPr>
      </w:pPr>
      <w:r>
        <w:rPr>
          <w:rFonts w:hint="eastAsia" w:ascii="宋体" w:hAnsi="宋体" w:eastAsia="宋体" w:cs="宋体"/>
          <w:bCs/>
          <w:color w:val="auto"/>
          <w:szCs w:val="21"/>
          <w:highlight w:val="none"/>
        </w:rPr>
        <w:t>我市已建立全市统一的工程建设项目招标投标活动异议和投诉处理电子平台（https://zjj.sz.gov.cn/xxgk/ztzl/jsjd/），对相关异议或者投诉的受理，以及答复或者处理决定的告知和公开，均在电子平台上进行，异议和投诉处理的往来资料均在电子平台永久保存。招标投标当事人及其他利害关系人凭数字证书或电子营业执照直接登录电子平台提出异议或者投诉，跟踪处理进程，签收异议答复函和投诉处理决定书。</w:t>
      </w:r>
    </w:p>
    <w:p w14:paraId="2E6A7AD5">
      <w:pPr>
        <w:spacing w:line="360" w:lineRule="auto"/>
        <w:ind w:firstLine="420" w:firstLineChars="200"/>
        <w:rPr>
          <w:bCs/>
          <w:color w:val="auto"/>
          <w:szCs w:val="21"/>
          <w:highlight w:val="none"/>
        </w:rPr>
      </w:pPr>
    </w:p>
    <w:p w14:paraId="3E9E15AC">
      <w:pPr>
        <w:adjustRightInd w:val="0"/>
        <w:snapToGrid w:val="0"/>
        <w:ind w:firstLine="420" w:firstLineChars="200"/>
        <w:rPr>
          <w:snapToGrid w:val="0"/>
          <w:color w:val="auto"/>
          <w:kern w:val="0"/>
          <w:highlight w:val="none"/>
        </w:rPr>
      </w:pPr>
      <w:r>
        <w:rPr>
          <w:rFonts w:hint="eastAsia"/>
          <w:bCs/>
          <w:color w:val="auto"/>
          <w:szCs w:val="21"/>
          <w:highlight w:val="none"/>
        </w:rPr>
        <w:t> </w:t>
      </w:r>
      <w:r>
        <w:rPr>
          <w:snapToGrid w:val="0"/>
          <w:color w:val="auto"/>
          <w:kern w:val="0"/>
          <w:highlight w:val="none"/>
        </w:rPr>
        <w:br w:type="page"/>
      </w:r>
    </w:p>
    <w:p w14:paraId="511EE47D">
      <w:pPr>
        <w:spacing w:line="360" w:lineRule="auto"/>
        <w:jc w:val="center"/>
        <w:outlineLvl w:val="2"/>
        <w:rPr>
          <w:rFonts w:ascii="黑体" w:hAnsi="宋体" w:eastAsia="黑体"/>
          <w:bCs/>
          <w:snapToGrid w:val="0"/>
          <w:color w:val="auto"/>
          <w:kern w:val="0"/>
          <w:sz w:val="32"/>
          <w:szCs w:val="32"/>
          <w:highlight w:val="none"/>
        </w:rPr>
      </w:pPr>
      <w:bookmarkStart w:id="21" w:name="_Toc15592"/>
      <w:bookmarkStart w:id="22" w:name="_Toc10444"/>
      <w:r>
        <w:rPr>
          <w:rFonts w:hint="eastAsia" w:ascii="黑体" w:hAnsi="宋体" w:eastAsia="黑体"/>
          <w:bCs/>
          <w:snapToGrid w:val="0"/>
          <w:color w:val="auto"/>
          <w:kern w:val="0"/>
          <w:sz w:val="32"/>
          <w:szCs w:val="32"/>
          <w:highlight w:val="none"/>
        </w:rPr>
        <w:t>二、投标文件否决性条款</w:t>
      </w:r>
      <w:bookmarkEnd w:id="21"/>
      <w:bookmarkEnd w:id="22"/>
    </w:p>
    <w:p w14:paraId="631E1CC4">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【提示招标人】</w:t>
      </w:r>
      <w:r>
        <w:rPr>
          <w:rFonts w:hint="eastAsia" w:ascii="宋体" w:hAnsi="宋体" w:eastAsia="宋体" w:cs="宋体"/>
          <w:bCs/>
          <w:color w:val="auto"/>
          <w:kern w:val="0"/>
          <w:szCs w:val="21"/>
          <w:highlight w:val="none"/>
        </w:rPr>
        <w:t>如招标文件的澄清、答疑、补充文件中增加否决性条款的，招标人应当重新编写本章节内容，将新增否决性条款列入本章节，并发布新的完整的《投标文件否决性条款》。否则，增加的否决性条款无效。</w:t>
      </w:r>
    </w:p>
    <w:p w14:paraId="27FBF3AB">
      <w:pPr>
        <w:adjustRightInd w:val="0"/>
        <w:snapToGrid w:val="0"/>
        <w:spacing w:line="360" w:lineRule="auto"/>
        <w:ind w:firstLine="422" w:firstLineChars="200"/>
        <w:rPr>
          <w:rFonts w:ascii="宋体" w:hAnsi="宋体" w:eastAsia="宋体" w:cs="宋体"/>
          <w:color w:val="auto"/>
          <w:szCs w:val="21"/>
          <w:highlight w:val="none"/>
        </w:rPr>
      </w:pPr>
      <w:r>
        <w:rPr>
          <w:rFonts w:hint="eastAsia" w:ascii="宋体" w:hAnsi="宋体" w:eastAsia="宋体" w:cs="宋体"/>
          <w:b/>
          <w:bCs/>
          <w:color w:val="auto"/>
          <w:kern w:val="0"/>
          <w:szCs w:val="21"/>
          <w:highlight w:val="none"/>
        </w:rPr>
        <w:t>【提示投标人和评标委员会】</w:t>
      </w:r>
      <w:r>
        <w:rPr>
          <w:rFonts w:hint="eastAsia" w:ascii="宋体" w:hAnsi="宋体" w:eastAsia="宋体" w:cs="宋体"/>
          <w:bCs/>
          <w:color w:val="auto"/>
          <w:kern w:val="0"/>
          <w:szCs w:val="21"/>
          <w:highlight w:val="none"/>
        </w:rPr>
        <w:t>本章节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14:paraId="040305B6">
      <w:pPr>
        <w:spacing w:line="360" w:lineRule="auto"/>
        <w:ind w:firstLine="422" w:firstLineChars="200"/>
        <w:jc w:val="left"/>
        <w:rPr>
          <w:rFonts w:ascii="宋体" w:hAnsi="宋体" w:eastAsia="宋体" w:cs="宋体"/>
          <w:b/>
          <w:snapToGrid w:val="0"/>
          <w:color w:val="auto"/>
          <w:kern w:val="0"/>
          <w:szCs w:val="21"/>
          <w:highlight w:val="none"/>
        </w:rPr>
      </w:pPr>
    </w:p>
    <w:p w14:paraId="6DF2D8EB">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（一）开标阶段不予受理的情形：（由招标人或其委派人员负责判定）</w:t>
      </w:r>
    </w:p>
    <w:p w14:paraId="278CCE9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1.逾期提交投标文件的；</w:t>
      </w:r>
    </w:p>
    <w:p w14:paraId="758C976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2.资格审查不合格的；</w:t>
      </w:r>
    </w:p>
    <w:p w14:paraId="51C5421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3.投标文件中各电子投标文件未加签有效数字证书或电子营业执照</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以及企业法定代表人数字证书</w:t>
      </w:r>
      <w:r>
        <w:rPr>
          <w:rFonts w:hint="eastAsia" w:ascii="宋体" w:hAnsi="宋体" w:eastAsia="宋体" w:cs="宋体"/>
          <w:color w:val="auto"/>
          <w:kern w:val="0"/>
          <w:szCs w:val="21"/>
          <w:highlight w:val="none"/>
        </w:rPr>
        <w:t>的；</w:t>
      </w:r>
    </w:p>
    <w:p w14:paraId="10CA7E0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4.投标文件的投标报价高于公布</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lang w:val="en-US" w:eastAsia="zh-CN"/>
        </w:rPr>
        <w:t>或者不符合投标须知前附表第11项投标报价有关要求</w:t>
      </w:r>
      <w:r>
        <w:rPr>
          <w:rFonts w:hint="eastAsia" w:ascii="宋体" w:hAnsi="宋体" w:eastAsia="宋体" w:cs="宋体"/>
          <w:color w:val="auto"/>
          <w:szCs w:val="21"/>
          <w:highlight w:val="none"/>
        </w:rPr>
        <w:t>的；</w:t>
      </w:r>
    </w:p>
    <w:p w14:paraId="2BEE65E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5.投标人提交的电子标书格式不符合招标文件要求或开标后交易平台无法读取导入的；</w:t>
      </w:r>
    </w:p>
    <w:p w14:paraId="5E22E26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6.组成联合体投标时，未提交联合体共同投标协议书的；</w:t>
      </w:r>
    </w:p>
    <w:p w14:paraId="029E05C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7.参加联合体的各成员再以自己的名义单独投标的，或同时参加两个或两个以上的联合体投标的；</w:t>
      </w:r>
    </w:p>
    <w:p w14:paraId="3F1469E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r>
        <w:rPr>
          <w:rFonts w:hint="eastAsia" w:ascii="宋体" w:hAnsi="宋体" w:eastAsia="宋体" w:cs="宋体"/>
          <w:color w:val="auto"/>
          <w:szCs w:val="21"/>
          <w:highlight w:val="none"/>
        </w:rPr>
        <w:t>单位负责人为同一人或者存在控股、管理关系的不同单位</w:t>
      </w:r>
      <w:r>
        <w:rPr>
          <w:rFonts w:hint="eastAsia" w:ascii="宋体" w:hAnsi="宋体" w:eastAsia="宋体" w:cs="宋体"/>
          <w:color w:val="auto"/>
          <w:kern w:val="0"/>
          <w:szCs w:val="21"/>
          <w:highlight w:val="none"/>
        </w:rPr>
        <w:t>提交投标文件的，在资格审查阶段，当部分相关单位自愿退出后仍有两家或两家以上要求继续进入后续招投标环节的；</w:t>
      </w:r>
    </w:p>
    <w:p w14:paraId="6C9F37A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9.未按招标文件规定提交投标担保的；</w:t>
      </w:r>
    </w:p>
    <w:p w14:paraId="03420FC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10.投标人或相关人员具有下列情形之一的：</w:t>
      </w:r>
    </w:p>
    <w:p w14:paraId="7F5CE85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10.1近3年内（从招标公告发布之日起倒算）投标人或者其法定代表人有行贿犯罪记录的；</w:t>
      </w:r>
    </w:p>
    <w:p w14:paraId="6883590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10.2近1年内（从截标之日起倒算）因串通投标、转包、以他人名义投标或者违法分包等违法行为受到建设、交通或者财政部门行政处罚的；</w:t>
      </w:r>
    </w:p>
    <w:p w14:paraId="35D31E1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10.3因违反工程质量、安全生产管理规定等原因被建设部门给予红色警示且在警示期内的；</w:t>
      </w:r>
    </w:p>
    <w:p w14:paraId="513BEC6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10.4拖欠工人工资被有关部门责令改正而未改正的；</w:t>
      </w:r>
    </w:p>
    <w:p w14:paraId="3468D8B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10.5依法应当拒绝投标的其他情形；</w:t>
      </w:r>
    </w:p>
    <w:p w14:paraId="5E589D8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lang w:bidi="ar"/>
        </w:rPr>
        <w:t>□</w:t>
      </w:r>
      <w:r>
        <w:rPr>
          <w:rFonts w:hint="eastAsia" w:ascii="宋体" w:hAnsi="宋体" w:eastAsia="宋体" w:cs="宋体"/>
          <w:color w:val="auto"/>
          <w:kern w:val="0"/>
          <w:szCs w:val="21"/>
          <w:highlight w:val="none"/>
        </w:rPr>
        <w:t>本次招标下述10.6至10.9条款生效：</w:t>
      </w:r>
    </w:p>
    <w:p w14:paraId="2049D78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10.6被建设或者交通部门信用评价为红色且正处在信用评价结果公示期内的；</w:t>
      </w:r>
    </w:p>
    <w:p w14:paraId="7E37BE9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10.7近3年内（从截标之日起倒算）曾被本项目招标人履约评价为不合格的；</w:t>
      </w:r>
    </w:p>
    <w:p w14:paraId="32C0F42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10.8近2年内（从截标之日起倒算）曾有放弃中标资格、拒不签订合同、拒不提供履约担保情形的；</w:t>
      </w:r>
    </w:p>
    <w:p w14:paraId="26EE21C2">
      <w:pPr>
        <w:adjustRightInd w:val="0"/>
        <w:snapToGrid w:val="0"/>
        <w:spacing w:line="360" w:lineRule="auto"/>
        <w:ind w:firstLine="420" w:firstLineChars="200"/>
        <w:rPr>
          <w:rFonts w:ascii="宋体" w:hAnsi="宋体" w:eastAsia="宋体" w:cs="宋体"/>
          <w:snapToGrid w:val="0"/>
          <w:color w:val="auto"/>
          <w:kern w:val="0"/>
          <w:szCs w:val="21"/>
          <w:highlight w:val="none"/>
        </w:rPr>
      </w:pPr>
      <w:r>
        <w:rPr>
          <w:rFonts w:hint="eastAsia" w:ascii="宋体" w:hAnsi="宋体" w:eastAsia="宋体" w:cs="宋体"/>
          <w:color w:val="auto"/>
          <w:kern w:val="0"/>
          <w:szCs w:val="21"/>
          <w:highlight w:val="none"/>
        </w:rPr>
        <w:t>10.9因违反工程质量、安全生产管理规定，或者因串通投标、转包、以他人名义投标或者违法分包等违法行为，正在接受建设、交通或者财政部门立案调查的。</w:t>
      </w:r>
    </w:p>
    <w:p w14:paraId="59EAC81D">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11、未按招标文件规定提交《投标函》的；</w:t>
      </w:r>
    </w:p>
    <w:p w14:paraId="02E6849F">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12、投标人名称或组织结构与投标报名或者资格预审时不一致且未提供有效证明的。</w:t>
      </w:r>
    </w:p>
    <w:p w14:paraId="3F3522FA">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（二）初步评审中有关无效标的情形（由评标委员会负责判定）</w:t>
      </w:r>
    </w:p>
    <w:p w14:paraId="371DFFB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投标人的投标报价是可变动价格的，或包含了价格调整要求的，或投标报价中提供两个（含两个）以上的报价且未声明哪个有效的（招标文件规定提交备选投标方案的除外）</w:t>
      </w:r>
      <w:r>
        <w:rPr>
          <w:rFonts w:hint="eastAsia" w:ascii="宋体" w:hAnsi="宋体" w:eastAsia="宋体" w:cs="宋体"/>
          <w:color w:val="auto"/>
          <w:kern w:val="0"/>
          <w:szCs w:val="21"/>
          <w:highlight w:val="none"/>
        </w:rPr>
        <w:t>；</w:t>
      </w:r>
    </w:p>
    <w:p w14:paraId="091BB93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rPr>
        <w:t>投标人资格条件不符合国家有关规定和招标文件要求的</w:t>
      </w:r>
      <w:r>
        <w:rPr>
          <w:rFonts w:hint="eastAsia" w:ascii="宋体" w:hAnsi="宋体" w:eastAsia="宋体" w:cs="宋体"/>
          <w:color w:val="auto"/>
          <w:kern w:val="0"/>
          <w:szCs w:val="21"/>
          <w:highlight w:val="none"/>
        </w:rPr>
        <w:t>；</w:t>
      </w:r>
    </w:p>
    <w:p w14:paraId="5BB9908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3.投标人以他人的名义投标或出现下列串通投标、弄虚作假投标嫌疑情形之一的：</w:t>
      </w:r>
    </w:p>
    <w:p w14:paraId="07DE63A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3.1不同投标人的投标文件内容存在非正常一致的；</w:t>
      </w:r>
    </w:p>
    <w:p w14:paraId="1240226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3.2不同投标人的投标文件错漏之处一致的；</w:t>
      </w:r>
    </w:p>
    <w:p w14:paraId="78B1E49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3.3不同投标人的投标报价或者报价组成异常一致或者呈规律性变化的；</w:t>
      </w:r>
    </w:p>
    <w:p w14:paraId="2D1764C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3.4不同投标人的投标文件由同一单位或者同一个人编制的；</w:t>
      </w:r>
    </w:p>
    <w:p w14:paraId="08826D9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3.5不同投标人的投标文件载明的项目负责人与主要技术人员出现同一人的；</w:t>
      </w:r>
    </w:p>
    <w:p w14:paraId="52DF3CB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3.6不同投标人的投标文件相互混装的；</w:t>
      </w:r>
    </w:p>
    <w:p w14:paraId="2EC2084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3.7不同投标人的投标文件由同一台电脑编制的；</w:t>
      </w:r>
    </w:p>
    <w:p w14:paraId="4A7344F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3.8不同投标人聘请同一人为其投标提供技术或者经济咨询服务的，但招标工程本身要求采用专有技术的除外；</w:t>
      </w:r>
    </w:p>
    <w:p w14:paraId="1315F39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3.9投标人在投标文件商务标书上电子签名的造价工程师与其他投标人在投标文件商务标书上电子签名的造价工程师为同一人的；</w:t>
      </w:r>
    </w:p>
    <w:p w14:paraId="7777F9B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3.10评标委员会认定的其他串通投标情形。</w:t>
      </w:r>
    </w:p>
    <w:p w14:paraId="1510EE14">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4.《投标函》未按招标文件规定填写、漏填或内容填写错误的；</w:t>
      </w:r>
    </w:p>
    <w:p w14:paraId="3C82661D">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（三）详细评审中有关废标的情形（由评标委员会负责判定）</w:t>
      </w:r>
    </w:p>
    <w:p w14:paraId="6A5531B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1.投标文件不满足招标文件规定的任何一项实质性要求的</w:t>
      </w:r>
    </w:p>
    <w:p w14:paraId="27DFBF70">
      <w:pPr>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2.投标文件存在的重大偏差情形的，评标委员会应根据相应的投标文件否决性条款作废标处理。</w:t>
      </w:r>
    </w:p>
    <w:p w14:paraId="44FA654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3.投标文件对招标文件规定的非实质性要求的偏离，超出允许偏离的最大范围或最高项数的；</w:t>
      </w:r>
    </w:p>
    <w:p w14:paraId="68C647CE">
      <w:pPr>
        <w:spacing w:line="360" w:lineRule="auto"/>
        <w:ind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4.投标人以他人的名义投标或出现串通投标、弄虚作假投标情形的：</w:t>
      </w:r>
    </w:p>
    <w:p w14:paraId="24B422D0">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5.评标委员会根据招标文件的规定对投标文件的投标价格进行调整，投标人不接受调整方式的，或不接受调整后的价格的，或调整后价格超出</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lang w:val="en-US" w:eastAsia="zh-CN"/>
        </w:rPr>
        <w:t>或者不符合投标须知前附表第11项投标报价有关要求</w:t>
      </w:r>
      <w:r>
        <w:rPr>
          <w:rFonts w:hint="eastAsia" w:ascii="宋体" w:hAnsi="宋体" w:eastAsia="宋体" w:cs="宋体"/>
          <w:snapToGrid w:val="0"/>
          <w:color w:val="auto"/>
          <w:kern w:val="0"/>
          <w:szCs w:val="21"/>
          <w:highlight w:val="none"/>
        </w:rPr>
        <w:t>的；</w:t>
      </w:r>
    </w:p>
    <w:p w14:paraId="7350EC3B">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6.投标人拒不按照评标委员会要求对投标文件进行澄清、说明、补正的；</w:t>
      </w:r>
    </w:p>
    <w:p w14:paraId="5394882F">
      <w:pPr>
        <w:spacing w:line="360" w:lineRule="auto"/>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7.评标委员会认定的其他串通投标、弄虚作假情形。</w:t>
      </w:r>
    </w:p>
    <w:p w14:paraId="65827A30">
      <w:pPr>
        <w:adjustRightInd w:val="0"/>
        <w:snapToGrid w:val="0"/>
        <w:spacing w:line="360" w:lineRule="auto"/>
        <w:ind w:firstLine="420" w:firstLineChars="200"/>
        <w:jc w:val="left"/>
        <w:rPr>
          <w:rFonts w:hint="eastAsia" w:ascii="宋体" w:hAnsi="宋体" w:eastAsia="宋体" w:cs="宋体"/>
          <w:strike w:val="0"/>
          <w:snapToGrid w:val="0"/>
          <w:color w:val="auto"/>
          <w:kern w:val="0"/>
          <w:szCs w:val="21"/>
          <w:highlight w:val="none"/>
          <w:u w:val="single"/>
        </w:rPr>
      </w:pPr>
      <w:r>
        <w:rPr>
          <w:rFonts w:hint="eastAsia" w:ascii="宋体" w:hAnsi="宋体" w:eastAsia="宋体" w:cs="宋体"/>
          <w:strike w:val="0"/>
          <w:color w:val="auto"/>
          <w:szCs w:val="21"/>
          <w:highlight w:val="none"/>
          <w:u w:val="single"/>
          <w:lang w:val="en-US" w:eastAsia="zh-CN"/>
        </w:rPr>
        <w:t>8</w:t>
      </w:r>
      <w:r>
        <w:rPr>
          <w:rFonts w:hint="eastAsia" w:ascii="宋体" w:hAnsi="宋体" w:eastAsia="宋体" w:cs="宋体"/>
          <w:strike w:val="0"/>
          <w:color w:val="auto"/>
          <w:szCs w:val="21"/>
          <w:highlight w:val="none"/>
          <w:u w:val="single"/>
        </w:rPr>
        <w:t>、</w:t>
      </w:r>
      <w:r>
        <w:rPr>
          <w:rFonts w:hint="eastAsia" w:ascii="宋体" w:hAnsi="宋体" w:eastAsia="宋体" w:cs="宋体"/>
          <w:strike w:val="0"/>
          <w:color w:val="auto"/>
          <w:szCs w:val="21"/>
          <w:highlight w:val="none"/>
          <w:u w:val="single"/>
          <w:lang w:val="en-US" w:eastAsia="zh-CN"/>
        </w:rPr>
        <w:t>投标人的</w:t>
      </w:r>
      <w:r>
        <w:rPr>
          <w:rFonts w:hint="eastAsia" w:ascii="宋体" w:hAnsi="宋体" w:eastAsia="宋体" w:cs="宋体"/>
          <w:strike w:val="0"/>
          <w:color w:val="auto"/>
          <w:szCs w:val="21"/>
          <w:highlight w:val="none"/>
          <w:u w:val="single"/>
        </w:rPr>
        <w:t>投标报价低于成本</w:t>
      </w:r>
      <w:r>
        <w:rPr>
          <w:rFonts w:hint="eastAsia" w:ascii="宋体" w:hAnsi="宋体" w:eastAsia="宋体" w:cs="宋体"/>
          <w:strike w:val="0"/>
          <w:color w:val="auto"/>
          <w:szCs w:val="21"/>
          <w:highlight w:val="none"/>
          <w:u w:val="single"/>
          <w:lang w:val="en-US" w:eastAsia="zh-CN"/>
        </w:rPr>
        <w:t>的；</w:t>
      </w:r>
    </w:p>
    <w:p w14:paraId="03CEEC35">
      <w:pPr>
        <w:spacing w:line="360" w:lineRule="auto"/>
        <w:ind w:firstLine="420"/>
        <w:jc w:val="left"/>
        <w:rPr>
          <w:rFonts w:hint="eastAsia" w:ascii="宋体" w:hAnsi="宋体" w:eastAsia="宋体" w:cs="宋体"/>
          <w:b/>
          <w:snapToGrid w:val="0"/>
          <w:color w:val="auto"/>
          <w:kern w:val="0"/>
          <w:szCs w:val="21"/>
          <w:highlight w:val="none"/>
        </w:rPr>
      </w:pPr>
      <w:r>
        <w:rPr>
          <w:rFonts w:hint="eastAsia" w:ascii="宋体" w:hAnsi="宋体" w:eastAsia="宋体" w:cs="宋体"/>
          <w:strike w:val="0"/>
          <w:color w:val="auto"/>
          <w:szCs w:val="21"/>
          <w:highlight w:val="none"/>
          <w:u w:val="single"/>
          <w:lang w:val="en-US" w:eastAsia="zh-CN"/>
        </w:rPr>
        <w:t>9.</w:t>
      </w:r>
      <w:r>
        <w:rPr>
          <w:rFonts w:hint="eastAsia" w:ascii="宋体" w:hAnsi="宋体" w:eastAsia="宋体" w:cs="宋体"/>
          <w:strike w:val="0"/>
          <w:color w:val="auto"/>
          <w:szCs w:val="21"/>
          <w:highlight w:val="none"/>
          <w:u w:val="single"/>
        </w:rPr>
        <w:t>经评标委员会评审为不合格的</w:t>
      </w:r>
      <w:r>
        <w:rPr>
          <w:rFonts w:hint="eastAsia" w:ascii="宋体" w:hAnsi="宋体" w:eastAsia="宋体" w:cs="宋体"/>
          <w:strike w:val="0"/>
          <w:color w:val="auto"/>
          <w:szCs w:val="21"/>
          <w:highlight w:val="none"/>
          <w:u w:val="single"/>
          <w:lang w:val="en-US" w:eastAsia="zh-CN"/>
        </w:rPr>
        <w:t>其他情形。</w:t>
      </w:r>
    </w:p>
    <w:p w14:paraId="2AA76888">
      <w:pPr>
        <w:spacing w:line="360" w:lineRule="auto"/>
        <w:ind w:firstLine="42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（招标人对上述内容有修改或补充的，以下述条款为准）</w:t>
      </w:r>
    </w:p>
    <w:p w14:paraId="0FA6A738">
      <w:pPr>
        <w:spacing w:line="360" w:lineRule="auto"/>
        <w:ind w:firstLine="42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（四）</w:t>
      </w:r>
      <w:r>
        <w:rPr>
          <w:rFonts w:hint="eastAsia" w:ascii="宋体" w:hAnsi="宋体" w:eastAsia="宋体" w:cs="宋体"/>
          <w:b/>
          <w:color w:val="auto"/>
          <w:kern w:val="0"/>
          <w:szCs w:val="21"/>
          <w:highlight w:val="none"/>
        </w:rPr>
        <w:t>招标人补充的投标文件不予受理的情形</w:t>
      </w:r>
      <w:r>
        <w:rPr>
          <w:rFonts w:hint="eastAsia" w:ascii="宋体" w:hAnsi="宋体" w:eastAsia="宋体" w:cs="宋体"/>
          <w:b/>
          <w:snapToGrid w:val="0"/>
          <w:color w:val="auto"/>
          <w:kern w:val="0"/>
          <w:szCs w:val="21"/>
          <w:highlight w:val="none"/>
        </w:rPr>
        <w:t>：</w:t>
      </w:r>
    </w:p>
    <w:p w14:paraId="35D530F4">
      <w:pPr>
        <w:spacing w:line="360" w:lineRule="auto"/>
        <w:ind w:firstLine="420" w:firstLineChars="200"/>
        <w:jc w:val="left"/>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lang w:bidi="ar"/>
        </w:rPr>
        <w:t xml:space="preserve">      </w:t>
      </w:r>
    </w:p>
    <w:p w14:paraId="3415924F">
      <w:pPr>
        <w:spacing w:line="360" w:lineRule="auto"/>
        <w:ind w:firstLine="420" w:firstLineChars="200"/>
        <w:jc w:val="left"/>
        <w:rPr>
          <w:rFonts w:ascii="宋体" w:hAnsi="宋体" w:eastAsia="宋体" w:cs="宋体"/>
          <w:snapToGrid w:val="0"/>
          <w:color w:val="auto"/>
          <w:kern w:val="0"/>
          <w:szCs w:val="21"/>
          <w:highlight w:val="none"/>
        </w:rPr>
      </w:pPr>
    </w:p>
    <w:p w14:paraId="13C3CD09">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（五）</w:t>
      </w:r>
      <w:r>
        <w:rPr>
          <w:rFonts w:hint="eastAsia" w:ascii="宋体" w:hAnsi="宋体" w:eastAsia="宋体" w:cs="宋体"/>
          <w:b/>
          <w:color w:val="auto"/>
          <w:kern w:val="0"/>
          <w:szCs w:val="21"/>
          <w:highlight w:val="none"/>
        </w:rPr>
        <w:t>招标人补充的无效标情形</w:t>
      </w:r>
      <w:r>
        <w:rPr>
          <w:rFonts w:hint="eastAsia" w:ascii="宋体" w:hAnsi="宋体" w:eastAsia="宋体" w:cs="宋体"/>
          <w:b/>
          <w:snapToGrid w:val="0"/>
          <w:color w:val="auto"/>
          <w:kern w:val="0"/>
          <w:szCs w:val="21"/>
          <w:highlight w:val="none"/>
        </w:rPr>
        <w:t>：</w:t>
      </w:r>
    </w:p>
    <w:p w14:paraId="2910F268">
      <w:pPr>
        <w:spacing w:line="360" w:lineRule="auto"/>
        <w:ind w:firstLine="420" w:firstLineChars="200"/>
        <w:jc w:val="left"/>
        <w:rPr>
          <w:rFonts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u w:val="single"/>
          <w:lang w:bidi="ar"/>
        </w:rPr>
        <w:t xml:space="preserve">      </w:t>
      </w:r>
    </w:p>
    <w:p w14:paraId="4EAB0C17">
      <w:pPr>
        <w:spacing w:line="360" w:lineRule="auto"/>
        <w:ind w:firstLine="420" w:firstLineChars="200"/>
        <w:jc w:val="left"/>
        <w:rPr>
          <w:rFonts w:ascii="宋体" w:hAnsi="宋体" w:eastAsia="宋体" w:cs="宋体"/>
          <w:snapToGrid w:val="0"/>
          <w:color w:val="auto"/>
          <w:kern w:val="0"/>
          <w:szCs w:val="21"/>
          <w:highlight w:val="none"/>
        </w:rPr>
      </w:pPr>
    </w:p>
    <w:p w14:paraId="14909126">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（六）</w:t>
      </w:r>
      <w:r>
        <w:rPr>
          <w:rFonts w:hint="eastAsia" w:ascii="宋体" w:hAnsi="宋体" w:eastAsia="宋体" w:cs="宋体"/>
          <w:b/>
          <w:color w:val="auto"/>
          <w:kern w:val="0"/>
          <w:szCs w:val="21"/>
          <w:highlight w:val="none"/>
        </w:rPr>
        <w:t>招标人补充的废标情形</w:t>
      </w:r>
      <w:r>
        <w:rPr>
          <w:rFonts w:hint="eastAsia" w:ascii="宋体" w:hAnsi="宋体" w:eastAsia="宋体" w:cs="宋体"/>
          <w:b/>
          <w:snapToGrid w:val="0"/>
          <w:color w:val="auto"/>
          <w:kern w:val="0"/>
          <w:szCs w:val="21"/>
          <w:highlight w:val="none"/>
        </w:rPr>
        <w:t>：</w:t>
      </w:r>
    </w:p>
    <w:p w14:paraId="669BEEA2">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szCs w:val="21"/>
          <w:highlight w:val="none"/>
          <w:u w:val="single"/>
          <w:lang w:bidi="ar"/>
        </w:rPr>
        <w:t xml:space="preserve">      </w:t>
      </w:r>
    </w:p>
    <w:p w14:paraId="3C7AA3A4">
      <w:pPr>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br w:type="page"/>
      </w:r>
    </w:p>
    <w:p w14:paraId="14C01E3A">
      <w:pPr>
        <w:spacing w:line="360" w:lineRule="auto"/>
        <w:jc w:val="center"/>
        <w:outlineLvl w:val="1"/>
        <w:rPr>
          <w:rFonts w:ascii="黑体" w:hAnsi="黑体" w:eastAsia="黑体" w:cs="黑体"/>
          <w:bCs/>
          <w:color w:val="auto"/>
          <w:sz w:val="30"/>
          <w:szCs w:val="30"/>
          <w:highlight w:val="none"/>
        </w:rPr>
      </w:pPr>
      <w:bookmarkStart w:id="23" w:name="_Toc8259"/>
      <w:bookmarkStart w:id="24" w:name="_Toc9304"/>
      <w:r>
        <w:rPr>
          <w:rFonts w:hint="eastAsia" w:ascii="黑体" w:hAnsi="黑体" w:eastAsia="黑体" w:cs="黑体"/>
          <w:bCs/>
          <w:color w:val="auto"/>
          <w:sz w:val="30"/>
          <w:szCs w:val="30"/>
          <w:highlight w:val="none"/>
        </w:rPr>
        <w:t>三、招投标须知正文</w:t>
      </w:r>
      <w:bookmarkEnd w:id="23"/>
      <w:bookmarkEnd w:id="24"/>
    </w:p>
    <w:p w14:paraId="263690C5">
      <w:pPr>
        <w:spacing w:line="360" w:lineRule="auto"/>
        <w:ind w:left="3360" w:firstLine="420"/>
        <w:outlineLvl w:val="2"/>
        <w:rPr>
          <w:rFonts w:ascii="黑体" w:hAnsi="黑体" w:eastAsia="黑体" w:cs="黑体"/>
          <w:bCs/>
          <w:color w:val="auto"/>
          <w:sz w:val="30"/>
          <w:szCs w:val="30"/>
          <w:highlight w:val="none"/>
        </w:rPr>
      </w:pPr>
      <w:bookmarkStart w:id="25" w:name="_Toc519"/>
      <w:bookmarkStart w:id="26" w:name="_Toc23177"/>
      <w:r>
        <w:rPr>
          <w:rFonts w:hint="eastAsia" w:ascii="黑体" w:hAnsi="黑体" w:eastAsia="黑体" w:cs="黑体"/>
          <w:bCs/>
          <w:color w:val="auto"/>
          <w:sz w:val="30"/>
          <w:szCs w:val="30"/>
          <w:highlight w:val="none"/>
        </w:rPr>
        <w:t>（一）招标</w:t>
      </w:r>
      <w:bookmarkEnd w:id="25"/>
      <w:bookmarkEnd w:id="26"/>
    </w:p>
    <w:p w14:paraId="1583D94D">
      <w:pPr>
        <w:spacing w:line="360" w:lineRule="auto"/>
        <w:ind w:firstLine="42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1．项目概况</w:t>
      </w:r>
    </w:p>
    <w:p w14:paraId="7A9BE74C">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根据《中华人民共和国招标投标法》等有关法律、法规、规章和规范性文件的规定，本招标项目已具备招标条件，现进行招标。</w:t>
      </w:r>
    </w:p>
    <w:p w14:paraId="36EA575D">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1.1标段名称：见“投标须知前附表”。</w:t>
      </w:r>
    </w:p>
    <w:p w14:paraId="7FB5FBE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1.2工程地点：见“投标须知前附表”。</w:t>
      </w:r>
    </w:p>
    <w:p w14:paraId="0569D4F0">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1.3招标范围：见“投标须知前附表”。</w:t>
      </w:r>
    </w:p>
    <w:p w14:paraId="3E91A9B2">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1.4供货期要求：见“投标须知前附表”。</w:t>
      </w:r>
    </w:p>
    <w:p w14:paraId="54F5CE4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1.5投标人资格要求：见“投标须知前附表”。</w:t>
      </w:r>
    </w:p>
    <w:p w14:paraId="5662CBAC">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2．资金来源和落实情况</w:t>
      </w:r>
    </w:p>
    <w:p w14:paraId="13B9D626">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2.1资金来源包括政府、国企、私企、集体、外资和其他资金。</w:t>
      </w:r>
    </w:p>
    <w:p w14:paraId="4297757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2.2本招标项目已取得项目审批部门的批准，资金已落实，且能保证其顺利实施。</w:t>
      </w:r>
    </w:p>
    <w:p w14:paraId="2F993CE2">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3．踏勘现场</w:t>
      </w:r>
    </w:p>
    <w:p w14:paraId="32A669B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3.1招标人不集中组织投标现场踏勘，投标人需要了解现场情况的，可自行进行现场踏勘。踏勘现场所发生的费用由投标人自己承担。</w:t>
      </w:r>
    </w:p>
    <w:p w14:paraId="684EDA5E">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w:t>
      </w:r>
      <w:r>
        <w:rPr>
          <w:rFonts w:hint="eastAsia" w:ascii="宋体" w:hAnsi="宋体" w:eastAsia="宋体" w:cs="宋体"/>
          <w:color w:val="auto"/>
          <w:szCs w:val="21"/>
          <w:highlight w:val="none"/>
          <w:lang w:eastAsia="zh-CN"/>
        </w:rPr>
        <w:t>最高投标限价</w:t>
      </w:r>
      <w:r>
        <w:rPr>
          <w:rFonts w:hint="eastAsia" w:ascii="宋体" w:hAnsi="宋体" w:eastAsia="宋体" w:cs="宋体"/>
          <w:b/>
          <w:color w:val="auto"/>
          <w:szCs w:val="21"/>
          <w:highlight w:val="none"/>
        </w:rPr>
        <w:t>的公示</w:t>
      </w:r>
    </w:p>
    <w:p w14:paraId="5631C07A">
      <w:pPr>
        <w:spacing w:line="360" w:lineRule="auto"/>
        <w:ind w:firstLine="420" w:firstLineChars="200"/>
        <w:jc w:val="left"/>
        <w:rPr>
          <w:rFonts w:ascii="宋体" w:hAnsi="宋体" w:eastAsia="宋体" w:cs="宋体"/>
          <w:strike/>
          <w:color w:val="auto"/>
          <w:szCs w:val="21"/>
          <w:highlight w:val="none"/>
        </w:rPr>
      </w:pPr>
      <w:r>
        <w:rPr>
          <w:rFonts w:hint="eastAsia" w:ascii="宋体" w:hAnsi="宋体" w:eastAsia="宋体" w:cs="宋体"/>
          <w:color w:val="auto"/>
          <w:szCs w:val="21"/>
          <w:highlight w:val="none"/>
        </w:rPr>
        <w:t>4.1招标人将在投标截止时间前5日，公示</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。公示的时间、地点见“投标须知前附表”。</w:t>
      </w:r>
    </w:p>
    <w:p w14:paraId="2293F692">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5．招标文件的补充、修改或澄清</w:t>
      </w:r>
    </w:p>
    <w:p w14:paraId="3C3ADE5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5.1投标人对招标文件提出疑问，应在质疑期限前（截止时间见交易网）以不署名的形式在交易网提出。逾期不予受理。</w:t>
      </w:r>
    </w:p>
    <w:p w14:paraId="7FEACE8D">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5.2招标人对招标文件进行补充、修改或澄清，应在答疑期限（截止时间见交易网）前，报主管部门备案后，通过交易网向所有投标人公示。投标人应随时查看交易网中有关该项目招标文件的信息。否则，由此导致的不利后果由投标人自负。</w:t>
      </w:r>
    </w:p>
    <w:p w14:paraId="37C5A48F">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5.2.1招标文件的补充、修改和澄清文件，都是招标文件的组成部分。当招标文件与招标文件的补充、修改或澄清文件内容不一致时，以发出日期最近开标日期的文件为准。</w:t>
      </w:r>
    </w:p>
    <w:p w14:paraId="1F0AE00E">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5.2.2招标人为使投标人有充分时间对招标文件的修改、补充或澄清文件进行研究，可酌情延长投标截止时间。确定新的投标截止时间应在</w:t>
      </w:r>
      <w:r>
        <w:rPr>
          <w:rFonts w:hint="eastAsia" w:ascii="宋体" w:hAnsi="宋体" w:eastAsia="宋体" w:cs="宋体"/>
          <w:snapToGrid w:val="0"/>
          <w:color w:val="auto"/>
          <w:kern w:val="0"/>
          <w:szCs w:val="21"/>
          <w:highlight w:val="none"/>
        </w:rPr>
        <w:t>投标截止日期前5个日历天之前，</w:t>
      </w:r>
      <w:r>
        <w:rPr>
          <w:rFonts w:hint="eastAsia" w:ascii="宋体" w:hAnsi="宋体" w:eastAsia="宋体" w:cs="宋体"/>
          <w:color w:val="auto"/>
          <w:szCs w:val="21"/>
          <w:highlight w:val="none"/>
        </w:rPr>
        <w:t>以补充文件的形式告知所有的投标人。该补充文件的内容只限于对投标截止时间的修改。</w:t>
      </w:r>
    </w:p>
    <w:p w14:paraId="79399DEF">
      <w:pPr>
        <w:spacing w:line="360" w:lineRule="auto"/>
        <w:jc w:val="center"/>
        <w:outlineLvl w:val="2"/>
        <w:rPr>
          <w:rFonts w:ascii="黑体" w:hAnsi="宋体" w:eastAsia="黑体"/>
          <w:bCs/>
          <w:snapToGrid w:val="0"/>
          <w:color w:val="auto"/>
          <w:kern w:val="0"/>
          <w:sz w:val="30"/>
          <w:szCs w:val="30"/>
          <w:highlight w:val="none"/>
        </w:rPr>
      </w:pPr>
      <w:bookmarkStart w:id="27" w:name="_Toc25569"/>
      <w:bookmarkStart w:id="28" w:name="_Toc17918"/>
      <w:r>
        <w:rPr>
          <w:rFonts w:hint="eastAsia" w:ascii="黑体" w:hAnsi="宋体" w:eastAsia="黑体"/>
          <w:bCs/>
          <w:snapToGrid w:val="0"/>
          <w:color w:val="auto"/>
          <w:kern w:val="0"/>
          <w:sz w:val="30"/>
          <w:szCs w:val="30"/>
          <w:highlight w:val="none"/>
        </w:rPr>
        <w:t>（二）投标</w:t>
      </w:r>
      <w:bookmarkEnd w:id="27"/>
    </w:p>
    <w:p w14:paraId="60E8D174">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6.对招标文件的质疑</w:t>
      </w:r>
    </w:p>
    <w:p w14:paraId="3B60B26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6.1招标人不集中组织答疑，实行网上答疑。投标人若对招标文件有疑问，需要招标人予以澄清，应按法律法规规定时限以不署名的形式在交易网提出。</w:t>
      </w:r>
    </w:p>
    <w:p w14:paraId="48962DCD">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7.投标文件要求</w:t>
      </w:r>
    </w:p>
    <w:p w14:paraId="3C48FA4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7.1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14:paraId="5059BB5A">
      <w:pPr>
        <w:spacing w:line="360" w:lineRule="auto"/>
        <w:ind w:firstLine="42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8．投标费用</w:t>
      </w:r>
    </w:p>
    <w:p w14:paraId="2E5D5A72">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8.1投标人应自行承担所有准备及参加投标相关的费用。不论投标的结果如何，招标人均无承担的义务和责任。</w:t>
      </w:r>
    </w:p>
    <w:p w14:paraId="45AA875C">
      <w:pPr>
        <w:spacing w:line="360" w:lineRule="auto"/>
        <w:ind w:firstLine="42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9．关于联合体投标</w:t>
      </w:r>
    </w:p>
    <w:p w14:paraId="01F4041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9.1由两个或两个以上法人</w:t>
      </w:r>
      <w:r>
        <w:rPr>
          <w:rFonts w:hint="eastAsia" w:ascii="宋体" w:hAnsi="宋体" w:eastAsia="宋体" w:cs="宋体"/>
          <w:color w:val="auto"/>
          <w:szCs w:val="21"/>
          <w:highlight w:val="none"/>
        </w:rPr>
        <w:t>或者其他组织</w:t>
      </w:r>
      <w:r>
        <w:rPr>
          <w:rFonts w:hint="eastAsia" w:ascii="宋体" w:hAnsi="宋体" w:eastAsia="宋体" w:cs="宋体"/>
          <w:color w:val="auto"/>
          <w:kern w:val="0"/>
          <w:szCs w:val="21"/>
          <w:highlight w:val="none"/>
        </w:rPr>
        <w:t>组成一个联合体以一个投标人的身份共同投标时，应符合招标项目资质及其他相关要求；</w:t>
      </w:r>
    </w:p>
    <w:p w14:paraId="2FFCDF6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9.2投标人的投标文件及中标后签署的合同协议书对联合体每一成员均具</w:t>
      </w:r>
      <w:r>
        <w:rPr>
          <w:rFonts w:hint="eastAsia" w:ascii="宋体" w:hAnsi="宋体" w:eastAsia="宋体" w:cs="宋体"/>
          <w:color w:val="auto"/>
          <w:kern w:val="0"/>
          <w:szCs w:val="21"/>
          <w:highlight w:val="none"/>
          <w:lang w:val="en-US" w:eastAsia="zh-CN"/>
        </w:rPr>
        <w:t>有</w:t>
      </w:r>
      <w:r>
        <w:rPr>
          <w:rFonts w:hint="eastAsia" w:ascii="宋体" w:hAnsi="宋体" w:eastAsia="宋体" w:cs="宋体"/>
          <w:color w:val="auto"/>
          <w:kern w:val="0"/>
          <w:szCs w:val="21"/>
          <w:highlight w:val="none"/>
        </w:rPr>
        <w:t>法律约束力；</w:t>
      </w:r>
    </w:p>
    <w:p w14:paraId="70445C7D">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9.3联合体的各成员应当签订共同投标协议，明确约定各方拟承担的工作和责任，并将该共同投标协议随投标文件一并递交给招标人；</w:t>
      </w:r>
    </w:p>
    <w:p w14:paraId="4F06956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9.4联合体中标后，联合体各方应当共同与招标人签订合同，为履行合同向招标人承担连带责任；</w:t>
      </w:r>
    </w:p>
    <w:p w14:paraId="59E68F2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9.5由联合体的各成员提交一份授权书，证明联合体代表资格，该授权书作为投标文件的组成部分一并提交给招标人；</w:t>
      </w:r>
    </w:p>
    <w:p w14:paraId="24C9A93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9.6联合体代表应被授权作为联合体所有成员的代表承担责任和接受指令，并负责整个合同的全面履行；</w:t>
      </w:r>
    </w:p>
    <w:p w14:paraId="118D4651">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9.7参加联合体的各成员不得再以自己的名义单独投标，也不得同时参加两个或两个以上的联合体投标。出现上述情况者，其投标和与其有关的联合体的投标均做无效标处理；</w:t>
      </w:r>
    </w:p>
    <w:p w14:paraId="7EE0E62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9.8除非另有规定或说明，本须知(本款)中“投标人”一词亦指联合体各成员。</w:t>
      </w:r>
    </w:p>
    <w:bookmarkEnd w:id="28"/>
    <w:p w14:paraId="318E8AC7">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snapToGrid w:val="0"/>
          <w:color w:val="auto"/>
          <w:kern w:val="0"/>
          <w:szCs w:val="21"/>
          <w:highlight w:val="none"/>
        </w:rPr>
        <w:t>10.</w:t>
      </w:r>
      <w:r>
        <w:rPr>
          <w:rFonts w:hint="eastAsia" w:ascii="宋体" w:hAnsi="宋体" w:eastAsia="宋体" w:cs="宋体"/>
          <w:b/>
          <w:color w:val="auto"/>
          <w:szCs w:val="21"/>
          <w:highlight w:val="none"/>
        </w:rPr>
        <w:t>投标文件的语言及计量单位</w:t>
      </w:r>
    </w:p>
    <w:p w14:paraId="23EE944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10.1投标人与招标人之间与投标有关的所有往来文件和投标文件均应使用中文。投标人随投标文件提供的证明文件和资料可以为其它语言，但必须附中文译文，并且，为了解释投标文件，应以中文为准。</w:t>
      </w:r>
    </w:p>
    <w:p w14:paraId="46A2ECC5">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10.2除工程建设标准及技术要求另有规定外，投标文件使用的度量单位，均采用中华人民共和国法定计量单位。</w:t>
      </w:r>
    </w:p>
    <w:p w14:paraId="65E333B6">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11．投标文件的构成</w:t>
      </w:r>
    </w:p>
    <w:p w14:paraId="1E547359">
      <w:pPr>
        <w:spacing w:line="360" w:lineRule="auto"/>
        <w:ind w:firstLine="420"/>
        <w:jc w:val="left"/>
        <w:rPr>
          <w:rFonts w:ascii="宋体" w:hAnsi="宋体" w:eastAsia="宋体" w:cs="宋体"/>
          <w:color w:val="auto"/>
          <w:szCs w:val="21"/>
          <w:highlight w:val="none"/>
        </w:rPr>
      </w:pPr>
      <w:r>
        <w:rPr>
          <w:rFonts w:hint="eastAsia" w:ascii="宋体" w:hAnsi="宋体" w:eastAsia="宋体" w:cs="宋体"/>
          <w:color w:val="auto"/>
          <w:szCs w:val="21"/>
          <w:highlight w:val="none"/>
        </w:rPr>
        <w:t>11.1投标文件由资格审查文件、技术标（含资信标）、商务标、业绩文件组成。</w:t>
      </w:r>
    </w:p>
    <w:p w14:paraId="0C7FAA46">
      <w:pPr>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11.2</w:t>
      </w:r>
      <w:r>
        <w:rPr>
          <w:rFonts w:hint="eastAsia" w:ascii="宋体" w:hAnsi="宋体" w:eastAsia="宋体" w:cs="宋体"/>
          <w:snapToGrid w:val="0"/>
          <w:color w:val="auto"/>
          <w:kern w:val="0"/>
          <w:szCs w:val="21"/>
          <w:highlight w:val="none"/>
        </w:rPr>
        <w:t>资格审查文件 ，</w:t>
      </w:r>
      <w:r>
        <w:rPr>
          <w:rFonts w:hint="eastAsia" w:ascii="宋体" w:hAnsi="宋体" w:eastAsia="宋体" w:cs="宋体"/>
          <w:color w:val="auto"/>
          <w:kern w:val="0"/>
          <w:szCs w:val="21"/>
          <w:highlight w:val="none"/>
        </w:rPr>
        <w:t>包含但不限于以下内容：</w:t>
      </w:r>
    </w:p>
    <w:p w14:paraId="68543E08">
      <w:pPr>
        <w:spacing w:line="360" w:lineRule="auto"/>
        <w:ind w:left="420" w:firstLine="42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(1)通过年审的营业执照副本（原件扫描件）；</w:t>
      </w:r>
    </w:p>
    <w:p w14:paraId="4506335A">
      <w:pPr>
        <w:spacing w:line="360" w:lineRule="auto"/>
        <w:ind w:firstLine="840" w:firstLineChars="4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(2)企业资质证书（原件扫描件）；</w:t>
      </w:r>
    </w:p>
    <w:p w14:paraId="54F6CFF0">
      <w:pPr>
        <w:spacing w:line="360" w:lineRule="auto"/>
        <w:ind w:left="420" w:leftChars="20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(3)联合体共同投标协议（若有，原件扫描件）；</w:t>
      </w:r>
    </w:p>
    <w:p w14:paraId="4157F240">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color w:val="auto"/>
          <w:kern w:val="0"/>
          <w:szCs w:val="21"/>
          <w:highlight w:val="none"/>
        </w:rPr>
        <w:t>招标文件要求提交的其它资料：</w:t>
      </w:r>
      <w:r>
        <w:rPr>
          <w:rFonts w:hint="eastAsia" w:ascii="宋体" w:hAnsi="宋体" w:eastAsia="宋体" w:cs="宋体"/>
          <w:color w:val="auto"/>
          <w:szCs w:val="21"/>
          <w:highlight w:val="none"/>
          <w:u w:val="single"/>
          <w:lang w:bidi="ar"/>
        </w:rPr>
        <w:t xml:space="preserve">      </w:t>
      </w:r>
    </w:p>
    <w:p w14:paraId="4F61F3B5">
      <w:pPr>
        <w:spacing w:line="360" w:lineRule="auto"/>
        <w:ind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11.3技术标书，包含但不限于以下内容：</w:t>
      </w:r>
    </w:p>
    <w:p w14:paraId="2D271238">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snapToGrid w:val="0"/>
          <w:color w:val="auto"/>
          <w:kern w:val="0"/>
          <w:szCs w:val="21"/>
          <w:highlight w:val="none"/>
        </w:rPr>
        <w:t>技术标</w:t>
      </w:r>
    </w:p>
    <w:p w14:paraId="0CE78A00">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内容包括：</w:t>
      </w:r>
      <w:r>
        <w:rPr>
          <w:rFonts w:hint="eastAsia" w:ascii="宋体" w:hAnsi="宋体" w:eastAsia="宋体" w:cs="宋体"/>
          <w:snapToGrid w:val="0"/>
          <w:color w:val="auto"/>
          <w:szCs w:val="21"/>
          <w:highlight w:val="none"/>
          <w:u w:val="single"/>
          <w:lang w:bidi="ar"/>
        </w:rPr>
        <w:t xml:space="preserve">      </w:t>
      </w:r>
    </w:p>
    <w:p w14:paraId="78412DD4">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snapToGrid w:val="0"/>
          <w:color w:val="auto"/>
          <w:kern w:val="0"/>
          <w:szCs w:val="21"/>
          <w:highlight w:val="none"/>
        </w:rPr>
        <w:t>资信标</w:t>
      </w:r>
    </w:p>
    <w:p w14:paraId="7AC11013">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1、投标函；</w:t>
      </w:r>
    </w:p>
    <w:p w14:paraId="564AA60F">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2、通过年审的营业执照副本（原件扫描件）；</w:t>
      </w:r>
    </w:p>
    <w:p w14:paraId="2323A49A">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3、企业资质证书（原件扫描件）；</w:t>
      </w:r>
    </w:p>
    <w:p w14:paraId="4EC40B1B">
      <w:pPr>
        <w:spacing w:line="360" w:lineRule="auto"/>
        <w:ind w:left="420"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color w:val="auto"/>
          <w:kern w:val="0"/>
          <w:szCs w:val="21"/>
          <w:highlight w:val="none"/>
        </w:rPr>
        <w:t>招标文件要求提交的其它资料：</w:t>
      </w:r>
      <w:r>
        <w:rPr>
          <w:rFonts w:hint="eastAsia" w:ascii="宋体" w:hAnsi="宋体" w:eastAsia="宋体" w:cs="宋体"/>
          <w:color w:val="auto"/>
          <w:szCs w:val="21"/>
          <w:highlight w:val="none"/>
          <w:u w:val="single"/>
          <w:lang w:bidi="ar"/>
        </w:rPr>
        <w:t xml:space="preserve">      </w:t>
      </w:r>
    </w:p>
    <w:p w14:paraId="7EB544DC">
      <w:pPr>
        <w:spacing w:line="360" w:lineRule="auto"/>
        <w:ind w:firstLine="44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11.4商务标书，包含但不限于以下内容：</w:t>
      </w:r>
    </w:p>
    <w:p w14:paraId="409B6A28">
      <w:pPr>
        <w:spacing w:line="360" w:lineRule="auto"/>
        <w:ind w:left="420"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1、投标报价（明细表）；</w:t>
      </w:r>
    </w:p>
    <w:p w14:paraId="29734321">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highlight w:val="none"/>
          <w:lang w:bidi="ar"/>
        </w:rPr>
        <w:t>□</w:t>
      </w:r>
      <w:r>
        <w:rPr>
          <w:rFonts w:hint="eastAsia" w:ascii="宋体" w:hAnsi="宋体" w:eastAsia="宋体" w:cs="宋体"/>
          <w:color w:val="auto"/>
          <w:kern w:val="0"/>
          <w:szCs w:val="21"/>
          <w:highlight w:val="none"/>
        </w:rPr>
        <w:t>招标文件要求提交的其它资料：</w:t>
      </w:r>
      <w:r>
        <w:rPr>
          <w:rFonts w:hint="eastAsia" w:ascii="宋体" w:hAnsi="宋体" w:eastAsia="宋体" w:cs="宋体"/>
          <w:color w:val="auto"/>
          <w:szCs w:val="21"/>
          <w:highlight w:val="none"/>
          <w:u w:val="single"/>
          <w:lang w:bidi="ar"/>
        </w:rPr>
        <w:t xml:space="preserve">      </w:t>
      </w:r>
    </w:p>
    <w:p w14:paraId="35DF5185">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11.5业绩文件，包含但不限于以下内容：</w:t>
      </w:r>
    </w:p>
    <w:p w14:paraId="596CFFE7">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(1)业绩一览表</w:t>
      </w:r>
    </w:p>
    <w:p w14:paraId="57632A3E">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(2)招标公告业绩要求证明材料</w:t>
      </w:r>
    </w:p>
    <w:p w14:paraId="5F79427C">
      <w:pPr>
        <w:spacing w:line="360" w:lineRule="auto"/>
        <w:ind w:left="420" w:firstLine="42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(3)招标文件业绩要求证明材料</w:t>
      </w:r>
    </w:p>
    <w:p w14:paraId="5F4EB22C">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12．投标文件的格式和签署</w:t>
      </w:r>
    </w:p>
    <w:p w14:paraId="1750380D">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12.1</w:t>
      </w:r>
      <w:r>
        <w:rPr>
          <w:rFonts w:hint="eastAsia" w:ascii="宋体" w:hAnsi="宋体" w:eastAsia="宋体" w:cs="宋体"/>
          <w:color w:val="auto"/>
          <w:szCs w:val="21"/>
          <w:highlight w:val="none"/>
        </w:rPr>
        <w:t>投标人提交的投标文件应按本招标文件“投标文件格式”章节的顺序编排。本招标文件提供的投标文件格式可以按同样格式扩展。</w:t>
      </w:r>
    </w:p>
    <w:p w14:paraId="3DFEAB29">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12.2</w:t>
      </w:r>
      <w:r>
        <w:rPr>
          <w:rFonts w:hint="eastAsia" w:ascii="宋体" w:hAnsi="宋体" w:eastAsia="宋体" w:cs="宋体"/>
          <w:color w:val="auto"/>
          <w:szCs w:val="21"/>
          <w:highlight w:val="none"/>
        </w:rPr>
        <w:t>投标文件须按投标文件格式要求加签有效的投标人机构数字证书或电子营业执照、法定代表人个人数字证书</w:t>
      </w:r>
      <w:r>
        <w:rPr>
          <w:rFonts w:hint="eastAsia" w:ascii="宋体" w:hAnsi="宋体" w:eastAsia="宋体" w:cs="宋体"/>
          <w:snapToGrid w:val="0"/>
          <w:color w:val="auto"/>
          <w:kern w:val="0"/>
          <w:szCs w:val="21"/>
          <w:highlight w:val="none"/>
        </w:rPr>
        <w:t>。</w:t>
      </w:r>
    </w:p>
    <w:p w14:paraId="37E80398">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13．投标报价</w:t>
      </w:r>
    </w:p>
    <w:p w14:paraId="5B600D11">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13.1投标报价是投标人的投标文件中提出的各项支付费用的金额总和。投标人的投标报价应保证在投标有效期内有效，在合同执行期内是固定不变。</w:t>
      </w:r>
    </w:p>
    <w:p w14:paraId="0798CDEB">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13.2投标人的投标报价应是合同上所列的各项内容的全部。</w:t>
      </w:r>
    </w:p>
    <w:p w14:paraId="49AE4FBF">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13.2.1投标人若是提供了可变动价格或包含价格调整要求投标，其投标将会被拒绝。</w:t>
      </w:r>
    </w:p>
    <w:p w14:paraId="1EAA46B0">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13.2.2投标人若是提供了两个（含两个）以上报价，且未明确哪个是有效报价，其投标将会被拒绝（除允许提供备选方案的）。</w:t>
      </w:r>
    </w:p>
    <w:p w14:paraId="7FFFCAF1">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13.3投标报价的</w:t>
      </w:r>
      <w:r>
        <w:rPr>
          <w:rFonts w:hint="eastAsia" w:ascii="宋体" w:hAnsi="宋体" w:eastAsia="宋体" w:cs="宋体"/>
          <w:color w:val="auto"/>
          <w:szCs w:val="21"/>
          <w:highlight w:val="none"/>
          <w:lang w:eastAsia="zh-CN"/>
        </w:rPr>
        <w:t>最高投标限价</w:t>
      </w:r>
      <w:r>
        <w:rPr>
          <w:rFonts w:hint="eastAsia" w:ascii="宋体" w:hAnsi="宋体" w:eastAsia="宋体" w:cs="宋体"/>
          <w:snapToGrid w:val="0"/>
          <w:color w:val="auto"/>
          <w:kern w:val="0"/>
          <w:szCs w:val="21"/>
          <w:highlight w:val="none"/>
        </w:rPr>
        <w:t>见“投标须知前附表”。</w:t>
      </w:r>
    </w:p>
    <w:p w14:paraId="184C521D">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13.4招标人不接受任何免费赠送的货物或服务。如有，将按缺漏项处理。</w:t>
      </w:r>
    </w:p>
    <w:p w14:paraId="407C797C">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13.5最低投标报价不得低于成本。</w:t>
      </w:r>
    </w:p>
    <w:p w14:paraId="218CFB8A">
      <w:pPr>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13.6</w:t>
      </w:r>
      <w:r>
        <w:rPr>
          <w:rFonts w:hint="eastAsia" w:ascii="宋体" w:hAnsi="宋体" w:eastAsia="宋体" w:cs="宋体"/>
          <w:color w:val="auto"/>
          <w:szCs w:val="21"/>
          <w:highlight w:val="none"/>
        </w:rPr>
        <w:t>招标人对投标人的投标报价下浮比例有具体要求的，可在“第二章  投标须知 一、投标须知前附表 第1</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项”投标报价其他要求中进行明确。</w:t>
      </w:r>
    </w:p>
    <w:p w14:paraId="1288A66E">
      <w:pPr>
        <w:spacing w:line="360" w:lineRule="auto"/>
        <w:ind w:firstLine="422" w:firstLineChars="200"/>
        <w:jc w:val="left"/>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14.投标有效期</w:t>
      </w:r>
    </w:p>
    <w:p w14:paraId="0B8574F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14</w:t>
      </w:r>
      <w:r>
        <w:rPr>
          <w:rFonts w:hint="eastAsia" w:ascii="宋体" w:hAnsi="宋体" w:eastAsia="宋体" w:cs="宋体"/>
          <w:color w:val="auto"/>
          <w:kern w:val="0"/>
          <w:szCs w:val="21"/>
          <w:highlight w:val="none"/>
        </w:rPr>
        <w:t>.1投标有效期按法律法规规定期限内，所有投标文件均保持有效。</w:t>
      </w:r>
    </w:p>
    <w:p w14:paraId="10557687">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14</w:t>
      </w:r>
      <w:r>
        <w:rPr>
          <w:rFonts w:hint="eastAsia" w:ascii="宋体" w:hAnsi="宋体" w:eastAsia="宋体" w:cs="宋体"/>
          <w:color w:val="auto"/>
          <w:kern w:val="0"/>
          <w:szCs w:val="21"/>
          <w:highlight w:val="none"/>
        </w:rPr>
        <w:t>.2特殊的情况下，在原定投标有效期满之前，招标人可以根据需要以书面形式向投标人提出延长投标有效期的要求，对此要求投标人须以书面形式予以答复，投标人可以拒绝招标人这种要求，而不被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。同意延长投标有效期的投标人不能要求也不允许修改其投标文件，但需要相应延长投标担保的有效期，在延长的投标有效期内关于投标保证金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kern w:val="0"/>
          <w:szCs w:val="21"/>
          <w:highlight w:val="none"/>
        </w:rPr>
        <w:t>的退还与没收的规定仍然适用。</w:t>
      </w:r>
    </w:p>
    <w:p w14:paraId="680D369A">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15．投标担保</w:t>
      </w:r>
    </w:p>
    <w:p w14:paraId="41F64609">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1投标人应在递交投标文件的同时提交一笔不少于法律法规规定数额的投标保证金（不得超过招标项目估算价的2%，最高不得超过50万元）、等同投标保证金的投标保函或保证保险，作为其投标的一部分。投标担保是为了避免招标人因投标人的行为而蒙受损失，招标人可根据本须知规定的条件没收投标保证金</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投标保函</w:t>
      </w:r>
      <w:r>
        <w:rPr>
          <w:rFonts w:hint="eastAsia" w:ascii="宋体" w:hAnsi="宋体" w:eastAsia="宋体" w:cs="宋体"/>
          <w:color w:val="auto"/>
          <w:szCs w:val="21"/>
          <w:highlight w:val="none"/>
          <w:lang w:val="en-US" w:eastAsia="zh-CN"/>
        </w:rPr>
        <w:t>或保证保险</w:t>
      </w:r>
      <w:r>
        <w:rPr>
          <w:rFonts w:hint="eastAsia" w:ascii="宋体" w:hAnsi="宋体" w:eastAsia="宋体" w:cs="宋体"/>
          <w:color w:val="auto"/>
          <w:szCs w:val="21"/>
          <w:highlight w:val="none"/>
        </w:rPr>
        <w:t>。</w:t>
      </w:r>
    </w:p>
    <w:p w14:paraId="7456A2ED">
      <w:pPr>
        <w:adjustRightInd w:val="0"/>
        <w:snapToGrid w:val="0"/>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.2投标人应按前附表要求提交投标担保</w:t>
      </w:r>
      <w:r>
        <w:rPr>
          <w:rFonts w:hint="eastAsia" w:ascii="宋体" w:hAnsi="宋体" w:eastAsia="宋体" w:cs="宋体"/>
          <w:color w:val="auto"/>
          <w:szCs w:val="21"/>
          <w:highlight w:val="none"/>
          <w:lang w:eastAsia="zh-CN"/>
        </w:rPr>
        <w:t>。</w:t>
      </w:r>
    </w:p>
    <w:p w14:paraId="6ACE996F">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w:t>
      </w:r>
      <w:r>
        <w:rPr>
          <w:rFonts w:hint="eastAsia" w:ascii="宋体" w:hAnsi="宋体" w:eastAsia="宋体" w:cs="宋体"/>
          <w:color w:val="auto"/>
          <w:szCs w:val="21"/>
          <w:highlight w:val="none"/>
        </w:rPr>
        <w:t>采用</w:t>
      </w:r>
      <w:r>
        <w:rPr>
          <w:rFonts w:hint="eastAsia" w:ascii="宋体" w:hAnsi="宋体" w:eastAsia="宋体" w:cs="宋体"/>
          <w:color w:val="auto"/>
          <w:szCs w:val="21"/>
          <w:highlight w:val="none"/>
          <w:lang w:val="en-US" w:eastAsia="zh-CN"/>
        </w:rPr>
        <w:t>现金/支票的，须从投标人基本账户汇出，</w:t>
      </w:r>
      <w:r>
        <w:rPr>
          <w:rFonts w:hint="eastAsia" w:ascii="宋体" w:hAnsi="宋体" w:eastAsia="宋体" w:cs="宋体"/>
          <w:color w:val="auto"/>
          <w:szCs w:val="21"/>
          <w:highlight w:val="none"/>
        </w:rPr>
        <w:t>并且应将基本账户开户许可证或基本存款账户信息表复印件编入投标文件中。</w:t>
      </w:r>
    </w:p>
    <w:p w14:paraId="2FDC69CF">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若采用纸质银行保函的，投标人应将纸质银行保函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，纸质银行保函原件在中标候选人确定后由招标人收取。若采用电子银行保函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资格审查页面查看电子银行保函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电子银行保函通过其他</w:t>
      </w:r>
      <w:r>
        <w:rPr>
          <w:rFonts w:hint="eastAsia" w:ascii="宋体" w:hAnsi="宋体" w:eastAsia="宋体" w:cs="宋体"/>
          <w:color w:val="auto"/>
          <w:kern w:val="0"/>
          <w:szCs w:val="21"/>
          <w:highlight w:val="none"/>
          <w:lang w:val="en-US" w:eastAsia="zh-CN"/>
        </w:rPr>
        <w:t>平台出具的，应参照前述纸质银行保函的要求，将相关材料编入投标文件中。</w:t>
      </w:r>
    </w:p>
    <w:p w14:paraId="4064AE9E">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若采用</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保证保险的，投标人</w:t>
      </w:r>
      <w:r>
        <w:rPr>
          <w:rFonts w:hint="eastAsia" w:ascii="宋体" w:hAnsi="宋体" w:eastAsia="宋体" w:cs="宋体"/>
          <w:color w:val="auto"/>
          <w:szCs w:val="21"/>
          <w:highlight w:val="none"/>
          <w:lang w:val="en-US" w:eastAsia="zh-CN"/>
        </w:rPr>
        <w:t>应将</w:t>
      </w:r>
      <w:r>
        <w:rPr>
          <w:rFonts w:hint="eastAsia" w:ascii="宋体" w:hAnsi="宋体" w:eastAsia="宋体" w:cs="宋体"/>
          <w:color w:val="auto"/>
          <w:szCs w:val="21"/>
          <w:highlight w:val="none"/>
        </w:rPr>
        <w:t>投标保证保险合同或保险单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基本账户开户许可证或基本存款账户信息表复印件及保费转账凭证以扫描件形式编入投标文件中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原件在中标候选人确定后由招标人收取。保费必须通过投标人基本账户支付，账户名称应与投标单位名称一致，不得以分支机构等其他名义提交。采用电子保证保险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资格审查页面查看电子保证保险</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电子保证保险通过其他</w:t>
      </w:r>
      <w:r>
        <w:rPr>
          <w:rFonts w:hint="eastAsia" w:ascii="宋体" w:hAnsi="宋体" w:eastAsia="宋体" w:cs="宋体"/>
          <w:color w:val="auto"/>
          <w:kern w:val="0"/>
          <w:szCs w:val="21"/>
          <w:highlight w:val="none"/>
          <w:lang w:val="en-US" w:eastAsia="zh-CN"/>
        </w:rPr>
        <w:t>平台出具的</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lang w:val="en-US" w:eastAsia="zh-CN"/>
        </w:rPr>
        <w:t>应参照前述纸质保证保险的要求，将相关材料编入投标文件中。</w:t>
      </w:r>
    </w:p>
    <w:p w14:paraId="45A8E76E">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若采用纸质担保公司保函的，</w:t>
      </w:r>
      <w:r>
        <w:rPr>
          <w:rFonts w:hint="eastAsia" w:ascii="宋体" w:hAnsi="宋体" w:eastAsia="宋体" w:cs="宋体"/>
          <w:color w:val="auto"/>
          <w:szCs w:val="21"/>
          <w:highlight w:val="none"/>
        </w:rPr>
        <w:t>投标人应将</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基本账户开户许可证或基本存款账户信息表复印件及保费转账凭证</w:t>
      </w:r>
      <w:r>
        <w:rPr>
          <w:rFonts w:hint="eastAsia" w:ascii="宋体" w:hAnsi="宋体" w:eastAsia="宋体" w:cs="宋体"/>
          <w:color w:val="auto"/>
          <w:szCs w:val="21"/>
          <w:highlight w:val="none"/>
          <w:lang w:val="en-US" w:eastAsia="zh-CN"/>
        </w:rPr>
        <w:t>等文件</w:t>
      </w:r>
      <w:r>
        <w:rPr>
          <w:rFonts w:hint="eastAsia" w:ascii="宋体" w:hAnsi="宋体" w:eastAsia="宋体" w:cs="宋体"/>
          <w:color w:val="auto"/>
          <w:szCs w:val="21"/>
          <w:highlight w:val="none"/>
        </w:rPr>
        <w:t>以扫描件形式</w:t>
      </w:r>
      <w:r>
        <w:rPr>
          <w:rFonts w:hint="eastAsia" w:ascii="宋体" w:hAnsi="宋体" w:eastAsia="宋体" w:cs="宋体"/>
          <w:color w:val="auto"/>
          <w:szCs w:val="21"/>
          <w:highlight w:val="none"/>
          <w:lang w:val="en-US" w:eastAsia="zh-CN"/>
        </w:rPr>
        <w:t>编入投标文件中</w:t>
      </w:r>
      <w:r>
        <w:rPr>
          <w:rFonts w:hint="eastAsia" w:ascii="宋体" w:hAnsi="宋体" w:eastAsia="宋体" w:cs="宋体"/>
          <w:color w:val="auto"/>
          <w:szCs w:val="21"/>
          <w:highlight w:val="none"/>
        </w:rPr>
        <w:t>，纸质</w:t>
      </w:r>
      <w:r>
        <w:rPr>
          <w:rFonts w:hint="eastAsia" w:ascii="宋体" w:hAnsi="宋体" w:eastAsia="宋体" w:cs="宋体"/>
          <w:color w:val="auto"/>
          <w:szCs w:val="21"/>
          <w:highlight w:val="none"/>
          <w:lang w:val="en-US" w:eastAsia="zh-CN"/>
        </w:rPr>
        <w:t>担保公司</w:t>
      </w:r>
      <w:r>
        <w:rPr>
          <w:rFonts w:hint="eastAsia" w:ascii="宋体" w:hAnsi="宋体" w:eastAsia="宋体" w:cs="宋体"/>
          <w:color w:val="auto"/>
          <w:szCs w:val="21"/>
          <w:highlight w:val="none"/>
        </w:rPr>
        <w:t>保函原件在中标候选人确定后由招标人收取。保费必须通过投标人基本账户支付，账户名称应与投标单位名称一致，不得以分支机构等其他名义提交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采用电子</w:t>
      </w:r>
      <w:r>
        <w:rPr>
          <w:rFonts w:hint="eastAsia" w:ascii="宋体" w:hAnsi="宋体" w:eastAsia="宋体" w:cs="宋体"/>
          <w:color w:val="auto"/>
          <w:szCs w:val="21"/>
          <w:highlight w:val="none"/>
          <w:lang w:val="en-US" w:eastAsia="zh-CN"/>
        </w:rPr>
        <w:t>担保公司保函，电子担保公司保函通过</w:t>
      </w:r>
      <w:r>
        <w:rPr>
          <w:rFonts w:hint="eastAsia" w:ascii="宋体" w:hAnsi="宋体" w:eastAsia="宋体" w:cs="宋体"/>
          <w:color w:val="auto"/>
          <w:kern w:val="0"/>
          <w:szCs w:val="21"/>
          <w:highlight w:val="none"/>
          <w:lang w:val="en-US" w:eastAsia="zh-CN"/>
        </w:rPr>
        <w:t>交易平台出具的</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无需提交基本账户开户许可证或基本存款账户信息表复印件，</w:t>
      </w:r>
      <w:r>
        <w:rPr>
          <w:rFonts w:hint="eastAsia" w:ascii="宋体" w:hAnsi="宋体" w:eastAsia="宋体" w:cs="宋体"/>
          <w:color w:val="auto"/>
          <w:szCs w:val="21"/>
          <w:highlight w:val="none"/>
        </w:rPr>
        <w:t>招标人在</w:t>
      </w:r>
      <w:r>
        <w:rPr>
          <w:rFonts w:hint="eastAsia" w:ascii="宋体" w:hAnsi="宋体" w:eastAsia="宋体" w:cs="宋体"/>
          <w:color w:val="auto"/>
          <w:szCs w:val="21"/>
          <w:highlight w:val="none"/>
          <w:lang w:val="en-US" w:eastAsia="zh-CN"/>
        </w:rPr>
        <w:t>交易平台</w:t>
      </w:r>
      <w:r>
        <w:rPr>
          <w:rFonts w:hint="eastAsia" w:ascii="宋体" w:hAnsi="宋体" w:eastAsia="宋体" w:cs="宋体"/>
          <w:color w:val="auto"/>
          <w:szCs w:val="21"/>
          <w:highlight w:val="none"/>
        </w:rPr>
        <w:t>资格审查页面查看电子</w:t>
      </w:r>
      <w:r>
        <w:rPr>
          <w:rFonts w:hint="eastAsia" w:ascii="宋体" w:hAnsi="宋体" w:eastAsia="宋体" w:cs="宋体"/>
          <w:color w:val="auto"/>
          <w:szCs w:val="21"/>
          <w:highlight w:val="none"/>
          <w:lang w:val="en-US" w:eastAsia="zh-CN"/>
        </w:rPr>
        <w:t>担保公司保函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电子担保公司保函通过其他</w:t>
      </w:r>
      <w:r>
        <w:rPr>
          <w:rFonts w:hint="eastAsia" w:ascii="宋体" w:hAnsi="宋体" w:eastAsia="宋体" w:cs="宋体"/>
          <w:color w:val="auto"/>
          <w:kern w:val="0"/>
          <w:szCs w:val="21"/>
          <w:highlight w:val="none"/>
          <w:lang w:val="en-US" w:eastAsia="zh-CN"/>
        </w:rPr>
        <w:t>平台出具的，应参照前述纸质担保公司保函的要求，将相关材料编入投标文件中。</w:t>
      </w:r>
    </w:p>
    <w:p w14:paraId="5D2669A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.3投标保函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的格式见第</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章--投标文件格式。如果投标人不采用参考格式的投标保函，拟采用的投标保函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应符合参考格式中对实质性内容的要求，并且须经过招标人确认同意。投标保函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保证保险</w:t>
      </w:r>
      <w:r>
        <w:rPr>
          <w:rFonts w:hint="eastAsia" w:ascii="宋体" w:hAnsi="宋体" w:eastAsia="宋体" w:cs="宋体"/>
          <w:color w:val="auto"/>
          <w:szCs w:val="21"/>
          <w:highlight w:val="none"/>
        </w:rPr>
        <w:t>应在投标有效期满后28天内继续有效。</w:t>
      </w:r>
    </w:p>
    <w:p w14:paraId="2E692EC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对于未能按要求提交投标担保的，投标文件将按有关条款不予受理。</w:t>
      </w:r>
    </w:p>
    <w:p w14:paraId="3DFBA2E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未中标的投标人的投标担保将按照招标人规定的投标有效期或经投标人同意的延长的投标有效期期满后7天内予以退还。</w:t>
      </w:r>
    </w:p>
    <w:p w14:paraId="45A82AD3">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出现下列情形之一时，招标人应当在7天内退还投标人的投标担保：</w:t>
      </w:r>
    </w:p>
    <w:p w14:paraId="77DEA1B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.1中标通知书发出，中标人签订了工程承包合同；</w:t>
      </w:r>
    </w:p>
    <w:p w14:paraId="69A2FFF8">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.2招标过程中招标活动因正当理由被招标人宣布终止；</w:t>
      </w:r>
    </w:p>
    <w:p w14:paraId="50707B52">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.3招标失败需重新组织招标；</w:t>
      </w:r>
    </w:p>
    <w:p w14:paraId="7EB122CF">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.4投标有效期满而投标人不同意作出延长。</w:t>
      </w:r>
    </w:p>
    <w:p w14:paraId="09D55441">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7 </w:t>
      </w:r>
      <w:r>
        <w:rPr>
          <w:rFonts w:hint="eastAsia" w:ascii="宋体" w:hAnsi="宋体" w:eastAsia="宋体" w:cs="宋体"/>
          <w:color w:val="auto"/>
          <w:szCs w:val="21"/>
          <w:highlight w:val="none"/>
        </w:rPr>
        <w:t>投标人有下列任何情况发生时，投标担保将被没收。给招标人造成的损失超过投标担保金额的，投标人还应当对超过部分给予赔偿。</w:t>
      </w:r>
    </w:p>
    <w:p w14:paraId="649408DB">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.1投标人有弄虚作假或串通投标等违法违规行为；</w:t>
      </w:r>
    </w:p>
    <w:p w14:paraId="064FD2C6">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.2投标人在投标有效期内撤回其投标文件；</w:t>
      </w:r>
    </w:p>
    <w:p w14:paraId="35A7843A">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.3中标人无正当理由不与招标人订立合同，在签订合同时向招标人提出附加条件，或者不按照招标文件要求提交履约保证金的；</w:t>
      </w:r>
    </w:p>
    <w:p w14:paraId="2E36820F">
      <w:pPr>
        <w:adjustRightInd w:val="0"/>
        <w:snapToGrid w:val="0"/>
        <w:spacing w:line="360" w:lineRule="auto"/>
        <w:ind w:firstLine="420" w:firstLineChars="200"/>
        <w:jc w:val="left"/>
        <w:rPr>
          <w:rFonts w:hint="eastAsia" w:ascii="宋体" w:hAnsi="宋体" w:eastAsia="宋体" w:cs="宋体"/>
          <w:strike/>
          <w:color w:val="auto"/>
          <w:szCs w:val="21"/>
          <w:highlight w:val="none"/>
        </w:rPr>
      </w:pPr>
      <w:r>
        <w:rPr>
          <w:rFonts w:hint="eastAsia" w:ascii="宋体" w:hAnsi="宋体" w:eastAsia="宋体" w:cs="宋体"/>
          <w:color w:val="auto"/>
          <w:szCs w:val="21"/>
          <w:highlight w:val="none"/>
          <w:lang w:eastAsia="zh-CN"/>
        </w:rPr>
        <w:t>15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.4投标人资质证书或安全生产许可证被暂扣或吊销，但仍参与投标的。</w:t>
      </w:r>
    </w:p>
    <w:p w14:paraId="2B9A723B">
      <w:pPr>
        <w:topLinePunct/>
        <w:adjustRightInd w:val="0"/>
        <w:snapToGrid w:val="0"/>
        <w:spacing w:line="360" w:lineRule="auto"/>
        <w:ind w:firstLine="422" w:firstLineChars="200"/>
        <w:jc w:val="left"/>
        <w:rPr>
          <w:rFonts w:hint="eastAsia" w:ascii="宋体" w:hAnsi="宋体" w:eastAsia="宋体" w:cs="宋体"/>
          <w:color w:val="auto"/>
          <w:szCs w:val="21"/>
          <w:highlight w:val="none"/>
        </w:rPr>
      </w:pPr>
      <w:r>
        <w:rPr>
          <w:rFonts w:hint="eastAsia" w:ascii="宋体" w:hAnsi="宋体" w:eastAsia="宋体" w:cs="宋体"/>
          <w:b/>
          <w:color w:val="auto"/>
          <w:kern w:val="0"/>
          <w:szCs w:val="21"/>
          <w:highlight w:val="none"/>
        </w:rPr>
        <w:t>16.投标文件的编制</w:t>
      </w:r>
    </w:p>
    <w:p w14:paraId="1E92EF8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16.1投标人应认真阅读招标文件的全部内容（包括招标文件的补充、修改及澄清文件），并严格履行招标文件的各项规定、要求。如果投标人不能履行招标文件的规定和要求，或者随投标文件提供的证明材料不能对招标文件的要求作出实质性响应，可能导致其投标被拒绝。</w:t>
      </w:r>
    </w:p>
    <w:p w14:paraId="3A7C2456">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16.2投标人应按照招标文件的要求编制投标文件。投标文件中所引用的顺序和编号应与招标文件一致，但可以增加说明或描述性文字。投标文件对招标文件未提出异议的条款，均被视为接受和同意。投标文件与招标文件的任何差异之处，均应在“资信要求响应表”、“合同要求响应表”和“技术性能响应表”中列出。</w:t>
      </w:r>
    </w:p>
    <w:p w14:paraId="5C7D8B6C">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16.3投标人应按招标文件要求提供资料，投标文件均使用中文文本；对不同文字文本的资料解释发生异议的，以中文文本为准。</w:t>
      </w:r>
    </w:p>
    <w:p w14:paraId="2870B4AB">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16.4除商务标以外，在其他标书内不得包含任何有关投标价格信息的（适用于二阶段开标的）。否则，其投标将会被拒绝。</w:t>
      </w:r>
    </w:p>
    <w:p w14:paraId="11241271">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17．投标文件的提交和截标时投标文件的数量要求</w:t>
      </w:r>
    </w:p>
    <w:p w14:paraId="6A2554A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17.1投标截止时间和地点。投标人应根据“投标须知前附表”的规定，在投标截止时间前将投标文件送达指定地点。</w:t>
      </w:r>
    </w:p>
    <w:p w14:paraId="42A3267C">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17.2截标时递交标书的投标人数量不足3名的，招标人将按法律法规的规定暂停开标和评标程序。如导致招标失败，招标人将不负担因此给投标人造成的损失。</w:t>
      </w:r>
    </w:p>
    <w:p w14:paraId="10EE0F82">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17.3联合体投标的工程，联合体主体单位应在投标时录入已进行企业信息登记的联合体其他成员单位。</w:t>
      </w:r>
    </w:p>
    <w:p w14:paraId="156C4245">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18.投标文件的修改或撤回</w:t>
      </w:r>
    </w:p>
    <w:p w14:paraId="2F3DF23C">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18.1投标人已提交投标文件，规定的投标截止时间还未到，投标人可对其投标文件修改或撤回。</w:t>
      </w:r>
    </w:p>
    <w:p w14:paraId="2D3C03A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18.2投标截止时间之后至投标文件有效期终止之前，投标人不得要求撤回其投标。在此期间撤回投标的，其投标担保将会被没收。</w:t>
      </w:r>
    </w:p>
    <w:p w14:paraId="2E294F87">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18.3评标结束后，不论中标与否，投标人均不得收回投标文件。</w:t>
      </w:r>
    </w:p>
    <w:p w14:paraId="5B8584CD">
      <w:pPr>
        <w:spacing w:line="360" w:lineRule="auto"/>
        <w:ind w:left="2520" w:firstLine="420"/>
        <w:outlineLvl w:val="2"/>
        <w:rPr>
          <w:rFonts w:ascii="黑体" w:hAnsi="宋体" w:eastAsia="黑体"/>
          <w:bCs/>
          <w:snapToGrid w:val="0"/>
          <w:color w:val="auto"/>
          <w:kern w:val="0"/>
          <w:sz w:val="30"/>
          <w:highlight w:val="none"/>
        </w:rPr>
      </w:pPr>
      <w:bookmarkStart w:id="29" w:name="_Toc31344"/>
      <w:bookmarkStart w:id="30" w:name="_Toc12238"/>
      <w:r>
        <w:rPr>
          <w:rFonts w:hint="eastAsia" w:ascii="黑体" w:hAnsi="宋体" w:eastAsia="黑体"/>
          <w:bCs/>
          <w:snapToGrid w:val="0"/>
          <w:color w:val="auto"/>
          <w:kern w:val="0"/>
          <w:sz w:val="30"/>
          <w:highlight w:val="none"/>
        </w:rPr>
        <w:t>（三）资格后审</w:t>
      </w:r>
      <w:bookmarkEnd w:id="29"/>
      <w:bookmarkEnd w:id="30"/>
    </w:p>
    <w:p w14:paraId="06F3C784">
      <w:pPr>
        <w:spacing w:line="360" w:lineRule="auto"/>
        <w:ind w:firstLine="422" w:firstLineChars="200"/>
        <w:jc w:val="left"/>
        <w:rPr>
          <w:rFonts w:ascii="宋体" w:hAnsi="宋体" w:eastAsia="宋体" w:cs="宋体"/>
          <w:b/>
          <w:color w:val="auto"/>
          <w:szCs w:val="21"/>
          <w:highlight w:val="none"/>
        </w:rPr>
      </w:pPr>
      <w:bookmarkStart w:id="31" w:name="_Toc17109"/>
      <w:r>
        <w:rPr>
          <w:rFonts w:hint="eastAsia" w:ascii="宋体" w:hAnsi="宋体" w:eastAsia="宋体" w:cs="宋体"/>
          <w:b/>
          <w:color w:val="auto"/>
          <w:szCs w:val="21"/>
          <w:highlight w:val="none"/>
        </w:rPr>
        <w:t>19.</w:t>
      </w:r>
      <w:r>
        <w:rPr>
          <w:rFonts w:hint="eastAsia" w:ascii="宋体" w:hAnsi="宋体" w:eastAsia="宋体" w:cs="宋体"/>
          <w:b/>
          <w:bCs/>
          <w:color w:val="auto"/>
          <w:kern w:val="0"/>
          <w:szCs w:val="21"/>
          <w:highlight w:val="none"/>
        </w:rPr>
        <w:t>资格后审</w:t>
      </w:r>
      <w:r>
        <w:rPr>
          <w:rFonts w:hint="eastAsia" w:ascii="宋体" w:hAnsi="宋体" w:eastAsia="宋体" w:cs="宋体"/>
          <w:b/>
          <w:color w:val="auto"/>
          <w:szCs w:val="21"/>
          <w:highlight w:val="none"/>
        </w:rPr>
        <w:t>：</w:t>
      </w:r>
    </w:p>
    <w:p w14:paraId="53D47AE0">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19.1</w:t>
      </w:r>
      <w:r>
        <w:rPr>
          <w:rFonts w:hint="eastAsia" w:ascii="宋体" w:hAnsi="宋体" w:eastAsia="宋体" w:cs="宋体"/>
          <w:color w:val="auto"/>
          <w:kern w:val="0"/>
          <w:szCs w:val="21"/>
          <w:highlight w:val="none"/>
        </w:rPr>
        <w:t>资格审查由招标人组成的资格后审委员会负责，在截标后招标人</w:t>
      </w:r>
      <w:r>
        <w:rPr>
          <w:rFonts w:hint="eastAsia" w:ascii="宋体" w:hAnsi="宋体" w:eastAsia="宋体" w:cs="宋体"/>
          <w:color w:val="auto"/>
          <w:kern w:val="0"/>
          <w:szCs w:val="21"/>
          <w:highlight w:val="none"/>
          <w:lang w:eastAsia="zh-CN"/>
        </w:rPr>
        <w:t>登录</w:t>
      </w:r>
      <w:r>
        <w:rPr>
          <w:rStyle w:val="129"/>
          <w:rFonts w:hint="eastAsia" w:ascii="宋体" w:hAnsi="宋体" w:eastAsia="宋体" w:cs="宋体"/>
          <w:color w:val="auto"/>
          <w:kern w:val="0"/>
          <w:szCs w:val="21"/>
          <w:highlight w:val="none"/>
          <w:u w:val="none"/>
        </w:rPr>
        <w:t>交易网</w:t>
      </w:r>
      <w:r>
        <w:rPr>
          <w:rFonts w:hint="eastAsia" w:ascii="宋体" w:hAnsi="宋体" w:eastAsia="宋体" w:cs="宋体"/>
          <w:color w:val="auto"/>
          <w:kern w:val="0"/>
          <w:szCs w:val="21"/>
          <w:highlight w:val="none"/>
        </w:rPr>
        <w:t>对各投标人资格进行审查。</w:t>
      </w:r>
    </w:p>
    <w:p w14:paraId="608D2A42">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19.2资格后审委员会由3名以上单数的招标人代表组成，招标代理人员参与资格审查的，其人员不得超过总人数的1/3。</w:t>
      </w:r>
    </w:p>
    <w:p w14:paraId="3C58D86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19.3资格后审委员严格对照招标公告中要求的投标人资格条件，逐个审查投标人递交的资格审查文件，审核判断投标人是否满足该资格条件。</w:t>
      </w:r>
    </w:p>
    <w:p w14:paraId="0B967B22">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19.4审查过程中如出现疑问，资格后审委员可要求投标人进行澄清说明，并根据招标公告设置的条件要求进行判断；如出现投标人资格不符合招标公告设置条件的，应当向投标人说明情况，并允许投标人答辩，记录有关情况。</w:t>
      </w:r>
    </w:p>
    <w:p w14:paraId="1151B3F0">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19.5拟进行资格后审澄清、答辩的代表由招标人核对身份。</w:t>
      </w:r>
    </w:p>
    <w:p w14:paraId="7D6FEF4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19.6资格后审委员会要求投标人进行澄清、答辩，但投标人在招标人规定时间内未派出人员及时作出澄清、答辩的，资格后审委员会将可能作出不利于投标人的判定。</w:t>
      </w:r>
    </w:p>
    <w:p w14:paraId="4A9A2DA4">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eastAsia="宋体" w:cs="宋体"/>
          <w:color w:val="auto"/>
          <w:szCs w:val="21"/>
          <w:highlight w:val="none"/>
        </w:rPr>
        <w:t>19.7全部投标人的资格审查材料审查完毕后，资格后审委员会出具资格审查报告，并按规定将审查结果进行公示，同时由系统直接将所有投标人的</w:t>
      </w:r>
      <w:r>
        <w:rPr>
          <w:rFonts w:hint="eastAsia" w:ascii="仿宋_GB2312" w:hAnsi="仿宋_GB2312" w:eastAsia="仿宋_GB2312" w:cs="仿宋_GB2312"/>
          <w:color w:val="auto"/>
          <w:sz w:val="21"/>
          <w:szCs w:val="21"/>
          <w:highlight w:val="none"/>
          <w:lang w:val="en-US" w:eastAsia="zh-CN"/>
        </w:rPr>
        <w:t>业绩文件</w:t>
      </w:r>
      <w:r>
        <w:rPr>
          <w:rFonts w:hint="eastAsia" w:ascii="宋体" w:hAnsi="宋体" w:eastAsia="宋体" w:cs="宋体"/>
          <w:color w:val="auto"/>
          <w:szCs w:val="21"/>
          <w:highlight w:val="none"/>
        </w:rPr>
        <w:t>内容公示。资格审查合格投标人少于3家的，不再进行后续招标投标程序。资格审查结果应当在交易网公示不少于3个工作日。</w:t>
      </w:r>
    </w:p>
    <w:p w14:paraId="4B0DF1B2">
      <w:pPr>
        <w:spacing w:line="360" w:lineRule="auto"/>
        <w:ind w:left="3362" w:firstLine="420"/>
        <w:rPr>
          <w:rFonts w:ascii="黑体" w:hAnsi="宋体" w:eastAsia="黑体"/>
          <w:b/>
          <w:snapToGrid w:val="0"/>
          <w:color w:val="auto"/>
          <w:kern w:val="0"/>
          <w:sz w:val="30"/>
          <w:highlight w:val="none"/>
        </w:rPr>
      </w:pPr>
    </w:p>
    <w:bookmarkEnd w:id="31"/>
    <w:p w14:paraId="48764DF5">
      <w:pPr>
        <w:spacing w:line="360" w:lineRule="auto"/>
        <w:jc w:val="center"/>
        <w:outlineLvl w:val="2"/>
        <w:rPr>
          <w:rFonts w:ascii="黑体" w:eastAsia="黑体"/>
          <w:bCs/>
          <w:color w:val="auto"/>
          <w:sz w:val="30"/>
          <w:highlight w:val="none"/>
        </w:rPr>
      </w:pPr>
      <w:bookmarkStart w:id="32" w:name="_Toc4913"/>
      <w:bookmarkStart w:id="33" w:name="_Toc8901"/>
      <w:bookmarkStart w:id="34" w:name="_Toc8924"/>
      <w:bookmarkStart w:id="35" w:name="_Toc21176"/>
      <w:bookmarkStart w:id="36" w:name="_Toc1338"/>
      <w:bookmarkStart w:id="37" w:name="_Toc4019"/>
      <w:bookmarkStart w:id="38" w:name="_Toc30062"/>
      <w:bookmarkStart w:id="39" w:name="_Toc4250"/>
      <w:bookmarkStart w:id="40" w:name="_Toc30071"/>
      <w:bookmarkStart w:id="41" w:name="_Toc25063"/>
      <w:bookmarkStart w:id="42" w:name="_Toc29818"/>
      <w:bookmarkStart w:id="43" w:name="_Toc28470"/>
      <w:r>
        <w:rPr>
          <w:rFonts w:hint="eastAsia" w:ascii="黑体" w:eastAsia="黑体"/>
          <w:bCs/>
          <w:color w:val="auto"/>
          <w:sz w:val="30"/>
          <w:highlight w:val="none"/>
        </w:rPr>
        <w:t>（四）开标</w:t>
      </w:r>
      <w:bookmarkEnd w:id="32"/>
      <w:bookmarkEnd w:id="33"/>
      <w:bookmarkEnd w:id="34"/>
      <w:bookmarkEnd w:id="35"/>
      <w:bookmarkEnd w:id="36"/>
      <w:bookmarkEnd w:id="37"/>
      <w:bookmarkEnd w:id="38"/>
      <w:bookmarkEnd w:id="39"/>
      <w:bookmarkEnd w:id="40"/>
      <w:bookmarkEnd w:id="41"/>
      <w:bookmarkEnd w:id="42"/>
    </w:p>
    <w:p w14:paraId="4E3E9EAC">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20.开标</w:t>
      </w:r>
    </w:p>
    <w:p w14:paraId="344F565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20.1开标会议由招标人在交易网进行，投标人现场参加开标会的必须是法定代表人或投标员，并必须遵守办理程序及人员身份的相关规定。</w:t>
      </w:r>
    </w:p>
    <w:p w14:paraId="4673E99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20.2资格后审不合格的投标人的投标文件将不再进入下一步开标程序。</w:t>
      </w:r>
    </w:p>
    <w:p w14:paraId="7C43045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20.3开标时，招标人需按开标程序分步对电子投标文件各部分进行导入；如电子投标文件已加密的，也必须按开标程序分步对电子投标文件各部分进行解密。</w:t>
      </w:r>
    </w:p>
    <w:p w14:paraId="7EE3D1A4">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20.4按招标文件规定宣布为不予受理情形的投标文件，不予送交评标委员会评审。</w:t>
      </w:r>
    </w:p>
    <w:p w14:paraId="61ED316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20.5招标人应对开标过程进行记录，以存档备查。</w:t>
      </w:r>
    </w:p>
    <w:p w14:paraId="3D226519">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20.6对于开标后合格的投标人数量超过20名的，招标人可以按规定将进入评标环节的投标人数量淘汰至15至20名。</w:t>
      </w:r>
    </w:p>
    <w:p w14:paraId="76ABBA1D">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招标人应结合项目实际，提前制定规则清晰、可操作性强的过多投标人淘汰方案，纳入招标文件并予以公开。</w:t>
      </w:r>
      <w:r>
        <w:rPr>
          <w:rFonts w:hint="eastAsia" w:ascii="宋体" w:hAnsi="宋体" w:eastAsia="宋体" w:cs="宋体"/>
          <w:color w:val="auto"/>
          <w:szCs w:val="21"/>
          <w:highlight w:val="none"/>
          <w:lang w:val="en-US" w:eastAsia="zh-CN"/>
        </w:rPr>
        <w:t>根据《中共深圳市委办公厅 深圳市人民政府办公厅印发&lt;关于促进民营经济做大做优做强的若干措施&gt;的通知》，招标人对资格审查合格的投标人应当采取国有和民营分类的方式进行入围淘汰，原则上民营企业入围数量占比不低于三分之一，参与投标的民营企业数量不足或者经评审无法满足招标要求的情形除外。</w:t>
      </w:r>
    </w:p>
    <w:p w14:paraId="29386B35">
      <w:pPr>
        <w:adjustRightInd w:val="0"/>
        <w:snapToGrid w:val="0"/>
        <w:spacing w:line="360" w:lineRule="auto"/>
        <w:ind w:firstLine="420" w:firstLineChars="200"/>
        <w:rPr>
          <w:rFonts w:ascii="宋体" w:hAnsi="宋体" w:eastAsia="宋体" w:cs="宋体"/>
          <w:strike/>
          <w:color w:val="auto"/>
          <w:kern w:val="0"/>
          <w:szCs w:val="21"/>
          <w:highlight w:val="none"/>
        </w:rPr>
      </w:pPr>
      <w:r>
        <w:rPr>
          <w:rFonts w:hint="eastAsia" w:ascii="宋体" w:hAnsi="宋体" w:eastAsia="宋体" w:cs="宋体"/>
          <w:color w:val="auto"/>
          <w:kern w:val="0"/>
          <w:szCs w:val="21"/>
          <w:highlight w:val="none"/>
        </w:rPr>
        <w:t>20.7招标人在过多投标人淘汰环节应当采用票决法进行择优</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lang w:val="en-US" w:eastAsia="zh-CN"/>
        </w:rPr>
        <w:t>并在</w:t>
      </w:r>
      <w:r>
        <w:rPr>
          <w:rFonts w:hint="eastAsia" w:ascii="宋体" w:hAnsi="宋体" w:eastAsia="宋体" w:cs="宋体"/>
          <w:color w:val="auto"/>
          <w:szCs w:val="21"/>
          <w:highlight w:val="none"/>
          <w:lang w:eastAsia="zh-CN"/>
        </w:rPr>
        <w:t>过多投标人淘汰方案中合规合理设置择优因素，明确各择优因素的优先程度。</w:t>
      </w:r>
      <w:r>
        <w:rPr>
          <w:rFonts w:hint="eastAsia" w:ascii="宋体" w:hAnsi="宋体" w:eastAsia="宋体" w:cs="宋体"/>
          <w:color w:val="auto"/>
          <w:szCs w:val="21"/>
          <w:highlight w:val="none"/>
        </w:rPr>
        <w:t>择优因素综合考虑拟派项目</w:t>
      </w:r>
      <w:r>
        <w:rPr>
          <w:rFonts w:hint="eastAsia" w:ascii="宋体" w:hAnsi="宋体" w:eastAsia="宋体" w:cs="宋体"/>
          <w:color w:val="auto"/>
          <w:szCs w:val="21"/>
          <w:highlight w:val="none"/>
          <w:lang w:val="en-US" w:eastAsia="zh-CN"/>
        </w:rPr>
        <w:t>负责人</w:t>
      </w:r>
      <w:r>
        <w:rPr>
          <w:rFonts w:hint="eastAsia" w:ascii="宋体" w:hAnsi="宋体" w:eastAsia="宋体" w:cs="宋体"/>
          <w:color w:val="auto"/>
          <w:szCs w:val="21"/>
          <w:highlight w:val="none"/>
        </w:rPr>
        <w:t>及管理团队成员的资历、能力、信誉，企业资质、业绩、履约以及投标报价等情况。严禁将注册地址、所有制性质、特定行政区域或者特定行业的业绩或奖项、设立本地分支机构、本地缴纳税收社保等作为择优因素。</w:t>
      </w:r>
      <w:r>
        <w:rPr>
          <w:rFonts w:hint="eastAsia" w:ascii="宋体" w:hAnsi="宋体" w:eastAsia="宋体" w:cs="宋体"/>
          <w:strike w:val="0"/>
          <w:color w:val="auto"/>
          <w:kern w:val="0"/>
          <w:szCs w:val="21"/>
          <w:highlight w:val="none"/>
        </w:rPr>
        <w:t>招标人可以根据项目实际情况增加择优因素，也可以综合考虑择优因素或按择优因素的重要性，对投标人进行逐级淘汰。</w:t>
      </w:r>
    </w:p>
    <w:p w14:paraId="4A0D6FA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20.8招标人应对开标过程进行记录，以存档备查。开标及入围结果应当在交易网进行公示。</w:t>
      </w:r>
    </w:p>
    <w:p w14:paraId="7B73818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20.9招标人在</w:t>
      </w:r>
      <w:r>
        <w:rPr>
          <w:rFonts w:hint="eastAsia" w:ascii="宋体" w:hAnsi="宋体" w:eastAsia="宋体" w:cs="宋体"/>
          <w:color w:val="auto"/>
          <w:szCs w:val="21"/>
          <w:highlight w:val="none"/>
        </w:rPr>
        <w:t>深圳交易集团有限公司（深圳公共资源交易中心）</w:t>
      </w:r>
      <w:r>
        <w:rPr>
          <w:rFonts w:hint="eastAsia" w:ascii="宋体" w:hAnsi="宋体" w:eastAsia="宋体" w:cs="宋体"/>
          <w:color w:val="auto"/>
          <w:kern w:val="0"/>
          <w:szCs w:val="21"/>
          <w:highlight w:val="none"/>
        </w:rPr>
        <w:t>现场组织的开标会应遵循《会议管理规定》及《开标会程序》的相关规定。</w:t>
      </w:r>
    </w:p>
    <w:p w14:paraId="36487D11">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21.投标文件不予受理的情形（详见投标文件否决性条款第一条）。</w:t>
      </w:r>
    </w:p>
    <w:bookmarkEnd w:id="43"/>
    <w:p w14:paraId="564C476C">
      <w:pPr>
        <w:spacing w:line="360" w:lineRule="auto"/>
        <w:jc w:val="center"/>
        <w:outlineLvl w:val="2"/>
        <w:rPr>
          <w:rFonts w:ascii="黑体" w:eastAsia="黑体"/>
          <w:bCs/>
          <w:color w:val="auto"/>
          <w:sz w:val="30"/>
          <w:highlight w:val="none"/>
        </w:rPr>
      </w:pPr>
      <w:bookmarkStart w:id="44" w:name="_Toc22821"/>
      <w:bookmarkStart w:id="45" w:name="_Toc21214"/>
      <w:r>
        <w:rPr>
          <w:rFonts w:hint="eastAsia" w:ascii="黑体" w:eastAsia="黑体"/>
          <w:bCs/>
          <w:color w:val="auto"/>
          <w:sz w:val="30"/>
          <w:highlight w:val="none"/>
        </w:rPr>
        <w:t>（五）评标</w:t>
      </w:r>
      <w:bookmarkEnd w:id="44"/>
      <w:bookmarkEnd w:id="45"/>
    </w:p>
    <w:p w14:paraId="5B27BC0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评标委员会应当根据“投标须知前附表”规定的评标方法，对投标文件进行评审和比较，招标文件中没有规定的标准和方法不得作为评标的依据。</w:t>
      </w:r>
      <w:r>
        <w:rPr>
          <w:rFonts w:hint="eastAsia" w:ascii="宋体" w:hAnsi="宋体" w:eastAsia="宋体" w:cs="宋体"/>
          <w:color w:val="auto"/>
          <w:szCs w:val="21"/>
          <w:highlight w:val="none"/>
          <w:lang w:val="en-US" w:eastAsia="zh-CN"/>
        </w:rPr>
        <w:t>对招标文件规定的评标</w:t>
      </w:r>
      <w:r>
        <w:rPr>
          <w:rFonts w:hint="eastAsia" w:ascii="宋体" w:hAnsi="宋体" w:eastAsia="宋体" w:cs="宋体"/>
          <w:color w:val="auto"/>
          <w:szCs w:val="21"/>
          <w:highlight w:val="none"/>
        </w:rPr>
        <w:t>标准和方法</w:t>
      </w:r>
      <w:r>
        <w:rPr>
          <w:rFonts w:hint="eastAsia" w:ascii="宋体" w:hAnsi="宋体" w:eastAsia="宋体" w:cs="宋体"/>
          <w:color w:val="auto"/>
          <w:szCs w:val="21"/>
          <w:highlight w:val="none"/>
          <w:lang w:val="en-US" w:eastAsia="zh-CN"/>
        </w:rPr>
        <w:t>等内容存在异议的，应提请招标人澄清说明，并在评标报告中记录有关情况。招标人应委派熟悉项目情况的工作人员跟进评标工作，并负责对招标文件有关内容进行解释。</w:t>
      </w:r>
    </w:p>
    <w:p w14:paraId="29249378">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 xml:space="preserve">22.评标委员会组建及职责 </w:t>
      </w:r>
    </w:p>
    <w:p w14:paraId="2541F28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22.1评标委员会组建方式：由招标人依法组建，负责评标活动。</w:t>
      </w:r>
      <w:r>
        <w:rPr>
          <w:rFonts w:hint="eastAsia" w:ascii="宋体" w:hAnsi="宋体" w:eastAsia="宋体" w:cs="宋体"/>
          <w:snapToGrid w:val="0"/>
          <w:color w:val="auto"/>
          <w:kern w:val="0"/>
          <w:szCs w:val="18"/>
          <w:highlight w:val="none"/>
        </w:rPr>
        <w:t>评标委员会的专家成员由招标人从评标专家库内按照专业随机抽取，评标委员会成员数量为5人以上单数，招标人可以委派一名代表。</w:t>
      </w:r>
    </w:p>
    <w:p w14:paraId="6CFF6B2C">
      <w:pPr>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 xml:space="preserve"> 招标人代表应熟悉项目情况、掌握招标投标法律法规、能够熟练运用电子评标工具人员，且不得与投标人存在利害关系。</w:t>
      </w:r>
    </w:p>
    <w:p w14:paraId="75FEB965">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22.2</w:t>
      </w:r>
      <w:r>
        <w:rPr>
          <w:rFonts w:hint="eastAsia" w:ascii="宋体" w:hAnsi="宋体" w:eastAsia="宋体" w:cs="宋体"/>
          <w:color w:val="auto"/>
          <w:szCs w:val="21"/>
          <w:highlight w:val="none"/>
        </w:rPr>
        <w:t>评标委员会职责：评标委员会应根据招标文件规定的评标方法和标准，遵循公开、公正、公平、科学、择优的原则，对投标文件进行评审。评标委员会根据招标文件规定向招标人推荐合格投标人或中标候选人。</w:t>
      </w:r>
    </w:p>
    <w:p w14:paraId="1D81AF0C">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val="en-US" w:eastAsia="zh-CN"/>
        </w:rPr>
        <w:t>22.3</w:t>
      </w:r>
      <w:r>
        <w:rPr>
          <w:rFonts w:hint="eastAsia" w:ascii="宋体" w:hAnsi="宋体" w:eastAsia="宋体" w:cs="宋体"/>
          <w:color w:val="auto"/>
          <w:szCs w:val="21"/>
          <w:highlight w:val="none"/>
        </w:rPr>
        <w:t>评标委员会成员应认真、公正、诚实、廉洁、勤勉地履行专家职责，按时参加评标，严格遵守评标纪律，并对评标结果终身负责。</w:t>
      </w:r>
    </w:p>
    <w:p w14:paraId="64F63DE7">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22.4 </w:t>
      </w:r>
      <w:r>
        <w:rPr>
          <w:rFonts w:hint="default" w:ascii="宋体" w:hAnsi="宋体" w:eastAsia="宋体" w:cs="宋体"/>
          <w:color w:val="auto"/>
          <w:szCs w:val="21"/>
          <w:highlight w:val="none"/>
          <w:lang w:val="en-US" w:eastAsia="zh-CN"/>
        </w:rPr>
        <w:t>招标人代表</w:t>
      </w:r>
      <w:r>
        <w:rPr>
          <w:rFonts w:hint="eastAsia" w:ascii="宋体" w:hAnsi="宋体" w:eastAsia="宋体" w:cs="宋体"/>
          <w:color w:val="auto"/>
          <w:szCs w:val="21"/>
          <w:highlight w:val="none"/>
          <w:lang w:val="en-US" w:eastAsia="zh-CN"/>
        </w:rPr>
        <w:t>应</w:t>
      </w:r>
      <w:r>
        <w:rPr>
          <w:rFonts w:hint="default" w:ascii="宋体" w:hAnsi="宋体" w:eastAsia="宋体" w:cs="宋体"/>
          <w:color w:val="auto"/>
          <w:szCs w:val="21"/>
          <w:highlight w:val="none"/>
          <w:lang w:val="en-US" w:eastAsia="zh-CN"/>
        </w:rPr>
        <w:t>认真做好评标准备，仔细研读招标文件，充分掌握评标标准</w:t>
      </w:r>
      <w:r>
        <w:rPr>
          <w:rFonts w:hint="eastAsia" w:ascii="宋体" w:hAnsi="宋体" w:eastAsia="宋体" w:cs="宋体"/>
          <w:color w:val="auto"/>
          <w:szCs w:val="21"/>
          <w:highlight w:val="none"/>
          <w:lang w:val="en-US" w:eastAsia="zh-CN"/>
        </w:rPr>
        <w:t>和推荐原则</w:t>
      </w:r>
      <w:r>
        <w:rPr>
          <w:rFonts w:hint="default" w:ascii="宋体" w:hAnsi="宋体" w:eastAsia="宋体" w:cs="宋体"/>
          <w:color w:val="auto"/>
          <w:szCs w:val="21"/>
          <w:highlight w:val="none"/>
          <w:lang w:val="en-US" w:eastAsia="zh-CN"/>
        </w:rPr>
        <w:t>、可能低于成本或者影响履约的异常低价投标的识别处理要求、否决投标的情形和判定方式等。招标人代表在评标过程中，应当履行下列职责：</w:t>
      </w:r>
    </w:p>
    <w:p w14:paraId="66E73C84">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22.4.1</w:t>
      </w:r>
      <w:r>
        <w:rPr>
          <w:rFonts w:hint="default" w:ascii="宋体" w:hAnsi="宋体" w:eastAsia="宋体" w:cs="宋体"/>
          <w:color w:val="auto"/>
          <w:szCs w:val="21"/>
          <w:highlight w:val="none"/>
          <w:lang w:val="en-US" w:eastAsia="zh-CN"/>
        </w:rPr>
        <w:t>公正独立地对投标文件进行评审和比较；</w:t>
      </w:r>
    </w:p>
    <w:p w14:paraId="39D2D1DA">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22.4.2</w:t>
      </w:r>
      <w:r>
        <w:rPr>
          <w:rFonts w:hint="default" w:ascii="宋体" w:hAnsi="宋体" w:eastAsia="宋体" w:cs="宋体"/>
          <w:color w:val="auto"/>
          <w:szCs w:val="21"/>
          <w:highlight w:val="none"/>
          <w:lang w:val="en-US" w:eastAsia="zh-CN"/>
        </w:rPr>
        <w:t>发现评标专家存在发表倾向性意见、进行诱导性发言、不按招标文件规定的评标标准和方法评标等违规行为的，要予以提醒、劝阻，做好记录并向评标专家库组建单位和有关行政监督部门报告；</w:t>
      </w:r>
    </w:p>
    <w:p w14:paraId="71AAE617">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22.4.3</w:t>
      </w:r>
      <w:r>
        <w:rPr>
          <w:rFonts w:hint="default" w:ascii="宋体" w:hAnsi="宋体" w:eastAsia="宋体" w:cs="宋体"/>
          <w:color w:val="auto"/>
          <w:szCs w:val="21"/>
          <w:highlight w:val="none"/>
          <w:lang w:val="en-US" w:eastAsia="zh-CN"/>
        </w:rPr>
        <w:t>发现投标人报价异常的，应当提议评标委员会进行研究，要求该投标人作出说明并提供相关证明材料；投标人不能合理说明、证明的，应当提出否决该投标的评标意见；</w:t>
      </w:r>
    </w:p>
    <w:p w14:paraId="4B59EDE3">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22.4.4</w:t>
      </w:r>
      <w:r>
        <w:rPr>
          <w:rFonts w:hint="default" w:ascii="宋体" w:hAnsi="宋体" w:eastAsia="宋体" w:cs="宋体"/>
          <w:color w:val="auto"/>
          <w:szCs w:val="21"/>
          <w:highlight w:val="none"/>
          <w:lang w:val="en-US" w:eastAsia="zh-CN"/>
        </w:rPr>
        <w:t>发现投标人存在业绩造假、资质伪造、围标串标或者其他违法嫌疑的，要提议评标委员会按照法律法规和招标文件规定进行处理；达到招标文件规定的否决投标标准的，应当提出否决该投标的评标意见；</w:t>
      </w:r>
    </w:p>
    <w:p w14:paraId="0E80197A">
      <w:pPr>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22.4.5</w:t>
      </w:r>
      <w:r>
        <w:rPr>
          <w:rFonts w:hint="default" w:ascii="宋体" w:hAnsi="宋体" w:eastAsia="宋体" w:cs="宋体"/>
          <w:color w:val="auto"/>
          <w:szCs w:val="21"/>
          <w:highlight w:val="none"/>
          <w:lang w:val="en-US" w:eastAsia="zh-CN"/>
        </w:rPr>
        <w:t>其他招标人代表应当履行的职责。</w:t>
      </w:r>
    </w:p>
    <w:p w14:paraId="2B6111B8">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23.投标文件的初步评审</w:t>
      </w:r>
    </w:p>
    <w:p w14:paraId="11E5A1C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23.1计算机评标系统对投标文件进行自动清标分析，然后由评标委员会进行投标文件的初步评审。</w:t>
      </w:r>
    </w:p>
    <w:p w14:paraId="11836699">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23.2投标文件初步评审</w:t>
      </w:r>
      <w:r>
        <w:rPr>
          <w:rFonts w:hint="eastAsia" w:ascii="宋体" w:hAnsi="宋体" w:eastAsia="宋体" w:cs="宋体"/>
          <w:bCs/>
          <w:color w:val="auto"/>
          <w:kern w:val="0"/>
          <w:szCs w:val="21"/>
          <w:highlight w:val="none"/>
        </w:rPr>
        <w:t>不合格的</w:t>
      </w:r>
      <w:r>
        <w:rPr>
          <w:rFonts w:hint="eastAsia" w:ascii="宋体" w:hAnsi="宋体" w:eastAsia="宋体" w:cs="宋体"/>
          <w:color w:val="auto"/>
          <w:kern w:val="0"/>
          <w:szCs w:val="21"/>
          <w:highlight w:val="none"/>
        </w:rPr>
        <w:t>，应参照投标文件否决性条款作无效标处理。</w:t>
      </w:r>
    </w:p>
    <w:p w14:paraId="270290D4">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24.投标文件的详细评审</w:t>
      </w:r>
    </w:p>
    <w:p w14:paraId="3E74394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评标委员会根据招标文件规定的评标方法和标准，对各投标人的投标文件分别进行详细评审。</w:t>
      </w:r>
    </w:p>
    <w:p w14:paraId="27AF597C">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25.投标文件的重大偏差</w:t>
      </w:r>
    </w:p>
    <w:p w14:paraId="0F5C7FAF">
      <w:pPr>
        <w:spacing w:line="360" w:lineRule="auto"/>
        <w:ind w:firstLine="420"/>
        <w:jc w:val="left"/>
        <w:rPr>
          <w:rFonts w:ascii="宋体" w:hAnsi="宋体" w:eastAsia="宋体" w:cs="宋体"/>
          <w:strike/>
          <w:color w:val="auto"/>
          <w:szCs w:val="21"/>
          <w:highlight w:val="none"/>
        </w:rPr>
      </w:pPr>
      <w:r>
        <w:rPr>
          <w:rFonts w:hint="eastAsia" w:ascii="宋体" w:hAnsi="宋体" w:eastAsia="宋体" w:cs="宋体"/>
          <w:color w:val="auto"/>
          <w:kern w:val="0"/>
          <w:szCs w:val="21"/>
          <w:highlight w:val="none"/>
        </w:rPr>
        <w:t>投标文件存在的重大偏差情形的，评标委员会应根据相应的投标文件否决性条款作废标处理。</w:t>
      </w:r>
    </w:p>
    <w:p w14:paraId="3622FA13">
      <w:pPr>
        <w:spacing w:line="360" w:lineRule="auto"/>
        <w:ind w:firstLine="422" w:firstLineChars="200"/>
        <w:jc w:val="left"/>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26.投标文件的细微偏差</w:t>
      </w:r>
    </w:p>
    <w:p w14:paraId="2E2BD553">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14:paraId="79BE5967">
      <w:pPr>
        <w:adjustRightInd w:val="0"/>
        <w:snapToGrid w:val="0"/>
        <w:spacing w:line="360" w:lineRule="auto"/>
        <w:ind w:left="420" w:left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27.投标文件的澄清答辩</w:t>
      </w:r>
    </w:p>
    <w:p w14:paraId="787708C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录音电话或现场两种方式进行。</w:t>
      </w:r>
    </w:p>
    <w:p w14:paraId="67DB702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27.2采用评标区录音电话方式澄清答辩的答辩人，仅限该项目递交投标文件时确定的投标员，投标员的联系方式以截标信息为准。采用现场方式澄清答辩的答辩人应为该单位的授权委托人，授权委托人须本人携带有效的身份证明文件（包含身份证原件、法定代表人证明书、法人授权委托书等）。澄清答辩人员的身份由招标人核验。</w:t>
      </w:r>
    </w:p>
    <w:p w14:paraId="7387738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27.3评标委员会要求投标人进行答辩，但投标人在评标委员会规定的时间（不少于30分钟）内未派出代表及时作出答辩的，评标委员会将根据招标文件规定作出不利于投标人的判定，投标人不得因此提出任何异议。</w:t>
      </w:r>
    </w:p>
    <w:p w14:paraId="2C30A298">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28.无效标和废标的处理</w:t>
      </w:r>
    </w:p>
    <w:p w14:paraId="6CECDA5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28.1除法律、法规、规章、规范性文件规定以及本招标文件否决性条款单列的无效标或者废标情形外，评标委员会不得对投标文件作无效标或者废标处理。评标委员会对投标文件应坚持谨慎确定无效标和废标的原则。</w:t>
      </w:r>
    </w:p>
    <w:p w14:paraId="5D9A50F6">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28.2评标委员会在作出任何一项无效标和废标决定前，都应当严格遵循以下程序：</w:t>
      </w:r>
    </w:p>
    <w:p w14:paraId="576A010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28.2.1向当事投标人作相应的澄清；</w:t>
      </w:r>
    </w:p>
    <w:p w14:paraId="0082E64A">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28.2.2当事投标人应当在通知规定时间内，向评标委员会作出澄清和解释。未按时作出澄清和解释的，评标委员会可对相应投标文件按最不利情形认定;</w:t>
      </w:r>
    </w:p>
    <w:p w14:paraId="2545891B">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28.2.3在充分讨论的基础上集体表决；</w:t>
      </w:r>
    </w:p>
    <w:p w14:paraId="0226471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28.2.4若表决通过无效标或废标决定，应在评标报告中详细载明无效标或废标的理由、依据、答辩的情况和集体表决的情况（同意无效标或废标和不同意无效标或废标的评标委员会成员均应当注明）。</w:t>
      </w:r>
    </w:p>
    <w:p w14:paraId="074EF1E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28.2.5评标委员会在否决所有投标文件前，应当向招标人核实有关情况，听取招标人意见。</w:t>
      </w:r>
    </w:p>
    <w:p w14:paraId="2DE5AEF0">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29.</w:t>
      </w:r>
      <w:r>
        <w:rPr>
          <w:rFonts w:hint="eastAsia" w:ascii="宋体" w:hAnsi="宋体" w:eastAsia="宋体" w:cs="宋体"/>
          <w:b/>
          <w:bCs/>
          <w:color w:val="auto"/>
          <w:kern w:val="0"/>
          <w:szCs w:val="21"/>
          <w:highlight w:val="none"/>
          <w:lang w:val="en-US" w:eastAsia="zh-CN"/>
        </w:rPr>
        <w:t>中标候选</w:t>
      </w:r>
      <w:r>
        <w:rPr>
          <w:rFonts w:hint="eastAsia" w:ascii="宋体" w:hAnsi="宋体" w:eastAsia="宋体" w:cs="宋体"/>
          <w:b/>
          <w:bCs/>
          <w:color w:val="auto"/>
          <w:kern w:val="0"/>
          <w:szCs w:val="21"/>
          <w:highlight w:val="none"/>
        </w:rPr>
        <w:t>人的推荐</w:t>
      </w:r>
    </w:p>
    <w:p w14:paraId="13DECD28">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29.1评标委员会实行少数服从多数的原则，评标结果经评标委员会全体成员过半数通过有效。</w:t>
      </w:r>
    </w:p>
    <w:p w14:paraId="72469D33">
      <w:pPr>
        <w:adjustRightInd w:val="0"/>
        <w:snapToGrid w:val="0"/>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29.2</w:t>
      </w:r>
      <w:r>
        <w:rPr>
          <w:rFonts w:hint="eastAsia" w:ascii="宋体" w:hAnsi="宋体" w:eastAsia="宋体" w:cs="宋体"/>
          <w:strike w:val="0"/>
          <w:color w:val="auto"/>
          <w:kern w:val="0"/>
          <w:szCs w:val="21"/>
          <w:highlight w:val="none"/>
        </w:rPr>
        <w:t>评标委员会经过对投标文件进行评审和比较后</w:t>
      </w:r>
      <w:r>
        <w:rPr>
          <w:rFonts w:hint="eastAsia" w:ascii="宋体" w:hAnsi="宋体" w:eastAsia="宋体" w:cs="宋体"/>
          <w:strike w:val="0"/>
          <w:color w:val="auto"/>
          <w:kern w:val="0"/>
          <w:szCs w:val="21"/>
          <w:highlight w:val="none"/>
          <w:lang w:eastAsia="zh-CN"/>
        </w:rPr>
        <w:t>，</w:t>
      </w:r>
      <w:r>
        <w:rPr>
          <w:rFonts w:hint="eastAsia" w:ascii="宋体" w:hAnsi="宋体" w:eastAsia="宋体" w:cs="宋体"/>
          <w:strike w:val="0"/>
          <w:color w:val="auto"/>
          <w:szCs w:val="21"/>
          <w:highlight w:val="none"/>
          <w:u w:val="none"/>
        </w:rPr>
        <w:t>评审合格投标人数量超过5</w:t>
      </w:r>
      <w:r>
        <w:rPr>
          <w:rFonts w:hint="eastAsia" w:ascii="宋体" w:hAnsi="宋体" w:eastAsia="宋体" w:cs="宋体"/>
          <w:strike w:val="0"/>
          <w:color w:val="auto"/>
          <w:szCs w:val="21"/>
          <w:highlight w:val="none"/>
          <w:u w:val="none"/>
          <w:lang w:val="en-US" w:eastAsia="zh-CN"/>
        </w:rPr>
        <w:t>名的</w:t>
      </w:r>
      <w:r>
        <w:rPr>
          <w:rFonts w:hint="eastAsia" w:ascii="宋体" w:hAnsi="宋体" w:eastAsia="宋体" w:cs="宋体"/>
          <w:strike w:val="0"/>
          <w:color w:val="auto"/>
          <w:szCs w:val="21"/>
          <w:highlight w:val="none"/>
          <w:u w:val="none"/>
        </w:rPr>
        <w:t>，</w:t>
      </w:r>
      <w:r>
        <w:rPr>
          <w:rFonts w:hint="eastAsia" w:ascii="宋体" w:hAnsi="宋体" w:eastAsia="宋体" w:cs="宋体"/>
          <w:color w:val="auto"/>
          <w:szCs w:val="21"/>
          <w:highlight w:val="none"/>
        </w:rPr>
        <w:t>评标委员会应根据招标文件确定的规则，结合评审意见，</w:t>
      </w:r>
      <w:r>
        <w:rPr>
          <w:rFonts w:hint="eastAsia" w:ascii="宋体" w:hAnsi="宋体" w:eastAsia="宋体" w:cs="宋体"/>
          <w:strike w:val="0"/>
          <w:color w:val="auto"/>
          <w:szCs w:val="21"/>
          <w:highlight w:val="none"/>
        </w:rPr>
        <w:t>在合格投标人中</w:t>
      </w:r>
      <w:r>
        <w:rPr>
          <w:rFonts w:hint="eastAsia" w:ascii="宋体" w:hAnsi="宋体" w:eastAsia="宋体" w:cs="宋体"/>
          <w:strike w:val="0"/>
          <w:color w:val="auto"/>
          <w:szCs w:val="21"/>
          <w:highlight w:val="none"/>
          <w:lang w:val="en-US" w:eastAsia="zh-CN"/>
        </w:rPr>
        <w:t>择优推荐</w:t>
      </w:r>
      <w:r>
        <w:rPr>
          <w:rFonts w:hint="eastAsia" w:ascii="宋体" w:hAnsi="宋体" w:eastAsia="宋体" w:cs="宋体"/>
          <w:strike w:val="0"/>
          <w:color w:val="auto"/>
          <w:szCs w:val="21"/>
          <w:highlight w:val="none"/>
        </w:rPr>
        <w:t>50%的投标人作为</w:t>
      </w:r>
      <w:r>
        <w:rPr>
          <w:rFonts w:hint="eastAsia" w:ascii="宋体" w:hAnsi="宋体" w:eastAsia="宋体" w:cs="宋体"/>
          <w:strike w:val="0"/>
          <w:color w:val="auto"/>
          <w:szCs w:val="21"/>
          <w:highlight w:val="none"/>
          <w:lang w:val="en-US" w:eastAsia="zh-CN"/>
        </w:rPr>
        <w:t>中标</w:t>
      </w:r>
      <w:r>
        <w:rPr>
          <w:rFonts w:hint="eastAsia" w:ascii="宋体" w:hAnsi="宋体" w:eastAsia="宋体" w:cs="宋体"/>
          <w:strike w:val="0"/>
          <w:color w:val="auto"/>
          <w:szCs w:val="21"/>
          <w:highlight w:val="none"/>
        </w:rPr>
        <w:t>候选人（采用四舍五入取整），并详细说明推荐理由。</w:t>
      </w:r>
      <w:r>
        <w:rPr>
          <w:rFonts w:hint="eastAsia" w:ascii="宋体" w:hAnsi="宋体" w:eastAsia="宋体" w:cs="宋体"/>
          <w:strike w:val="0"/>
          <w:color w:val="auto"/>
          <w:szCs w:val="21"/>
          <w:highlight w:val="none"/>
          <w:u w:val="none"/>
        </w:rPr>
        <w:t>评审合格投标人数量</w:t>
      </w:r>
      <w:r>
        <w:rPr>
          <w:rFonts w:hint="eastAsia" w:ascii="宋体" w:hAnsi="宋体" w:eastAsia="宋体" w:cs="宋体"/>
          <w:strike w:val="0"/>
          <w:color w:val="auto"/>
          <w:szCs w:val="21"/>
          <w:highlight w:val="none"/>
          <w:u w:val="none"/>
          <w:lang w:val="en-US" w:eastAsia="zh-CN"/>
        </w:rPr>
        <w:t>为3-</w:t>
      </w:r>
      <w:r>
        <w:rPr>
          <w:rFonts w:hint="eastAsia" w:ascii="宋体" w:hAnsi="宋体" w:eastAsia="宋体" w:cs="宋体"/>
          <w:strike w:val="0"/>
          <w:color w:val="auto"/>
          <w:szCs w:val="21"/>
          <w:highlight w:val="none"/>
          <w:u w:val="none"/>
        </w:rPr>
        <w:t>5</w:t>
      </w:r>
      <w:r>
        <w:rPr>
          <w:rFonts w:hint="eastAsia" w:ascii="宋体" w:hAnsi="宋体" w:eastAsia="宋体" w:cs="宋体"/>
          <w:strike w:val="0"/>
          <w:color w:val="auto"/>
          <w:szCs w:val="21"/>
          <w:highlight w:val="none"/>
          <w:u w:val="none"/>
          <w:lang w:val="en-US" w:eastAsia="zh-CN"/>
        </w:rPr>
        <w:t>名的，所有合格投标人均为中标候选人</w:t>
      </w:r>
      <w:r>
        <w:rPr>
          <w:rStyle w:val="133"/>
          <w:rFonts w:hint="eastAsia" w:ascii="宋体" w:hAnsi="宋体" w:eastAsia="宋体" w:cs="宋体"/>
          <w:strike w:val="0"/>
          <w:color w:val="auto"/>
          <w:szCs w:val="21"/>
          <w:highlight w:val="none"/>
          <w:u w:val="none"/>
          <w:lang w:val="en-US" w:eastAsia="zh-CN"/>
        </w:rPr>
        <w:t>[</w:t>
      </w:r>
      <w:r>
        <w:rPr>
          <w:rStyle w:val="133"/>
          <w:rFonts w:hint="eastAsia" w:ascii="宋体" w:hAnsi="宋体" w:eastAsia="宋体" w:cs="宋体"/>
          <w:strike w:val="0"/>
          <w:color w:val="auto"/>
          <w:szCs w:val="21"/>
          <w:highlight w:val="none"/>
          <w:u w:val="none"/>
          <w:lang w:val="en-US" w:eastAsia="zh-CN"/>
        </w:rPr>
        <w:footnoteReference w:id="4"/>
      </w:r>
      <w:r>
        <w:rPr>
          <w:rStyle w:val="133"/>
          <w:rFonts w:hint="eastAsia" w:ascii="宋体" w:hAnsi="宋体" w:eastAsia="宋体" w:cs="宋体"/>
          <w:strike w:val="0"/>
          <w:color w:val="auto"/>
          <w:szCs w:val="21"/>
          <w:highlight w:val="none"/>
          <w:u w:val="none"/>
          <w:lang w:val="en-US" w:eastAsia="zh-CN"/>
        </w:rPr>
        <w:t>]</w:t>
      </w:r>
      <w:r>
        <w:rPr>
          <w:rFonts w:hint="eastAsia" w:ascii="宋体" w:hAnsi="宋体" w:eastAsia="宋体" w:cs="宋体"/>
          <w:strike w:val="0"/>
          <w:color w:val="auto"/>
          <w:szCs w:val="21"/>
          <w:highlight w:val="none"/>
          <w:u w:val="none"/>
          <w:lang w:val="en-US" w:eastAsia="zh-CN"/>
        </w:rPr>
        <w:t>。</w:t>
      </w:r>
    </w:p>
    <w:p w14:paraId="74F2137E">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29.3评标委员会作出无效标或者废标处理后，合格投标人数量不足3名的，招标人应当宣布本次招标失败，重新招标。</w:t>
      </w:r>
    </w:p>
    <w:p w14:paraId="0D31BC61">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采用批量招标方式的，评标委员会作出无效标或者废标处理后，合格投标人数量不足拟定中标人数量加上2名的，招标人不得再采用批量招标方式。</w:t>
      </w:r>
    </w:p>
    <w:p w14:paraId="6810887C">
      <w:pPr>
        <w:adjustRightInd w:val="0"/>
        <w:snapToGrid w:val="0"/>
        <w:spacing w:line="360" w:lineRule="auto"/>
        <w:ind w:firstLine="48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的项目，评标委员会作出无效标或者废标处理后合格投标人数量仍不足3名的，评标委员会应当将对合格投标人的评审意见提交招标人，招标人可以按照原招标文件的定标程序和方法从合格投标人中确定中标人，或者将上述情况在</w:t>
      </w:r>
      <w:r>
        <w:rPr>
          <w:rFonts w:hint="eastAsia" w:ascii="宋体" w:hAnsi="宋体" w:eastAsia="宋体" w:cs="宋体"/>
          <w:color w:val="auto"/>
          <w:kern w:val="0"/>
          <w:highlight w:val="none"/>
        </w:rPr>
        <w:t>交易网公示</w:t>
      </w:r>
      <w:r>
        <w:rPr>
          <w:rFonts w:hint="eastAsia" w:ascii="宋体" w:hAnsi="宋体" w:eastAsia="宋体" w:cs="宋体"/>
          <w:color w:val="auto"/>
          <w:kern w:val="0"/>
          <w:szCs w:val="21"/>
          <w:highlight w:val="none"/>
        </w:rPr>
        <w:t>3个工作日后直接发包。</w:t>
      </w:r>
    </w:p>
    <w:p w14:paraId="5CFE52A5">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29.4评标过程中，若评标委员会认为本次招标缺乏竞争性，可以不推荐投标人，由招标人重新组织招标。</w:t>
      </w:r>
    </w:p>
    <w:p w14:paraId="14C490EF">
      <w:pPr>
        <w:adjustRightInd w:val="0"/>
        <w:snapToGrid w:val="0"/>
        <w:spacing w:line="360" w:lineRule="auto"/>
        <w:ind w:firstLine="48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29.5如招投标过程中出现严重异常情况，经</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主管部门批准，招标人可以不接受本次招标结果，应当重新招标。</w:t>
      </w:r>
    </w:p>
    <w:p w14:paraId="4E15BE15">
      <w:pPr>
        <w:adjustRightInd w:val="0"/>
        <w:snapToGrid w:val="0"/>
        <w:spacing w:line="360" w:lineRule="auto"/>
        <w:ind w:firstLine="413" w:firstLineChars="196"/>
        <w:rPr>
          <w:rFonts w:ascii="宋体" w:hAnsi="宋体" w:eastAsia="宋体" w:cs="宋体"/>
          <w:color w:val="auto"/>
          <w:kern w:val="0"/>
          <w:szCs w:val="21"/>
          <w:highlight w:val="none"/>
        </w:rPr>
      </w:pPr>
      <w:r>
        <w:rPr>
          <w:rFonts w:hint="eastAsia" w:ascii="宋体" w:hAnsi="宋体" w:eastAsia="宋体" w:cs="宋体"/>
          <w:b/>
          <w:bCs/>
          <w:color w:val="auto"/>
          <w:kern w:val="0"/>
          <w:szCs w:val="21"/>
          <w:highlight w:val="none"/>
        </w:rPr>
        <w:t>30.评标报告</w:t>
      </w:r>
    </w:p>
    <w:p w14:paraId="7DB7B2A9">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30.1评标委员会收集并汇总全体评委评审意见后，由评标委员会主任委员填写《评标报告》。</w:t>
      </w:r>
      <w:r>
        <w:rPr>
          <w:rFonts w:hint="eastAsia" w:ascii="宋体" w:hAnsi="宋体" w:eastAsia="宋体" w:cs="宋体"/>
          <w:color w:val="auto"/>
          <w:szCs w:val="21"/>
          <w:highlight w:val="none"/>
        </w:rPr>
        <w:t>评标委员会应在评标报告中指出各投标文件的优点和存在的缺陷、签订合同前应注意和澄清的事项。评标过程中发现投标人报价存在异常低价的，应要求投标人作必要的澄清说明，提供相关材料，并在评标报告中提示该投标人在合同履行、工程质量安全等方面存在的风险。</w:t>
      </w:r>
      <w:r>
        <w:rPr>
          <w:rFonts w:hint="eastAsia" w:ascii="宋体" w:hAnsi="宋体" w:eastAsia="宋体" w:cs="宋体"/>
          <w:color w:val="auto"/>
          <w:szCs w:val="21"/>
          <w:highlight w:val="none"/>
        </w:rPr>
        <w:t>投标人不能合理说明或者不能提供相关证明材料的，由评标委员会认定该投标人以低于成本报价竞标，应当否决其投标。</w:t>
      </w:r>
    </w:p>
    <w:p w14:paraId="552C4B0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30.2评标报告应由评标委员会全体成员签字。</w:t>
      </w:r>
      <w:r>
        <w:rPr>
          <w:rFonts w:hint="eastAsia" w:ascii="宋体" w:hAnsi="宋体" w:eastAsia="宋体" w:cs="宋体"/>
          <w:color w:val="auto"/>
          <w:szCs w:val="21"/>
          <w:highlight w:val="none"/>
        </w:rPr>
        <w:t>评标委员会成员对评审意见和中标候选人名单存在分歧意见的，可采用书面方式阐述其不同意见和理由</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并</w:t>
      </w:r>
      <w:r>
        <w:rPr>
          <w:rFonts w:hint="eastAsia" w:ascii="宋体" w:hAnsi="宋体" w:eastAsia="宋体" w:cs="宋体"/>
          <w:color w:val="auto"/>
          <w:szCs w:val="21"/>
          <w:highlight w:val="none"/>
        </w:rPr>
        <w:t>在评标报告中客观记录</w:t>
      </w:r>
      <w:r>
        <w:rPr>
          <w:rFonts w:hint="eastAsia" w:ascii="宋体" w:hAnsi="宋体" w:eastAsia="宋体" w:cs="宋体"/>
          <w:strike/>
          <w:color w:val="auto"/>
          <w:szCs w:val="21"/>
          <w:highlight w:val="none"/>
        </w:rPr>
        <w:t>。</w:t>
      </w:r>
      <w:r>
        <w:rPr>
          <w:rFonts w:hint="eastAsia" w:ascii="宋体" w:hAnsi="宋体" w:eastAsia="宋体" w:cs="宋体"/>
          <w:color w:val="auto"/>
          <w:kern w:val="0"/>
          <w:szCs w:val="21"/>
          <w:highlight w:val="none"/>
        </w:rPr>
        <w:t>评标委员会成员拒绝签字的，视为同意评标结论。评标委员会应对此做出书面记录。</w:t>
      </w:r>
    </w:p>
    <w:p w14:paraId="7525162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30.3对发现的涉嫌违法、违规行为，应当在评标报告中做出详细说明，做好取证工作，并及时告知行政主管部门。</w:t>
      </w:r>
    </w:p>
    <w:p w14:paraId="3EE7CFD2">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30.4评标委员会向招标人提交评标报告后即解散。评标过程中使用的文件、资料等，都不得带离评标室。</w:t>
      </w:r>
    </w:p>
    <w:p w14:paraId="36186FA3">
      <w:pPr>
        <w:adjustRightInd w:val="0"/>
        <w:snapToGrid w:val="0"/>
        <w:spacing w:line="360" w:lineRule="auto"/>
        <w:ind w:firstLine="413" w:firstLineChars="196"/>
        <w:rPr>
          <w:rFonts w:ascii="宋体" w:hAnsi="宋体" w:eastAsia="宋体" w:cs="宋体"/>
          <w:b/>
          <w:color w:val="auto"/>
          <w:kern w:val="0"/>
          <w:highlight w:val="none"/>
        </w:rPr>
      </w:pPr>
      <w:r>
        <w:rPr>
          <w:rFonts w:hint="eastAsia" w:ascii="宋体" w:hAnsi="宋体" w:eastAsia="宋体" w:cs="宋体"/>
          <w:b/>
          <w:color w:val="auto"/>
          <w:kern w:val="0"/>
          <w:highlight w:val="none"/>
        </w:rPr>
        <w:t>31.评标结果公示</w:t>
      </w:r>
    </w:p>
    <w:p w14:paraId="66C6A25C">
      <w:pPr>
        <w:adjustRightInd w:val="0"/>
        <w:snapToGrid w:val="0"/>
        <w:spacing w:line="360" w:lineRule="auto"/>
        <w:ind w:firstLine="420" w:firstLineChars="200"/>
        <w:jc w:val="left"/>
        <w:rPr>
          <w:rFonts w:ascii="宋体" w:hAnsi="宋体" w:eastAsia="宋体" w:cs="宋体"/>
          <w:b/>
          <w:color w:val="auto"/>
          <w:kern w:val="0"/>
          <w:highlight w:val="none"/>
        </w:rPr>
      </w:pPr>
      <w:r>
        <w:rPr>
          <w:rFonts w:hint="eastAsia" w:ascii="宋体" w:hAnsi="宋体" w:eastAsia="宋体" w:cs="宋体"/>
          <w:color w:val="auto"/>
          <w:kern w:val="0"/>
          <w:szCs w:val="21"/>
          <w:highlight w:val="none"/>
        </w:rPr>
        <w:t>招标人应当将评标报告（含合格投标人名单）</w:t>
      </w:r>
      <w:r>
        <w:rPr>
          <w:rFonts w:hint="eastAsia" w:ascii="宋体" w:hAnsi="宋体" w:eastAsia="宋体" w:cs="宋体"/>
          <w:color w:val="auto"/>
          <w:szCs w:val="21"/>
          <w:highlight w:val="none"/>
          <w:lang w:val="en-US" w:eastAsia="zh-CN"/>
        </w:rPr>
        <w:t>及资信标内容</w:t>
      </w:r>
      <w:r>
        <w:rPr>
          <w:rFonts w:hint="eastAsia" w:ascii="宋体" w:hAnsi="宋体" w:eastAsia="宋体" w:cs="宋体"/>
          <w:color w:val="auto"/>
          <w:kern w:val="0"/>
          <w:szCs w:val="21"/>
          <w:highlight w:val="none"/>
        </w:rPr>
        <w:t>在</w:t>
      </w:r>
      <w:r>
        <w:rPr>
          <w:rFonts w:hint="eastAsia" w:ascii="宋体" w:hAnsi="宋体" w:eastAsia="宋体" w:cs="宋体"/>
          <w:color w:val="auto"/>
          <w:kern w:val="0"/>
          <w:highlight w:val="none"/>
        </w:rPr>
        <w:t>交易网</w:t>
      </w:r>
      <w:r>
        <w:rPr>
          <w:rFonts w:hint="eastAsia" w:ascii="宋体" w:hAnsi="宋体" w:eastAsia="宋体" w:cs="宋体"/>
          <w:color w:val="auto"/>
          <w:kern w:val="0"/>
          <w:szCs w:val="21"/>
          <w:highlight w:val="none"/>
        </w:rPr>
        <w:t>公示3个工作日。</w:t>
      </w:r>
    </w:p>
    <w:p w14:paraId="441C8369">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32.其它规定</w:t>
      </w:r>
    </w:p>
    <w:p w14:paraId="020D3722">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32.1若投标人的投标行为出现违反《深圳市建筑市场严重违法行为特别处理规定》等政策文件列明的各种情形的，招标人及评标委员会将提请</w:t>
      </w:r>
      <w:r>
        <w:rPr>
          <w:rFonts w:hint="eastAsia" w:ascii="宋体" w:hAnsi="宋体" w:eastAsia="宋体" w:cs="宋体"/>
          <w:color w:val="auto"/>
          <w:kern w:val="0"/>
          <w:szCs w:val="21"/>
          <w:highlight w:val="none"/>
          <w:lang w:val="en-US" w:eastAsia="zh-CN"/>
        </w:rPr>
        <w:t>行政</w:t>
      </w:r>
      <w:r>
        <w:rPr>
          <w:rFonts w:hint="eastAsia" w:ascii="宋体" w:hAnsi="宋体" w:eastAsia="宋体" w:cs="宋体"/>
          <w:color w:val="auto"/>
          <w:kern w:val="0"/>
          <w:szCs w:val="21"/>
          <w:highlight w:val="none"/>
        </w:rPr>
        <w:t>主管部门对相应投标人作不良记录。</w:t>
      </w:r>
    </w:p>
    <w:p w14:paraId="2C9DE3FC">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32.2评标过程中，若评标委员依据招标文件的规定要求招标人重新招标，招标人不承担因招标失败给投标人造成的损失。</w:t>
      </w:r>
    </w:p>
    <w:p w14:paraId="2935A99F">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32.3 投标报价的调整方法</w:t>
      </w:r>
    </w:p>
    <w:p w14:paraId="3CD0F29B">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32.3.1投标人的投标报价中如出现算术错误，将按以下方法进行调整：</w:t>
      </w:r>
    </w:p>
    <w:p w14:paraId="1FF7A72D">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32.3.1.1投标文件中大写金额与小写金额不一致的，以大写金额为准；</w:t>
      </w:r>
    </w:p>
    <w:p w14:paraId="2F70231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32.3.1.2总价金额与按单价计算的总金额不一致的，以单价计算的总金额为准。除非评标委员会认为单价有明显的小数点错误，此时应以合价金额为准，调整单价；</w:t>
      </w:r>
    </w:p>
    <w:p w14:paraId="65CD7F17">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32.3.2投标人的投标报价如果出现缺项、漏项中列明项目的数量情况的，评标委员会应根据具体评标方法和评审标准，按照不利于该投标人的原则进行调整，且投标人不得因此提出任何异议。</w:t>
      </w:r>
    </w:p>
    <w:p w14:paraId="46757000">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32.3.3按照本节第1条、第2条规定的调整方法确定的调整后报价，须取得投标人同意并确认。如果投标人拒不接受调整方法以及调整后的报价的，其投标将被拒绝。</w:t>
      </w:r>
    </w:p>
    <w:p w14:paraId="2C347E2F">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32.3.4如果出现多报数量情况的，评标委员会应根据具体评标方法和评审标准，按照不利于该投标人的原则进行调整，且投标人不得因此提出任何异议。</w:t>
      </w:r>
    </w:p>
    <w:p w14:paraId="4CD8659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32.3.5中标人的投标报价是按照本节第1条、第2条、第3条规定的进行了调整的，其中标价按就低不就高的原则确定。如果投标人拒不接受的，其投标将被拒绝。</w:t>
      </w:r>
    </w:p>
    <w:p w14:paraId="6B6FE2CC">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32.3.5.1投标人的投标报价的总价小于调整后的报价，中标价即为投标人的投标报价的总价；投标报价的总价大于调整后的报价，中标价即为调整后的报价。</w:t>
      </w:r>
    </w:p>
    <w:p w14:paraId="395C77DF">
      <w:pPr>
        <w:adjustRightInd w:val="0"/>
        <w:snapToGrid w:val="0"/>
        <w:spacing w:line="360" w:lineRule="auto"/>
        <w:ind w:firstLine="422" w:firstLineChars="200"/>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33.评标表格</w:t>
      </w:r>
    </w:p>
    <w:p w14:paraId="27763FAC">
      <w:pPr>
        <w:spacing w:line="360" w:lineRule="auto"/>
        <w:ind w:firstLine="420" w:firstLineChars="200"/>
        <w:jc w:val="left"/>
        <w:rPr>
          <w:rFonts w:ascii="宋体" w:hAnsi="宋体" w:eastAsia="宋体" w:cs="宋体"/>
          <w:color w:val="auto"/>
          <w:szCs w:val="21"/>
          <w:highlight w:val="none"/>
        </w:rPr>
      </w:pPr>
    </w:p>
    <w:p w14:paraId="4A1816F2">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商务标定性评审表</w:t>
      </w:r>
    </w:p>
    <w:p w14:paraId="4F2F0637">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78"/>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21951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61427DD5">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0BE47BA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313D625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01B46ECA">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10886EC0">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17ACD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78E9E489">
            <w:pPr>
              <w:adjustRightInd w:val="0"/>
              <w:snapToGrid w:val="0"/>
              <w:spacing w:line="360" w:lineRule="auto"/>
              <w:jc w:val="center"/>
              <w:rPr>
                <w:rFonts w:ascii="宋体" w:hAnsi="宋体" w:eastAsia="宋体" w:cs="宋体"/>
                <w:color w:val="auto"/>
                <w:kern w:val="0"/>
                <w:szCs w:val="21"/>
                <w:highlight w:val="none"/>
              </w:rPr>
            </w:pPr>
            <w:bookmarkStart w:id="46" w:name="商务标定性评审表" w:colFirst="0" w:colLast="0"/>
          </w:p>
        </w:tc>
        <w:tc>
          <w:tcPr>
            <w:tcW w:w="1555" w:type="dxa"/>
            <w:vAlign w:val="center"/>
          </w:tcPr>
          <w:p w14:paraId="7D95FDD5">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6A164730">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56672A02">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3194272E">
            <w:pPr>
              <w:adjustRightInd w:val="0"/>
              <w:snapToGrid w:val="0"/>
              <w:spacing w:line="360" w:lineRule="auto"/>
              <w:jc w:val="center"/>
              <w:rPr>
                <w:rFonts w:ascii="宋体" w:hAnsi="宋体" w:eastAsia="宋体" w:cs="宋体"/>
                <w:color w:val="auto"/>
                <w:kern w:val="0"/>
                <w:szCs w:val="21"/>
                <w:highlight w:val="none"/>
              </w:rPr>
            </w:pPr>
          </w:p>
        </w:tc>
      </w:tr>
      <w:bookmarkEnd w:id="46"/>
      <w:tr w14:paraId="7307F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4064BFE6">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61E749B8">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023B8EE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400DA979">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14:paraId="0F9C734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lang w:val="en-US" w:eastAsia="zh-CN"/>
        </w:rPr>
        <w:t>评标专家应</w:t>
      </w:r>
      <w:r>
        <w:rPr>
          <w:rFonts w:hint="eastAsia" w:ascii="宋体" w:hAnsi="宋体" w:eastAsia="宋体" w:cs="宋体"/>
          <w:strike w:val="0"/>
          <w:color w:val="auto"/>
          <w:szCs w:val="21"/>
          <w:highlight w:val="none"/>
          <w:lang w:eastAsia="zh-CN"/>
        </w:rPr>
        <w:t>对可能低于成本或者影响履约的异常低价投标进行分析研判，依法否决严重影响履约的低价投标。</w:t>
      </w:r>
    </w:p>
    <w:p w14:paraId="10710DF0">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3、综合评价等级仅分为合格或不合格两个等级，不合格仅限于符合招标文件废标、无效标情形以及投标文件违反国家强制性条文标准的情形。</w:t>
      </w:r>
    </w:p>
    <w:p w14:paraId="072543D7">
      <w:pPr>
        <w:spacing w:line="360" w:lineRule="auto"/>
        <w:ind w:firstLine="420" w:firstLineChars="200"/>
        <w:jc w:val="left"/>
        <w:rPr>
          <w:rFonts w:ascii="宋体" w:hAnsi="宋体" w:eastAsia="宋体" w:cs="宋体"/>
          <w:strike/>
          <w:color w:val="auto"/>
          <w:szCs w:val="21"/>
          <w:highlight w:val="none"/>
        </w:rPr>
      </w:pPr>
    </w:p>
    <w:p w14:paraId="323DBFE2">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技术标定性评审表</w:t>
      </w:r>
    </w:p>
    <w:p w14:paraId="236767F7">
      <w:pPr>
        <w:adjustRightInd w:val="0"/>
        <w:snapToGrid w:val="0"/>
        <w:spacing w:line="360" w:lineRule="auto"/>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标段名称：                                               投标单位：</w:t>
      </w:r>
    </w:p>
    <w:tbl>
      <w:tblPr>
        <w:tblStyle w:val="78"/>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555"/>
        <w:gridCol w:w="1560"/>
        <w:gridCol w:w="1169"/>
        <w:gridCol w:w="3861"/>
      </w:tblGrid>
      <w:tr w14:paraId="2943D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9" w:type="dxa"/>
            <w:vAlign w:val="center"/>
          </w:tcPr>
          <w:p w14:paraId="2642CA86">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1555" w:type="dxa"/>
            <w:vAlign w:val="center"/>
          </w:tcPr>
          <w:p w14:paraId="5B8480F3">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评审项目</w:t>
            </w:r>
          </w:p>
        </w:tc>
        <w:tc>
          <w:tcPr>
            <w:tcW w:w="1560" w:type="dxa"/>
            <w:vAlign w:val="center"/>
          </w:tcPr>
          <w:p w14:paraId="4F3BD92B">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评审内容</w:t>
            </w:r>
          </w:p>
        </w:tc>
        <w:tc>
          <w:tcPr>
            <w:tcW w:w="1169" w:type="dxa"/>
            <w:vAlign w:val="center"/>
          </w:tcPr>
          <w:p w14:paraId="56A1C64D">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优点</w:t>
            </w:r>
          </w:p>
        </w:tc>
        <w:tc>
          <w:tcPr>
            <w:tcW w:w="3861" w:type="dxa"/>
            <w:vAlign w:val="center"/>
          </w:tcPr>
          <w:p w14:paraId="7660BF19">
            <w:pPr>
              <w:adjustRightInd w:val="0"/>
              <w:snapToGrid w:val="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存在缺陷或签订合同前应注意和澄清事项</w:t>
            </w:r>
          </w:p>
        </w:tc>
      </w:tr>
      <w:tr w14:paraId="1CF78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19" w:type="dxa"/>
            <w:vAlign w:val="center"/>
          </w:tcPr>
          <w:p w14:paraId="1AEFEA63">
            <w:pPr>
              <w:adjustRightInd w:val="0"/>
              <w:snapToGrid w:val="0"/>
              <w:spacing w:line="360" w:lineRule="auto"/>
              <w:jc w:val="center"/>
              <w:rPr>
                <w:rFonts w:ascii="宋体" w:hAnsi="宋体" w:eastAsia="宋体" w:cs="宋体"/>
                <w:color w:val="auto"/>
                <w:kern w:val="0"/>
                <w:szCs w:val="21"/>
                <w:highlight w:val="none"/>
              </w:rPr>
            </w:pPr>
            <w:bookmarkStart w:id="47" w:name="技术标定性评审表" w:colFirst="0" w:colLast="0"/>
          </w:p>
        </w:tc>
        <w:tc>
          <w:tcPr>
            <w:tcW w:w="1555" w:type="dxa"/>
            <w:vAlign w:val="center"/>
          </w:tcPr>
          <w:p w14:paraId="5C8D800C">
            <w:pPr>
              <w:adjustRightInd w:val="0"/>
              <w:snapToGrid w:val="0"/>
              <w:spacing w:line="360" w:lineRule="auto"/>
              <w:jc w:val="left"/>
              <w:rPr>
                <w:rFonts w:ascii="宋体" w:hAnsi="宋体" w:eastAsia="宋体" w:cs="宋体"/>
                <w:color w:val="auto"/>
                <w:kern w:val="0"/>
                <w:szCs w:val="21"/>
                <w:highlight w:val="none"/>
              </w:rPr>
            </w:pPr>
          </w:p>
        </w:tc>
        <w:tc>
          <w:tcPr>
            <w:tcW w:w="1560" w:type="dxa"/>
            <w:vAlign w:val="center"/>
          </w:tcPr>
          <w:p w14:paraId="52E2195C">
            <w:pPr>
              <w:adjustRightInd w:val="0"/>
              <w:snapToGrid w:val="0"/>
              <w:spacing w:line="360" w:lineRule="auto"/>
              <w:jc w:val="left"/>
              <w:rPr>
                <w:rFonts w:ascii="宋体" w:hAnsi="宋体" w:eastAsia="宋体" w:cs="宋体"/>
                <w:color w:val="auto"/>
                <w:kern w:val="0"/>
                <w:szCs w:val="21"/>
                <w:highlight w:val="none"/>
              </w:rPr>
            </w:pPr>
          </w:p>
        </w:tc>
        <w:tc>
          <w:tcPr>
            <w:tcW w:w="1169" w:type="dxa"/>
            <w:vAlign w:val="center"/>
          </w:tcPr>
          <w:p w14:paraId="1BD39B2D">
            <w:pPr>
              <w:adjustRightInd w:val="0"/>
              <w:snapToGrid w:val="0"/>
              <w:spacing w:line="360" w:lineRule="auto"/>
              <w:jc w:val="left"/>
              <w:rPr>
                <w:rFonts w:ascii="宋体" w:hAnsi="宋体" w:eastAsia="宋体" w:cs="宋体"/>
                <w:color w:val="auto"/>
                <w:kern w:val="0"/>
                <w:szCs w:val="21"/>
                <w:highlight w:val="none"/>
              </w:rPr>
            </w:pPr>
          </w:p>
        </w:tc>
        <w:tc>
          <w:tcPr>
            <w:tcW w:w="3861" w:type="dxa"/>
            <w:vAlign w:val="center"/>
          </w:tcPr>
          <w:p w14:paraId="39B9032D">
            <w:pPr>
              <w:adjustRightInd w:val="0"/>
              <w:snapToGrid w:val="0"/>
              <w:spacing w:line="360" w:lineRule="auto"/>
              <w:jc w:val="center"/>
              <w:rPr>
                <w:rFonts w:ascii="宋体" w:hAnsi="宋体" w:eastAsia="宋体" w:cs="宋体"/>
                <w:color w:val="auto"/>
                <w:kern w:val="0"/>
                <w:szCs w:val="21"/>
                <w:highlight w:val="none"/>
              </w:rPr>
            </w:pPr>
          </w:p>
        </w:tc>
      </w:tr>
      <w:bookmarkEnd w:id="47"/>
      <w:tr w14:paraId="77013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4" w:type="dxa"/>
            <w:gridSpan w:val="5"/>
            <w:vAlign w:val="center"/>
          </w:tcPr>
          <w:p w14:paraId="27A3BABE">
            <w:pPr>
              <w:adjustRightInd w:val="0"/>
              <w:snapToGrid w:val="0"/>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综合评价等级：□合格    □不合格</w:t>
            </w:r>
          </w:p>
        </w:tc>
      </w:tr>
    </w:tbl>
    <w:p w14:paraId="07707496">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评标专家：                                  评标日期：    年  月  日</w:t>
      </w:r>
    </w:p>
    <w:p w14:paraId="1C2E6BED">
      <w:pPr>
        <w:adjustRightInd w:val="0"/>
        <w:snapToGrid w:val="0"/>
        <w:spacing w:line="360" w:lineRule="auto"/>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p w14:paraId="45896FB0">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1、本表适用于专家独立评审使用；</w:t>
      </w:r>
    </w:p>
    <w:p w14:paraId="23716E65">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szCs w:val="21"/>
          <w:highlight w:val="none"/>
          <w:lang w:val="en-US" w:eastAsia="zh-CN"/>
        </w:rPr>
        <w:t>评标专家应严格</w:t>
      </w:r>
      <w:r>
        <w:rPr>
          <w:rFonts w:hint="eastAsia" w:ascii="宋体" w:hAnsi="宋体" w:eastAsia="宋体" w:cs="宋体"/>
          <w:color w:val="auto"/>
          <w:szCs w:val="21"/>
          <w:highlight w:val="none"/>
        </w:rPr>
        <w:t>对照招标文件的评审标准，对各评标要素逐条进行评审</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评审合格的，应指出投标人</w:t>
      </w:r>
      <w:r>
        <w:rPr>
          <w:rFonts w:hint="eastAsia" w:ascii="宋体" w:hAnsi="宋体" w:eastAsia="宋体" w:cs="宋体"/>
          <w:color w:val="auto"/>
          <w:szCs w:val="21"/>
          <w:highlight w:val="none"/>
        </w:rPr>
        <w:t>各评审</w:t>
      </w:r>
      <w:r>
        <w:rPr>
          <w:rFonts w:hint="eastAsia" w:ascii="宋体" w:hAnsi="宋体" w:eastAsia="宋体" w:cs="宋体"/>
          <w:color w:val="auto"/>
          <w:szCs w:val="21"/>
          <w:highlight w:val="none"/>
          <w:lang w:val="en-US" w:eastAsia="zh-CN"/>
        </w:rPr>
        <w:t>要素</w:t>
      </w:r>
      <w:r>
        <w:rPr>
          <w:rFonts w:hint="eastAsia" w:ascii="宋体" w:hAnsi="宋体" w:eastAsia="宋体" w:cs="宋体"/>
          <w:color w:val="auto"/>
          <w:szCs w:val="21"/>
          <w:highlight w:val="none"/>
        </w:rPr>
        <w:t>的优点、存在缺陷或签订合同前应注意和澄清事项</w:t>
      </w:r>
      <w:r>
        <w:rPr>
          <w:rFonts w:hint="eastAsia" w:ascii="宋体" w:hAnsi="宋体" w:eastAsia="宋体" w:cs="宋体"/>
          <w:color w:val="auto"/>
          <w:szCs w:val="21"/>
          <w:highlight w:val="none"/>
          <w:lang w:val="en-US" w:eastAsia="zh-CN"/>
        </w:rPr>
        <w:t>的具体内容，</w:t>
      </w:r>
      <w:r>
        <w:rPr>
          <w:rFonts w:hint="eastAsia" w:ascii="宋体" w:hAnsi="宋体" w:eastAsia="宋体" w:cs="宋体"/>
          <w:color w:val="auto"/>
          <w:szCs w:val="21"/>
          <w:highlight w:val="none"/>
        </w:rPr>
        <w:t>不得</w:t>
      </w:r>
      <w:r>
        <w:rPr>
          <w:rFonts w:hint="eastAsia" w:ascii="宋体" w:hAnsi="宋体" w:eastAsia="宋体" w:cs="宋体"/>
          <w:color w:val="auto"/>
          <w:szCs w:val="21"/>
          <w:highlight w:val="none"/>
          <w:lang w:val="en-US" w:eastAsia="zh-CN"/>
        </w:rPr>
        <w:t>以</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可行</w:t>
      </w:r>
      <w:r>
        <w:rPr>
          <w:rFonts w:hint="eastAsia" w:ascii="宋体" w:hAnsi="宋体" w:eastAsia="宋体" w:cs="宋体"/>
          <w:color w:val="auto"/>
          <w:szCs w:val="21"/>
          <w:highlight w:val="none"/>
          <w:lang w:val="en-US" w:eastAsia="zh-CN"/>
        </w:rPr>
        <w:t>/技术</w:t>
      </w:r>
      <w:r>
        <w:rPr>
          <w:rFonts w:hint="eastAsia" w:ascii="宋体" w:hAnsi="宋体" w:eastAsia="宋体" w:cs="宋体"/>
          <w:color w:val="auto"/>
          <w:szCs w:val="21"/>
          <w:highlight w:val="none"/>
        </w:rPr>
        <w:t>不可行、</w:t>
      </w:r>
      <w:r>
        <w:rPr>
          <w:rFonts w:hint="eastAsia" w:ascii="宋体" w:hAnsi="宋体" w:eastAsia="宋体" w:cs="宋体"/>
          <w:color w:val="auto"/>
          <w:szCs w:val="21"/>
          <w:highlight w:val="none"/>
          <w:lang w:val="en-US" w:eastAsia="zh-CN"/>
        </w:rPr>
        <w:t>符合要求/不符合要求、针对性强/针对性不强，</w:t>
      </w:r>
      <w:r>
        <w:rPr>
          <w:rFonts w:hint="eastAsia" w:ascii="宋体" w:hAnsi="宋体" w:eastAsia="宋体" w:cs="宋体"/>
          <w:color w:val="auto"/>
          <w:szCs w:val="21"/>
          <w:highlight w:val="none"/>
        </w:rPr>
        <w:t>优、良、中、差”</w:t>
      </w:r>
      <w:r>
        <w:rPr>
          <w:rFonts w:hint="eastAsia" w:ascii="宋体" w:hAnsi="宋体" w:eastAsia="宋体" w:cs="宋体"/>
          <w:color w:val="auto"/>
          <w:szCs w:val="21"/>
          <w:highlight w:val="none"/>
          <w:lang w:val="en-US" w:eastAsia="zh-CN"/>
        </w:rPr>
        <w:t>等评价性意见替代前述具体内容；</w:t>
      </w:r>
    </w:p>
    <w:p w14:paraId="6D4CCBA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3、综合评价等级仅分为合格或不合格两个等级，不合格仅限于符合招标文件废标、无效标情形以及投标文件违反国家强制性条文标准的情形。</w:t>
      </w:r>
    </w:p>
    <w:p w14:paraId="7453D2AF">
      <w:pPr>
        <w:spacing w:line="360" w:lineRule="auto"/>
        <w:ind w:firstLine="420" w:firstLineChars="200"/>
        <w:jc w:val="left"/>
        <w:rPr>
          <w:rFonts w:ascii="宋体" w:hAnsi="宋体"/>
          <w:color w:val="auto"/>
          <w:szCs w:val="21"/>
          <w:highlight w:val="none"/>
        </w:rPr>
      </w:pPr>
    </w:p>
    <w:p w14:paraId="217A08BE">
      <w:pPr>
        <w:spacing w:line="360" w:lineRule="auto"/>
        <w:ind w:left="2940" w:firstLine="420"/>
        <w:outlineLvl w:val="2"/>
        <w:rPr>
          <w:rFonts w:ascii="黑体" w:hAnsi="宋体" w:eastAsia="黑体"/>
          <w:bCs/>
          <w:snapToGrid w:val="0"/>
          <w:color w:val="auto"/>
          <w:kern w:val="0"/>
          <w:sz w:val="30"/>
          <w:highlight w:val="none"/>
        </w:rPr>
      </w:pPr>
      <w:bookmarkStart w:id="48" w:name="_Toc1812"/>
      <w:bookmarkStart w:id="49" w:name="_Toc3102"/>
      <w:r>
        <w:rPr>
          <w:rFonts w:hint="eastAsia" w:ascii="黑体" w:hAnsi="宋体" w:eastAsia="黑体"/>
          <w:bCs/>
          <w:snapToGrid w:val="0"/>
          <w:color w:val="auto"/>
          <w:kern w:val="0"/>
          <w:sz w:val="30"/>
          <w:highlight w:val="none"/>
        </w:rPr>
        <w:t>（六）定标</w:t>
      </w:r>
      <w:bookmarkEnd w:id="48"/>
      <w:bookmarkEnd w:id="49"/>
    </w:p>
    <w:p w14:paraId="4832E3F5">
      <w:pPr>
        <w:adjustRightInd w:val="0"/>
        <w:snapToGrid w:val="0"/>
        <w:spacing w:line="360" w:lineRule="auto"/>
        <w:ind w:firstLine="422" w:firstLineChars="200"/>
        <w:jc w:val="left"/>
        <w:rPr>
          <w:rFonts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34.清标</w:t>
      </w:r>
    </w:p>
    <w:p w14:paraId="23B8928A">
      <w:pPr>
        <w:adjustRightInd w:val="0"/>
        <w:snapToGri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kern w:val="0"/>
          <w:szCs w:val="21"/>
          <w:highlight w:val="none"/>
        </w:rPr>
        <w:t>34.1 在开展定标前，招标人可以自行或委托专业机构</w:t>
      </w:r>
      <w:r>
        <w:rPr>
          <w:rFonts w:hint="eastAsia" w:ascii="宋体" w:hAnsi="宋体" w:eastAsia="宋体" w:cs="宋体"/>
          <w:color w:val="auto"/>
          <w:szCs w:val="21"/>
          <w:highlight w:val="none"/>
        </w:rPr>
        <w:t>（含邀请专家）方式</w:t>
      </w:r>
      <w:r>
        <w:rPr>
          <w:rFonts w:hint="eastAsia" w:ascii="宋体" w:hAnsi="宋体" w:eastAsia="宋体" w:cs="宋体"/>
          <w:color w:val="auto"/>
          <w:kern w:val="0"/>
          <w:szCs w:val="21"/>
          <w:highlight w:val="none"/>
        </w:rPr>
        <w:t>开展清标工作，</w:t>
      </w:r>
      <w:r>
        <w:rPr>
          <w:rFonts w:hint="eastAsia" w:ascii="宋体" w:hAnsi="宋体" w:eastAsia="宋体" w:cs="宋体"/>
          <w:color w:val="auto"/>
          <w:szCs w:val="21"/>
          <w:highlight w:val="none"/>
        </w:rPr>
        <w:t>清标人员数量为5人以上单数。</w:t>
      </w:r>
    </w:p>
    <w:p w14:paraId="319DF075">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34.2 </w:t>
      </w:r>
      <w:r>
        <w:rPr>
          <w:rFonts w:hint="eastAsia" w:ascii="宋体" w:hAnsi="宋体" w:eastAsia="宋体" w:cs="宋体"/>
          <w:color w:val="auto"/>
          <w:szCs w:val="21"/>
          <w:highlight w:val="none"/>
        </w:rPr>
        <w:t>清标要素由招标人根据项目实际设置，</w:t>
      </w:r>
      <w:r>
        <w:rPr>
          <w:rFonts w:hint="eastAsia" w:ascii="宋体" w:hAnsi="宋体" w:eastAsia="宋体" w:cs="宋体"/>
          <w:color w:val="auto"/>
          <w:kern w:val="0"/>
          <w:szCs w:val="21"/>
          <w:highlight w:val="none"/>
        </w:rPr>
        <w:t>清标工作包括对</w:t>
      </w:r>
      <w:r>
        <w:rPr>
          <w:rFonts w:hint="eastAsia" w:ascii="宋体" w:hAnsi="宋体" w:eastAsia="宋体" w:cs="宋体"/>
          <w:color w:val="auto"/>
          <w:szCs w:val="21"/>
          <w:highlight w:val="none"/>
        </w:rPr>
        <w:t>评标专家的评审意见进行复核</w:t>
      </w:r>
      <w:r>
        <w:rPr>
          <w:rFonts w:hint="eastAsia" w:ascii="宋体" w:hAnsi="宋体" w:eastAsia="宋体" w:cs="宋体"/>
          <w:color w:val="auto"/>
          <w:kern w:val="0"/>
          <w:szCs w:val="21"/>
          <w:highlight w:val="none"/>
        </w:rPr>
        <w:t>、投标人及拟派项目负责人进行考察、质询，对投标文件或方案进行澄清与复核，对项目后期可能遇到的风险和问题进行评估等</w:t>
      </w:r>
      <w:r>
        <w:rPr>
          <w:rFonts w:hint="eastAsia" w:ascii="宋体" w:hAnsi="宋体" w:eastAsia="宋体" w:cs="宋体"/>
          <w:color w:val="auto"/>
          <w:szCs w:val="21"/>
          <w:highlight w:val="none"/>
        </w:rPr>
        <w:t>。</w:t>
      </w:r>
    </w:p>
    <w:p w14:paraId="0CBC828E">
      <w:pPr>
        <w:adjustRightInd w:val="0"/>
        <w:snapToGrid w:val="0"/>
        <w:spacing w:line="360" w:lineRule="auto"/>
        <w:ind w:firstLine="420" w:firstLineChars="200"/>
        <w:jc w:val="left"/>
        <w:rPr>
          <w:rFonts w:ascii="宋体" w:hAnsi="宋体" w:eastAsia="宋体" w:cs="宋体"/>
          <w:b/>
          <w:color w:val="auto"/>
          <w:kern w:val="0"/>
          <w:szCs w:val="21"/>
          <w:highlight w:val="none"/>
        </w:rPr>
      </w:pPr>
      <w:r>
        <w:rPr>
          <w:rFonts w:hint="eastAsia" w:ascii="宋体" w:hAnsi="宋体" w:eastAsia="宋体" w:cs="宋体"/>
          <w:color w:val="auto"/>
          <w:kern w:val="0"/>
          <w:szCs w:val="21"/>
          <w:highlight w:val="none"/>
        </w:rPr>
        <w:t>34.3 清标工作完成后，招标人应当形成清标报告，并在定标前将清标报告等相关资料上传至交易平台，</w:t>
      </w:r>
      <w:r>
        <w:rPr>
          <w:rFonts w:hint="eastAsia" w:ascii="宋体" w:hAnsi="宋体" w:eastAsia="宋体" w:cs="宋体"/>
          <w:color w:val="auto"/>
          <w:szCs w:val="21"/>
          <w:highlight w:val="none"/>
        </w:rPr>
        <w:t>作为定标委员会定标的重要参考依据</w:t>
      </w:r>
      <w:r>
        <w:rPr>
          <w:rFonts w:hint="eastAsia" w:ascii="宋体" w:hAnsi="宋体" w:eastAsia="宋体" w:cs="宋体"/>
          <w:color w:val="auto"/>
          <w:kern w:val="0"/>
          <w:szCs w:val="21"/>
          <w:highlight w:val="none"/>
        </w:rPr>
        <w:t>。清标报告内容应当客观、公正、真实、有效。</w:t>
      </w:r>
    </w:p>
    <w:p w14:paraId="03555775">
      <w:pPr>
        <w:spacing w:line="360" w:lineRule="auto"/>
        <w:ind w:firstLine="422" w:firstLineChars="200"/>
        <w:jc w:val="left"/>
        <w:rPr>
          <w:rFonts w:ascii="宋体" w:hAnsi="宋体" w:eastAsia="宋体" w:cs="宋体"/>
          <w:color w:val="auto"/>
          <w:szCs w:val="21"/>
          <w:highlight w:val="none"/>
        </w:rPr>
      </w:pPr>
      <w:r>
        <w:rPr>
          <w:rFonts w:hint="eastAsia" w:ascii="宋体" w:hAnsi="宋体" w:eastAsia="宋体" w:cs="宋体"/>
          <w:b/>
          <w:snapToGrid w:val="0"/>
          <w:color w:val="auto"/>
          <w:kern w:val="0"/>
          <w:szCs w:val="21"/>
          <w:highlight w:val="none"/>
        </w:rPr>
        <w:t>35.定标方法</w:t>
      </w:r>
    </w:p>
    <w:p w14:paraId="6CF0927B">
      <w:pPr>
        <w:adjustRightInd w:val="0"/>
        <w:snapToGrid w:val="0"/>
        <w:spacing w:line="360" w:lineRule="auto"/>
        <w:ind w:firstLine="420" w:firstLineChars="200"/>
        <w:rPr>
          <w:rFonts w:ascii="宋体" w:hAnsi="宋体" w:eastAsia="宋体" w:cs="宋体"/>
          <w:bCs/>
          <w:color w:val="auto"/>
          <w:kern w:val="0"/>
          <w:szCs w:val="21"/>
          <w:highlight w:val="none"/>
        </w:rPr>
      </w:pPr>
      <w:r>
        <w:rPr>
          <w:rFonts w:hint="eastAsia" w:ascii="宋体" w:hAnsi="宋体" w:eastAsia="宋体" w:cs="宋体"/>
          <w:color w:val="auto"/>
          <w:kern w:val="0"/>
          <w:szCs w:val="21"/>
          <w:highlight w:val="none"/>
        </w:rPr>
        <w:t>招标人在定标过程中，应当坚持择优与竞价相结合，择优为主。限制采用直接抽签方式进行定标。</w:t>
      </w:r>
      <w:r>
        <w:rPr>
          <w:rFonts w:hint="eastAsia" w:ascii="宋体" w:hAnsi="宋体" w:eastAsia="宋体" w:cs="宋体"/>
          <w:bCs/>
          <w:color w:val="auto"/>
          <w:kern w:val="0"/>
          <w:szCs w:val="21"/>
          <w:highlight w:val="none"/>
        </w:rPr>
        <w:t>招标人应采用下列方法在评标委员会推荐的合格投标人中确定中标人：</w:t>
      </w:r>
    </w:p>
    <w:p w14:paraId="5BAE4D66">
      <w:pPr>
        <w:spacing w:line="360" w:lineRule="auto"/>
        <w:ind w:firstLine="422" w:firstLineChars="200"/>
        <w:jc w:val="left"/>
        <w:rPr>
          <w:rFonts w:ascii="宋体" w:hAnsi="宋体" w:eastAsia="宋体" w:cs="宋体"/>
          <w:b/>
          <w:snapToGrid w:val="0"/>
          <w:color w:val="auto"/>
          <w:kern w:val="0"/>
          <w:szCs w:val="21"/>
          <w:highlight w:val="none"/>
        </w:rPr>
      </w:pPr>
      <w:bookmarkStart w:id="50" w:name="票决定标法"/>
      <w:r>
        <w:rPr>
          <w:rFonts w:hint="eastAsia" w:ascii="宋体" w:hAnsi="宋体" w:eastAsia="宋体" w:cs="宋体"/>
          <w:b/>
          <w:snapToGrid w:val="0"/>
          <w:color w:val="auto"/>
          <w:kern w:val="0"/>
          <w:szCs w:val="21"/>
          <w:highlight w:val="none"/>
        </w:rPr>
        <w:t>35.1</w:t>
      </w:r>
      <w:r>
        <w:rPr>
          <w:rFonts w:hint="eastAsia" w:ascii="宋体" w:hAnsi="宋体" w:eastAsia="宋体" w:cs="宋体"/>
          <w:b/>
          <w:color w:val="auto"/>
          <w:kern w:val="0"/>
          <w:szCs w:val="21"/>
          <w:highlight w:val="none"/>
        </w:rPr>
        <w:t>直接</w:t>
      </w:r>
      <w:r>
        <w:rPr>
          <w:rFonts w:hint="eastAsia" w:ascii="宋体" w:hAnsi="宋体" w:eastAsia="宋体" w:cs="宋体"/>
          <w:b/>
          <w:snapToGrid w:val="0"/>
          <w:color w:val="auto"/>
          <w:kern w:val="0"/>
          <w:szCs w:val="21"/>
          <w:highlight w:val="none"/>
        </w:rPr>
        <w:t>票决定标法</w:t>
      </w:r>
    </w:p>
    <w:p w14:paraId="7C2485D4">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招标人组建定标委员会，定标委员会成员对所有进入定标程序的投标人根据前附表确定的方式进行投票，根据得票数确定中标人。</w:t>
      </w:r>
    </w:p>
    <w:p w14:paraId="1CC53400">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color w:val="auto"/>
          <w:kern w:val="0"/>
          <w:szCs w:val="21"/>
          <w:highlight w:val="none"/>
        </w:rPr>
        <w:t>（1）</w:t>
      </w:r>
      <w:r>
        <w:rPr>
          <w:rFonts w:hint="eastAsia" w:ascii="宋体" w:hAnsi="宋体" w:eastAsia="宋体" w:cs="宋体"/>
          <w:b/>
          <w:bCs/>
          <w:color w:val="auto"/>
          <w:kern w:val="0"/>
          <w:highlight w:val="none"/>
        </w:rPr>
        <w:t>票决方式：</w:t>
      </w:r>
    </w:p>
    <w:p w14:paraId="7EC0EAC8">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①简单多数法</w:t>
      </w:r>
    </w:p>
    <w:p w14:paraId="697D27F4">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a.投票规则：定标委员会成员按照招标文件规定的推荐人数，在各自的选票上填写相同数量的投标人名称或序号。</w:t>
      </w:r>
    </w:p>
    <w:p w14:paraId="5E068FB0">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14AE54B3">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②简单多数法（且过半数）</w:t>
      </w:r>
    </w:p>
    <w:p w14:paraId="0B41CF43">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a.投票规则：定标委员会在进入投票范围的投标人中，以每人投票支持一个投标人的方式，得票最多且过半数的投标人为中标人。</w:t>
      </w:r>
    </w:p>
    <w:p w14:paraId="1A8897D3">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b.计算规则：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p w14:paraId="74C43F49">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③对比胜出法</w:t>
      </w:r>
    </w:p>
    <w:p w14:paraId="2C6EAE42">
      <w:pPr>
        <w:adjustRightInd w:val="0"/>
        <w:snapToGrid w:val="0"/>
        <w:spacing w:line="360" w:lineRule="auto"/>
        <w:ind w:firstLine="411" w:firstLineChars="196"/>
        <w:rPr>
          <w:rFonts w:ascii="宋体" w:hAnsi="宋体" w:eastAsia="宋体" w:cs="宋体"/>
          <w:color w:val="auto"/>
          <w:kern w:val="0"/>
          <w:highlight w:val="none"/>
        </w:rPr>
      </w:pPr>
      <w:r>
        <w:rPr>
          <w:rFonts w:hint="eastAsia" w:ascii="宋体" w:hAnsi="宋体" w:eastAsia="宋体" w:cs="宋体"/>
          <w:color w:val="auto"/>
          <w:kern w:val="0"/>
          <w:highlight w:val="none"/>
        </w:rPr>
        <w:t>a.投票规则：每一张选票，都是所有进入定标程序的投标人的一个排列，该排列明确了先后顺序，即第一名、第二名，...，排列最后的为最后一名。</w:t>
      </w:r>
    </w:p>
    <w:p w14:paraId="513D3E22">
      <w:pPr>
        <w:adjustRightInd w:val="0"/>
        <w:snapToGrid w:val="0"/>
        <w:spacing w:line="360" w:lineRule="auto"/>
        <w:ind w:firstLine="411" w:firstLineChars="196"/>
        <w:jc w:val="left"/>
        <w:rPr>
          <w:rFonts w:ascii="宋体" w:hAnsi="宋体" w:eastAsia="宋体" w:cs="宋体"/>
          <w:color w:val="auto"/>
          <w:kern w:val="0"/>
          <w:szCs w:val="21"/>
          <w:highlight w:val="none"/>
        </w:rPr>
      </w:pPr>
      <w:r>
        <w:rPr>
          <w:rFonts w:hint="eastAsia" w:ascii="宋体" w:hAnsi="宋体" w:eastAsia="宋体" w:cs="宋体"/>
          <w:color w:val="auto"/>
          <w:kern w:val="0"/>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09F240CF">
      <w:pPr>
        <w:adjustRightInd w:val="0"/>
        <w:snapToGrid w:val="0"/>
        <w:spacing w:line="360" w:lineRule="auto"/>
        <w:ind w:firstLine="413" w:firstLineChars="196"/>
        <w:rPr>
          <w:rFonts w:ascii="宋体" w:hAnsi="宋体" w:eastAsia="宋体" w:cs="宋体"/>
          <w:b/>
          <w:color w:val="auto"/>
          <w:kern w:val="0"/>
          <w:szCs w:val="21"/>
          <w:highlight w:val="none"/>
        </w:rPr>
      </w:pPr>
      <w:r>
        <w:rPr>
          <w:rFonts w:hint="eastAsia" w:ascii="宋体" w:hAnsi="宋体" w:eastAsia="宋体" w:cs="宋体"/>
          <w:b/>
          <w:snapToGrid w:val="0"/>
          <w:color w:val="auto"/>
          <w:kern w:val="0"/>
          <w:szCs w:val="21"/>
          <w:highlight w:val="none"/>
        </w:rPr>
        <w:t>35.2</w:t>
      </w:r>
      <w:r>
        <w:rPr>
          <w:rFonts w:hint="eastAsia" w:ascii="宋体" w:hAnsi="宋体" w:eastAsia="宋体" w:cs="宋体"/>
          <w:b/>
          <w:color w:val="auto"/>
          <w:kern w:val="0"/>
          <w:szCs w:val="21"/>
          <w:highlight w:val="none"/>
        </w:rPr>
        <w:t>逐轮票决定标法</w:t>
      </w:r>
    </w:p>
    <w:p w14:paraId="127413C8">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招标人组建定标委员会，定标委员会成员对所有进入定标程序的投标人根据前附表确定的方式进行逐轮投票，每轮以得票数确定进入下一轮投票的投标人直至确定中标人。</w:t>
      </w:r>
    </w:p>
    <w:p w14:paraId="3F3B65C6">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（1）票决方式：</w:t>
      </w:r>
    </w:p>
    <w:p w14:paraId="537DBA14">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①简单多数法</w:t>
      </w:r>
    </w:p>
    <w:p w14:paraId="0ECC749D">
      <w:pPr>
        <w:adjustRightInd w:val="0"/>
        <w:snapToGrid w:val="0"/>
        <w:spacing w:line="360" w:lineRule="auto"/>
        <w:ind w:firstLine="411" w:firstLineChars="196"/>
        <w:rPr>
          <w:rFonts w:ascii="宋体" w:hAnsi="宋体" w:eastAsia="宋体" w:cs="宋体"/>
          <w:color w:val="auto"/>
          <w:kern w:val="0"/>
          <w:szCs w:val="21"/>
          <w:highlight w:val="none"/>
        </w:rPr>
      </w:pPr>
      <w:r>
        <w:rPr>
          <w:color w:val="auto"/>
          <w:sz w:val="21"/>
          <w:highlight w:val="none"/>
        </w:rPr>
        <mc:AlternateContent>
          <mc:Choice Requires="wps">
            <w:drawing>
              <wp:anchor distT="0" distB="0" distL="114300" distR="114300" simplePos="0" relativeHeight="251659264" behindDoc="0" locked="0" layoutInCell="1" allowOverlap="1">
                <wp:simplePos x="0" y="0"/>
                <wp:positionH relativeFrom="column">
                  <wp:posOffset>3155950</wp:posOffset>
                </wp:positionH>
                <wp:positionV relativeFrom="paragraph">
                  <wp:posOffset>299085</wp:posOffset>
                </wp:positionV>
                <wp:extent cx="635" cy="635"/>
                <wp:effectExtent l="8890" t="8890" r="20955" b="13335"/>
                <wp:wrapNone/>
                <wp:docPr id="1" name="墨迹 1"/>
                <wp:cNvGraphicFramePr/>
                <a:graphic xmlns:a="http://schemas.openxmlformats.org/drawingml/2006/main">
                  <a:graphicData uri="http://schemas.microsoft.com/office/word/2010/wordprocessingInk">
                    <mc:AlternateContent xmlns:a14="http://schemas.microsoft.com/office/drawing/2010/main">
                      <mc:Choice Requires="a14">
                        <w14:contentPart bwMode="clr" r:id="rId7">
                          <w14:nvContentPartPr>
                            <w14:cNvPr id="1" name="墨迹 1"/>
                            <w14:cNvContentPartPr/>
                          </w14:nvContentPartPr>
                          <w14:xfrm>
                            <a:off x="3983990" y="3497580"/>
                            <a:ext cx="635" cy="635"/>
                          </w14:xfrm>
                        </w14:contentPart>
                      </mc:Choice>
                    </mc:AlternateContent>
                  </a:graphicData>
                </a:graphic>
              </wp:anchor>
            </w:drawing>
          </mc:Choice>
          <mc:Fallback>
            <w:pict>
              <v:shape id="_x0000_s1026" o:spid="_x0000_s1026" o:spt="75" style="position:absolute;left:0pt;margin-left:248.5pt;margin-top:23.55pt;height:0.05pt;width:0.05pt;z-index:251659264;mso-width-relative:page;mso-height-relative:page;" coordsize="21600,21600" o:gfxdata="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">
                <v:imagedata r:id="rId8" o:title=""/>
                <o:lock v:ext="edit"/>
              </v:shape>
            </w:pict>
          </mc:Fallback>
        </mc:AlternateContent>
      </w:r>
      <w:r>
        <w:rPr>
          <w:rFonts w:hint="eastAsia" w:ascii="宋体" w:hAnsi="宋体" w:eastAsia="宋体" w:cs="宋体"/>
          <w:color w:val="auto"/>
          <w:kern w:val="0"/>
          <w:szCs w:val="21"/>
          <w:highlight w:val="none"/>
        </w:rPr>
        <w:t>a.投票规则：定标委员会成员按照招标文件规定的推荐人数，在各自的选票上填写相同数量的投标人名称或序号。</w:t>
      </w:r>
    </w:p>
    <w:p w14:paraId="63F02EEF">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根据得票数的多少进行排名，推荐得票数最多的为中标人。投票结果中排序出现并列情形的，在不影响票决家数总数的情况下不须再次投票，投票结果中并列排序影响到结果时，以继续票决的方式进行确定。</w:t>
      </w:r>
    </w:p>
    <w:p w14:paraId="5648477D">
      <w:pPr>
        <w:adjustRightInd w:val="0"/>
        <w:snapToGrid w:val="0"/>
        <w:spacing w:line="360" w:lineRule="auto"/>
        <w:ind w:firstLine="413" w:firstLineChars="196"/>
        <w:rPr>
          <w:rFonts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②对比胜出法</w:t>
      </w:r>
    </w:p>
    <w:p w14:paraId="16AEE205">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a.投票规则：每一张选票，都是所有进入定标程序的投标人的一个排列，该排列明确了先后顺序，即第一名、第二名，...，排列最后的为最后一名。</w:t>
      </w:r>
    </w:p>
    <w:p w14:paraId="26CD8D16">
      <w:pPr>
        <w:adjustRightInd w:val="0"/>
        <w:snapToGrid w:val="0"/>
        <w:spacing w:line="360" w:lineRule="auto"/>
        <w:ind w:firstLine="411" w:firstLineChars="196"/>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b.计算规则：比较每个进入定标程序的投标人在一对一比较中的取胜次数，取胜次数最多的投标人胜出。假设两个投标人是A和B，那么把所有的选票分为两类：第一类是把A排在B前面的，第二类是把B排在A前面的。如果第一类的选票的数量多，那么为A胜，B负，记A取胜一次；如果第二类的选票的数量多，那么为A负，B胜，记B取胜一次。</w:t>
      </w:r>
    </w:p>
    <w:p w14:paraId="1886658E">
      <w:pPr>
        <w:adjustRightInd w:val="0"/>
        <w:snapToGrid w:val="0"/>
        <w:spacing w:line="360" w:lineRule="auto"/>
        <w:ind w:firstLine="413" w:firstLineChars="196"/>
        <w:rPr>
          <w:rFonts w:ascii="宋体" w:hAnsi="宋体" w:eastAsia="宋体" w:cs="宋体"/>
          <w:b/>
          <w:bCs/>
          <w:color w:val="auto"/>
          <w:kern w:val="0"/>
          <w:highlight w:val="none"/>
        </w:rPr>
      </w:pPr>
      <w:r>
        <w:rPr>
          <w:rFonts w:hint="eastAsia" w:ascii="宋体" w:hAnsi="宋体" w:eastAsia="宋体" w:cs="宋体"/>
          <w:b/>
          <w:bCs/>
          <w:color w:val="auto"/>
          <w:kern w:val="0"/>
          <w:highlight w:val="none"/>
        </w:rPr>
        <w:t>③</w:t>
      </w:r>
      <w:r>
        <w:rPr>
          <w:rFonts w:hint="eastAsia" w:ascii="宋体" w:hAnsi="宋体" w:eastAsia="宋体" w:cs="宋体"/>
          <w:b/>
          <w:bCs/>
          <w:color w:val="auto"/>
          <w:kern w:val="0"/>
          <w:szCs w:val="21"/>
          <w:highlight w:val="none"/>
        </w:rPr>
        <w:t>先票决后淘汰</w:t>
      </w:r>
    </w:p>
    <w:p w14:paraId="14D1CC94">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a.</w:t>
      </w:r>
      <w:r>
        <w:rPr>
          <w:rFonts w:hint="eastAsia" w:ascii="宋体" w:hAnsi="宋体" w:eastAsia="宋体" w:cs="宋体"/>
          <w:color w:val="auto"/>
          <w:kern w:val="0"/>
          <w:szCs w:val="21"/>
          <w:highlight w:val="none"/>
        </w:rPr>
        <w:t>票决规则：</w:t>
      </w:r>
      <w:r>
        <w:rPr>
          <w:rFonts w:hint="eastAsia" w:ascii="宋体" w:hAnsi="宋体" w:eastAsia="宋体" w:cs="宋体"/>
          <w:color w:val="auto"/>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14:paraId="4C5600CE">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kern w:val="0"/>
          <w:highlight w:val="none"/>
        </w:rPr>
        <w:t>b.</w:t>
      </w:r>
      <w:r>
        <w:rPr>
          <w:rFonts w:hint="eastAsia" w:ascii="宋体" w:hAnsi="宋体" w:eastAsia="宋体" w:cs="宋体"/>
          <w:color w:val="auto"/>
          <w:kern w:val="0"/>
          <w:szCs w:val="21"/>
          <w:highlight w:val="none"/>
        </w:rPr>
        <w:t>淘汰规则：</w:t>
      </w:r>
      <w:r>
        <w:rPr>
          <w:rFonts w:hint="eastAsia" w:ascii="宋体" w:hAnsi="宋体" w:eastAsia="宋体" w:cs="宋体"/>
          <w:color w:val="auto"/>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14:paraId="11D674A3">
      <w:pPr>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szCs w:val="21"/>
          <w:highlight w:val="none"/>
        </w:rPr>
        <w:t>根据前述规则，直至剩余1名投标人为中标人。</w:t>
      </w:r>
    </w:p>
    <w:bookmarkEnd w:id="50"/>
    <w:p w14:paraId="2BAB96A0">
      <w:pPr>
        <w:spacing w:line="360" w:lineRule="auto"/>
        <w:ind w:firstLine="426" w:firstLineChars="202"/>
        <w:rPr>
          <w:rFonts w:ascii="宋体" w:hAnsi="宋体" w:eastAsia="宋体" w:cs="宋体"/>
          <w:b/>
          <w:color w:val="auto"/>
          <w:szCs w:val="21"/>
          <w:highlight w:val="none"/>
        </w:rPr>
      </w:pPr>
      <w:bookmarkStart w:id="51" w:name="集体议事法"/>
      <w:r>
        <w:rPr>
          <w:rFonts w:hint="eastAsia" w:ascii="宋体" w:hAnsi="宋体" w:eastAsia="宋体" w:cs="宋体"/>
          <w:b/>
          <w:color w:val="auto"/>
          <w:szCs w:val="21"/>
          <w:highlight w:val="none"/>
        </w:rPr>
        <w:t>35.</w:t>
      </w:r>
      <w:r>
        <w:rPr>
          <w:rFonts w:hint="eastAsia" w:ascii="宋体" w:hAnsi="宋体" w:eastAsia="宋体" w:cs="宋体"/>
          <w:b/>
          <w:color w:val="auto"/>
          <w:szCs w:val="21"/>
          <w:highlight w:val="none"/>
          <w:lang w:val="en-US" w:eastAsia="zh-CN"/>
        </w:rPr>
        <w:t>3</w:t>
      </w:r>
      <w:r>
        <w:rPr>
          <w:rFonts w:hint="eastAsia" w:ascii="宋体" w:hAnsi="宋体" w:eastAsia="宋体" w:cs="宋体"/>
          <w:b/>
          <w:color w:val="auto"/>
          <w:szCs w:val="21"/>
          <w:highlight w:val="none"/>
        </w:rPr>
        <w:t>集体议事定标法</w:t>
      </w:r>
    </w:p>
    <w:p w14:paraId="4B651E0D">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p>
    <w:bookmarkEnd w:id="51"/>
    <w:p w14:paraId="6F02015E">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snapToGrid w:val="0"/>
          <w:color w:val="auto"/>
          <w:kern w:val="0"/>
          <w:szCs w:val="21"/>
          <w:highlight w:val="none"/>
        </w:rPr>
        <w:t>36.定标程序</w:t>
      </w:r>
    </w:p>
    <w:p w14:paraId="4AC1F387">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36.1</w:t>
      </w:r>
      <w:r>
        <w:rPr>
          <w:rFonts w:hint="eastAsia" w:ascii="宋体" w:hAnsi="宋体" w:eastAsia="宋体" w:cs="宋体"/>
          <w:color w:val="auto"/>
          <w:kern w:val="0"/>
          <w:szCs w:val="21"/>
          <w:highlight w:val="none"/>
        </w:rPr>
        <w:t>招标人应当事先制定定标工作规则，对不同类别项目择优竞价结合方式、竞价方法、择优要素予以明确，并报招标人内设（或上级）的纪检监察机构（或督查机构）备案。</w:t>
      </w:r>
    </w:p>
    <w:p w14:paraId="361B5270">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highlight w:val="none"/>
        </w:rPr>
        <w:t>36.2</w:t>
      </w:r>
      <w:r>
        <w:rPr>
          <w:rFonts w:hint="eastAsia" w:ascii="宋体" w:hAnsi="宋体" w:eastAsia="宋体" w:cs="宋体"/>
          <w:color w:val="auto"/>
          <w:kern w:val="0"/>
          <w:szCs w:val="21"/>
          <w:highlight w:val="none"/>
        </w:rPr>
        <w:t>在招标公告发布前，招标人应结合定标工作规则和项目实际，制定</w:t>
      </w:r>
      <w:r>
        <w:rPr>
          <w:rFonts w:hint="eastAsia" w:ascii="宋体" w:hAnsi="宋体" w:eastAsia="宋体" w:cs="宋体"/>
          <w:color w:val="auto"/>
          <w:kern w:val="0"/>
          <w:szCs w:val="21"/>
          <w:highlight w:val="none"/>
          <w:lang w:val="en-US" w:eastAsia="zh-CN"/>
        </w:rPr>
        <w:t>详细的</w:t>
      </w:r>
      <w:r>
        <w:rPr>
          <w:rFonts w:hint="eastAsia" w:ascii="宋体" w:hAnsi="宋体" w:eastAsia="宋体" w:cs="宋体"/>
          <w:color w:val="auto"/>
          <w:kern w:val="0"/>
          <w:szCs w:val="21"/>
          <w:highlight w:val="none"/>
        </w:rPr>
        <w:t>项目定标方案，细化择优要素、竞价因素，明确定标</w:t>
      </w:r>
      <w:r>
        <w:rPr>
          <w:rFonts w:hint="eastAsia" w:ascii="宋体" w:hAnsi="宋体" w:eastAsia="宋体" w:cs="宋体"/>
          <w:color w:val="auto"/>
          <w:kern w:val="0"/>
          <w:szCs w:val="21"/>
          <w:highlight w:val="none"/>
          <w:lang w:val="en-US" w:eastAsia="zh-CN"/>
        </w:rPr>
        <w:t>委员会成员构成、</w:t>
      </w:r>
      <w:r>
        <w:rPr>
          <w:rFonts w:hint="eastAsia" w:ascii="宋体" w:hAnsi="宋体" w:eastAsia="宋体" w:cs="宋体"/>
          <w:color w:val="auto"/>
          <w:kern w:val="0"/>
          <w:szCs w:val="21"/>
          <w:highlight w:val="none"/>
        </w:rPr>
        <w:t>定标流程、投票规则等内容</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鼓励招标人对择优要素及优先级别进行客观量化，提升定标质量效率。招标人在将项目定标方案报内设（上级）的纪检监察机构（或督察机构）备案的基础上，应于招标公告备案时将项目定标方案上传至备案系统加密保存。招标公告对外发布后不得更改项目定标方案，确需更改的应当重新发布招标公告。定标时必须严格遵守定标工作规则和项目定标方案，不得临时改变规则。</w:t>
      </w:r>
    </w:p>
    <w:p w14:paraId="0392883A">
      <w:pPr>
        <w:adjustRightInd w:val="0"/>
        <w:snapToGrid w:val="0"/>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实行市场化代建的项目，相关招标文件及具体定标方案应报建设单位审核确认，由建设单位与招标人（代建单位）共同盖章后留存备查。建设单位应同步将项目定标方案报内设（上级）的纪检监察机构（或督查机构）备案</w:t>
      </w:r>
      <w:r>
        <w:rPr>
          <w:rStyle w:val="133"/>
          <w:rFonts w:hint="eastAsia" w:ascii="宋体" w:hAnsi="宋体" w:eastAsia="宋体" w:cs="宋体"/>
          <w:color w:val="auto"/>
          <w:kern w:val="0"/>
          <w:szCs w:val="21"/>
          <w:highlight w:val="none"/>
          <w:lang w:val="en-US" w:eastAsia="zh-CN"/>
        </w:rPr>
        <w:t>[</w:t>
      </w:r>
      <w:r>
        <w:rPr>
          <w:rStyle w:val="133"/>
          <w:rFonts w:hint="eastAsia" w:ascii="宋体" w:hAnsi="宋体" w:eastAsia="宋体" w:cs="宋体"/>
          <w:color w:val="auto"/>
          <w:kern w:val="0"/>
          <w:szCs w:val="21"/>
          <w:highlight w:val="none"/>
          <w:lang w:val="en-US" w:eastAsia="zh-CN"/>
        </w:rPr>
        <w:footnoteReference w:id="5"/>
      </w:r>
      <w:r>
        <w:rPr>
          <w:rStyle w:val="133"/>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w:t>
      </w:r>
    </w:p>
    <w:p w14:paraId="525BAFAB">
      <w:pPr>
        <w:adjustRightInd w:val="0"/>
        <w:snapToGrid w:val="0"/>
        <w:spacing w:line="360" w:lineRule="auto"/>
        <w:ind w:firstLine="420" w:firstLineChars="0"/>
        <w:jc w:val="left"/>
        <w:rPr>
          <w:rFonts w:ascii="宋体" w:hAnsi="宋体" w:eastAsia="宋体" w:cs="宋体"/>
          <w:color w:val="auto"/>
          <w:szCs w:val="21"/>
          <w:highlight w:val="none"/>
        </w:rPr>
      </w:pPr>
      <w:r>
        <w:rPr>
          <w:rFonts w:hint="eastAsia" w:ascii="宋体" w:hAnsi="宋体" w:eastAsia="宋体" w:cs="宋体"/>
          <w:color w:val="auto"/>
          <w:szCs w:val="21"/>
          <w:highlight w:val="none"/>
        </w:rPr>
        <w:t>36.4定标环节的择优因素主要考虑企业资质、科技创新能力、项目管理人员经验与水平、同类工程经验（业绩）及履约评价、企业及其人员的廉政记录、信用等因素。同等条件下，招标人可以优先考虑投标人合同稳定性、质量安全保障性、劳资纠纷可控度等因素。鼓励招标人将</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参与“百千万工程”</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相关业绩、奖项等</w:t>
      </w:r>
      <w:r>
        <w:rPr>
          <w:rFonts w:hint="eastAsia" w:ascii="宋体" w:hAnsi="宋体" w:eastAsia="宋体" w:cs="宋体"/>
          <w:color w:val="auto"/>
          <w:szCs w:val="21"/>
          <w:highlight w:val="none"/>
          <w:lang w:val="en-US" w:eastAsia="zh-CN"/>
        </w:rPr>
        <w:t>情况</w:t>
      </w:r>
      <w:r>
        <w:rPr>
          <w:rFonts w:hint="eastAsia" w:ascii="宋体" w:hAnsi="宋体" w:eastAsia="宋体" w:cs="宋体"/>
          <w:color w:val="auto"/>
          <w:szCs w:val="21"/>
          <w:highlight w:val="none"/>
        </w:rPr>
        <w:t>作为定标择优因素</w:t>
      </w:r>
      <w:r>
        <w:rPr>
          <w:rFonts w:hint="eastAsia" w:ascii="宋体" w:hAnsi="宋体" w:eastAsia="宋体" w:cs="宋体"/>
          <w:color w:val="auto"/>
          <w:kern w:val="0"/>
          <w:szCs w:val="21"/>
          <w:highlight w:val="none"/>
        </w:rPr>
        <w:t>。</w:t>
      </w:r>
    </w:p>
    <w:p w14:paraId="317C525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招标人可以根据项目实际情况增加择优素，也可以综合考虑择优因素或按择优因素的重要性，对投标人进行逐级淘汰。</w:t>
      </w:r>
    </w:p>
    <w:p w14:paraId="0678DFA4">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36.5</w:t>
      </w:r>
      <w:r>
        <w:rPr>
          <w:rFonts w:hint="eastAsia" w:ascii="宋体" w:hAnsi="宋体" w:eastAsia="宋体" w:cs="宋体"/>
          <w:strike w:val="0"/>
          <w:color w:val="auto"/>
          <w:szCs w:val="21"/>
          <w:highlight w:val="none"/>
        </w:rPr>
        <w:t>招标人应在评标委员会推荐的中标候选人中确定中标人。招标人应认真审查评标委员会提交的评标报告，</w:t>
      </w:r>
      <w:r>
        <w:rPr>
          <w:rFonts w:hint="eastAsia" w:ascii="宋体" w:hAnsi="宋体" w:eastAsia="宋体" w:cs="宋体"/>
          <w:strike w:val="0"/>
          <w:color w:val="auto"/>
          <w:szCs w:val="21"/>
          <w:highlight w:val="none"/>
        </w:rPr>
        <w:t>发现评标委员会</w:t>
      </w:r>
      <w:r>
        <w:rPr>
          <w:rFonts w:hint="eastAsia" w:ascii="宋体" w:hAnsi="宋体" w:eastAsia="宋体" w:cs="宋体"/>
          <w:strike w:val="0"/>
          <w:color w:val="auto"/>
          <w:szCs w:val="21"/>
          <w:highlight w:val="none"/>
          <w:lang w:eastAsia="zh-CN"/>
        </w:rPr>
        <w:t>存在下列异常情形的，</w:t>
      </w:r>
      <w:r>
        <w:rPr>
          <w:rFonts w:hint="eastAsia" w:ascii="宋体" w:hAnsi="宋体" w:eastAsia="宋体" w:cs="宋体"/>
          <w:strike w:val="0"/>
          <w:color w:val="auto"/>
          <w:szCs w:val="21"/>
          <w:highlight w:val="none"/>
        </w:rPr>
        <w:t>经招标投标行政监督部门批准后由评标委员会复核纠正</w:t>
      </w:r>
      <w:r>
        <w:rPr>
          <w:rStyle w:val="133"/>
          <w:rFonts w:hint="eastAsia" w:ascii="宋体" w:hAnsi="宋体" w:eastAsia="宋体" w:cs="宋体"/>
          <w:color w:val="auto"/>
          <w:szCs w:val="21"/>
          <w:highlight w:val="none"/>
        </w:rPr>
        <w:t>[</w:t>
      </w:r>
      <w:r>
        <w:rPr>
          <w:rStyle w:val="133"/>
          <w:rFonts w:hint="eastAsia" w:ascii="宋体" w:hAnsi="宋体" w:eastAsia="宋体" w:cs="宋体"/>
          <w:color w:val="auto"/>
          <w:szCs w:val="21"/>
          <w:highlight w:val="none"/>
        </w:rPr>
        <w:footnoteReference w:id="6"/>
      </w:r>
      <w:r>
        <w:rPr>
          <w:rStyle w:val="133"/>
          <w:rFonts w:hint="eastAsia" w:ascii="宋体" w:hAnsi="宋体" w:eastAsia="宋体" w:cs="宋体"/>
          <w:color w:val="auto"/>
          <w:szCs w:val="21"/>
          <w:highlight w:val="none"/>
        </w:rPr>
        <w:t>]</w:t>
      </w:r>
      <w:r>
        <w:rPr>
          <w:rFonts w:hint="eastAsia" w:ascii="宋体" w:hAnsi="宋体" w:eastAsia="宋体" w:cs="宋体"/>
          <w:strike w:val="0"/>
          <w:color w:val="auto"/>
          <w:szCs w:val="21"/>
          <w:highlight w:val="none"/>
          <w:lang w:eastAsia="zh-CN"/>
        </w:rPr>
        <w:t>。</w:t>
      </w:r>
    </w:p>
    <w:p w14:paraId="01498E97">
      <w:pPr>
        <w:adjustRightInd w:val="0"/>
        <w:snapToGrid w:val="0"/>
        <w:spacing w:line="360" w:lineRule="auto"/>
        <w:ind w:firstLine="420" w:firstLineChars="200"/>
        <w:rPr>
          <w:rFonts w:hint="eastAsia" w:ascii="宋体" w:hAnsi="宋体" w:eastAsia="宋体" w:cs="宋体"/>
          <w:strike w:val="0"/>
          <w:color w:val="auto"/>
          <w:szCs w:val="21"/>
          <w:highlight w:val="none"/>
          <w:lang w:val="en-US" w:eastAsia="zh-CN"/>
        </w:rPr>
      </w:pPr>
      <w:r>
        <w:rPr>
          <w:rFonts w:hint="eastAsia" w:ascii="宋体" w:hAnsi="宋体" w:eastAsia="宋体" w:cs="宋体"/>
          <w:color w:val="auto"/>
          <w:szCs w:val="21"/>
          <w:highlight w:val="none"/>
          <w:lang w:val="en-US" w:eastAsia="zh-CN"/>
        </w:rPr>
        <w:t>36.5.1</w:t>
      </w:r>
      <w:r>
        <w:rPr>
          <w:rFonts w:hint="eastAsia" w:ascii="宋体" w:hAnsi="宋体" w:eastAsia="宋体" w:cs="宋体"/>
          <w:strike w:val="0"/>
          <w:color w:val="auto"/>
          <w:szCs w:val="21"/>
          <w:highlight w:val="none"/>
        </w:rPr>
        <w:t>未按招标文件规定进行评审、推荐中标候选人</w:t>
      </w:r>
      <w:r>
        <w:rPr>
          <w:rFonts w:hint="eastAsia" w:ascii="宋体" w:hAnsi="宋体" w:eastAsia="宋体" w:cs="宋体"/>
          <w:strike w:val="0"/>
          <w:color w:val="auto"/>
          <w:szCs w:val="21"/>
          <w:highlight w:val="none"/>
          <w:lang w:eastAsia="zh-CN"/>
        </w:rPr>
        <w:t>；</w:t>
      </w:r>
    </w:p>
    <w:p w14:paraId="62EA4D1C">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 xml:space="preserve">36.5.2 </w:t>
      </w:r>
      <w:r>
        <w:rPr>
          <w:rFonts w:hint="eastAsia" w:ascii="宋体" w:hAnsi="宋体" w:eastAsia="宋体" w:cs="宋体"/>
          <w:strike w:val="0"/>
          <w:color w:val="auto"/>
          <w:szCs w:val="21"/>
          <w:highlight w:val="none"/>
          <w:lang w:eastAsia="zh-CN"/>
        </w:rPr>
        <w:t>未对可能低于成本或者影响履约的异常低价投标和严重不平衡报价进行分析研判；</w:t>
      </w:r>
    </w:p>
    <w:p w14:paraId="6FD105DB">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36.5.3</w:t>
      </w:r>
      <w:r>
        <w:rPr>
          <w:rFonts w:hint="eastAsia" w:ascii="宋体" w:hAnsi="宋体" w:eastAsia="宋体" w:cs="宋体"/>
          <w:strike w:val="0"/>
          <w:color w:val="auto"/>
          <w:szCs w:val="21"/>
          <w:highlight w:val="none"/>
          <w:lang w:eastAsia="zh-CN"/>
        </w:rPr>
        <w:t>未依法通知投标人进行澄清、说明；</w:t>
      </w:r>
    </w:p>
    <w:p w14:paraId="7E697069">
      <w:pPr>
        <w:adjustRightInd w:val="0"/>
        <w:snapToGrid w:val="0"/>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36.5.4</w:t>
      </w:r>
      <w:r>
        <w:rPr>
          <w:rFonts w:hint="eastAsia" w:ascii="宋体" w:hAnsi="宋体" w:eastAsia="宋体" w:cs="宋体"/>
          <w:color w:val="auto"/>
          <w:szCs w:val="21"/>
          <w:highlight w:val="none"/>
          <w:lang w:val="en-US" w:eastAsia="zh-CN"/>
        </w:rPr>
        <w:t>评标委员会对应当否决的投标未予否决，或者存在随意否决投标的情况；</w:t>
      </w:r>
    </w:p>
    <w:p w14:paraId="65E4AADE">
      <w:pPr>
        <w:adjustRightInd w:val="0"/>
        <w:snapToGrid w:val="0"/>
        <w:spacing w:line="360" w:lineRule="auto"/>
        <w:ind w:firstLine="420" w:firstLineChars="200"/>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36.5.5</w:t>
      </w:r>
      <w:r>
        <w:rPr>
          <w:rFonts w:hint="eastAsia" w:ascii="宋体" w:hAnsi="宋体" w:eastAsia="宋体" w:cs="宋体"/>
          <w:strike w:val="0"/>
          <w:color w:val="auto"/>
          <w:szCs w:val="21"/>
          <w:highlight w:val="none"/>
          <w:lang w:eastAsia="zh-CN"/>
        </w:rPr>
        <w:t>其他评标委员会不客观不公正履行评标职责的情形。</w:t>
      </w:r>
    </w:p>
    <w:p w14:paraId="248D9792">
      <w:pPr>
        <w:adjustRightInd w:val="0"/>
        <w:snapToGrid w:val="0"/>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6 </w:t>
      </w:r>
      <w:r>
        <w:rPr>
          <w:rFonts w:hint="eastAsia" w:ascii="宋体" w:hAnsi="宋体" w:eastAsia="宋体" w:cs="宋体"/>
          <w:color w:val="auto"/>
          <w:szCs w:val="21"/>
          <w:highlight w:val="none"/>
        </w:rPr>
        <w:t>定标委员会由招标人的法定代表人或者主要负责人组建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成员数量为7人以上单数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定标委员会</w:t>
      </w:r>
      <w:r>
        <w:rPr>
          <w:rFonts w:hint="eastAsia" w:ascii="宋体" w:hAnsi="宋体" w:eastAsia="宋体" w:cs="宋体"/>
          <w:color w:val="auto"/>
          <w:szCs w:val="21"/>
          <w:highlight w:val="none"/>
          <w:lang w:val="en-US" w:eastAsia="zh-CN"/>
        </w:rPr>
        <w:t>可以按以下方式组建，具有组建方式由招标人在项目定标方案中予以明确</w:t>
      </w:r>
      <w:r>
        <w:rPr>
          <w:rStyle w:val="133"/>
          <w:rFonts w:hint="eastAsia" w:ascii="宋体" w:hAnsi="宋体" w:eastAsia="宋体" w:cs="宋体"/>
          <w:color w:val="auto"/>
          <w:szCs w:val="21"/>
          <w:highlight w:val="none"/>
          <w:lang w:val="en-US" w:eastAsia="zh-CN"/>
        </w:rPr>
        <w:t>[</w:t>
      </w:r>
      <w:r>
        <w:rPr>
          <w:rStyle w:val="133"/>
          <w:rFonts w:hint="eastAsia" w:ascii="宋体" w:hAnsi="宋体" w:eastAsia="宋体" w:cs="宋体"/>
          <w:color w:val="auto"/>
          <w:szCs w:val="21"/>
          <w:highlight w:val="none"/>
          <w:lang w:val="en-US" w:eastAsia="zh-CN"/>
        </w:rPr>
        <w:footnoteReference w:id="7"/>
      </w:r>
      <w:r>
        <w:rPr>
          <w:rStyle w:val="133"/>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lang w:val="en-US" w:eastAsia="zh-CN"/>
        </w:rPr>
        <w:t>：</w:t>
      </w:r>
    </w:p>
    <w:p w14:paraId="01B421E7">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）招标人的法定代表人或者主要负责人可以从本单位直接指定部分定标委员会成员，但总数不得超过定标委员会成员总数的三分之一。</w:t>
      </w:r>
      <w:r>
        <w:rPr>
          <w:rFonts w:hint="eastAsia" w:ascii="宋体" w:hAnsi="宋体" w:eastAsia="宋体" w:cs="宋体"/>
          <w:color w:val="auto"/>
          <w:szCs w:val="21"/>
          <w:highlight w:val="none"/>
          <w:lang w:eastAsia="zh-CN"/>
        </w:rPr>
        <w:t>实行市场化代建的建设工程项目，建设单位应选派人员参与代建项目的定标，建设单位选派人数和招标人（代建单位）直接指定定标委员会成员的数量，合计不得超过定标委员会总人数的三分之一。</w:t>
      </w:r>
    </w:p>
    <w:p w14:paraId="0FA72917">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招标人可以从建设工程评标专家库内随机抽取专家参与定标；对于技术复杂、专业性强或者有特殊要求的建设工程项目，招标人可以直接邀请相应领域的专家参与定标。从建设工程评标专家库抽取专家及直接邀请专家数量合计不得超过定标委员会</w:t>
      </w:r>
      <w:r>
        <w:rPr>
          <w:rFonts w:hint="eastAsia" w:ascii="宋体" w:hAnsi="宋体" w:eastAsia="宋体" w:cs="宋体"/>
          <w:color w:val="auto"/>
          <w:szCs w:val="21"/>
          <w:highlight w:val="none"/>
          <w:lang w:val="en-US" w:eastAsia="zh-CN"/>
        </w:rPr>
        <w:t>成员</w:t>
      </w:r>
      <w:r>
        <w:rPr>
          <w:rFonts w:hint="eastAsia" w:ascii="宋体" w:hAnsi="宋体" w:eastAsia="宋体" w:cs="宋体"/>
          <w:color w:val="auto"/>
          <w:szCs w:val="21"/>
          <w:highlight w:val="none"/>
        </w:rPr>
        <w:t>总数的二分之一。</w:t>
      </w:r>
    </w:p>
    <w:p w14:paraId="4998A65E">
      <w:pPr>
        <w:adjustRightInd w:val="0"/>
        <w:snapToGrid w:val="0"/>
        <w:spacing w:line="360" w:lineRule="auto"/>
        <w:ind w:firstLine="411" w:firstLineChars="19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）除上述成员外，其他定标委员会成员从2倍以上</w:t>
      </w:r>
      <w:r>
        <w:rPr>
          <w:rFonts w:hint="eastAsia" w:ascii="宋体" w:hAnsi="宋体" w:eastAsia="宋体" w:cs="宋体"/>
          <w:color w:val="auto"/>
          <w:szCs w:val="21"/>
          <w:highlight w:val="none"/>
          <w:lang w:val="en-US" w:eastAsia="zh-CN"/>
        </w:rPr>
        <w:t>的定标</w:t>
      </w:r>
      <w:r>
        <w:rPr>
          <w:rFonts w:hint="eastAsia" w:ascii="宋体" w:hAnsi="宋体" w:eastAsia="宋体" w:cs="宋体"/>
          <w:color w:val="auto"/>
          <w:szCs w:val="21"/>
          <w:highlight w:val="none"/>
          <w:lang w:eastAsia="zh-CN"/>
        </w:rPr>
        <w:t>备选人员名单中随机抽取确定。</w:t>
      </w:r>
      <w:r>
        <w:rPr>
          <w:rFonts w:hint="eastAsia" w:ascii="宋体" w:hAnsi="宋体" w:eastAsia="宋体" w:cs="宋体"/>
          <w:color w:val="auto"/>
          <w:szCs w:val="21"/>
          <w:highlight w:val="none"/>
          <w:lang w:val="en-US" w:eastAsia="zh-CN"/>
        </w:rPr>
        <w:t>定标备选人员</w:t>
      </w:r>
      <w:r>
        <w:rPr>
          <w:rFonts w:hint="eastAsia" w:ascii="宋体" w:hAnsi="宋体" w:eastAsia="宋体" w:cs="宋体"/>
          <w:color w:val="auto"/>
          <w:szCs w:val="21"/>
          <w:highlight w:val="none"/>
        </w:rPr>
        <w:t>从招标人、项目业主或者使用单位的领导班子成员、经营管理人员中产生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确有需要的，财政性资金投资工程的招标人可以从本系统上下级主管部门或者系统外相关部门工作人员中确定成员；非财政性国有资金投资工程的招标人可以从与其有利益关系的母公司、子公司人员中确定成员。</w:t>
      </w:r>
    </w:p>
    <w:p w14:paraId="68C8656D">
      <w:pPr>
        <w:adjustRightInd w:val="0"/>
        <w:snapToGrid w:val="0"/>
        <w:spacing w:line="360" w:lineRule="auto"/>
        <w:ind w:firstLine="411" w:firstLineChars="196"/>
        <w:rPr>
          <w:rFonts w:hint="eastAsia" w:ascii="宋体" w:hAnsi="宋体" w:eastAsia="宋体" w:cs="宋体"/>
          <w:strike w:val="0"/>
          <w:color w:val="auto"/>
          <w:szCs w:val="21"/>
          <w:highlight w:val="none"/>
          <w:lang w:eastAsia="zh-CN"/>
        </w:rPr>
      </w:pPr>
      <w:r>
        <w:rPr>
          <w:rFonts w:hint="eastAsia" w:ascii="宋体" w:hAnsi="宋体" w:eastAsia="宋体" w:cs="宋体"/>
          <w:color w:val="auto"/>
          <w:szCs w:val="21"/>
          <w:highlight w:val="none"/>
          <w:lang w:val="en-US" w:eastAsia="zh-CN"/>
        </w:rPr>
        <w:t>36.7</w:t>
      </w:r>
      <w:r>
        <w:rPr>
          <w:rFonts w:hint="eastAsia" w:ascii="宋体" w:hAnsi="宋体" w:eastAsia="宋体" w:cs="宋体"/>
          <w:color w:val="auto"/>
          <w:szCs w:val="21"/>
          <w:highlight w:val="none"/>
        </w:rPr>
        <w:t>定标委员会应当在定标会上推荐定标组长，招标人的法定代表人或者主要负责人参加定标委员会的，由其直接担任定标委员会组长。招标人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建设单位</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应同时组建</w:t>
      </w:r>
      <w:r>
        <w:rPr>
          <w:rFonts w:hint="eastAsia" w:ascii="宋体" w:hAnsi="宋体" w:eastAsia="宋体" w:cs="宋体"/>
          <w:color w:val="auto"/>
          <w:szCs w:val="21"/>
          <w:highlight w:val="none"/>
          <w:lang w:val="en-US" w:eastAsia="zh-CN"/>
        </w:rPr>
        <w:t>定标</w:t>
      </w:r>
      <w:r>
        <w:rPr>
          <w:rFonts w:hint="eastAsia" w:ascii="宋体" w:hAnsi="宋体" w:eastAsia="宋体" w:cs="宋体"/>
          <w:color w:val="auto"/>
          <w:szCs w:val="21"/>
          <w:highlight w:val="none"/>
        </w:rPr>
        <w:t>监督小组，对定标委员会的组建以及定标进行见证监督，实行全过程记录和可追溯管理。</w:t>
      </w:r>
      <w:r>
        <w:rPr>
          <w:rFonts w:hint="eastAsia" w:ascii="宋体" w:hAnsi="宋体" w:eastAsia="宋体" w:cs="宋体"/>
          <w:color w:val="auto"/>
          <w:szCs w:val="21"/>
          <w:highlight w:val="none"/>
          <w:lang w:val="en-US" w:eastAsia="zh-CN"/>
        </w:rPr>
        <w:t>实行</w:t>
      </w:r>
      <w:r>
        <w:rPr>
          <w:rFonts w:hint="eastAsia" w:ascii="宋体" w:hAnsi="宋体" w:eastAsia="宋体" w:cs="宋体"/>
          <w:color w:val="auto"/>
          <w:szCs w:val="21"/>
          <w:highlight w:val="none"/>
          <w:lang w:eastAsia="zh-CN"/>
        </w:rPr>
        <w:t>市场化代建的建设工程项目，定标监督小组</w:t>
      </w:r>
      <w:r>
        <w:rPr>
          <w:rFonts w:hint="eastAsia" w:ascii="宋体" w:hAnsi="宋体" w:eastAsia="宋体" w:cs="宋体"/>
          <w:color w:val="auto"/>
          <w:szCs w:val="21"/>
          <w:highlight w:val="none"/>
          <w:lang w:val="en-US" w:eastAsia="zh-CN"/>
        </w:rPr>
        <w:t>由建设单位组建</w:t>
      </w:r>
      <w:r>
        <w:rPr>
          <w:rStyle w:val="133"/>
          <w:rFonts w:hint="eastAsia" w:ascii="宋体" w:hAnsi="宋体" w:eastAsia="宋体" w:cs="宋体"/>
          <w:color w:val="auto"/>
          <w:szCs w:val="21"/>
          <w:highlight w:val="none"/>
        </w:rPr>
        <w:t>[</w:t>
      </w:r>
      <w:r>
        <w:rPr>
          <w:rStyle w:val="133"/>
          <w:rFonts w:hint="eastAsia" w:ascii="宋体" w:hAnsi="宋体" w:eastAsia="宋体" w:cs="宋体"/>
          <w:color w:val="auto"/>
          <w:szCs w:val="21"/>
          <w:highlight w:val="none"/>
        </w:rPr>
        <w:footnoteReference w:id="8"/>
      </w:r>
      <w:r>
        <w:rPr>
          <w:rStyle w:val="133"/>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w:t>
      </w:r>
    </w:p>
    <w:p w14:paraId="2FA7E00E">
      <w:pPr>
        <w:adjustRightInd w:val="0"/>
        <w:snapToGrid w:val="0"/>
        <w:spacing w:line="360" w:lineRule="auto"/>
        <w:ind w:firstLine="411" w:firstLineChars="196"/>
        <w:jc w:val="left"/>
        <w:rPr>
          <w:rFonts w:ascii="宋体" w:hAnsi="宋体" w:eastAsia="宋体" w:cs="宋体"/>
          <w:color w:val="auto"/>
          <w:szCs w:val="21"/>
          <w:highlight w:val="none"/>
        </w:rPr>
      </w:pPr>
      <w:r>
        <w:rPr>
          <w:rFonts w:hint="eastAsia" w:ascii="宋体" w:hAnsi="宋体" w:eastAsia="宋体" w:cs="宋体"/>
          <w:color w:val="auto"/>
          <w:szCs w:val="21"/>
          <w:highlight w:val="none"/>
        </w:rPr>
        <w:t>36.7招标人应当自评标结束后10个工作日内进入深圳交易集团有限公司（深圳公共资源交易中心）进行定标。不能按时定标的，应当通过交易网公示延期原因和最终定标时间。</w:t>
      </w:r>
    </w:p>
    <w:p w14:paraId="51AC658D">
      <w:pPr>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36.8定标委员会成员在定标系统中提交选票（须说明推荐理由），并打印选票签名确认，定标过程公开、公平、公正。定标委员会按有关规定及招标文件约定的定标方法确定中标人。</w:t>
      </w:r>
    </w:p>
    <w:p w14:paraId="1BC5B78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36.9招标人应在定标结束后将定标记录、定标报告交由深圳交易集团有限公司（深圳公共资源交易中心）归档并同时公示定标结果和中标结果。定标记录应包括定标委员会会议过程、正式成员名单</w:t>
      </w:r>
      <w:r>
        <w:rPr>
          <w:rFonts w:hint="eastAsia" w:ascii="宋体" w:hAnsi="宋体" w:eastAsia="宋体" w:cs="宋体"/>
          <w:color w:val="auto"/>
          <w:szCs w:val="21"/>
          <w:highlight w:val="none"/>
          <w:lang w:eastAsia="zh-CN"/>
        </w:rPr>
        <w:t>、监督小组名单</w:t>
      </w:r>
      <w:r>
        <w:rPr>
          <w:rFonts w:hint="eastAsia" w:ascii="宋体" w:hAnsi="宋体" w:eastAsia="宋体" w:cs="宋体"/>
          <w:color w:val="auto"/>
          <w:szCs w:val="21"/>
          <w:highlight w:val="none"/>
        </w:rPr>
        <w:t>。定标报告应包括定标委员会的产生过程、定标程序及定标结果等内容。招标人提交中标信息确认时，应认真核对中标公示信息，无误后再签名确认。</w:t>
      </w:r>
    </w:p>
    <w:p w14:paraId="1FAA04B9">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36.10招标人应当向定标委员会提供定标方案、清标报告作为定标辅助材料。定标结束后，定标方案、清标报告及定标委员投票结果等定标过程资料应当留存备查。</w:t>
      </w:r>
    </w:p>
    <w:p w14:paraId="16D6FE21">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37.定标其它规定</w:t>
      </w:r>
    </w:p>
    <w:p w14:paraId="342FFBBD">
      <w:pPr>
        <w:spacing w:line="360" w:lineRule="auto"/>
        <w:ind w:firstLine="422" w:firstLineChars="200"/>
        <w:rPr>
          <w:rFonts w:hint="eastAsia" w:ascii="宋体" w:hAnsi="宋体" w:eastAsia="宋体" w:cs="宋体"/>
          <w:color w:val="auto"/>
          <w:szCs w:val="21"/>
          <w:highlight w:val="none"/>
          <w:lang w:val="en-US" w:eastAsia="zh-CN"/>
        </w:rPr>
      </w:pPr>
      <w:r>
        <w:rPr>
          <w:rFonts w:hint="eastAsia" w:ascii="宋体" w:hAnsi="宋体" w:eastAsia="宋体" w:cs="宋体"/>
          <w:b/>
          <w:bCs/>
          <w:color w:val="auto"/>
          <w:szCs w:val="21"/>
          <w:highlight w:val="none"/>
        </w:rPr>
        <w:t>定标后有下列情形之一的，招标人可以</w:t>
      </w:r>
      <w:r>
        <w:rPr>
          <w:rFonts w:hint="eastAsia" w:ascii="宋体" w:hAnsi="宋体" w:eastAsia="宋体" w:cs="宋体"/>
          <w:b/>
          <w:bCs/>
          <w:color w:val="auto"/>
          <w:szCs w:val="21"/>
          <w:highlight w:val="none"/>
          <w:lang w:val="en-US" w:eastAsia="zh-CN"/>
        </w:rPr>
        <w:t>从</w:t>
      </w:r>
      <w:r>
        <w:rPr>
          <w:rFonts w:hint="eastAsia" w:ascii="宋体" w:hAnsi="宋体" w:eastAsia="宋体" w:cs="宋体"/>
          <w:b/>
          <w:bCs/>
          <w:color w:val="auto"/>
          <w:szCs w:val="21"/>
          <w:highlight w:val="none"/>
        </w:rPr>
        <w:t>其他</w:t>
      </w:r>
      <w:r>
        <w:rPr>
          <w:rFonts w:hint="eastAsia" w:ascii="宋体" w:hAnsi="宋体" w:eastAsia="宋体" w:cs="宋体"/>
          <w:b/>
          <w:bCs/>
          <w:strike w:val="0"/>
          <w:color w:val="auto"/>
          <w:szCs w:val="21"/>
          <w:highlight w:val="none"/>
          <w:lang w:val="en-US" w:eastAsia="zh-CN"/>
        </w:rPr>
        <w:t>中标候选</w:t>
      </w:r>
      <w:r>
        <w:rPr>
          <w:rFonts w:hint="eastAsia" w:ascii="宋体" w:hAnsi="宋体" w:eastAsia="宋体" w:cs="宋体"/>
          <w:b/>
          <w:bCs/>
          <w:color w:val="auto"/>
          <w:szCs w:val="21"/>
          <w:highlight w:val="none"/>
        </w:rPr>
        <w:t>人中采用原招标文件规定的定标方法，由原定标委员会确定中标人。</w:t>
      </w:r>
      <w:r>
        <w:rPr>
          <w:rFonts w:hint="eastAsia" w:ascii="宋体" w:hAnsi="宋体" w:eastAsia="宋体" w:cs="宋体"/>
          <w:b/>
          <w:bCs/>
          <w:strike w:val="0"/>
          <w:color w:val="auto"/>
          <w:szCs w:val="21"/>
          <w:highlight w:val="none"/>
          <w:lang w:val="en-US" w:eastAsia="zh-CN"/>
        </w:rPr>
        <w:t>原定标委员会成员不能出席的，可按原定标委员会的确定方式补足定标委员会成员。</w:t>
      </w:r>
    </w:p>
    <w:p w14:paraId="5C621761">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.1中标人放弃中标资格或者拒不签订合同的；</w:t>
      </w:r>
    </w:p>
    <w:p w14:paraId="33BD310A">
      <w:pPr>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.2中标人不按照招标文件要求提交履约担保的；</w:t>
      </w:r>
    </w:p>
    <w:p w14:paraId="5A4F6EF7">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37</w:t>
      </w:r>
      <w:r>
        <w:rPr>
          <w:rFonts w:hint="eastAsia" w:ascii="宋体" w:hAnsi="宋体" w:eastAsia="宋体" w:cs="宋体"/>
          <w:color w:val="auto"/>
          <w:szCs w:val="21"/>
          <w:highlight w:val="none"/>
        </w:rPr>
        <w:t>.3被查实存在影响中标结果违法行为的。</w:t>
      </w:r>
    </w:p>
    <w:p w14:paraId="36FB4E40">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38.资信标表格</w:t>
      </w:r>
    </w:p>
    <w:p w14:paraId="7887E3C7">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38.1招标人可以结合项目实际要求投标人提供资信标作为定标参考因素之一。</w:t>
      </w:r>
    </w:p>
    <w:p w14:paraId="552F6D76">
      <w:pPr>
        <w:adjustRightInd w:val="0"/>
        <w:snapToGrid w:val="0"/>
        <w:spacing w:line="360" w:lineRule="auto"/>
        <w:jc w:val="center"/>
        <w:rPr>
          <w:rFonts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资信标要求一览表（如有）</w:t>
      </w:r>
    </w:p>
    <w:tbl>
      <w:tblPr>
        <w:tblStyle w:val="7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989"/>
        <w:gridCol w:w="4113"/>
      </w:tblGrid>
      <w:tr w14:paraId="10C24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14:paraId="676E5F73">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989" w:type="dxa"/>
            <w:vAlign w:val="center"/>
          </w:tcPr>
          <w:p w14:paraId="71B21D07">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资信要素名称</w:t>
            </w:r>
          </w:p>
        </w:tc>
        <w:tc>
          <w:tcPr>
            <w:tcW w:w="4113" w:type="dxa"/>
            <w:vAlign w:val="center"/>
          </w:tcPr>
          <w:p w14:paraId="4B6FD9E9">
            <w:pPr>
              <w:adjustRightInd w:val="0"/>
              <w:snapToGrid w:val="0"/>
              <w:spacing w:line="360" w:lineRule="auto"/>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有关要求或说明</w:t>
            </w:r>
          </w:p>
        </w:tc>
      </w:tr>
      <w:tr w14:paraId="26D0A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14:paraId="1ECBC173">
            <w:pPr>
              <w:adjustRightInd w:val="0"/>
              <w:snapToGrid w:val="0"/>
              <w:spacing w:line="360" w:lineRule="auto"/>
              <w:jc w:val="center"/>
              <w:rPr>
                <w:rFonts w:ascii="宋体" w:hAnsi="宋体" w:eastAsia="宋体" w:cs="宋体"/>
                <w:color w:val="auto"/>
                <w:kern w:val="0"/>
                <w:szCs w:val="21"/>
                <w:highlight w:val="none"/>
              </w:rPr>
            </w:pPr>
            <w:bookmarkStart w:id="52" w:name="资信标要求一览表" w:colFirst="0" w:colLast="0"/>
          </w:p>
        </w:tc>
        <w:tc>
          <w:tcPr>
            <w:tcW w:w="2989" w:type="dxa"/>
            <w:vAlign w:val="center"/>
          </w:tcPr>
          <w:p w14:paraId="6CA63C0B">
            <w:pPr>
              <w:adjustRightInd w:val="0"/>
              <w:snapToGrid w:val="0"/>
              <w:spacing w:line="360" w:lineRule="auto"/>
              <w:rPr>
                <w:rFonts w:ascii="宋体" w:hAnsi="宋体" w:eastAsia="宋体" w:cs="宋体"/>
                <w:color w:val="auto"/>
                <w:kern w:val="0"/>
                <w:szCs w:val="21"/>
                <w:highlight w:val="none"/>
              </w:rPr>
            </w:pPr>
          </w:p>
        </w:tc>
        <w:tc>
          <w:tcPr>
            <w:tcW w:w="4113" w:type="dxa"/>
            <w:vAlign w:val="center"/>
          </w:tcPr>
          <w:p w14:paraId="2583B358">
            <w:pPr>
              <w:adjustRightInd w:val="0"/>
              <w:snapToGrid w:val="0"/>
              <w:spacing w:line="360" w:lineRule="auto"/>
              <w:rPr>
                <w:rFonts w:ascii="宋体" w:hAnsi="宋体" w:eastAsia="宋体" w:cs="宋体"/>
                <w:color w:val="auto"/>
                <w:kern w:val="0"/>
                <w:szCs w:val="21"/>
                <w:highlight w:val="none"/>
              </w:rPr>
            </w:pPr>
          </w:p>
        </w:tc>
      </w:tr>
      <w:bookmarkEnd w:id="52"/>
    </w:tbl>
    <w:p w14:paraId="0BA43E1C">
      <w:pPr>
        <w:adjustRightInd w:val="0"/>
        <w:snapToGrid w:val="0"/>
        <w:spacing w:line="360" w:lineRule="auto"/>
        <w:ind w:firstLine="420" w:firstLineChars="200"/>
        <w:rPr>
          <w:rFonts w:ascii="宋体" w:hAnsi="宋体"/>
          <w:color w:val="auto"/>
          <w:szCs w:val="21"/>
          <w:highlight w:val="none"/>
        </w:rPr>
      </w:pPr>
      <w:r>
        <w:rPr>
          <w:rFonts w:hint="eastAsia" w:ascii="宋体" w:hAnsi="宋体" w:eastAsia="宋体" w:cs="宋体"/>
          <w:color w:val="auto"/>
          <w:kern w:val="0"/>
          <w:szCs w:val="21"/>
          <w:highlight w:val="none"/>
        </w:rPr>
        <w:t>备注：资信要素不进行评审，真实性通过公示予以监督。</w:t>
      </w:r>
    </w:p>
    <w:p w14:paraId="5B9C3583">
      <w:pPr>
        <w:jc w:val="center"/>
        <w:rPr>
          <w:rFonts w:ascii="黑体" w:hAnsi="宋体" w:eastAsia="黑体"/>
          <w:b/>
          <w:snapToGrid w:val="0"/>
          <w:color w:val="auto"/>
          <w:kern w:val="0"/>
          <w:sz w:val="32"/>
          <w:szCs w:val="32"/>
          <w:highlight w:val="none"/>
        </w:rPr>
      </w:pPr>
    </w:p>
    <w:p w14:paraId="2F44D840">
      <w:pPr>
        <w:widowControl/>
        <w:tabs>
          <w:tab w:val="left" w:pos="0"/>
        </w:tabs>
        <w:adjustRightInd w:val="0"/>
        <w:snapToGrid w:val="0"/>
        <w:spacing w:line="620" w:lineRule="exact"/>
        <w:jc w:val="center"/>
        <w:outlineLvl w:val="2"/>
        <w:rPr>
          <w:rFonts w:ascii="黑体" w:hAnsi="宋体" w:eastAsia="黑体"/>
          <w:bCs/>
          <w:snapToGrid w:val="0"/>
          <w:color w:val="auto"/>
          <w:kern w:val="0"/>
          <w:sz w:val="30"/>
          <w:highlight w:val="none"/>
        </w:rPr>
      </w:pPr>
      <w:bookmarkStart w:id="53" w:name="_Toc8039"/>
      <w:bookmarkStart w:id="54" w:name="_Toc9506"/>
      <w:r>
        <w:rPr>
          <w:rFonts w:hint="eastAsia" w:ascii="黑体" w:hAnsi="宋体" w:eastAsia="黑体"/>
          <w:bCs/>
          <w:snapToGrid w:val="0"/>
          <w:color w:val="auto"/>
          <w:kern w:val="0"/>
          <w:sz w:val="30"/>
          <w:highlight w:val="none"/>
        </w:rPr>
        <w:t>（七）中标通知书</w:t>
      </w:r>
      <w:bookmarkEnd w:id="53"/>
      <w:bookmarkEnd w:id="54"/>
    </w:p>
    <w:p w14:paraId="104EA928">
      <w:pPr>
        <w:spacing w:line="360" w:lineRule="auto"/>
        <w:ind w:firstLine="420" w:firstLineChars="200"/>
        <w:jc w:val="left"/>
        <w:rPr>
          <w:rFonts w:ascii="宋体" w:hAnsi="宋体"/>
          <w:b/>
          <w:color w:val="auto"/>
          <w:szCs w:val="21"/>
          <w:highlight w:val="none"/>
        </w:rPr>
      </w:pPr>
    </w:p>
    <w:p w14:paraId="17BCF9E2">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39．中标通知书</w:t>
      </w:r>
    </w:p>
    <w:p w14:paraId="1F1E6C23">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39.1招标人应在确定中标人后，将中标结果在</w:t>
      </w:r>
      <w:r>
        <w:rPr>
          <w:rFonts w:hint="eastAsia" w:ascii="宋体" w:hAnsi="宋体" w:eastAsia="宋体" w:cs="宋体"/>
          <w:color w:val="auto"/>
          <w:kern w:val="0"/>
          <w:highlight w:val="none"/>
        </w:rPr>
        <w:t>交易网</w:t>
      </w:r>
      <w:r>
        <w:rPr>
          <w:rFonts w:hint="eastAsia" w:ascii="宋体" w:hAnsi="宋体" w:eastAsia="宋体" w:cs="宋体"/>
          <w:color w:val="auto"/>
          <w:szCs w:val="21"/>
          <w:highlight w:val="none"/>
        </w:rPr>
        <w:t>公示。</w:t>
      </w:r>
    </w:p>
    <w:p w14:paraId="3E3628E6">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39.2公示期内对中标结果若无质疑，公示期结束后该中标结果自动生效。招标人将发出中标通知书。中标通知书是本招标项目合同的组成部分。如接到有关投诉的，招标人将可能暂停发出中标通知书。</w:t>
      </w:r>
    </w:p>
    <w:p w14:paraId="0D4AEC61">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40．招标人的权利</w:t>
      </w:r>
    </w:p>
    <w:p w14:paraId="63BFAD3F">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40.1招标人在发出中标通知书之前因正当理由，经行政监督部门批准并经</w:t>
      </w:r>
      <w:r>
        <w:rPr>
          <w:rFonts w:hint="eastAsia" w:ascii="宋体" w:hAnsi="宋体" w:eastAsia="宋体" w:cs="宋体"/>
          <w:color w:val="auto"/>
          <w:highlight w:val="none"/>
        </w:rPr>
        <w:t>交易网公示3个工作日后，招标人</w:t>
      </w:r>
      <w:r>
        <w:rPr>
          <w:rFonts w:hint="eastAsia" w:ascii="宋体" w:hAnsi="宋体" w:eastAsia="宋体" w:cs="宋体"/>
          <w:color w:val="auto"/>
          <w:szCs w:val="21"/>
          <w:highlight w:val="none"/>
        </w:rPr>
        <w:t>有权接受或拒绝投标、宣布投标程序无效或拒绝所有投标。对受影响的投标人不承担任何责任。</w:t>
      </w:r>
    </w:p>
    <w:p w14:paraId="40847B5C">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40.2招标人在授予合同或实际供货时，有权对招标文件中规定的货物数量或服务在合理幅度范围内予以增加或减少，但中标人不得对单价或其他条件做任何改变。</w:t>
      </w:r>
    </w:p>
    <w:p w14:paraId="317299D7">
      <w:pPr>
        <w:spacing w:line="360" w:lineRule="auto"/>
        <w:jc w:val="center"/>
        <w:outlineLvl w:val="2"/>
        <w:rPr>
          <w:rFonts w:ascii="黑体" w:eastAsia="黑体"/>
          <w:bCs/>
          <w:color w:val="auto"/>
          <w:sz w:val="30"/>
          <w:highlight w:val="none"/>
        </w:rPr>
      </w:pPr>
      <w:bookmarkStart w:id="55" w:name="_Toc27398"/>
      <w:bookmarkStart w:id="56" w:name="_Toc27132"/>
      <w:r>
        <w:rPr>
          <w:rFonts w:hint="eastAsia" w:ascii="黑体" w:eastAsia="黑体"/>
          <w:bCs/>
          <w:color w:val="auto"/>
          <w:sz w:val="30"/>
          <w:highlight w:val="none"/>
        </w:rPr>
        <w:t>（八）合同的授予</w:t>
      </w:r>
      <w:bookmarkEnd w:id="55"/>
      <w:bookmarkEnd w:id="56"/>
    </w:p>
    <w:p w14:paraId="757C866C">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41．履约担保</w:t>
      </w:r>
    </w:p>
    <w:p w14:paraId="5A1D34EA">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41.1本招标项目履约担保的金额和方式：见“投标须知前附表”。</w:t>
      </w:r>
    </w:p>
    <w:p w14:paraId="38BCC38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41.2中标人应在签订合同时，按招标文件规定的时间、出具单位及规定的金额向招标人提交履约担保。履约担保为中标价与</w:t>
      </w:r>
      <w:r>
        <w:rPr>
          <w:rFonts w:hint="eastAsia" w:ascii="宋体" w:hAnsi="宋体" w:eastAsia="宋体" w:cs="宋体"/>
          <w:color w:val="auto"/>
          <w:szCs w:val="21"/>
          <w:highlight w:val="none"/>
          <w:lang w:eastAsia="zh-CN"/>
        </w:rPr>
        <w:t>最高投标限价</w:t>
      </w:r>
      <w:r>
        <w:rPr>
          <w:rFonts w:hint="eastAsia" w:ascii="宋体" w:hAnsi="宋体" w:eastAsia="宋体" w:cs="宋体"/>
          <w:color w:val="auto"/>
          <w:szCs w:val="21"/>
          <w:highlight w:val="none"/>
        </w:rPr>
        <w:t>的差额，且不高于中标价的10%。</w:t>
      </w:r>
    </w:p>
    <w:p w14:paraId="237B33EE">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41.3联合体中标的，其履约担保由联合体牵头人提交，并应符合本节相关规定。</w:t>
      </w:r>
    </w:p>
    <w:p w14:paraId="555810F6">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41.4如果中标人拒不提交本节要求的履约担保的，招标人可取消其中标资格，并没收其投标担保。</w:t>
      </w:r>
    </w:p>
    <w:p w14:paraId="581A41DF">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42.支付担保</w:t>
      </w:r>
    </w:p>
    <w:p w14:paraId="41FB8EF7">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42.1本招标项目支付担保的金额和方式：见“投标须知前附表”。</w:t>
      </w:r>
    </w:p>
    <w:p w14:paraId="47DD2ED9">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42.2招标人应在中标人提交履约担保的同时，向中标人提供与履约担保数额等额的支付担保。</w:t>
      </w:r>
    </w:p>
    <w:p w14:paraId="460EF357">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42.3中标人的履约担保和招标人的支付担保都必须采用经对方认可的银行保函、保证保险、专业工程担保公司担保等。双方均不得在工程担保有效期内解除担保。</w:t>
      </w:r>
    </w:p>
    <w:p w14:paraId="677F4DD1">
      <w:pPr>
        <w:spacing w:line="360" w:lineRule="auto"/>
        <w:ind w:firstLine="422" w:firstLineChars="200"/>
        <w:jc w:val="left"/>
        <w:rPr>
          <w:rFonts w:ascii="宋体" w:hAnsi="宋体" w:eastAsia="宋体" w:cs="宋体"/>
          <w:b/>
          <w:color w:val="auto"/>
          <w:szCs w:val="21"/>
          <w:highlight w:val="none"/>
        </w:rPr>
      </w:pPr>
      <w:r>
        <w:rPr>
          <w:rFonts w:hint="eastAsia" w:ascii="宋体" w:hAnsi="宋体" w:eastAsia="宋体" w:cs="宋体"/>
          <w:b/>
          <w:color w:val="auto"/>
          <w:szCs w:val="21"/>
          <w:highlight w:val="none"/>
        </w:rPr>
        <w:t>43．签订合同</w:t>
      </w:r>
    </w:p>
    <w:p w14:paraId="401F7A54">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43.1招标人和中标人应当按“投标须知前附表”的规定，依据招标文件和中标人的投标文件订立书面合同。</w:t>
      </w:r>
    </w:p>
    <w:p w14:paraId="0CD90611">
      <w:pPr>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43.2中标人无正当理由拒签合同的，或者在签订合同时向招标人提出附加条件或者更改合同实质性内容的，招标人经请示主管部门批准后可取消其中标资格，并没收其投标担保；给招标人的损失超过其投标担保数额的，中标人应当对超过部分予以赔偿；没有提交投标担保的，应当对招标人的损失承担赔偿责任。</w:t>
      </w:r>
    </w:p>
    <w:p w14:paraId="623B09E8">
      <w:pPr>
        <w:spacing w:line="360" w:lineRule="auto"/>
        <w:ind w:firstLine="420" w:firstLineChars="200"/>
        <w:jc w:val="left"/>
        <w:rPr>
          <w:rFonts w:ascii="宋体" w:hAnsi="宋体"/>
          <w:color w:val="auto"/>
          <w:szCs w:val="21"/>
          <w:highlight w:val="none"/>
        </w:rPr>
      </w:pPr>
      <w:r>
        <w:rPr>
          <w:rFonts w:hint="eastAsia" w:ascii="宋体" w:hAnsi="宋体" w:eastAsia="宋体" w:cs="宋体"/>
          <w:color w:val="auto"/>
          <w:szCs w:val="21"/>
          <w:highlight w:val="none"/>
        </w:rPr>
        <w:t>43.3招标人无正当理由拒签合同的，或者在签订合同时向中标人提出附加条件或者更改合同实质性内容的，有关行政监督部门将给予警告，责令改正；给中标人造成损失的，还应当赔偿损失。</w:t>
      </w:r>
    </w:p>
    <w:p w14:paraId="766084FA">
      <w:pPr>
        <w:widowControl/>
        <w:jc w:val="left"/>
        <w:rPr>
          <w:rFonts w:ascii="宋体" w:hAnsi="宋体"/>
          <w:color w:val="auto"/>
          <w:szCs w:val="21"/>
          <w:highlight w:val="none"/>
        </w:rPr>
      </w:pPr>
    </w:p>
    <w:p w14:paraId="019CD3CC">
      <w:pPr>
        <w:widowControl/>
        <w:jc w:val="left"/>
        <w:rPr>
          <w:rFonts w:ascii="黑体" w:eastAsia="黑体"/>
          <w:bCs/>
          <w:color w:val="auto"/>
          <w:sz w:val="32"/>
          <w:szCs w:val="32"/>
          <w:highlight w:val="none"/>
        </w:rPr>
      </w:pPr>
      <w:bookmarkStart w:id="57" w:name="_Toc3541"/>
      <w:bookmarkStart w:id="58" w:name="_Toc14347"/>
      <w:bookmarkStart w:id="59" w:name="_Toc23271"/>
      <w:bookmarkStart w:id="60" w:name="_Toc5530"/>
      <w:bookmarkStart w:id="61" w:name="_Toc15018"/>
      <w:bookmarkStart w:id="62" w:name="_Toc17887"/>
      <w:bookmarkStart w:id="63" w:name="_Toc3760"/>
      <w:bookmarkStart w:id="64" w:name="_Toc14011"/>
      <w:r>
        <w:rPr>
          <w:rFonts w:hint="eastAsia" w:ascii="黑体" w:eastAsia="黑体"/>
          <w:bCs/>
          <w:color w:val="auto"/>
          <w:sz w:val="32"/>
          <w:szCs w:val="32"/>
          <w:highlight w:val="none"/>
        </w:rPr>
        <w:br w:type="page"/>
      </w:r>
    </w:p>
    <w:p w14:paraId="7B870B79">
      <w:pPr>
        <w:widowControl/>
        <w:jc w:val="center"/>
        <w:outlineLvl w:val="0"/>
        <w:rPr>
          <w:rFonts w:ascii="宋体" w:hAnsi="宋体"/>
          <w:bCs/>
          <w:color w:val="auto"/>
          <w:sz w:val="32"/>
          <w:szCs w:val="32"/>
          <w:highlight w:val="none"/>
        </w:rPr>
      </w:pPr>
      <w:r>
        <w:rPr>
          <w:rFonts w:hint="eastAsia" w:ascii="黑体" w:eastAsia="黑体"/>
          <w:bCs/>
          <w:color w:val="auto"/>
          <w:sz w:val="32"/>
          <w:szCs w:val="32"/>
          <w:highlight w:val="none"/>
        </w:rPr>
        <w:t>第三章  招标人对招标文件及合同范本的补充/修改</w:t>
      </w:r>
      <w:bookmarkEnd w:id="57"/>
      <w:bookmarkEnd w:id="58"/>
      <w:bookmarkEnd w:id="59"/>
      <w:bookmarkEnd w:id="60"/>
      <w:bookmarkEnd w:id="61"/>
      <w:bookmarkEnd w:id="62"/>
      <w:bookmarkEnd w:id="63"/>
    </w:p>
    <w:p w14:paraId="65B4DEF8">
      <w:pPr>
        <w:topLinePunct/>
        <w:adjustRightInd w:val="0"/>
        <w:snapToGrid w:val="0"/>
        <w:spacing w:line="360" w:lineRule="auto"/>
        <w:ind w:firstLine="440" w:firstLineChars="200"/>
        <w:rPr>
          <w:rFonts w:ascii="宋体" w:hAnsi="宋体"/>
          <w:color w:val="auto"/>
          <w:kern w:val="0"/>
          <w:sz w:val="22"/>
          <w:highlight w:val="none"/>
        </w:rPr>
      </w:pPr>
    </w:p>
    <w:p w14:paraId="29C1593F">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招标人可根据工程实际情况，对本范本进行补充或修改，但有关补充或修改内容不得违法违规，且必须逐一列举在以下栏目中。请投标人认真阅读并遵照执行：</w:t>
      </w:r>
    </w:p>
    <w:p w14:paraId="6D980E8D">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28835C26">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补充修改</w:t>
      </w:r>
    </w:p>
    <w:p w14:paraId="205FD555">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33E296AD">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以下空白。</w:t>
      </w:r>
    </w:p>
    <w:p w14:paraId="1B39C29E">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3199B20B">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   标   人：</w:t>
      </w:r>
      <w:r>
        <w:rPr>
          <w:rFonts w:hint="eastAsia" w:ascii="宋体" w:hAnsi="宋体" w:eastAsia="宋体" w:cs="宋体"/>
          <w:color w:val="auto"/>
          <w:szCs w:val="21"/>
          <w:highlight w:val="none"/>
          <w:u w:val="single"/>
          <w:lang w:bidi="ar"/>
        </w:rPr>
        <w:t xml:space="preserve">      </w:t>
      </w:r>
    </w:p>
    <w:p w14:paraId="2CFAD2F2">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41BD44E6">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r>
        <w:rPr>
          <w:rFonts w:hint="eastAsia" w:ascii="宋体" w:hAnsi="宋体" w:eastAsia="宋体" w:cs="宋体"/>
          <w:color w:val="auto"/>
          <w:szCs w:val="21"/>
          <w:highlight w:val="none"/>
          <w:u w:val="single"/>
          <w:lang w:bidi="ar"/>
        </w:rPr>
        <w:t xml:space="preserve">      </w:t>
      </w:r>
    </w:p>
    <w:p w14:paraId="59F047F9">
      <w:pPr>
        <w:topLinePunct/>
        <w:adjustRightInd w:val="0"/>
        <w:snapToGrid w:val="0"/>
        <w:spacing w:line="360" w:lineRule="auto"/>
        <w:ind w:firstLine="420" w:firstLineChars="200"/>
        <w:rPr>
          <w:rFonts w:ascii="宋体" w:hAnsi="宋体" w:eastAsia="宋体" w:cs="宋体"/>
          <w:color w:val="auto"/>
          <w:kern w:val="0"/>
          <w:szCs w:val="21"/>
          <w:highlight w:val="none"/>
        </w:rPr>
      </w:pPr>
    </w:p>
    <w:p w14:paraId="35BE58CA">
      <w:pPr>
        <w:topLinePunct/>
        <w:adjustRightInd w:val="0"/>
        <w:snapToGrid w:val="0"/>
        <w:spacing w:line="360" w:lineRule="auto"/>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编制日期：</w:t>
      </w:r>
      <w:r>
        <w:rPr>
          <w:rFonts w:hint="eastAsia" w:ascii="宋体" w:hAnsi="宋体" w:eastAsia="宋体" w:cs="宋体"/>
          <w:color w:val="auto"/>
          <w:szCs w:val="21"/>
          <w:highlight w:val="none"/>
          <w:u w:val="single"/>
          <w:lang w:bidi="ar"/>
        </w:rPr>
        <w:t xml:space="preserve">      </w:t>
      </w:r>
    </w:p>
    <w:bookmarkEnd w:id="64"/>
    <w:p w14:paraId="1B91D958">
      <w:pPr>
        <w:jc w:val="center"/>
        <w:outlineLvl w:val="0"/>
        <w:rPr>
          <w:rFonts w:ascii="黑体" w:hAnsi="宋体" w:eastAsia="黑体"/>
          <w:b/>
          <w:snapToGrid w:val="0"/>
          <w:color w:val="auto"/>
          <w:kern w:val="0"/>
          <w:sz w:val="44"/>
          <w:highlight w:val="none"/>
        </w:rPr>
      </w:pPr>
      <w:r>
        <w:rPr>
          <w:snapToGrid w:val="0"/>
          <w:color w:val="auto"/>
          <w:kern w:val="0"/>
          <w:highlight w:val="none"/>
        </w:rPr>
        <w:br w:type="page"/>
      </w:r>
      <w:bookmarkStart w:id="65" w:name="_Toc16751"/>
      <w:bookmarkStart w:id="66" w:name="_Toc15902"/>
      <w:bookmarkStart w:id="67" w:name="_Toc31934"/>
      <w:r>
        <w:rPr>
          <w:rFonts w:hint="eastAsia" w:ascii="黑体" w:hAnsi="宋体" w:eastAsia="黑体"/>
          <w:bCs/>
          <w:snapToGrid w:val="0"/>
          <w:color w:val="auto"/>
          <w:kern w:val="0"/>
          <w:sz w:val="32"/>
          <w:szCs w:val="32"/>
          <w:highlight w:val="none"/>
        </w:rPr>
        <w:t>第四章  投标文件格式</w:t>
      </w:r>
      <w:bookmarkEnd w:id="65"/>
      <w:bookmarkEnd w:id="66"/>
      <w:bookmarkEnd w:id="67"/>
    </w:p>
    <w:p w14:paraId="4D428B40">
      <w:pPr>
        <w:rPr>
          <w:rFonts w:ascii="宋体" w:hAnsi="宋体"/>
          <w:snapToGrid w:val="0"/>
          <w:color w:val="auto"/>
          <w:kern w:val="0"/>
          <w:sz w:val="44"/>
          <w:szCs w:val="44"/>
          <w:highlight w:val="none"/>
        </w:rPr>
      </w:pPr>
    </w:p>
    <w:p w14:paraId="5B3577D5">
      <w:pPr>
        <w:jc w:val="center"/>
        <w:rPr>
          <w:rFonts w:ascii="宋体" w:hAnsi="宋体" w:eastAsia="宋体" w:cs="宋体"/>
          <w:snapToGrid w:val="0"/>
          <w:color w:val="auto"/>
          <w:kern w:val="0"/>
          <w:sz w:val="36"/>
          <w:szCs w:val="36"/>
          <w:highlight w:val="none"/>
        </w:rPr>
      </w:pPr>
      <w:r>
        <w:rPr>
          <w:rFonts w:hint="eastAsia" w:ascii="宋体" w:hAnsi="宋体" w:eastAsia="宋体" w:cs="宋体"/>
          <w:snapToGrid w:val="0"/>
          <w:color w:val="auto"/>
          <w:kern w:val="0"/>
          <w:sz w:val="36"/>
          <w:szCs w:val="36"/>
          <w:highlight w:val="none"/>
          <w:u w:val="single"/>
        </w:rPr>
        <w:t xml:space="preserve">            </w:t>
      </w:r>
      <w:r>
        <w:rPr>
          <w:rFonts w:hint="eastAsia" w:ascii="宋体" w:hAnsi="宋体" w:eastAsia="宋体" w:cs="宋体"/>
          <w:snapToGrid w:val="0"/>
          <w:color w:val="auto"/>
          <w:kern w:val="0"/>
          <w:sz w:val="36"/>
          <w:szCs w:val="36"/>
          <w:highlight w:val="none"/>
        </w:rPr>
        <w:t>项目</w:t>
      </w:r>
    </w:p>
    <w:p w14:paraId="0A47A99F">
      <w:pPr>
        <w:jc w:val="center"/>
        <w:rPr>
          <w:rFonts w:ascii="宋体" w:hAnsi="宋体" w:eastAsia="宋体" w:cs="宋体"/>
          <w:snapToGrid w:val="0"/>
          <w:color w:val="auto"/>
          <w:kern w:val="0"/>
          <w:sz w:val="44"/>
          <w:szCs w:val="44"/>
          <w:highlight w:val="none"/>
        </w:rPr>
      </w:pPr>
    </w:p>
    <w:p w14:paraId="5F7652CA">
      <w:pPr>
        <w:jc w:val="center"/>
        <w:rPr>
          <w:rFonts w:ascii="宋体" w:hAnsi="宋体" w:eastAsia="宋体" w:cs="宋体"/>
          <w:snapToGrid w:val="0"/>
          <w:color w:val="auto"/>
          <w:kern w:val="0"/>
          <w:sz w:val="52"/>
          <w:szCs w:val="52"/>
          <w:highlight w:val="none"/>
        </w:rPr>
      </w:pPr>
      <w:r>
        <w:rPr>
          <w:rFonts w:hint="eastAsia" w:ascii="宋体" w:hAnsi="宋体" w:eastAsia="宋体" w:cs="宋体"/>
          <w:snapToGrid w:val="0"/>
          <w:color w:val="auto"/>
          <w:kern w:val="0"/>
          <w:sz w:val="52"/>
          <w:szCs w:val="52"/>
          <w:highlight w:val="none"/>
        </w:rPr>
        <w:t>投标文件</w:t>
      </w:r>
    </w:p>
    <w:p w14:paraId="3021C916">
      <w:pPr>
        <w:jc w:val="center"/>
        <w:rPr>
          <w:rFonts w:ascii="宋体" w:hAnsi="宋体" w:eastAsia="宋体" w:cs="宋体"/>
          <w:snapToGrid w:val="0"/>
          <w:color w:val="auto"/>
          <w:kern w:val="0"/>
          <w:sz w:val="52"/>
          <w:szCs w:val="52"/>
          <w:highlight w:val="none"/>
        </w:rPr>
      </w:pPr>
    </w:p>
    <w:p w14:paraId="01C54D95">
      <w:pPr>
        <w:jc w:val="center"/>
        <w:rPr>
          <w:rFonts w:ascii="宋体" w:hAnsi="宋体" w:eastAsia="宋体" w:cs="宋体"/>
          <w:snapToGrid w:val="0"/>
          <w:color w:val="auto"/>
          <w:kern w:val="0"/>
          <w:sz w:val="44"/>
          <w:szCs w:val="44"/>
          <w:highlight w:val="none"/>
        </w:rPr>
      </w:pPr>
    </w:p>
    <w:p w14:paraId="6BAE4D98">
      <w:pPr>
        <w:jc w:val="center"/>
        <w:outlineLvl w:val="1"/>
        <w:rPr>
          <w:rFonts w:ascii="宋体" w:hAnsi="宋体" w:eastAsia="宋体" w:cs="宋体"/>
          <w:b/>
          <w:snapToGrid w:val="0"/>
          <w:color w:val="auto"/>
          <w:kern w:val="0"/>
          <w:sz w:val="44"/>
          <w:szCs w:val="44"/>
          <w:highlight w:val="none"/>
        </w:rPr>
      </w:pPr>
      <w:bookmarkStart w:id="68" w:name="_Toc6581"/>
      <w:bookmarkStart w:id="69" w:name="_Toc22744"/>
      <w:r>
        <w:rPr>
          <w:rFonts w:hint="eastAsia" w:ascii="宋体" w:hAnsi="宋体" w:eastAsia="宋体" w:cs="宋体"/>
          <w:b/>
          <w:snapToGrid w:val="0"/>
          <w:color w:val="auto"/>
          <w:kern w:val="0"/>
          <w:sz w:val="44"/>
          <w:szCs w:val="44"/>
          <w:highlight w:val="none"/>
        </w:rPr>
        <w:t>资格审查文件</w:t>
      </w:r>
      <w:bookmarkEnd w:id="68"/>
      <w:bookmarkEnd w:id="69"/>
    </w:p>
    <w:p w14:paraId="51F59ABB">
      <w:pPr>
        <w:jc w:val="center"/>
        <w:rPr>
          <w:rFonts w:ascii="宋体" w:hAnsi="宋体" w:eastAsia="宋体" w:cs="宋体"/>
          <w:snapToGrid w:val="0"/>
          <w:color w:val="auto"/>
          <w:kern w:val="0"/>
          <w:sz w:val="44"/>
          <w:szCs w:val="44"/>
          <w:highlight w:val="none"/>
        </w:rPr>
      </w:pPr>
    </w:p>
    <w:p w14:paraId="03B10D41">
      <w:pPr>
        <w:jc w:val="center"/>
        <w:rPr>
          <w:rFonts w:ascii="宋体" w:hAnsi="宋体" w:eastAsia="宋体" w:cs="宋体"/>
          <w:snapToGrid w:val="0"/>
          <w:color w:val="auto"/>
          <w:kern w:val="0"/>
          <w:sz w:val="44"/>
          <w:szCs w:val="44"/>
          <w:highlight w:val="none"/>
        </w:rPr>
      </w:pPr>
    </w:p>
    <w:p w14:paraId="183C36DE">
      <w:pPr>
        <w:jc w:val="center"/>
        <w:rPr>
          <w:rFonts w:ascii="宋体" w:hAnsi="宋体" w:eastAsia="宋体" w:cs="宋体"/>
          <w:snapToGrid w:val="0"/>
          <w:color w:val="auto"/>
          <w:kern w:val="0"/>
          <w:sz w:val="44"/>
          <w:szCs w:val="44"/>
          <w:highlight w:val="none"/>
        </w:rPr>
      </w:pPr>
    </w:p>
    <w:p w14:paraId="7A109725">
      <w:pPr>
        <w:jc w:val="center"/>
        <w:rPr>
          <w:rFonts w:ascii="宋体" w:hAnsi="宋体" w:eastAsia="宋体" w:cs="宋体"/>
          <w:snapToGrid w:val="0"/>
          <w:color w:val="auto"/>
          <w:kern w:val="0"/>
          <w:sz w:val="44"/>
          <w:szCs w:val="44"/>
          <w:highlight w:val="none"/>
        </w:rPr>
      </w:pPr>
    </w:p>
    <w:p w14:paraId="257686D2">
      <w:pPr>
        <w:jc w:val="center"/>
        <w:rPr>
          <w:rFonts w:ascii="宋体" w:hAnsi="宋体" w:eastAsia="宋体" w:cs="宋体"/>
          <w:snapToGrid w:val="0"/>
          <w:color w:val="auto"/>
          <w:kern w:val="0"/>
          <w:sz w:val="44"/>
          <w:szCs w:val="44"/>
          <w:highlight w:val="none"/>
        </w:rPr>
      </w:pPr>
    </w:p>
    <w:p w14:paraId="1631FA43">
      <w:pPr>
        <w:jc w:val="center"/>
        <w:rPr>
          <w:rFonts w:ascii="宋体" w:hAnsi="宋体" w:eastAsia="宋体" w:cs="宋体"/>
          <w:snapToGrid w:val="0"/>
          <w:color w:val="auto"/>
          <w:kern w:val="0"/>
          <w:sz w:val="44"/>
          <w:szCs w:val="44"/>
          <w:highlight w:val="none"/>
        </w:rPr>
      </w:pPr>
    </w:p>
    <w:p w14:paraId="23262CBB">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项目编号：</w:t>
      </w:r>
      <w:r>
        <w:rPr>
          <w:rFonts w:hint="eastAsia" w:ascii="宋体" w:hAnsi="宋体" w:eastAsia="宋体" w:cs="宋体"/>
          <w:snapToGrid w:val="0"/>
          <w:color w:val="auto"/>
          <w:kern w:val="0"/>
          <w:sz w:val="28"/>
          <w:szCs w:val="28"/>
          <w:highlight w:val="none"/>
          <w:u w:val="single"/>
        </w:rPr>
        <w:t xml:space="preserve">                            </w:t>
      </w:r>
    </w:p>
    <w:p w14:paraId="0C78F52B">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投标人名称：</w:t>
      </w:r>
      <w:r>
        <w:rPr>
          <w:rFonts w:hint="eastAsia" w:ascii="宋体" w:hAnsi="宋体" w:eastAsia="宋体" w:cs="宋体"/>
          <w:snapToGrid w:val="0"/>
          <w:color w:val="auto"/>
          <w:kern w:val="0"/>
          <w:sz w:val="28"/>
          <w:szCs w:val="28"/>
          <w:highlight w:val="none"/>
          <w:u w:val="single"/>
        </w:rPr>
        <w:t xml:space="preserve">                           </w:t>
      </w:r>
    </w:p>
    <w:p w14:paraId="04D441BF">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投标人代表：</w:t>
      </w:r>
      <w:r>
        <w:rPr>
          <w:rFonts w:hint="eastAsia" w:ascii="宋体" w:hAnsi="宋体" w:eastAsia="宋体" w:cs="宋体"/>
          <w:snapToGrid w:val="0"/>
          <w:color w:val="auto"/>
          <w:kern w:val="0"/>
          <w:sz w:val="28"/>
          <w:szCs w:val="28"/>
          <w:highlight w:val="none"/>
          <w:u w:val="single"/>
        </w:rPr>
        <w:t xml:space="preserve">                           </w:t>
      </w:r>
    </w:p>
    <w:p w14:paraId="0444245A">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投标日期：</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14:paraId="28A789AF">
      <w:pPr>
        <w:rPr>
          <w:snapToGrid w:val="0"/>
          <w:color w:val="auto"/>
          <w:kern w:val="0"/>
          <w:highlight w:val="none"/>
        </w:rPr>
      </w:pPr>
      <w:r>
        <w:rPr>
          <w:snapToGrid w:val="0"/>
          <w:color w:val="auto"/>
          <w:kern w:val="0"/>
          <w:highlight w:val="none"/>
        </w:rPr>
        <w:br w:type="page"/>
      </w:r>
    </w:p>
    <w:p w14:paraId="725DC25A">
      <w:pPr>
        <w:spacing w:after="120" w:afterLines="50" w:line="440" w:lineRule="exact"/>
        <w:jc w:val="center"/>
        <w:rPr>
          <w:rFonts w:ascii="宋体" w:hAnsi="宋体" w:eastAsia="宋体" w:cs="宋体"/>
          <w:snapToGrid w:val="0"/>
          <w:color w:val="auto"/>
          <w:kern w:val="0"/>
          <w:sz w:val="44"/>
          <w:highlight w:val="none"/>
        </w:rPr>
      </w:pPr>
      <w:r>
        <w:rPr>
          <w:rFonts w:hint="eastAsia" w:ascii="宋体" w:hAnsi="宋体" w:eastAsia="宋体" w:cs="宋体"/>
          <w:snapToGrid w:val="0"/>
          <w:color w:val="auto"/>
          <w:kern w:val="0"/>
          <w:sz w:val="44"/>
          <w:szCs w:val="44"/>
          <w:highlight w:val="none"/>
        </w:rPr>
        <w:t>资格审查文件</w:t>
      </w:r>
      <w:r>
        <w:rPr>
          <w:rFonts w:hint="eastAsia" w:ascii="宋体" w:hAnsi="宋体" w:eastAsia="宋体" w:cs="宋体"/>
          <w:snapToGrid w:val="0"/>
          <w:color w:val="auto"/>
          <w:kern w:val="0"/>
          <w:sz w:val="44"/>
          <w:highlight w:val="none"/>
        </w:rPr>
        <w:t>目录</w:t>
      </w:r>
    </w:p>
    <w:p w14:paraId="42CEF2A9">
      <w:pPr>
        <w:spacing w:after="120" w:afterLines="50" w:line="440" w:lineRule="exact"/>
        <w:jc w:val="center"/>
        <w:rPr>
          <w:rFonts w:ascii="宋体" w:hAnsi="宋体" w:eastAsia="宋体" w:cs="宋体"/>
          <w:snapToGrid w:val="0"/>
          <w:color w:val="auto"/>
          <w:kern w:val="0"/>
          <w:sz w:val="44"/>
          <w:highlight w:val="none"/>
        </w:rPr>
      </w:pPr>
    </w:p>
    <w:p w14:paraId="0154A9AD">
      <w:pPr>
        <w:spacing w:line="360" w:lineRule="auto"/>
        <w:ind w:firstLine="480" w:firstLineChars="200"/>
        <w:jc w:val="left"/>
        <w:rPr>
          <w:rFonts w:ascii="宋体" w:hAnsi="宋体" w:eastAsia="宋体" w:cs="宋体"/>
          <w:snapToGrid w:val="0"/>
          <w:color w:val="auto"/>
          <w:kern w:val="0"/>
          <w:sz w:val="24"/>
          <w:szCs w:val="24"/>
          <w:highlight w:val="none"/>
        </w:rPr>
      </w:pPr>
    </w:p>
    <w:p w14:paraId="31727D4C">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1、</w:t>
      </w:r>
    </w:p>
    <w:p w14:paraId="7F026FF2">
      <w:pPr>
        <w:spacing w:line="360" w:lineRule="auto"/>
        <w:ind w:firstLine="560" w:firstLineChars="200"/>
        <w:jc w:val="left"/>
        <w:rPr>
          <w:rFonts w:ascii="宋体" w:hAnsi="宋体" w:eastAsia="宋体" w:cs="宋体"/>
          <w:snapToGrid w:val="0"/>
          <w:color w:val="auto"/>
          <w:kern w:val="0"/>
          <w:sz w:val="28"/>
          <w:szCs w:val="28"/>
          <w:highlight w:val="none"/>
        </w:rPr>
      </w:pPr>
    </w:p>
    <w:p w14:paraId="0DCB5FF1">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2、</w:t>
      </w:r>
    </w:p>
    <w:p w14:paraId="188587DC">
      <w:pPr>
        <w:spacing w:line="360" w:lineRule="auto"/>
        <w:ind w:firstLine="560" w:firstLineChars="200"/>
        <w:jc w:val="left"/>
        <w:rPr>
          <w:rFonts w:ascii="宋体" w:hAnsi="宋体" w:eastAsia="宋体" w:cs="宋体"/>
          <w:snapToGrid w:val="0"/>
          <w:color w:val="auto"/>
          <w:kern w:val="0"/>
          <w:sz w:val="28"/>
          <w:szCs w:val="28"/>
          <w:highlight w:val="none"/>
        </w:rPr>
      </w:pPr>
    </w:p>
    <w:p w14:paraId="4A495A9B">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3、</w:t>
      </w:r>
    </w:p>
    <w:p w14:paraId="7F046621">
      <w:pPr>
        <w:spacing w:line="360" w:lineRule="auto"/>
        <w:ind w:firstLine="560" w:firstLineChars="200"/>
        <w:jc w:val="left"/>
        <w:rPr>
          <w:rFonts w:ascii="宋体" w:hAnsi="宋体" w:eastAsia="宋体" w:cs="宋体"/>
          <w:snapToGrid w:val="0"/>
          <w:color w:val="auto"/>
          <w:kern w:val="0"/>
          <w:sz w:val="28"/>
          <w:szCs w:val="28"/>
          <w:highlight w:val="none"/>
        </w:rPr>
      </w:pPr>
    </w:p>
    <w:p w14:paraId="3C4B5BC1">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4、</w:t>
      </w:r>
    </w:p>
    <w:p w14:paraId="4442CC14">
      <w:pPr>
        <w:spacing w:line="360" w:lineRule="auto"/>
        <w:ind w:firstLine="560" w:firstLineChars="200"/>
        <w:jc w:val="left"/>
        <w:rPr>
          <w:rFonts w:ascii="宋体" w:hAnsi="宋体" w:eastAsia="宋体" w:cs="宋体"/>
          <w:snapToGrid w:val="0"/>
          <w:color w:val="auto"/>
          <w:kern w:val="0"/>
          <w:sz w:val="28"/>
          <w:szCs w:val="28"/>
          <w:highlight w:val="none"/>
        </w:rPr>
      </w:pPr>
    </w:p>
    <w:p w14:paraId="2311D871">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5、</w:t>
      </w:r>
    </w:p>
    <w:p w14:paraId="3495B208">
      <w:pPr>
        <w:spacing w:line="360" w:lineRule="auto"/>
        <w:ind w:firstLine="560" w:firstLineChars="200"/>
        <w:jc w:val="left"/>
        <w:rPr>
          <w:rFonts w:ascii="宋体" w:hAnsi="宋体"/>
          <w:snapToGrid w:val="0"/>
          <w:color w:val="auto"/>
          <w:kern w:val="0"/>
          <w:sz w:val="28"/>
          <w:szCs w:val="28"/>
          <w:highlight w:val="none"/>
        </w:rPr>
      </w:pPr>
    </w:p>
    <w:p w14:paraId="2A765291">
      <w:pPr>
        <w:spacing w:line="360" w:lineRule="auto"/>
        <w:ind w:firstLine="560" w:firstLineChars="2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6、其他</w:t>
      </w:r>
      <w:r>
        <w:rPr>
          <w:rFonts w:hint="eastAsia" w:ascii="宋体" w:hAnsi="宋体" w:eastAsia="宋体" w:cs="宋体"/>
          <w:snapToGrid w:val="0"/>
          <w:color w:val="auto"/>
          <w:kern w:val="0"/>
          <w:sz w:val="28"/>
          <w:szCs w:val="28"/>
          <w:highlight w:val="none"/>
          <w:u w:val="single"/>
        </w:rPr>
        <w:t xml:space="preserve">                                   </w:t>
      </w:r>
    </w:p>
    <w:p w14:paraId="44EAB39B">
      <w:pPr>
        <w:spacing w:line="360" w:lineRule="auto"/>
        <w:ind w:firstLine="480" w:firstLineChars="200"/>
        <w:jc w:val="left"/>
        <w:rPr>
          <w:rFonts w:ascii="宋体" w:hAnsi="宋体"/>
          <w:b/>
          <w:snapToGrid w:val="0"/>
          <w:color w:val="auto"/>
          <w:kern w:val="0"/>
          <w:sz w:val="24"/>
          <w:szCs w:val="24"/>
          <w:highlight w:val="none"/>
        </w:rPr>
      </w:pPr>
    </w:p>
    <w:p w14:paraId="265A9AF8">
      <w:pPr>
        <w:spacing w:line="360" w:lineRule="auto"/>
        <w:ind w:firstLine="480" w:firstLineChars="200"/>
        <w:jc w:val="left"/>
        <w:rPr>
          <w:rFonts w:ascii="宋体" w:hAnsi="宋体"/>
          <w:b/>
          <w:snapToGrid w:val="0"/>
          <w:color w:val="auto"/>
          <w:kern w:val="0"/>
          <w:sz w:val="24"/>
          <w:szCs w:val="24"/>
          <w:highlight w:val="none"/>
        </w:rPr>
      </w:pPr>
    </w:p>
    <w:p w14:paraId="70B34159">
      <w:pPr>
        <w:rPr>
          <w:snapToGrid w:val="0"/>
          <w:color w:val="auto"/>
          <w:kern w:val="0"/>
          <w:highlight w:val="none"/>
        </w:rPr>
      </w:pPr>
      <w:r>
        <w:rPr>
          <w:snapToGrid w:val="0"/>
          <w:color w:val="auto"/>
          <w:kern w:val="0"/>
          <w:highlight w:val="none"/>
        </w:rPr>
        <w:br w:type="page"/>
      </w:r>
    </w:p>
    <w:p w14:paraId="67F969E4">
      <w:pPr>
        <w:jc w:val="left"/>
        <w:rPr>
          <w:rFonts w:ascii="宋体" w:hAnsi="宋体" w:eastAsia="宋体" w:cs="宋体"/>
          <w:snapToGrid w:val="0"/>
          <w:color w:val="auto"/>
          <w:kern w:val="0"/>
          <w:highlight w:val="none"/>
        </w:rPr>
      </w:pPr>
    </w:p>
    <w:p w14:paraId="534CB61F">
      <w:pPr>
        <w:jc w:val="center"/>
        <w:rPr>
          <w:rFonts w:ascii="宋体" w:hAnsi="宋体" w:eastAsia="宋体" w:cs="宋体"/>
          <w:snapToGrid w:val="0"/>
          <w:color w:val="auto"/>
          <w:kern w:val="0"/>
          <w:sz w:val="44"/>
          <w:szCs w:val="44"/>
          <w:highlight w:val="none"/>
        </w:rPr>
      </w:pPr>
    </w:p>
    <w:p w14:paraId="2945D298">
      <w:pPr>
        <w:jc w:val="center"/>
        <w:rPr>
          <w:rFonts w:ascii="宋体" w:hAnsi="宋体" w:eastAsia="宋体" w:cs="宋体"/>
          <w:snapToGrid w:val="0"/>
          <w:color w:val="auto"/>
          <w:kern w:val="0"/>
          <w:sz w:val="44"/>
          <w:szCs w:val="44"/>
          <w:highlight w:val="none"/>
        </w:rPr>
      </w:pPr>
      <w:r>
        <w:rPr>
          <w:rFonts w:hint="eastAsia" w:ascii="宋体" w:hAnsi="宋体" w:eastAsia="宋体" w:cs="宋体"/>
          <w:snapToGrid w:val="0"/>
          <w:color w:val="auto"/>
          <w:kern w:val="0"/>
          <w:sz w:val="44"/>
          <w:szCs w:val="44"/>
          <w:highlight w:val="none"/>
          <w:u w:val="single"/>
        </w:rPr>
        <w:t xml:space="preserve">                 </w:t>
      </w:r>
      <w:r>
        <w:rPr>
          <w:rFonts w:hint="eastAsia" w:ascii="宋体" w:hAnsi="宋体" w:eastAsia="宋体" w:cs="宋体"/>
          <w:snapToGrid w:val="0"/>
          <w:color w:val="auto"/>
          <w:kern w:val="0"/>
          <w:sz w:val="44"/>
          <w:szCs w:val="44"/>
          <w:highlight w:val="none"/>
        </w:rPr>
        <w:t>项目</w:t>
      </w:r>
    </w:p>
    <w:p w14:paraId="772F5AFC">
      <w:pPr>
        <w:jc w:val="center"/>
        <w:rPr>
          <w:rFonts w:ascii="宋体" w:hAnsi="宋体" w:eastAsia="宋体" w:cs="宋体"/>
          <w:snapToGrid w:val="0"/>
          <w:color w:val="auto"/>
          <w:kern w:val="0"/>
          <w:sz w:val="44"/>
          <w:szCs w:val="44"/>
          <w:highlight w:val="none"/>
        </w:rPr>
      </w:pPr>
    </w:p>
    <w:p w14:paraId="125AEDDE">
      <w:pPr>
        <w:jc w:val="center"/>
        <w:rPr>
          <w:rFonts w:ascii="宋体" w:hAnsi="宋体" w:eastAsia="宋体" w:cs="宋体"/>
          <w:snapToGrid w:val="0"/>
          <w:color w:val="auto"/>
          <w:kern w:val="0"/>
          <w:sz w:val="52"/>
          <w:szCs w:val="52"/>
          <w:highlight w:val="none"/>
        </w:rPr>
      </w:pPr>
      <w:r>
        <w:rPr>
          <w:rFonts w:hint="eastAsia" w:ascii="宋体" w:hAnsi="宋体" w:eastAsia="宋体" w:cs="宋体"/>
          <w:snapToGrid w:val="0"/>
          <w:color w:val="auto"/>
          <w:kern w:val="0"/>
          <w:sz w:val="52"/>
          <w:szCs w:val="52"/>
          <w:highlight w:val="none"/>
        </w:rPr>
        <w:t>投标文件</w:t>
      </w:r>
    </w:p>
    <w:p w14:paraId="4BF312AE">
      <w:pPr>
        <w:jc w:val="center"/>
        <w:rPr>
          <w:rFonts w:ascii="宋体" w:hAnsi="宋体" w:eastAsia="宋体" w:cs="宋体"/>
          <w:snapToGrid w:val="0"/>
          <w:color w:val="auto"/>
          <w:kern w:val="0"/>
          <w:sz w:val="52"/>
          <w:szCs w:val="52"/>
          <w:highlight w:val="none"/>
        </w:rPr>
      </w:pPr>
    </w:p>
    <w:p w14:paraId="152431DE">
      <w:pPr>
        <w:jc w:val="center"/>
        <w:rPr>
          <w:rFonts w:ascii="宋体" w:hAnsi="宋体" w:eastAsia="宋体" w:cs="宋体"/>
          <w:snapToGrid w:val="0"/>
          <w:color w:val="auto"/>
          <w:kern w:val="0"/>
          <w:sz w:val="44"/>
          <w:szCs w:val="44"/>
          <w:highlight w:val="none"/>
        </w:rPr>
      </w:pPr>
    </w:p>
    <w:p w14:paraId="0A9F7343">
      <w:pPr>
        <w:jc w:val="center"/>
        <w:rPr>
          <w:rFonts w:ascii="宋体" w:hAnsi="宋体" w:eastAsia="宋体" w:cs="宋体"/>
          <w:b/>
          <w:snapToGrid w:val="0"/>
          <w:color w:val="auto"/>
          <w:kern w:val="0"/>
          <w:sz w:val="44"/>
          <w:szCs w:val="44"/>
          <w:highlight w:val="none"/>
        </w:rPr>
      </w:pPr>
      <w:r>
        <w:rPr>
          <w:rFonts w:hint="eastAsia" w:ascii="宋体" w:hAnsi="宋体" w:eastAsia="宋体" w:cs="宋体"/>
          <w:b/>
          <w:snapToGrid w:val="0"/>
          <w:color w:val="auto"/>
          <w:kern w:val="0"/>
          <w:sz w:val="44"/>
          <w:szCs w:val="44"/>
          <w:highlight w:val="none"/>
        </w:rPr>
        <w:t>资信标书</w:t>
      </w:r>
    </w:p>
    <w:p w14:paraId="4BFADE31">
      <w:pPr>
        <w:jc w:val="center"/>
        <w:rPr>
          <w:rFonts w:ascii="宋体" w:hAnsi="宋体" w:eastAsia="宋体" w:cs="宋体"/>
          <w:snapToGrid w:val="0"/>
          <w:color w:val="auto"/>
          <w:kern w:val="0"/>
          <w:sz w:val="44"/>
          <w:szCs w:val="44"/>
          <w:highlight w:val="none"/>
        </w:rPr>
      </w:pPr>
    </w:p>
    <w:p w14:paraId="13537225">
      <w:pPr>
        <w:jc w:val="center"/>
        <w:rPr>
          <w:rFonts w:ascii="宋体" w:hAnsi="宋体" w:eastAsia="宋体" w:cs="宋体"/>
          <w:snapToGrid w:val="0"/>
          <w:color w:val="auto"/>
          <w:kern w:val="0"/>
          <w:sz w:val="44"/>
          <w:szCs w:val="44"/>
          <w:highlight w:val="none"/>
        </w:rPr>
      </w:pPr>
    </w:p>
    <w:p w14:paraId="7163FAE9">
      <w:pPr>
        <w:jc w:val="center"/>
        <w:rPr>
          <w:rFonts w:ascii="宋体" w:hAnsi="宋体" w:eastAsia="宋体" w:cs="宋体"/>
          <w:snapToGrid w:val="0"/>
          <w:color w:val="auto"/>
          <w:kern w:val="0"/>
          <w:sz w:val="44"/>
          <w:szCs w:val="44"/>
          <w:highlight w:val="none"/>
        </w:rPr>
      </w:pPr>
    </w:p>
    <w:p w14:paraId="193E6F2F">
      <w:pPr>
        <w:jc w:val="center"/>
        <w:rPr>
          <w:rFonts w:ascii="宋体" w:hAnsi="宋体" w:eastAsia="宋体" w:cs="宋体"/>
          <w:snapToGrid w:val="0"/>
          <w:color w:val="auto"/>
          <w:kern w:val="0"/>
          <w:sz w:val="44"/>
          <w:szCs w:val="44"/>
          <w:highlight w:val="none"/>
        </w:rPr>
      </w:pPr>
    </w:p>
    <w:p w14:paraId="10AC84D0">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项目编号：</w:t>
      </w:r>
      <w:r>
        <w:rPr>
          <w:rFonts w:hint="eastAsia" w:ascii="宋体" w:hAnsi="宋体" w:eastAsia="宋体" w:cs="宋体"/>
          <w:snapToGrid w:val="0"/>
          <w:color w:val="auto"/>
          <w:kern w:val="0"/>
          <w:sz w:val="28"/>
          <w:szCs w:val="28"/>
          <w:highlight w:val="none"/>
          <w:u w:val="single"/>
        </w:rPr>
        <w:t xml:space="preserve">                            </w:t>
      </w:r>
    </w:p>
    <w:p w14:paraId="61464484">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投标人名称：</w:t>
      </w:r>
      <w:r>
        <w:rPr>
          <w:rFonts w:hint="eastAsia" w:ascii="宋体" w:hAnsi="宋体" w:eastAsia="宋体" w:cs="宋体"/>
          <w:snapToGrid w:val="0"/>
          <w:color w:val="auto"/>
          <w:kern w:val="0"/>
          <w:sz w:val="28"/>
          <w:szCs w:val="28"/>
          <w:highlight w:val="none"/>
          <w:u w:val="single"/>
        </w:rPr>
        <w:t xml:space="preserve">                           </w:t>
      </w:r>
    </w:p>
    <w:p w14:paraId="48E38F22">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投标人代表：</w:t>
      </w:r>
      <w:r>
        <w:rPr>
          <w:rFonts w:hint="eastAsia" w:ascii="宋体" w:hAnsi="宋体" w:eastAsia="宋体" w:cs="宋体"/>
          <w:snapToGrid w:val="0"/>
          <w:color w:val="auto"/>
          <w:kern w:val="0"/>
          <w:sz w:val="28"/>
          <w:szCs w:val="28"/>
          <w:highlight w:val="none"/>
          <w:u w:val="single"/>
        </w:rPr>
        <w:t xml:space="preserve">                           </w:t>
      </w:r>
    </w:p>
    <w:p w14:paraId="21A6D964">
      <w:pPr>
        <w:spacing w:line="480" w:lineRule="auto"/>
        <w:ind w:firstLine="1400" w:firstLineChars="500"/>
        <w:jc w:val="left"/>
        <w:rPr>
          <w:rFonts w:ascii="黑体" w:eastAsia="黑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投标日期：</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14:paraId="19243409">
      <w:pPr>
        <w:rPr>
          <w:snapToGrid w:val="0"/>
          <w:color w:val="auto"/>
          <w:kern w:val="0"/>
          <w:highlight w:val="none"/>
        </w:rPr>
      </w:pPr>
      <w:r>
        <w:rPr>
          <w:snapToGrid w:val="0"/>
          <w:color w:val="auto"/>
          <w:kern w:val="0"/>
          <w:highlight w:val="none"/>
        </w:rPr>
        <w:br w:type="page"/>
      </w:r>
    </w:p>
    <w:p w14:paraId="6989DE17">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投标函</w:t>
      </w:r>
    </w:p>
    <w:p w14:paraId="7D662A8F">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致</w:t>
      </w:r>
      <w:r>
        <w:rPr>
          <w:rFonts w:hint="eastAsia" w:ascii="宋体" w:hAnsi="宋体" w:eastAsia="宋体" w:cs="宋体"/>
          <w:snapToGrid w:val="0"/>
          <w:color w:val="auto"/>
          <w:kern w:val="0"/>
          <w:szCs w:val="21"/>
          <w:highlight w:val="none"/>
          <w:u w:val="single"/>
        </w:rPr>
        <w:t xml:space="preserve">      （招标人）          </w:t>
      </w:r>
      <w:r>
        <w:rPr>
          <w:rFonts w:hint="eastAsia" w:ascii="宋体" w:hAnsi="宋体" w:eastAsia="宋体" w:cs="宋体"/>
          <w:snapToGrid w:val="0"/>
          <w:color w:val="auto"/>
          <w:kern w:val="0"/>
          <w:szCs w:val="21"/>
          <w:highlight w:val="none"/>
        </w:rPr>
        <w:t>：</w:t>
      </w:r>
    </w:p>
    <w:p w14:paraId="6C5C33D9">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根据已收到贵方的</w:t>
      </w:r>
      <w:r>
        <w:rPr>
          <w:rFonts w:hint="eastAsia" w:ascii="宋体" w:hAnsi="宋体" w:eastAsia="宋体" w:cs="宋体"/>
          <w:snapToGrid w:val="0"/>
          <w:color w:val="auto"/>
          <w:kern w:val="0"/>
          <w:szCs w:val="21"/>
          <w:highlight w:val="none"/>
          <w:u w:val="single"/>
        </w:rPr>
        <w:t xml:space="preserve">        （招标项目名称）        </w:t>
      </w:r>
      <w:r>
        <w:rPr>
          <w:rFonts w:hint="eastAsia" w:ascii="宋体" w:hAnsi="宋体" w:eastAsia="宋体" w:cs="宋体"/>
          <w:snapToGrid w:val="0"/>
          <w:color w:val="auto"/>
          <w:kern w:val="0"/>
          <w:szCs w:val="21"/>
          <w:highlight w:val="none"/>
        </w:rPr>
        <w:t>招标文件，我单位经考察现场和研究上述招标文件后，我方愿以招标文件前附表规定的付费方法及标准，接受贵方招标文件所提出的任务要求。</w:t>
      </w:r>
    </w:p>
    <w:p w14:paraId="6D78A285">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1.我方已详细审核了全部招标文件，包括澄清、修改、补充文件（如有时）及有关附件，对招标文件的要求完全理解。</w:t>
      </w:r>
    </w:p>
    <w:p w14:paraId="3151F905">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2.我方认同招标文件规定的评审规则，遵守评标委员会的裁决结果，并且不会采取妨碍项目进展的行为。我方理解你方没有必须接受你方可能收到的最低标或任何投标的义务。</w:t>
      </w:r>
    </w:p>
    <w:p w14:paraId="04681420">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3.我方同意所递交的投标文件在招标文件规定的投标有效期限内有效，在此期间内我方的投标有可能中标，我方将受此约束。如果在投标有效期内撤回投标或放弃中标资格，我方的投标担保将全部被没收。</w:t>
      </w:r>
    </w:p>
    <w:p w14:paraId="0F6D64B5">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4.我方</w:t>
      </w:r>
      <w:r>
        <w:rPr>
          <w:rFonts w:hint="eastAsia" w:ascii="宋体" w:hAnsi="宋体" w:eastAsia="宋体" w:cs="宋体"/>
          <w:color w:val="auto"/>
          <w:kern w:val="0"/>
          <w:szCs w:val="21"/>
          <w:highlight w:val="none"/>
        </w:rPr>
        <w:t>保证所提交的保证金是从</w:t>
      </w:r>
      <w:r>
        <w:rPr>
          <w:rFonts w:hint="eastAsia" w:ascii="宋体" w:hAnsi="宋体" w:eastAsia="宋体" w:cs="宋体"/>
          <w:bCs/>
          <w:color w:val="auto"/>
          <w:kern w:val="0"/>
          <w:szCs w:val="21"/>
          <w:highlight w:val="none"/>
        </w:rPr>
        <w:t>我单位</w:t>
      </w:r>
      <w:r>
        <w:rPr>
          <w:rFonts w:hint="eastAsia" w:ascii="宋体" w:hAnsi="宋体" w:eastAsia="宋体" w:cs="宋体"/>
          <w:color w:val="auto"/>
          <w:kern w:val="0"/>
          <w:szCs w:val="21"/>
          <w:highlight w:val="none"/>
        </w:rPr>
        <w:t>基本账户汇出，银行保函是由</w:t>
      </w:r>
      <w:r>
        <w:rPr>
          <w:rFonts w:hint="eastAsia" w:ascii="宋体" w:hAnsi="宋体" w:eastAsia="宋体" w:cs="宋体"/>
          <w:bCs/>
          <w:color w:val="auto"/>
          <w:kern w:val="0"/>
          <w:szCs w:val="21"/>
          <w:highlight w:val="none"/>
        </w:rPr>
        <w:t>我单位</w:t>
      </w:r>
      <w:r>
        <w:rPr>
          <w:rFonts w:hint="eastAsia" w:ascii="宋体" w:hAnsi="宋体" w:eastAsia="宋体" w:cs="宋体"/>
          <w:color w:val="auto"/>
          <w:kern w:val="0"/>
          <w:szCs w:val="21"/>
          <w:highlight w:val="none"/>
        </w:rPr>
        <w:t>基本账户开户银行所在网点或其上级银行机构出具，</w:t>
      </w:r>
      <w:r>
        <w:rPr>
          <w:rFonts w:hint="eastAsia" w:ascii="宋体" w:hAnsi="宋体" w:eastAsia="宋体" w:cs="宋体"/>
          <w:strike w:val="0"/>
          <w:color w:val="auto"/>
          <w:kern w:val="0"/>
          <w:szCs w:val="21"/>
          <w:highlight w:val="none"/>
          <w:lang w:val="en-US" w:eastAsia="zh-CN"/>
        </w:rPr>
        <w:t>担保公司保函、</w:t>
      </w:r>
      <w:r>
        <w:rPr>
          <w:rFonts w:hint="eastAsia" w:ascii="宋体" w:hAnsi="宋体" w:eastAsia="宋体" w:cs="宋体"/>
          <w:color w:val="auto"/>
          <w:kern w:val="0"/>
          <w:szCs w:val="21"/>
          <w:highlight w:val="none"/>
        </w:rPr>
        <w:t>保证保险的保费是通过我单位基本账户支付，如不按上述原则提交投标担保，招标人</w:t>
      </w:r>
      <w:r>
        <w:rPr>
          <w:rFonts w:hint="eastAsia" w:ascii="宋体" w:hAnsi="宋体" w:eastAsia="宋体" w:cs="宋体"/>
          <w:bCs/>
          <w:color w:val="auto"/>
          <w:kern w:val="0"/>
          <w:szCs w:val="21"/>
          <w:highlight w:val="none"/>
        </w:rPr>
        <w:t>有权取消我单位的中标资格或单方面终止合同，因此造成的责任由我单位承担。</w:t>
      </w:r>
    </w:p>
    <w:p w14:paraId="0A040FC3">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5.如果我方中标，我方保证按照招标文件规定的时间完成任务，并将按招标文件的规定履行合同责任和义务。</w:t>
      </w:r>
    </w:p>
    <w:p w14:paraId="52263928">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如果我方中标，我方将按照投标文件承诺组建项目组，由投标文件所承诺的人员完成本项目的全部工作。如未经招标人同意更换项目组成员，招标人有权取消我单位的中标资格或单方面终止合同，由此造成的违约责任由我单位承担。</w:t>
      </w:r>
    </w:p>
    <w:p w14:paraId="319D1CA8">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7.如果我方中标，我方将按照招标文件中规定的金额提交经招标人认可的履约保函。</w:t>
      </w:r>
    </w:p>
    <w:p w14:paraId="0EF3AC16">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8.我方保证投标文件内容无任何虚假。若评定标过程中查有虚假，同意作无效或废标处理，并被没收投标担保；若中标之后查有虚假，同意被废除授标并被没收投标担保。</w:t>
      </w:r>
    </w:p>
    <w:p w14:paraId="4DC7FC70">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9.在正式合同签署并生效之前，贵方的中标通知书和本投标函将成为约束双方的合同文件的组成部分。</w:t>
      </w:r>
    </w:p>
    <w:p w14:paraId="150D6B3C">
      <w:pPr>
        <w:spacing w:line="360" w:lineRule="auto"/>
        <w:ind w:firstLine="422" w:firstLineChars="200"/>
        <w:jc w:val="left"/>
        <w:rPr>
          <w:rFonts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本投标函同时作为法定代表人证明书和法人授权委托书。</w:t>
      </w:r>
    </w:p>
    <w:p w14:paraId="6AAAD28A">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投标人名称：</w:t>
      </w:r>
      <w:r>
        <w:rPr>
          <w:rFonts w:hint="eastAsia" w:ascii="宋体" w:hAnsi="宋体" w:eastAsia="宋体" w:cs="宋体"/>
          <w:snapToGrid w:val="0"/>
          <w:color w:val="auto"/>
          <w:kern w:val="0"/>
          <w:highlight w:val="none"/>
          <w:u w:val="single"/>
        </w:rPr>
        <w:t xml:space="preserve">                                           </w:t>
      </w:r>
    </w:p>
    <w:p w14:paraId="28A61B04">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法定代表人：</w:t>
      </w:r>
      <w:r>
        <w:rPr>
          <w:rFonts w:hint="eastAsia" w:ascii="宋体" w:hAnsi="宋体" w:eastAsia="宋体" w:cs="宋体"/>
          <w:snapToGrid w:val="0"/>
          <w:color w:val="auto"/>
          <w:kern w:val="0"/>
          <w:highlight w:val="none"/>
          <w:u w:val="single"/>
        </w:rPr>
        <w:t xml:space="preserve">                                           </w:t>
      </w:r>
    </w:p>
    <w:p w14:paraId="3650B629">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授权委托人：</w:t>
      </w:r>
      <w:r>
        <w:rPr>
          <w:rFonts w:hint="eastAsia" w:ascii="宋体" w:hAnsi="宋体" w:eastAsia="宋体" w:cs="宋体"/>
          <w:snapToGrid w:val="0"/>
          <w:color w:val="auto"/>
          <w:kern w:val="0"/>
          <w:highlight w:val="none"/>
          <w:u w:val="single"/>
        </w:rPr>
        <w:t xml:space="preserve">                                           </w:t>
      </w:r>
    </w:p>
    <w:p w14:paraId="186B49C5">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邮编：</w:t>
      </w:r>
      <w:r>
        <w:rPr>
          <w:rFonts w:hint="eastAsia" w:ascii="宋体" w:hAnsi="宋体" w:eastAsia="宋体" w:cs="宋体"/>
          <w:snapToGrid w:val="0"/>
          <w:color w:val="auto"/>
          <w:kern w:val="0"/>
          <w:szCs w:val="21"/>
          <w:highlight w:val="none"/>
          <w:u w:val="single"/>
        </w:rPr>
        <w:t xml:space="preserve">               </w:t>
      </w:r>
    </w:p>
    <w:p w14:paraId="08A26629">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传真：</w:t>
      </w:r>
      <w:r>
        <w:rPr>
          <w:rFonts w:hint="eastAsia" w:ascii="宋体" w:hAnsi="宋体" w:eastAsia="宋体" w:cs="宋体"/>
          <w:snapToGrid w:val="0"/>
          <w:color w:val="auto"/>
          <w:kern w:val="0"/>
          <w:szCs w:val="21"/>
          <w:highlight w:val="none"/>
          <w:u w:val="single"/>
        </w:rPr>
        <w:t xml:space="preserve">               </w:t>
      </w:r>
    </w:p>
    <w:p w14:paraId="2871AC1A">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日    期：</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14:paraId="5F11F540">
      <w:pPr>
        <w:rPr>
          <w:snapToGrid w:val="0"/>
          <w:color w:val="auto"/>
          <w:kern w:val="0"/>
          <w:highlight w:val="none"/>
        </w:rPr>
      </w:pPr>
      <w:r>
        <w:rPr>
          <w:snapToGrid w:val="0"/>
          <w:color w:val="auto"/>
          <w:kern w:val="0"/>
          <w:highlight w:val="none"/>
        </w:rPr>
        <w:br w:type="page"/>
      </w:r>
    </w:p>
    <w:p w14:paraId="50C80134">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联合体共同投标协议</w:t>
      </w:r>
    </w:p>
    <w:p w14:paraId="2FEE42D7">
      <w:pPr>
        <w:spacing w:line="360" w:lineRule="auto"/>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致</w:t>
      </w:r>
      <w:r>
        <w:rPr>
          <w:rFonts w:hint="eastAsia" w:ascii="宋体" w:hAnsi="宋体" w:eastAsia="宋体" w:cs="宋体"/>
          <w:snapToGrid w:val="0"/>
          <w:color w:val="auto"/>
          <w:kern w:val="0"/>
          <w:szCs w:val="21"/>
          <w:highlight w:val="none"/>
          <w:u w:val="single"/>
        </w:rPr>
        <w:t xml:space="preserve">       （招标人）         </w:t>
      </w:r>
      <w:r>
        <w:rPr>
          <w:rFonts w:hint="eastAsia" w:ascii="宋体" w:hAnsi="宋体" w:eastAsia="宋体" w:cs="宋体"/>
          <w:snapToGrid w:val="0"/>
          <w:color w:val="auto"/>
          <w:kern w:val="0"/>
          <w:szCs w:val="21"/>
          <w:highlight w:val="none"/>
        </w:rPr>
        <w:t>：</w:t>
      </w:r>
    </w:p>
    <w:p w14:paraId="35C5461E">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我方决定组成联合体共同参加（项目名称） 项目的投标，若中标，联合体各成员向招标人承担连带责任。我方授权委托本协议牵头人，代表所有联合体成员参加投标、提交投标文件，以及与招标人签订合同，负责整个合同实施阶段的协调工作。</w:t>
      </w:r>
    </w:p>
    <w:p w14:paraId="55A04631">
      <w:pPr>
        <w:spacing w:line="360" w:lineRule="auto"/>
        <w:ind w:firstLine="422" w:firstLineChars="200"/>
        <w:jc w:val="left"/>
        <w:rPr>
          <w:rFonts w:ascii="宋体" w:hAnsi="宋体" w:eastAsia="宋体" w:cs="宋体"/>
          <w:snapToGrid w:val="0"/>
          <w:color w:val="auto"/>
          <w:kern w:val="0"/>
          <w:szCs w:val="21"/>
          <w:highlight w:val="none"/>
        </w:rPr>
      </w:pPr>
      <w:r>
        <w:rPr>
          <w:rFonts w:hint="eastAsia" w:ascii="宋体" w:hAnsi="宋体" w:eastAsia="宋体" w:cs="宋体"/>
          <w:b/>
          <w:snapToGrid w:val="0"/>
          <w:color w:val="auto"/>
          <w:kern w:val="0"/>
          <w:szCs w:val="21"/>
          <w:highlight w:val="none"/>
        </w:rPr>
        <w:t>本投标协议同时作为法定代表人证明书和法人授权委托书。</w:t>
      </w:r>
    </w:p>
    <w:p w14:paraId="3EDE442A">
      <w:pPr>
        <w:spacing w:line="360" w:lineRule="auto"/>
        <w:jc w:val="left"/>
        <w:rPr>
          <w:rFonts w:ascii="宋体" w:hAnsi="宋体" w:eastAsia="宋体" w:cs="宋体"/>
          <w:snapToGrid w:val="0"/>
          <w:color w:val="auto"/>
          <w:kern w:val="0"/>
          <w:highlight w:val="none"/>
        </w:rPr>
      </w:pPr>
    </w:p>
    <w:p w14:paraId="31E12864">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投标牵头人（盖章）：</w:t>
      </w:r>
      <w:r>
        <w:rPr>
          <w:rFonts w:hint="eastAsia" w:ascii="宋体" w:hAnsi="宋体" w:eastAsia="宋体" w:cs="宋体"/>
          <w:snapToGrid w:val="0"/>
          <w:color w:val="auto"/>
          <w:kern w:val="0"/>
          <w:highlight w:val="none"/>
          <w:u w:val="single"/>
        </w:rPr>
        <w:t xml:space="preserve">                                   </w:t>
      </w:r>
    </w:p>
    <w:p w14:paraId="16265643">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法定代表人（签字或盖章）：</w:t>
      </w:r>
      <w:r>
        <w:rPr>
          <w:rFonts w:hint="eastAsia" w:ascii="宋体" w:hAnsi="宋体" w:eastAsia="宋体" w:cs="宋体"/>
          <w:snapToGrid w:val="0"/>
          <w:color w:val="auto"/>
          <w:kern w:val="0"/>
          <w:szCs w:val="21"/>
          <w:highlight w:val="none"/>
          <w:u w:val="single"/>
        </w:rPr>
        <w:t xml:space="preserve">                              </w:t>
      </w:r>
    </w:p>
    <w:p w14:paraId="670EE905">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授权委托人（签字或盖章）：</w:t>
      </w:r>
      <w:r>
        <w:rPr>
          <w:rFonts w:hint="eastAsia" w:ascii="宋体" w:hAnsi="宋体" w:eastAsia="宋体" w:cs="宋体"/>
          <w:snapToGrid w:val="0"/>
          <w:color w:val="auto"/>
          <w:kern w:val="0"/>
          <w:highlight w:val="none"/>
          <w:u w:val="single"/>
        </w:rPr>
        <w:t xml:space="preserve">                             </w:t>
      </w:r>
    </w:p>
    <w:p w14:paraId="48B48F07">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邮编：</w:t>
      </w:r>
      <w:r>
        <w:rPr>
          <w:rFonts w:hint="eastAsia" w:ascii="宋体" w:hAnsi="宋体" w:eastAsia="宋体" w:cs="宋体"/>
          <w:snapToGrid w:val="0"/>
          <w:color w:val="auto"/>
          <w:kern w:val="0"/>
          <w:szCs w:val="21"/>
          <w:highlight w:val="none"/>
          <w:u w:val="single"/>
        </w:rPr>
        <w:t xml:space="preserve">               </w:t>
      </w:r>
    </w:p>
    <w:p w14:paraId="37034448">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传真：</w:t>
      </w:r>
      <w:r>
        <w:rPr>
          <w:rFonts w:hint="eastAsia" w:ascii="宋体" w:hAnsi="宋体" w:eastAsia="宋体" w:cs="宋体"/>
          <w:snapToGrid w:val="0"/>
          <w:color w:val="auto"/>
          <w:kern w:val="0"/>
          <w:szCs w:val="21"/>
          <w:highlight w:val="none"/>
          <w:u w:val="single"/>
        </w:rPr>
        <w:t xml:space="preserve">               </w:t>
      </w:r>
    </w:p>
    <w:p w14:paraId="15C97582">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分工内容：</w:t>
      </w:r>
      <w:r>
        <w:rPr>
          <w:rFonts w:hint="eastAsia" w:ascii="宋体" w:hAnsi="宋体" w:eastAsia="宋体" w:cs="宋体"/>
          <w:snapToGrid w:val="0"/>
          <w:color w:val="auto"/>
          <w:kern w:val="0"/>
          <w:highlight w:val="none"/>
          <w:u w:val="single"/>
        </w:rPr>
        <w:t xml:space="preserve">                                             </w:t>
      </w:r>
    </w:p>
    <w:p w14:paraId="4351C271">
      <w:pPr>
        <w:spacing w:line="360" w:lineRule="auto"/>
        <w:ind w:firstLine="420" w:firstLineChars="200"/>
        <w:jc w:val="left"/>
        <w:rPr>
          <w:rFonts w:ascii="宋体" w:hAnsi="宋体" w:eastAsia="宋体" w:cs="宋体"/>
          <w:snapToGrid w:val="0"/>
          <w:color w:val="auto"/>
          <w:kern w:val="0"/>
          <w:highlight w:val="none"/>
        </w:rPr>
      </w:pPr>
    </w:p>
    <w:p w14:paraId="5A850E9A">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联合体成员（盖章）：</w:t>
      </w:r>
      <w:r>
        <w:rPr>
          <w:rFonts w:hint="eastAsia" w:ascii="宋体" w:hAnsi="宋体" w:eastAsia="宋体" w:cs="宋体"/>
          <w:snapToGrid w:val="0"/>
          <w:color w:val="auto"/>
          <w:kern w:val="0"/>
          <w:highlight w:val="none"/>
          <w:u w:val="single"/>
        </w:rPr>
        <w:t xml:space="preserve">                                   </w:t>
      </w:r>
    </w:p>
    <w:p w14:paraId="595BBCDB">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法定代表人（签字或盖章）：</w:t>
      </w:r>
      <w:r>
        <w:rPr>
          <w:rFonts w:hint="eastAsia" w:ascii="宋体" w:hAnsi="宋体" w:eastAsia="宋体" w:cs="宋体"/>
          <w:snapToGrid w:val="0"/>
          <w:color w:val="auto"/>
          <w:kern w:val="0"/>
          <w:szCs w:val="21"/>
          <w:highlight w:val="none"/>
          <w:u w:val="single"/>
        </w:rPr>
        <w:t xml:space="preserve">                              </w:t>
      </w:r>
    </w:p>
    <w:p w14:paraId="6BB40A98">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授权委托人（签字或盖章）：</w:t>
      </w:r>
      <w:r>
        <w:rPr>
          <w:rFonts w:hint="eastAsia" w:ascii="宋体" w:hAnsi="宋体" w:eastAsia="宋体" w:cs="宋体"/>
          <w:snapToGrid w:val="0"/>
          <w:color w:val="auto"/>
          <w:kern w:val="0"/>
          <w:highlight w:val="none"/>
          <w:u w:val="single"/>
        </w:rPr>
        <w:t xml:space="preserve">                             </w:t>
      </w:r>
    </w:p>
    <w:p w14:paraId="3F20C76F">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邮编：</w:t>
      </w:r>
      <w:r>
        <w:rPr>
          <w:rFonts w:hint="eastAsia" w:ascii="宋体" w:hAnsi="宋体" w:eastAsia="宋体" w:cs="宋体"/>
          <w:snapToGrid w:val="0"/>
          <w:color w:val="auto"/>
          <w:kern w:val="0"/>
          <w:szCs w:val="21"/>
          <w:highlight w:val="none"/>
          <w:u w:val="single"/>
        </w:rPr>
        <w:t xml:space="preserve">               </w:t>
      </w:r>
    </w:p>
    <w:p w14:paraId="0350BADE">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传真：</w:t>
      </w:r>
      <w:r>
        <w:rPr>
          <w:rFonts w:hint="eastAsia" w:ascii="宋体" w:hAnsi="宋体" w:eastAsia="宋体" w:cs="宋体"/>
          <w:snapToGrid w:val="0"/>
          <w:color w:val="auto"/>
          <w:kern w:val="0"/>
          <w:szCs w:val="21"/>
          <w:highlight w:val="none"/>
          <w:u w:val="single"/>
        </w:rPr>
        <w:t xml:space="preserve">               </w:t>
      </w:r>
    </w:p>
    <w:p w14:paraId="5E90E467">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分工内容：</w:t>
      </w:r>
      <w:r>
        <w:rPr>
          <w:rFonts w:hint="eastAsia" w:ascii="宋体" w:hAnsi="宋体" w:eastAsia="宋体" w:cs="宋体"/>
          <w:snapToGrid w:val="0"/>
          <w:color w:val="auto"/>
          <w:kern w:val="0"/>
          <w:highlight w:val="none"/>
          <w:u w:val="single"/>
        </w:rPr>
        <w:t xml:space="preserve">                                             </w:t>
      </w:r>
    </w:p>
    <w:p w14:paraId="086B1E41">
      <w:pPr>
        <w:spacing w:line="360" w:lineRule="auto"/>
        <w:ind w:firstLine="420" w:firstLineChars="200"/>
        <w:jc w:val="left"/>
        <w:rPr>
          <w:rFonts w:ascii="宋体" w:hAnsi="宋体" w:eastAsia="宋体" w:cs="宋体"/>
          <w:snapToGrid w:val="0"/>
          <w:color w:val="auto"/>
          <w:kern w:val="0"/>
          <w:highlight w:val="none"/>
        </w:rPr>
      </w:pPr>
    </w:p>
    <w:p w14:paraId="2A9FA203">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联合体成员（盖章）：</w:t>
      </w:r>
      <w:r>
        <w:rPr>
          <w:rFonts w:hint="eastAsia" w:ascii="宋体" w:hAnsi="宋体" w:eastAsia="宋体" w:cs="宋体"/>
          <w:snapToGrid w:val="0"/>
          <w:color w:val="auto"/>
          <w:kern w:val="0"/>
          <w:highlight w:val="none"/>
          <w:u w:val="single"/>
        </w:rPr>
        <w:t xml:space="preserve">                                   </w:t>
      </w:r>
    </w:p>
    <w:p w14:paraId="5E4ADD0B">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法定代表人（签字或盖章）：</w:t>
      </w:r>
      <w:r>
        <w:rPr>
          <w:rFonts w:hint="eastAsia" w:ascii="宋体" w:hAnsi="宋体" w:eastAsia="宋体" w:cs="宋体"/>
          <w:snapToGrid w:val="0"/>
          <w:color w:val="auto"/>
          <w:kern w:val="0"/>
          <w:szCs w:val="21"/>
          <w:highlight w:val="none"/>
          <w:u w:val="single"/>
        </w:rPr>
        <w:t xml:space="preserve">                              </w:t>
      </w:r>
    </w:p>
    <w:p w14:paraId="00AAA901">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授权委托人（签字或盖章）：</w:t>
      </w:r>
      <w:r>
        <w:rPr>
          <w:rFonts w:hint="eastAsia" w:ascii="宋体" w:hAnsi="宋体" w:eastAsia="宋体" w:cs="宋体"/>
          <w:snapToGrid w:val="0"/>
          <w:color w:val="auto"/>
          <w:kern w:val="0"/>
          <w:highlight w:val="none"/>
          <w:u w:val="single"/>
        </w:rPr>
        <w:t xml:space="preserve">                             </w:t>
      </w:r>
    </w:p>
    <w:p w14:paraId="78263B7E">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单位地址：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邮编：</w:t>
      </w:r>
      <w:r>
        <w:rPr>
          <w:rFonts w:hint="eastAsia" w:ascii="宋体" w:hAnsi="宋体" w:eastAsia="宋体" w:cs="宋体"/>
          <w:snapToGrid w:val="0"/>
          <w:color w:val="auto"/>
          <w:kern w:val="0"/>
          <w:szCs w:val="21"/>
          <w:highlight w:val="none"/>
          <w:u w:val="single"/>
        </w:rPr>
        <w:t xml:space="preserve">               </w:t>
      </w:r>
    </w:p>
    <w:p w14:paraId="59831B39">
      <w:pPr>
        <w:spacing w:line="360" w:lineRule="auto"/>
        <w:ind w:firstLine="420" w:firstLineChars="20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传真：</w:t>
      </w:r>
      <w:r>
        <w:rPr>
          <w:rFonts w:hint="eastAsia" w:ascii="宋体" w:hAnsi="宋体" w:eastAsia="宋体" w:cs="宋体"/>
          <w:snapToGrid w:val="0"/>
          <w:color w:val="auto"/>
          <w:kern w:val="0"/>
          <w:szCs w:val="21"/>
          <w:highlight w:val="none"/>
          <w:u w:val="single"/>
        </w:rPr>
        <w:t xml:space="preserve">               </w:t>
      </w:r>
    </w:p>
    <w:p w14:paraId="54EA5635">
      <w:pPr>
        <w:spacing w:line="360" w:lineRule="auto"/>
        <w:ind w:firstLine="420" w:firstLineChars="200"/>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分工内容：</w:t>
      </w:r>
      <w:r>
        <w:rPr>
          <w:rFonts w:hint="eastAsia" w:ascii="宋体" w:hAnsi="宋体" w:eastAsia="宋体" w:cs="宋体"/>
          <w:snapToGrid w:val="0"/>
          <w:color w:val="auto"/>
          <w:kern w:val="0"/>
          <w:highlight w:val="none"/>
          <w:u w:val="single"/>
        </w:rPr>
        <w:t xml:space="preserve">                                             </w:t>
      </w:r>
    </w:p>
    <w:p w14:paraId="2D16BCE1">
      <w:pPr>
        <w:spacing w:line="360" w:lineRule="auto"/>
        <w:ind w:firstLine="420" w:firstLineChars="200"/>
        <w:jc w:val="left"/>
        <w:rPr>
          <w:rFonts w:ascii="宋体" w:hAnsi="宋体" w:eastAsia="宋体" w:cs="宋体"/>
          <w:snapToGrid w:val="0"/>
          <w:color w:val="auto"/>
          <w:kern w:val="0"/>
          <w:szCs w:val="21"/>
          <w:highlight w:val="none"/>
        </w:rPr>
      </w:pPr>
    </w:p>
    <w:p w14:paraId="354BA3B0">
      <w:pPr>
        <w:spacing w:line="360" w:lineRule="auto"/>
        <w:ind w:firstLine="4305" w:firstLineChars="2050"/>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签订日期：       年    月    日</w:t>
      </w:r>
    </w:p>
    <w:p w14:paraId="7C2ECFAB">
      <w:pPr>
        <w:rPr>
          <w:snapToGrid w:val="0"/>
          <w:color w:val="auto"/>
          <w:kern w:val="0"/>
          <w:highlight w:val="none"/>
        </w:rPr>
      </w:pPr>
      <w:r>
        <w:rPr>
          <w:snapToGrid w:val="0"/>
          <w:color w:val="auto"/>
          <w:kern w:val="0"/>
          <w:highlight w:val="none"/>
        </w:rPr>
        <w:br w:type="page"/>
      </w:r>
    </w:p>
    <w:p w14:paraId="6C914B63">
      <w:pPr>
        <w:adjustRightInd w:val="0"/>
        <w:snapToGrid w:val="0"/>
        <w:spacing w:line="360" w:lineRule="auto"/>
        <w:jc w:val="center"/>
        <w:rPr>
          <w:rFonts w:ascii="宋体" w:hAnsi="宋体" w:eastAsia="宋体" w:cs="宋体"/>
          <w:b/>
          <w:bCs/>
          <w:color w:val="auto"/>
          <w:kern w:val="0"/>
          <w:sz w:val="30"/>
          <w:szCs w:val="30"/>
          <w:highlight w:val="none"/>
        </w:rPr>
      </w:pPr>
      <w:r>
        <w:rPr>
          <w:rFonts w:hint="eastAsia" w:ascii="宋体" w:hAnsi="宋体" w:eastAsia="宋体" w:cs="宋体"/>
          <w:b/>
          <w:bCs/>
          <w:color w:val="auto"/>
          <w:kern w:val="0"/>
          <w:sz w:val="30"/>
          <w:szCs w:val="30"/>
          <w:highlight w:val="none"/>
        </w:rPr>
        <w:t>投标保函</w:t>
      </w:r>
    </w:p>
    <w:p w14:paraId="1520041D">
      <w:pPr>
        <w:adjustRightInd w:val="0"/>
        <w:snapToGrid w:val="0"/>
        <w:ind w:firstLine="5670" w:firstLineChars="27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保函编号：</w:t>
      </w:r>
      <w:r>
        <w:rPr>
          <w:rFonts w:hint="eastAsia" w:ascii="宋体" w:hAnsi="宋体" w:eastAsia="宋体" w:cs="宋体"/>
          <w:color w:val="auto"/>
          <w:kern w:val="0"/>
          <w:szCs w:val="21"/>
          <w:highlight w:val="none"/>
          <w:u w:val="single"/>
        </w:rPr>
        <w:t>__________</w:t>
      </w:r>
    </w:p>
    <w:p w14:paraId="6ADF8F90">
      <w:pPr>
        <w:adjustRightInd w:val="0"/>
        <w:snapToGrid w:val="0"/>
        <w:spacing w:line="360" w:lineRule="exact"/>
        <w:rPr>
          <w:rFonts w:ascii="宋体" w:hAnsi="宋体" w:eastAsia="宋体" w:cs="宋体"/>
          <w:color w:val="auto"/>
          <w:kern w:val="0"/>
          <w:szCs w:val="21"/>
          <w:highlight w:val="none"/>
        </w:rPr>
      </w:pPr>
    </w:p>
    <w:p w14:paraId="036A4FC3">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致</w:t>
      </w:r>
      <w:r>
        <w:rPr>
          <w:rFonts w:hint="eastAsia" w:ascii="宋体" w:hAnsi="宋体" w:eastAsia="宋体" w:cs="宋体"/>
          <w:color w:val="auto"/>
          <w:kern w:val="0"/>
          <w:szCs w:val="21"/>
          <w:highlight w:val="none"/>
          <w:u w:val="single"/>
        </w:rPr>
        <w:t>______________________________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下称受益人</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3F972A86">
      <w:pPr>
        <w:adjustRightInd w:val="0"/>
        <w:snapToGrid w:val="0"/>
        <w:spacing w:line="360" w:lineRule="exact"/>
        <w:ind w:firstLine="482"/>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_____________________________</w:t>
      </w:r>
      <w:r>
        <w:rPr>
          <w:rFonts w:hint="eastAsia" w:ascii="宋体" w:hAnsi="宋体" w:eastAsia="宋体" w:cs="宋体"/>
          <w:color w:val="auto"/>
          <w:kern w:val="0"/>
          <w:szCs w:val="21"/>
          <w:highlight w:val="none"/>
        </w:rPr>
        <w:t>（下称被保证人）将参加贵方标段编号为</w:t>
      </w:r>
      <w:r>
        <w:rPr>
          <w:rFonts w:hint="eastAsia" w:ascii="宋体" w:hAnsi="宋体" w:eastAsia="宋体" w:cs="宋体"/>
          <w:color w:val="auto"/>
          <w:kern w:val="0"/>
          <w:szCs w:val="21"/>
          <w:highlight w:val="none"/>
          <w:u w:val="single"/>
        </w:rPr>
        <w:t>______________</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____________________________________</w:t>
      </w:r>
      <w:r>
        <w:rPr>
          <w:rFonts w:hint="eastAsia" w:ascii="宋体" w:hAnsi="宋体" w:eastAsia="宋体" w:cs="宋体"/>
          <w:color w:val="auto"/>
          <w:kern w:val="0"/>
          <w:szCs w:val="21"/>
          <w:highlight w:val="none"/>
        </w:rPr>
        <w:t>项目的投标，我方接受被保证人的委托，在此向受益人提供不可撤销的投标保证：</w:t>
      </w:r>
    </w:p>
    <w:p w14:paraId="60E0A739">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一、本保证担保的担保金额为</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币种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元</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小写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u w:val="single"/>
        </w:rPr>
        <w:t>_____________</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大写</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w:t>
      </w:r>
    </w:p>
    <w:p w14:paraId="72669E44">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二、本保证担保的保证期间为该项目的投标有效期或延长的投标有效期后28日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含28日</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，延长投标有效期无须通知我方。</w:t>
      </w:r>
    </w:p>
    <w:p w14:paraId="14201F50">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三、在本保证担保的保证期间内，如果被保证人出现下列情形之一，受益人可以向我方提起索赔：</w:t>
      </w:r>
    </w:p>
    <w:p w14:paraId="2B00E5FF">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1.被保证人在招标文件规定的投标有效期内撤回其投标；</w:t>
      </w:r>
    </w:p>
    <w:p w14:paraId="701E363D">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2.被保证人在投标有效期内收到受益人发出的中标通知书后，不能或拒绝按招标文件的要求签署合同；</w:t>
      </w:r>
    </w:p>
    <w:p w14:paraId="4EC949BD">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3.被保证人在投标有效期内收到受益人发出的中标通知书后，不能或拒绝按招标文件的规定提交履约担保。</w:t>
      </w:r>
    </w:p>
    <w:p w14:paraId="7DF0B725">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14:paraId="077EAC8C">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五、受益人的索赔通知应当说明索赔理由，并必须在本保证担保的保证期间内以专人送达或邮寄送达的方式送达我方。</w:t>
      </w:r>
    </w:p>
    <w:p w14:paraId="4BB8EDE7">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六、本保证担保项下的权利不得转让。</w:t>
      </w:r>
    </w:p>
    <w:p w14:paraId="3B987B8B">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七、本保证担保的保证期间届满，或我方已向受益人支付本保证担保的担保金额，我方的保证责任免除。</w:t>
      </w:r>
    </w:p>
    <w:p w14:paraId="3A310E8A">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八、本保证担保适用中华人民共和国法律。</w:t>
      </w:r>
    </w:p>
    <w:p w14:paraId="0F53AA4F">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九、本保证担保以中文文本为准，涂改无效。</w:t>
      </w:r>
    </w:p>
    <w:p w14:paraId="7A5F5E22">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保证人（盖章）：</w:t>
      </w:r>
      <w:r>
        <w:rPr>
          <w:rFonts w:hint="eastAsia" w:ascii="宋体" w:hAnsi="宋体" w:eastAsia="宋体" w:cs="宋体"/>
          <w:color w:val="auto"/>
          <w:kern w:val="0"/>
          <w:szCs w:val="21"/>
          <w:highlight w:val="none"/>
          <w:u w:val="single"/>
        </w:rPr>
        <w:t>___________________________________________________</w:t>
      </w:r>
    </w:p>
    <w:p w14:paraId="3DB14F3C">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法定代表人或其授权委托代理人（签字或盖章）：</w:t>
      </w:r>
      <w:r>
        <w:rPr>
          <w:rFonts w:hint="eastAsia" w:ascii="宋体" w:hAnsi="宋体" w:eastAsia="宋体" w:cs="宋体"/>
          <w:color w:val="auto"/>
          <w:kern w:val="0"/>
          <w:szCs w:val="21"/>
          <w:highlight w:val="none"/>
          <w:u w:val="single"/>
        </w:rPr>
        <w:t>_______________________</w:t>
      </w:r>
    </w:p>
    <w:p w14:paraId="690A245C">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单位地址：</w:t>
      </w:r>
      <w:r>
        <w:rPr>
          <w:rFonts w:hint="eastAsia" w:ascii="宋体" w:hAnsi="宋体" w:eastAsia="宋体" w:cs="宋体"/>
          <w:color w:val="auto"/>
          <w:kern w:val="0"/>
          <w:szCs w:val="21"/>
          <w:highlight w:val="none"/>
          <w:u w:val="single"/>
        </w:rPr>
        <w:t>________________________________________________________</w:t>
      </w:r>
    </w:p>
    <w:p w14:paraId="74014659">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r>
        <w:rPr>
          <w:rFonts w:hint="eastAsia" w:ascii="宋体" w:hAnsi="宋体" w:eastAsia="宋体" w:cs="宋体"/>
          <w:color w:val="auto"/>
          <w:kern w:val="0"/>
          <w:szCs w:val="21"/>
          <w:highlight w:val="none"/>
          <w:u w:val="single"/>
        </w:rPr>
        <w:t>___________</w:t>
      </w:r>
      <w:r>
        <w:rPr>
          <w:rFonts w:hint="eastAsia" w:ascii="宋体" w:hAnsi="宋体" w:eastAsia="宋体" w:cs="宋体"/>
          <w:color w:val="auto"/>
          <w:kern w:val="0"/>
          <w:szCs w:val="21"/>
          <w:highlight w:val="none"/>
        </w:rPr>
        <w:t>电话：</w:t>
      </w:r>
      <w:r>
        <w:rPr>
          <w:rFonts w:hint="eastAsia" w:ascii="宋体" w:hAnsi="宋体" w:eastAsia="宋体" w:cs="宋体"/>
          <w:color w:val="auto"/>
          <w:kern w:val="0"/>
          <w:szCs w:val="21"/>
          <w:highlight w:val="none"/>
          <w:u w:val="single"/>
        </w:rPr>
        <w:t>_________________</w:t>
      </w:r>
      <w:r>
        <w:rPr>
          <w:rFonts w:hint="eastAsia" w:ascii="宋体" w:hAnsi="宋体" w:eastAsia="宋体" w:cs="宋体"/>
          <w:color w:val="auto"/>
          <w:kern w:val="0"/>
          <w:szCs w:val="21"/>
          <w:highlight w:val="none"/>
        </w:rPr>
        <w:t>传真：</w:t>
      </w:r>
      <w:r>
        <w:rPr>
          <w:rFonts w:hint="eastAsia" w:ascii="宋体" w:hAnsi="宋体" w:eastAsia="宋体" w:cs="宋体"/>
          <w:color w:val="auto"/>
          <w:kern w:val="0"/>
          <w:szCs w:val="21"/>
          <w:highlight w:val="none"/>
          <w:u w:val="single"/>
        </w:rPr>
        <w:t>________________</w:t>
      </w:r>
    </w:p>
    <w:p w14:paraId="778D4298">
      <w:pPr>
        <w:adjustRightInd w:val="0"/>
        <w:snapToGrid w:val="0"/>
        <w:spacing w:line="360" w:lineRule="exact"/>
        <w:ind w:firstLine="420" w:firstLineChars="2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__________</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______</w:t>
      </w:r>
      <w:r>
        <w:rPr>
          <w:rFonts w:hint="eastAsia" w:ascii="宋体" w:hAnsi="宋体" w:eastAsia="宋体" w:cs="宋体"/>
          <w:color w:val="auto"/>
          <w:kern w:val="0"/>
          <w:szCs w:val="21"/>
          <w:highlight w:val="none"/>
        </w:rPr>
        <w:t>日</w:t>
      </w:r>
    </w:p>
    <w:p w14:paraId="42CCE4C9">
      <w:pPr>
        <w:adjustRightInd w:val="0"/>
        <w:snapToGrid w:val="0"/>
        <w:spacing w:line="360" w:lineRule="exact"/>
        <w:ind w:firstLine="420" w:firstLineChars="200"/>
        <w:rPr>
          <w:rFonts w:ascii="宋体" w:hAnsi="宋体" w:eastAsia="宋体" w:cs="宋体"/>
          <w:color w:val="auto"/>
          <w:kern w:val="0"/>
          <w:szCs w:val="21"/>
          <w:highlight w:val="none"/>
        </w:rPr>
      </w:pPr>
    </w:p>
    <w:p w14:paraId="557AE6E8">
      <w:pPr>
        <w:adjustRightInd w:val="0"/>
        <w:snapToGrid w:val="0"/>
        <w:spacing w:line="360" w:lineRule="exact"/>
        <w:ind w:firstLine="420" w:firstLineChars="200"/>
        <w:rPr>
          <w:rFonts w:ascii="宋体" w:hAnsi="宋体" w:eastAsia="宋体" w:cs="宋体"/>
          <w:color w:val="auto"/>
          <w:kern w:val="0"/>
          <w:szCs w:val="21"/>
          <w:highlight w:val="none"/>
        </w:rPr>
      </w:pPr>
    </w:p>
    <w:p w14:paraId="1D59B321">
      <w:pPr>
        <w:adjustRightInd w:val="0"/>
        <w:snapToGrid w:val="0"/>
        <w:spacing w:line="360" w:lineRule="exac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（本保函失效后，请将原件退回我方注销）</w:t>
      </w:r>
    </w:p>
    <w:p w14:paraId="1F090EDF">
      <w:pPr>
        <w:adjustRightInd w:val="0"/>
        <w:snapToGrid w:val="0"/>
        <w:spacing w:line="360" w:lineRule="exact"/>
        <w:rPr>
          <w:rFonts w:ascii="宋体" w:hAnsi="宋体" w:eastAsia="宋体" w:cs="宋体"/>
          <w:color w:val="auto"/>
          <w:kern w:val="0"/>
          <w:szCs w:val="21"/>
          <w:highlight w:val="none"/>
        </w:rPr>
      </w:pPr>
    </w:p>
    <w:p w14:paraId="5348483D">
      <w:pPr>
        <w:jc w:val="left"/>
        <w:rPr>
          <w:rFonts w:hAnsi="宋体"/>
          <w:color w:val="auto"/>
          <w:kern w:val="0"/>
          <w:szCs w:val="21"/>
          <w:highlight w:val="none"/>
        </w:rPr>
      </w:pPr>
      <w:r>
        <w:rPr>
          <w:rFonts w:hint="eastAsia" w:ascii="宋体" w:hAnsi="宋体" w:eastAsia="宋体" w:cs="宋体"/>
          <w:color w:val="auto"/>
          <w:kern w:val="0"/>
          <w:szCs w:val="21"/>
          <w:highlight w:val="none"/>
        </w:rPr>
        <w:t>注：如果投标人不采用以上投标保函格式，拟采用的投标保函格式须经招标人确认。</w:t>
      </w:r>
    </w:p>
    <w:p w14:paraId="715C3AB7">
      <w:pPr>
        <w:rPr>
          <w:snapToGrid w:val="0"/>
          <w:color w:val="auto"/>
          <w:kern w:val="0"/>
          <w:highlight w:val="none"/>
        </w:rPr>
      </w:pPr>
    </w:p>
    <w:p w14:paraId="68F75EBD">
      <w:pPr>
        <w:rPr>
          <w:snapToGrid w:val="0"/>
          <w:color w:val="auto"/>
          <w:kern w:val="0"/>
          <w:highlight w:val="none"/>
        </w:rPr>
      </w:pPr>
    </w:p>
    <w:p w14:paraId="389BA3B1">
      <w:pPr>
        <w:rPr>
          <w:snapToGrid w:val="0"/>
          <w:color w:val="auto"/>
          <w:kern w:val="0"/>
          <w:highlight w:val="none"/>
        </w:rPr>
      </w:pPr>
    </w:p>
    <w:p w14:paraId="6F8E08CF">
      <w:pPr>
        <w:rPr>
          <w:snapToGrid w:val="0"/>
          <w:color w:val="auto"/>
          <w:kern w:val="0"/>
          <w:highlight w:val="none"/>
        </w:rPr>
      </w:pPr>
    </w:p>
    <w:p w14:paraId="0A2B1B90">
      <w:pPr>
        <w:rPr>
          <w:snapToGrid w:val="0"/>
          <w:color w:val="auto"/>
          <w:kern w:val="0"/>
          <w:highlight w:val="none"/>
        </w:rPr>
      </w:pPr>
    </w:p>
    <w:p w14:paraId="2035F56D">
      <w:pPr>
        <w:adjustRightInd w:val="0"/>
        <w:snapToGrid w:val="0"/>
        <w:spacing w:line="360" w:lineRule="auto"/>
        <w:jc w:val="center"/>
        <w:rPr>
          <w:rFonts w:ascii="宋体" w:hAnsi="宋体" w:eastAsia="宋体" w:cs="宋体"/>
          <w:color w:val="auto"/>
          <w:sz w:val="44"/>
          <w:highlight w:val="none"/>
        </w:rPr>
      </w:pPr>
      <w:bookmarkStart w:id="70" w:name="_Hlk86676344"/>
      <w:r>
        <w:rPr>
          <w:rFonts w:hint="eastAsia" w:ascii="宋体" w:hAnsi="宋体" w:eastAsia="宋体" w:cs="宋体"/>
          <w:color w:val="auto"/>
          <w:sz w:val="44"/>
          <w:highlight w:val="none"/>
        </w:rPr>
        <w:t>投标保证保险保险凭证</w:t>
      </w:r>
    </w:p>
    <w:p w14:paraId="213C5CA2">
      <w:pPr>
        <w:spacing w:line="360" w:lineRule="auto"/>
        <w:jc w:val="center"/>
        <w:rPr>
          <w:rFonts w:asciiTheme="minorEastAsia" w:hAnsiTheme="minorEastAsia"/>
          <w:b/>
          <w:color w:val="auto"/>
          <w:sz w:val="24"/>
          <w:szCs w:val="24"/>
          <w:highlight w:val="none"/>
        </w:rPr>
      </w:pPr>
      <w:r>
        <w:rPr>
          <w:rFonts w:hint="eastAsia" w:asciiTheme="minorEastAsia" w:hAnsiTheme="minorEastAsia"/>
          <w:b/>
          <w:color w:val="auto"/>
          <w:sz w:val="24"/>
          <w:szCs w:val="24"/>
          <w:highlight w:val="none"/>
        </w:rPr>
        <w:t xml:space="preserve">                </w:t>
      </w:r>
      <w:r>
        <w:rPr>
          <w:rFonts w:hint="eastAsia" w:ascii="宋体" w:hAnsi="宋体" w:eastAsia="宋体" w:cs="宋体"/>
          <w:color w:val="auto"/>
          <w:szCs w:val="21"/>
          <w:highlight w:val="none"/>
        </w:rPr>
        <w:t>编号：</w:t>
      </w:r>
    </w:p>
    <w:p w14:paraId="3E989D07">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w:t>
      </w:r>
      <w:r>
        <w:rPr>
          <w:rFonts w:hint="eastAsia"/>
          <w:color w:val="auto"/>
          <w:kern w:val="2"/>
          <w:sz w:val="21"/>
          <w:szCs w:val="21"/>
          <w:highlight w:val="none"/>
          <w:u w:val="single"/>
        </w:rPr>
        <w:t xml:space="preserve">                  </w:t>
      </w:r>
      <w:r>
        <w:rPr>
          <w:rFonts w:hint="eastAsia"/>
          <w:color w:val="auto"/>
          <w:kern w:val="2"/>
          <w:sz w:val="21"/>
          <w:szCs w:val="21"/>
          <w:highlight w:val="none"/>
        </w:rPr>
        <w:t>（招标人）：</w:t>
      </w:r>
    </w:p>
    <w:p w14:paraId="0746E1DE">
      <w:pPr>
        <w:pStyle w:val="204"/>
        <w:spacing w:before="0" w:beforeAutospacing="0" w:after="0" w:afterAutospacing="0" w:line="360" w:lineRule="auto"/>
        <w:ind w:firstLine="420" w:firstLineChars="200"/>
        <w:rPr>
          <w:color w:val="auto"/>
          <w:kern w:val="2"/>
          <w:sz w:val="21"/>
          <w:szCs w:val="21"/>
          <w:highlight w:val="none"/>
        </w:rPr>
      </w:pPr>
      <w:r>
        <w:rPr>
          <w:rFonts w:hint="eastAsia"/>
          <w:color w:val="auto"/>
          <w:kern w:val="2"/>
          <w:sz w:val="21"/>
          <w:szCs w:val="21"/>
          <w:highlight w:val="none"/>
        </w:rPr>
        <w:t>鉴于</w:t>
      </w:r>
      <w:r>
        <w:rPr>
          <w:rFonts w:hint="eastAsia"/>
          <w:color w:val="auto"/>
          <w:kern w:val="2"/>
          <w:sz w:val="21"/>
          <w:szCs w:val="21"/>
          <w:highlight w:val="none"/>
          <w:u w:val="single"/>
        </w:rPr>
        <w:t>             </w:t>
      </w:r>
      <w:r>
        <w:rPr>
          <w:rFonts w:hint="eastAsia"/>
          <w:color w:val="auto"/>
          <w:kern w:val="2"/>
          <w:sz w:val="21"/>
          <w:szCs w:val="21"/>
          <w:highlight w:val="none"/>
        </w:rPr>
        <w:t>（以下简称投标人）参加XXX项目投标（标段编号：XXXX），应投标人申请，根据招标文件，我方愿就投标人履行招标文件约定的义务以保证保险的方式向贵方提供如下保险服务：</w:t>
      </w:r>
    </w:p>
    <w:p w14:paraId="59507EEA">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一、保险的范围及保险金额</w:t>
      </w:r>
    </w:p>
    <w:p w14:paraId="7C4E0C5C">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我方在投标人发生以下情形时承担保险责任：</w:t>
      </w:r>
    </w:p>
    <w:p w14:paraId="1A298C25">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1.投标人在招标文件规定的投标有效期内未经贵方许可撤回投标文件；</w:t>
      </w:r>
    </w:p>
    <w:p w14:paraId="1E4CB4B7">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2.投标人中标后因自身原因未在招标文件规定的时间内与贵方签订合同；</w:t>
      </w:r>
    </w:p>
    <w:p w14:paraId="4772A802">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3.投标人中标后未按照招标文件的规定提供履约保证；</w:t>
      </w:r>
    </w:p>
    <w:p w14:paraId="6C562C01">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4.招标文件规定的投标人应支付投标保证金的其他情形。</w:t>
      </w:r>
    </w:p>
    <w:p w14:paraId="30DAC2AF">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本保证保险的保证期间为该项目的投标有效期（或延长的投标有效期）后28日历天（含28日），延长投标有效期无须通知我方。我方保证的金额为人民币____________元（大写：</w:t>
      </w:r>
      <w:r>
        <w:rPr>
          <w:rFonts w:hint="eastAsia"/>
          <w:color w:val="auto"/>
          <w:kern w:val="2"/>
          <w:sz w:val="21"/>
          <w:szCs w:val="21"/>
          <w:highlight w:val="none"/>
          <w:u w:val="single"/>
        </w:rPr>
        <w:t>           </w:t>
      </w:r>
      <w:r>
        <w:rPr>
          <w:rFonts w:hint="eastAsia"/>
          <w:color w:val="auto"/>
          <w:kern w:val="2"/>
          <w:sz w:val="21"/>
          <w:szCs w:val="21"/>
          <w:highlight w:val="none"/>
        </w:rPr>
        <w:t>）。</w:t>
      </w:r>
    </w:p>
    <w:p w14:paraId="1AC28A82">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二、代偿的安排</w:t>
      </w:r>
    </w:p>
    <w:p w14:paraId="1C937D25">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贵方要求我方承担保险责任的，应向我方发出书面索赔通知。索赔通知应写明要求索赔的金额，支付款项应到达的银行账号，并附投标人违约造成贵方损失情况的证明材料。</w:t>
      </w:r>
    </w:p>
    <w:p w14:paraId="0D6B5301">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我方收到贵方的书面索赔通知及相应证明材料后，在10个工作日内进行核定并按照本保险凭证的承诺承担保险责任。</w:t>
      </w:r>
    </w:p>
    <w:p w14:paraId="5A0096D4">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三、保险凭证的生效</w:t>
      </w:r>
    </w:p>
    <w:p w14:paraId="0788908F">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本保险凭证自我方法定代表人（或其授权代理人）签字或加盖公章之日起生效。</w:t>
      </w:r>
    </w:p>
    <w:p w14:paraId="0544E71D">
      <w:pPr>
        <w:pStyle w:val="204"/>
        <w:spacing w:before="0" w:beforeAutospacing="0" w:after="0" w:afterAutospacing="0" w:line="360" w:lineRule="auto"/>
        <w:rPr>
          <w:color w:val="auto"/>
          <w:kern w:val="2"/>
          <w:sz w:val="21"/>
          <w:szCs w:val="21"/>
          <w:highlight w:val="none"/>
        </w:rPr>
      </w:pPr>
    </w:p>
    <w:p w14:paraId="7217B893">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附：《中国XXX财产保险股份有限公司投标保证保险(2016版)条款》及保单</w:t>
      </w:r>
    </w:p>
    <w:p w14:paraId="78C61C85">
      <w:pPr>
        <w:pStyle w:val="204"/>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保险人：</w:t>
      </w:r>
      <w:r>
        <w:rPr>
          <w:rFonts w:hint="eastAsia"/>
          <w:color w:val="auto"/>
          <w:kern w:val="2"/>
          <w:sz w:val="21"/>
          <w:szCs w:val="21"/>
          <w:highlight w:val="none"/>
          <w:u w:val="single"/>
        </w:rPr>
        <w:t xml:space="preserve">                    </w:t>
      </w:r>
      <w:r>
        <w:rPr>
          <w:rFonts w:hint="eastAsia"/>
          <w:color w:val="auto"/>
          <w:kern w:val="2"/>
          <w:sz w:val="21"/>
          <w:szCs w:val="21"/>
          <w:highlight w:val="none"/>
        </w:rPr>
        <w:t>（盖章）</w:t>
      </w:r>
    </w:p>
    <w:p w14:paraId="7B0D667C">
      <w:pPr>
        <w:pStyle w:val="204"/>
        <w:spacing w:before="0" w:beforeAutospacing="0" w:after="0" w:afterAutospacing="0" w:line="360" w:lineRule="auto"/>
        <w:ind w:firstLine="4410" w:firstLineChars="2100"/>
        <w:rPr>
          <w:color w:val="auto"/>
          <w:kern w:val="2"/>
          <w:sz w:val="21"/>
          <w:szCs w:val="21"/>
          <w:highlight w:val="none"/>
        </w:rPr>
      </w:pPr>
      <w:r>
        <w:rPr>
          <w:rFonts w:hint="eastAsia"/>
          <w:color w:val="auto"/>
          <w:kern w:val="2"/>
          <w:sz w:val="21"/>
          <w:szCs w:val="21"/>
          <w:highlight w:val="none"/>
        </w:rPr>
        <w:t xml:space="preserve">法定代表人或授权代理人：_____________ </w:t>
      </w:r>
    </w:p>
    <w:p w14:paraId="2F07CAE8">
      <w:pPr>
        <w:pStyle w:val="204"/>
        <w:spacing w:before="0" w:beforeAutospacing="0" w:after="0" w:afterAutospacing="0" w:line="360" w:lineRule="auto"/>
        <w:rPr>
          <w:color w:val="auto"/>
          <w:kern w:val="2"/>
          <w:sz w:val="21"/>
          <w:szCs w:val="21"/>
          <w:highlight w:val="none"/>
        </w:rPr>
      </w:pPr>
      <w:r>
        <w:rPr>
          <w:rFonts w:hint="eastAsia"/>
          <w:color w:val="auto"/>
          <w:kern w:val="2"/>
          <w:sz w:val="21"/>
          <w:szCs w:val="21"/>
          <w:highlight w:val="none"/>
        </w:rPr>
        <w:t xml:space="preserve">                                                年   月   日</w:t>
      </w:r>
    </w:p>
    <w:bookmarkEnd w:id="70"/>
    <w:p w14:paraId="707A75B5">
      <w:pPr>
        <w:rPr>
          <w:snapToGrid w:val="0"/>
          <w:color w:val="auto"/>
          <w:kern w:val="0"/>
          <w:highlight w:val="none"/>
        </w:rPr>
      </w:pPr>
      <w:r>
        <w:rPr>
          <w:snapToGrid w:val="0"/>
          <w:color w:val="auto"/>
          <w:kern w:val="0"/>
          <w:highlight w:val="none"/>
        </w:rPr>
        <w:br w:type="page"/>
      </w:r>
    </w:p>
    <w:p w14:paraId="5D107A31">
      <w:pPr>
        <w:adjustRightInd w:val="0"/>
        <w:snapToGrid w:val="0"/>
        <w:spacing w:line="360" w:lineRule="auto"/>
        <w:jc w:val="center"/>
        <w:rPr>
          <w:rFonts w:ascii="宋体" w:hAnsi="宋体" w:eastAsia="宋体" w:cs="宋体"/>
          <w:color w:val="auto"/>
          <w:sz w:val="44"/>
          <w:highlight w:val="none"/>
        </w:rPr>
      </w:pPr>
      <w:r>
        <w:rPr>
          <w:rFonts w:hint="eastAsia" w:ascii="宋体" w:hAnsi="宋体" w:eastAsia="宋体" w:cs="宋体"/>
          <w:color w:val="auto"/>
          <w:sz w:val="44"/>
          <w:highlight w:val="none"/>
        </w:rPr>
        <w:t>建设工程合同履约保证保险保险凭证</w:t>
      </w:r>
    </w:p>
    <w:p w14:paraId="59D533AA">
      <w:pPr>
        <w:spacing w:line="400" w:lineRule="exact"/>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color w:val="auto"/>
          <w:szCs w:val="21"/>
          <w:highlight w:val="none"/>
        </w:rPr>
        <w:t xml:space="preserve">    编号：</w:t>
      </w:r>
    </w:p>
    <w:p w14:paraId="0D25AF2C">
      <w:pPr>
        <w:widowControl/>
        <w:spacing w:line="360" w:lineRule="auto"/>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致：                         </w:t>
      </w:r>
      <w:r>
        <w:rPr>
          <w:rFonts w:hint="eastAsia" w:ascii="宋体" w:hAnsi="宋体" w:eastAsia="宋体" w:cs="宋体"/>
          <w:color w:val="auto"/>
          <w:kern w:val="0"/>
          <w:szCs w:val="21"/>
          <w:highlight w:val="none"/>
        </w:rPr>
        <w:t>（招标人名称）：</w:t>
      </w:r>
    </w:p>
    <w:p w14:paraId="7908C803">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鉴于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（下称被保证人）已与贵方签订了工程编号为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工程的合同，工期自</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至</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。我方已接受被保证人的请求，并出具《建设工程合同履约保证保险》保险单。   </w:t>
      </w:r>
    </w:p>
    <w:p w14:paraId="36A439D8">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一、保证保险金额</w:t>
      </w:r>
    </w:p>
    <w:p w14:paraId="450D6BC9">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我方承担的履约保证保险的保险金额（最高限额）为人民币（大写）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2FEA65BA">
      <w:pPr>
        <w:widowControl/>
        <w:snapToGrid w:val="0"/>
        <w:spacing w:line="38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二、保证保险的责任范围</w:t>
      </w:r>
    </w:p>
    <w:p w14:paraId="741A48E2">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在保险期间内，</w:t>
      </w:r>
      <w:r>
        <w:rPr>
          <w:rFonts w:hint="eastAsia" w:ascii="宋体" w:hAnsi="宋体" w:eastAsia="宋体" w:cs="宋体"/>
          <w:color w:val="auto"/>
          <w:kern w:val="0"/>
          <w:szCs w:val="21"/>
          <w:highlight w:val="none"/>
        </w:rPr>
        <w:t>被保证人</w:t>
      </w:r>
      <w:r>
        <w:rPr>
          <w:rFonts w:hint="eastAsia" w:ascii="宋体" w:hAnsi="宋体" w:eastAsia="宋体" w:cs="宋体"/>
          <w:color w:val="auto"/>
          <w:szCs w:val="21"/>
          <w:highlight w:val="none"/>
        </w:rPr>
        <w:t>因自身原因未按照与招标人（被保险人）签订的《建设工程合同》（合同编号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）履行相关义务，导致工期延误或服务质量不符合建设工程合同要求，给被保险人造成损失的，被保险人可向保险人提出索赔，保险人按照保险合同的约定承担损失赔偿责任。</w:t>
      </w:r>
    </w:p>
    <w:p w14:paraId="30AE2869">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三、代偿的安排</w:t>
      </w:r>
    </w:p>
    <w:p w14:paraId="732A50C9">
      <w:pPr>
        <w:snapToGrid w:val="0"/>
        <w:spacing w:line="380" w:lineRule="exact"/>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贵方要求我方承担保证保险责任的，应向我方发出书面索赔通知。索赔通知应写明要求索赔的金额，支付款项应到达的银行账号，并附被保证人违约造成贵方损失情况的证明材料。</w:t>
      </w:r>
    </w:p>
    <w:p w14:paraId="75D754C2">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szCs w:val="21"/>
          <w:highlight w:val="none"/>
        </w:rPr>
        <w:t>我方收到贵方的书面索赔通知及相应证明材料后，在</w:t>
      </w:r>
      <w:r>
        <w:rPr>
          <w:rFonts w:hint="eastAsia" w:ascii="宋体" w:hAnsi="宋体" w:eastAsia="宋体" w:cs="宋体"/>
          <w:color w:val="auto"/>
          <w:szCs w:val="21"/>
          <w:highlight w:val="none"/>
          <w:u w:val="single"/>
        </w:rPr>
        <w:t>10</w:t>
      </w:r>
      <w:r>
        <w:rPr>
          <w:rFonts w:hint="eastAsia" w:ascii="宋体" w:hAnsi="宋体" w:eastAsia="宋体" w:cs="宋体"/>
          <w:color w:val="auto"/>
          <w:szCs w:val="21"/>
          <w:highlight w:val="none"/>
        </w:rPr>
        <w:t>个工作日内进行核定并按照保险合同约定承担保证保险责任。</w:t>
      </w:r>
      <w:r>
        <w:rPr>
          <w:rFonts w:hint="eastAsia" w:ascii="宋体" w:hAnsi="宋体" w:eastAsia="宋体" w:cs="宋体"/>
          <w:color w:val="auto"/>
          <w:kern w:val="0"/>
          <w:szCs w:val="21"/>
          <w:highlight w:val="none"/>
        </w:rPr>
        <w:t xml:space="preserve">            </w:t>
      </w:r>
    </w:p>
    <w:p w14:paraId="2616D2D6">
      <w:pPr>
        <w:numPr>
          <w:ilvl w:val="0"/>
          <w:numId w:val="13"/>
        </w:num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生效时间</w:t>
      </w:r>
    </w:p>
    <w:p w14:paraId="0C223008">
      <w:pPr>
        <w:snapToGrid w:val="0"/>
        <w:spacing w:line="380" w:lineRule="exact"/>
        <w:ind w:firstLine="420" w:firstLineChars="200"/>
        <w:jc w:val="left"/>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本保险凭证自我方法定代表人（或其授权代理人）签字并加盖保险承保专用章之日起生效。</w:t>
      </w:r>
    </w:p>
    <w:p w14:paraId="0DCD6A78">
      <w:pPr>
        <w:widowControl/>
        <w:spacing w:line="360" w:lineRule="auto"/>
        <w:ind w:firstLine="420" w:firstLineChars="200"/>
        <w:jc w:val="left"/>
        <w:rPr>
          <w:rFonts w:ascii="宋体" w:hAnsi="宋体" w:eastAsia="宋体" w:cs="宋体"/>
          <w:color w:val="auto"/>
          <w:kern w:val="0"/>
          <w:szCs w:val="21"/>
          <w:highlight w:val="none"/>
        </w:rPr>
      </w:pPr>
    </w:p>
    <w:p w14:paraId="152B1211">
      <w:pPr>
        <w:adjustRightInd w:val="0"/>
        <w:snapToGrid w:val="0"/>
        <w:spacing w:after="120" w:afterLines="50"/>
        <w:ind w:firstLine="420" w:firstLineChars="200"/>
        <w:rPr>
          <w:rFonts w:ascii="宋体" w:hAnsi="宋体" w:eastAsia="宋体" w:cs="宋体"/>
          <w:color w:val="auto"/>
          <w:szCs w:val="21"/>
          <w:highlight w:val="none"/>
        </w:rPr>
      </w:pPr>
      <w:r>
        <w:rPr>
          <w:rFonts w:hint="eastAsia" w:ascii="宋体" w:hAnsi="宋体" w:eastAsia="宋体" w:cs="宋体"/>
          <w:color w:val="auto"/>
          <w:kern w:val="0"/>
          <w:szCs w:val="21"/>
          <w:highlight w:val="none"/>
        </w:rPr>
        <w:t>附：《</w:t>
      </w:r>
      <w:r>
        <w:rPr>
          <w:rFonts w:hint="eastAsia" w:ascii="宋体" w:hAnsi="宋体" w:eastAsia="宋体" w:cs="宋体"/>
          <w:color w:val="auto"/>
          <w:szCs w:val="21"/>
          <w:highlight w:val="none"/>
        </w:rPr>
        <w:t>XXX保险有限公司建设工程合同履约保证保险（X款）条款》及保单</w:t>
      </w:r>
    </w:p>
    <w:p w14:paraId="15C4DFF6">
      <w:pPr>
        <w:widowControl/>
        <w:spacing w:line="360" w:lineRule="auto"/>
        <w:ind w:firstLine="420" w:firstLineChars="200"/>
        <w:jc w:val="left"/>
        <w:rPr>
          <w:rFonts w:ascii="宋体" w:hAnsi="宋体" w:eastAsia="宋体" w:cs="宋体"/>
          <w:color w:val="auto"/>
          <w:kern w:val="0"/>
          <w:szCs w:val="21"/>
          <w:highlight w:val="none"/>
        </w:rPr>
      </w:pPr>
    </w:p>
    <w:p w14:paraId="5366CA1E">
      <w:pPr>
        <w:widowControl/>
        <w:spacing w:line="360" w:lineRule="auto"/>
        <w:ind w:firstLine="5040" w:firstLineChars="24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保险人：（盖章）</w:t>
      </w:r>
    </w:p>
    <w:p w14:paraId="533D46FF">
      <w:pPr>
        <w:widowControl/>
        <w:spacing w:line="360" w:lineRule="auto"/>
        <w:ind w:firstLine="420" w:firstLineChars="200"/>
        <w:jc w:val="center"/>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法定代表人或授权代理人：________ </w:t>
      </w:r>
    </w:p>
    <w:p w14:paraId="06EECFCB">
      <w:pPr>
        <w:widowControl/>
        <w:spacing w:line="360" w:lineRule="auto"/>
        <w:ind w:firstLine="5250" w:firstLineChars="2500"/>
        <w:rPr>
          <w:rFonts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p w14:paraId="3498516C">
      <w:pPr>
        <w:rPr>
          <w:snapToGrid w:val="0"/>
          <w:color w:val="auto"/>
          <w:kern w:val="0"/>
          <w:highlight w:val="none"/>
        </w:rPr>
      </w:pPr>
    </w:p>
    <w:p w14:paraId="71CE50E1">
      <w:pPr>
        <w:rPr>
          <w:snapToGrid w:val="0"/>
          <w:color w:val="auto"/>
          <w:kern w:val="0"/>
          <w:highlight w:val="none"/>
        </w:rPr>
      </w:pPr>
    </w:p>
    <w:p w14:paraId="333ED971">
      <w:pPr>
        <w:rPr>
          <w:snapToGrid w:val="0"/>
          <w:color w:val="auto"/>
          <w:kern w:val="0"/>
          <w:highlight w:val="none"/>
        </w:rPr>
      </w:pPr>
    </w:p>
    <w:p w14:paraId="5BAD0FD5">
      <w:pPr>
        <w:rPr>
          <w:snapToGrid w:val="0"/>
          <w:color w:val="auto"/>
          <w:kern w:val="0"/>
          <w:highlight w:val="none"/>
        </w:rPr>
      </w:pPr>
    </w:p>
    <w:p w14:paraId="37992AB2">
      <w:pPr>
        <w:rPr>
          <w:snapToGrid w:val="0"/>
          <w:color w:val="auto"/>
          <w:kern w:val="0"/>
          <w:highlight w:val="none"/>
        </w:rPr>
      </w:pPr>
    </w:p>
    <w:p w14:paraId="35D192F0">
      <w:pPr>
        <w:rPr>
          <w:snapToGrid w:val="0"/>
          <w:color w:val="auto"/>
          <w:kern w:val="0"/>
          <w:highlight w:val="none"/>
        </w:rPr>
      </w:pPr>
    </w:p>
    <w:p w14:paraId="2728FC05">
      <w:pPr>
        <w:rPr>
          <w:snapToGrid w:val="0"/>
          <w:color w:val="auto"/>
          <w:kern w:val="0"/>
          <w:highlight w:val="none"/>
        </w:rPr>
      </w:pPr>
    </w:p>
    <w:p w14:paraId="53262125">
      <w:pPr>
        <w:rPr>
          <w:snapToGrid w:val="0"/>
          <w:color w:val="auto"/>
          <w:kern w:val="0"/>
          <w:highlight w:val="none"/>
        </w:rPr>
      </w:pPr>
    </w:p>
    <w:p w14:paraId="59CDAF4F">
      <w:pPr>
        <w:rPr>
          <w:snapToGrid w:val="0"/>
          <w:color w:val="auto"/>
          <w:kern w:val="0"/>
          <w:highlight w:val="none"/>
        </w:rPr>
      </w:pPr>
    </w:p>
    <w:p w14:paraId="7C6BA063">
      <w:pPr>
        <w:rPr>
          <w:snapToGrid w:val="0"/>
          <w:color w:val="auto"/>
          <w:kern w:val="0"/>
          <w:highlight w:val="none"/>
        </w:rPr>
      </w:pPr>
    </w:p>
    <w:p w14:paraId="5BEE476F">
      <w:pPr>
        <w:rPr>
          <w:snapToGrid w:val="0"/>
          <w:color w:val="auto"/>
          <w:kern w:val="0"/>
          <w:highlight w:val="none"/>
        </w:rPr>
      </w:pPr>
    </w:p>
    <w:p w14:paraId="0A99F3AF">
      <w:pPr>
        <w:rPr>
          <w:snapToGrid w:val="0"/>
          <w:color w:val="auto"/>
          <w:kern w:val="0"/>
          <w:highlight w:val="none"/>
        </w:rPr>
      </w:pPr>
    </w:p>
    <w:p w14:paraId="264424AD">
      <w:pPr>
        <w:rPr>
          <w:snapToGrid w:val="0"/>
          <w:color w:val="auto"/>
          <w:kern w:val="0"/>
          <w:highlight w:val="none"/>
        </w:rPr>
      </w:pPr>
    </w:p>
    <w:p w14:paraId="20936180">
      <w:pPr>
        <w:rPr>
          <w:snapToGrid w:val="0"/>
          <w:color w:val="auto"/>
          <w:kern w:val="0"/>
          <w:highlight w:val="none"/>
        </w:rPr>
      </w:pPr>
    </w:p>
    <w:p w14:paraId="30EE4D3E">
      <w:pPr>
        <w:rPr>
          <w:snapToGrid w:val="0"/>
          <w:color w:val="auto"/>
          <w:kern w:val="0"/>
          <w:highlight w:val="none"/>
        </w:rPr>
      </w:pPr>
    </w:p>
    <w:p w14:paraId="5F289CEF">
      <w:pPr>
        <w:pStyle w:val="204"/>
        <w:spacing w:before="0" w:beforeAutospacing="0" w:after="0" w:afterAutospacing="0" w:line="360" w:lineRule="auto"/>
        <w:jc w:val="center"/>
        <w:rPr>
          <w:rFonts w:hint="eastAsia" w:ascii="宋体" w:hAnsi="宋体" w:eastAsia="宋体" w:cs="宋体"/>
          <w:color w:val="auto"/>
          <w:kern w:val="2"/>
          <w:sz w:val="44"/>
          <w:szCs w:val="22"/>
          <w:highlight w:val="none"/>
        </w:rPr>
      </w:pPr>
      <w:r>
        <w:rPr>
          <w:rFonts w:hint="eastAsia" w:ascii="宋体" w:hAnsi="宋体" w:eastAsia="宋体" w:cs="宋体"/>
          <w:color w:val="auto"/>
          <w:kern w:val="2"/>
          <w:sz w:val="44"/>
          <w:szCs w:val="22"/>
          <w:highlight w:val="none"/>
        </w:rPr>
        <w:t>中小企业声明函</w:t>
      </w:r>
    </w:p>
    <w:p w14:paraId="78244975">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rPr>
      </w:pPr>
    </w:p>
    <w:p w14:paraId="17B5A162">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none"/>
          <w:lang w:eastAsia="zh-CN"/>
        </w:rPr>
      </w:pPr>
      <w:r>
        <w:rPr>
          <w:rFonts w:hint="eastAsia" w:ascii="宋体" w:hAnsi="宋体" w:eastAsia="宋体" w:cs="宋体"/>
          <w:color w:val="auto"/>
          <w:kern w:val="2"/>
          <w:sz w:val="21"/>
          <w:szCs w:val="21"/>
          <w:highlight w:val="none"/>
          <w:u w:val="single"/>
        </w:rPr>
        <w:t>本</w:t>
      </w:r>
      <w:r>
        <w:rPr>
          <w:rFonts w:hint="eastAsia" w:cs="宋体"/>
          <w:color w:val="auto"/>
          <w:kern w:val="2"/>
          <w:sz w:val="21"/>
          <w:szCs w:val="21"/>
          <w:highlight w:val="none"/>
          <w:u w:val="single"/>
          <w:lang w:val="en-US" w:eastAsia="zh-CN"/>
        </w:rPr>
        <w:t>企业</w:t>
      </w:r>
      <w:r>
        <w:rPr>
          <w:rFonts w:hint="eastAsia" w:ascii="宋体" w:hAnsi="宋体" w:eastAsia="宋体" w:cs="宋体"/>
          <w:color w:val="auto"/>
          <w:kern w:val="2"/>
          <w:sz w:val="21"/>
          <w:szCs w:val="21"/>
          <w:highlight w:val="none"/>
          <w:u w:val="single"/>
        </w:rPr>
        <w:t>（联合体）</w:t>
      </w:r>
      <w:r>
        <w:rPr>
          <w:rFonts w:hint="eastAsia" w:ascii="宋体" w:hAnsi="宋体" w:eastAsia="宋体" w:cs="宋体"/>
          <w:color w:val="auto"/>
          <w:kern w:val="2"/>
          <w:sz w:val="21"/>
          <w:szCs w:val="21"/>
          <w:highlight w:val="none"/>
          <w:u w:val="none"/>
        </w:rPr>
        <w:t>参加</w:t>
      </w:r>
      <w:r>
        <w:rPr>
          <w:rFonts w:hint="eastAsia" w:ascii="宋体" w:hAnsi="宋体" w:eastAsia="宋体" w:cs="宋体"/>
          <w:color w:val="auto"/>
          <w:kern w:val="2"/>
          <w:sz w:val="21"/>
          <w:szCs w:val="21"/>
          <w:highlight w:val="none"/>
          <w:u w:val="single"/>
        </w:rPr>
        <w:t>（单位名称）</w:t>
      </w:r>
      <w:r>
        <w:rPr>
          <w:rFonts w:hint="eastAsia" w:ascii="宋体" w:hAnsi="宋体" w:eastAsia="宋体" w:cs="宋体"/>
          <w:color w:val="auto"/>
          <w:kern w:val="2"/>
          <w:sz w:val="21"/>
          <w:szCs w:val="21"/>
          <w:highlight w:val="none"/>
          <w:u w:val="none"/>
        </w:rPr>
        <w:t>的</w:t>
      </w:r>
      <w:r>
        <w:rPr>
          <w:rFonts w:hint="eastAsia" w:ascii="宋体" w:hAnsi="宋体" w:eastAsia="宋体" w:cs="宋体"/>
          <w:color w:val="auto"/>
          <w:kern w:val="2"/>
          <w:sz w:val="21"/>
          <w:szCs w:val="21"/>
          <w:highlight w:val="none"/>
          <w:u w:val="single"/>
        </w:rPr>
        <w:t>（项目名称）</w:t>
      </w:r>
      <w:r>
        <w:rPr>
          <w:rFonts w:hint="eastAsia" w:cs="宋体"/>
          <w:color w:val="auto"/>
          <w:kern w:val="2"/>
          <w:sz w:val="21"/>
          <w:szCs w:val="21"/>
          <w:highlight w:val="none"/>
          <w:u w:val="none"/>
          <w:lang w:val="en-US" w:eastAsia="zh-CN"/>
        </w:rPr>
        <w:t>招标投标</w:t>
      </w:r>
      <w:r>
        <w:rPr>
          <w:rFonts w:hint="eastAsia" w:ascii="宋体" w:hAnsi="宋体" w:eastAsia="宋体" w:cs="宋体"/>
          <w:color w:val="auto"/>
          <w:kern w:val="2"/>
          <w:sz w:val="21"/>
          <w:szCs w:val="21"/>
          <w:highlight w:val="none"/>
          <w:u w:val="none"/>
        </w:rPr>
        <w:t>活动，工程服务全部由符合政策要求的中小企业承接。相关企业（含联合体中的中小企业）的具体情况如下</w:t>
      </w:r>
      <w:r>
        <w:rPr>
          <w:rFonts w:hint="eastAsia" w:cs="宋体"/>
          <w:color w:val="auto"/>
          <w:kern w:val="2"/>
          <w:sz w:val="21"/>
          <w:szCs w:val="21"/>
          <w:highlight w:val="none"/>
          <w:u w:val="none"/>
          <w:lang w:eastAsia="zh-CN"/>
        </w:rPr>
        <w:t>：</w:t>
      </w:r>
    </w:p>
    <w:p w14:paraId="63D911A3">
      <w:pPr>
        <w:pStyle w:val="204"/>
        <w:spacing w:before="0" w:beforeAutospacing="0" w:after="0" w:afterAutospacing="0" w:line="360" w:lineRule="auto"/>
        <w:ind w:firstLine="420" w:firstLineChars="200"/>
        <w:rPr>
          <w:rFonts w:hint="eastAsia" w:cs="宋体"/>
          <w:color w:val="auto"/>
          <w:kern w:val="2"/>
          <w:sz w:val="21"/>
          <w:szCs w:val="21"/>
          <w:highlight w:val="none"/>
          <w:u w:val="single"/>
          <w:lang w:eastAsia="zh-CN"/>
        </w:rPr>
      </w:pPr>
      <w:r>
        <w:rPr>
          <w:rFonts w:hint="eastAsia" w:cs="宋体"/>
          <w:color w:val="auto"/>
          <w:kern w:val="2"/>
          <w:sz w:val="21"/>
          <w:szCs w:val="21"/>
          <w:highlight w:val="none"/>
          <w:u w:val="single"/>
          <w:lang w:val="en-US" w:eastAsia="zh-CN"/>
        </w:rPr>
        <w:t>XX企业</w:t>
      </w:r>
      <w:r>
        <w:rPr>
          <w:rFonts w:hint="eastAsia" w:ascii="宋体" w:hAnsi="宋体" w:eastAsia="宋体" w:cs="宋体"/>
          <w:color w:val="auto"/>
          <w:kern w:val="2"/>
          <w:sz w:val="21"/>
          <w:szCs w:val="21"/>
          <w:highlight w:val="none"/>
        </w:rPr>
        <w:t>从业人员</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人，营业收入为</w:t>
      </w:r>
      <w:r>
        <w:rPr>
          <w:rFonts w:hint="eastAsia" w:ascii="宋体" w:hAnsi="宋体" w:eastAsia="宋体" w:cs="宋体"/>
          <w:color w:val="auto"/>
          <w:kern w:val="2"/>
          <w:sz w:val="21"/>
          <w:szCs w:val="21"/>
          <w:highlight w:val="none"/>
          <w:u w:val="single"/>
        </w:rPr>
        <w:t xml:space="preserve"> </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万元，资产总额为</w:t>
      </w:r>
      <w:r>
        <w:rPr>
          <w:rFonts w:hint="eastAsia"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万元，</w:t>
      </w:r>
      <w:r>
        <w:rPr>
          <w:rFonts w:hint="eastAsia" w:ascii="宋体" w:hAnsi="宋体" w:eastAsia="宋体" w:cs="宋体"/>
          <w:color w:val="auto"/>
          <w:kern w:val="2"/>
          <w:sz w:val="21"/>
          <w:szCs w:val="21"/>
          <w:highlight w:val="none"/>
          <w:u w:val="none"/>
        </w:rPr>
        <w:t>根据《关于印发中小企业划型标准规定的通知》（工信部联企业〔2011〕300号）的划分标准，</w:t>
      </w:r>
      <w:r>
        <w:rPr>
          <w:rFonts w:hint="eastAsia" w:ascii="宋体" w:hAnsi="宋体" w:eastAsia="宋体" w:cs="宋体"/>
          <w:color w:val="auto"/>
          <w:kern w:val="2"/>
          <w:sz w:val="21"/>
          <w:szCs w:val="21"/>
          <w:highlight w:val="none"/>
        </w:rPr>
        <w:t>属于</w:t>
      </w:r>
      <w:r>
        <w:rPr>
          <w:rFonts w:hint="eastAsia" w:cs="宋体"/>
          <w:color w:val="auto"/>
          <w:kern w:val="2"/>
          <w:sz w:val="21"/>
          <w:szCs w:val="21"/>
          <w:highlight w:val="none"/>
          <w:u w:val="single"/>
          <w:lang w:val="en-US" w:eastAsia="zh-CN"/>
        </w:rPr>
        <w:t xml:space="preserve">    （本招标项目所属行业） </w:t>
      </w:r>
      <w:r>
        <w:rPr>
          <w:rFonts w:hint="eastAsia" w:cs="宋体"/>
          <w:color w:val="auto"/>
          <w:kern w:val="2"/>
          <w:sz w:val="21"/>
          <w:szCs w:val="21"/>
          <w:highlight w:val="none"/>
          <w:u w:val="none"/>
          <w:lang w:val="en-US" w:eastAsia="zh-CN"/>
        </w:rPr>
        <w:t>行业的</w:t>
      </w:r>
      <w:r>
        <w:rPr>
          <w:rFonts w:hint="eastAsia" w:ascii="宋体" w:hAnsi="宋体" w:eastAsia="宋体" w:cs="宋体"/>
          <w:color w:val="auto"/>
          <w:kern w:val="2"/>
          <w:sz w:val="21"/>
          <w:szCs w:val="21"/>
          <w:highlight w:val="none"/>
          <w:u w:val="single"/>
        </w:rPr>
        <w:t>（中型企业、小型企业、微型企业）</w:t>
      </w:r>
      <w:r>
        <w:rPr>
          <w:rFonts w:hint="eastAsia" w:cs="宋体"/>
          <w:color w:val="auto"/>
          <w:kern w:val="2"/>
          <w:sz w:val="21"/>
          <w:szCs w:val="21"/>
          <w:highlight w:val="none"/>
          <w:u w:val="single"/>
          <w:lang w:eastAsia="zh-CN"/>
        </w:rPr>
        <w:t>。</w:t>
      </w:r>
    </w:p>
    <w:p w14:paraId="62F2FA8A">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u w:val="single"/>
          <w:lang w:val="en-US" w:eastAsia="zh-CN"/>
        </w:rPr>
      </w:pPr>
      <w:r>
        <w:rPr>
          <w:rFonts w:hint="eastAsia" w:cs="宋体"/>
          <w:color w:val="auto"/>
          <w:kern w:val="2"/>
          <w:sz w:val="21"/>
          <w:szCs w:val="21"/>
          <w:highlight w:val="none"/>
          <w:u w:val="single"/>
          <w:lang w:eastAsia="zh-CN"/>
        </w:rPr>
        <w:t>……</w:t>
      </w:r>
    </w:p>
    <w:p w14:paraId="1ACE1E60">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cs="宋体"/>
          <w:color w:val="auto"/>
          <w:kern w:val="2"/>
          <w:sz w:val="21"/>
          <w:szCs w:val="21"/>
          <w:highlight w:val="none"/>
          <w:lang w:val="en-US" w:eastAsia="zh-CN"/>
        </w:rPr>
        <w:t>以上企业</w:t>
      </w:r>
      <w:r>
        <w:rPr>
          <w:rFonts w:hint="eastAsia" w:ascii="宋体" w:hAnsi="宋体" w:eastAsia="宋体" w:cs="宋体"/>
          <w:color w:val="auto"/>
          <w:kern w:val="2"/>
          <w:sz w:val="21"/>
          <w:szCs w:val="21"/>
          <w:highlight w:val="none"/>
        </w:rPr>
        <w:t>不属于大企业的分支机构，不存在控股股东为大企业的情形，也不存在与大企业的负责人为同一人的情形。</w:t>
      </w:r>
    </w:p>
    <w:p w14:paraId="07331E83">
      <w:pPr>
        <w:pStyle w:val="204"/>
        <w:spacing w:before="0" w:beforeAutospacing="0" w:after="0" w:afterAutospacing="0"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本</w:t>
      </w:r>
      <w:r>
        <w:rPr>
          <w:rFonts w:hint="eastAsia" w:cs="宋体"/>
          <w:color w:val="auto"/>
          <w:kern w:val="2"/>
          <w:sz w:val="21"/>
          <w:szCs w:val="21"/>
          <w:highlight w:val="none"/>
          <w:lang w:val="en-US" w:eastAsia="zh-CN"/>
        </w:rPr>
        <w:t>企业</w:t>
      </w:r>
      <w:r>
        <w:rPr>
          <w:rFonts w:hint="eastAsia" w:ascii="宋体" w:hAnsi="宋体" w:eastAsia="宋体" w:cs="宋体"/>
          <w:color w:val="auto"/>
          <w:kern w:val="2"/>
          <w:sz w:val="21"/>
          <w:szCs w:val="21"/>
          <w:highlight w:val="none"/>
        </w:rPr>
        <w:t xml:space="preserve">对上述声明内容的真实性负责。如有虚假，将依法承担相应责任。 </w:t>
      </w:r>
    </w:p>
    <w:p w14:paraId="55CAFEE0">
      <w:pPr>
        <w:pStyle w:val="204"/>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1C11188F">
      <w:pPr>
        <w:pStyle w:val="204"/>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企业名称（盖章）：</w:t>
      </w:r>
    </w:p>
    <w:p w14:paraId="0CE447D5">
      <w:pPr>
        <w:pStyle w:val="204"/>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日期：</w:t>
      </w:r>
    </w:p>
    <w:p w14:paraId="0A6942C8">
      <w:pPr>
        <w:pStyle w:val="204"/>
        <w:spacing w:before="0" w:beforeAutospacing="0" w:after="0" w:afterAutospacing="0" w:line="360" w:lineRule="auto"/>
        <w:ind w:firstLine="420" w:firstLineChars="200"/>
        <w:jc w:val="right"/>
        <w:rPr>
          <w:rFonts w:hint="eastAsia" w:ascii="宋体" w:hAnsi="宋体" w:eastAsia="宋体" w:cs="宋体"/>
          <w:color w:val="auto"/>
          <w:kern w:val="2"/>
          <w:sz w:val="21"/>
          <w:szCs w:val="21"/>
          <w:highlight w:val="none"/>
        </w:rPr>
      </w:pPr>
    </w:p>
    <w:p w14:paraId="28DF8014">
      <w:pPr>
        <w:pStyle w:val="204"/>
        <w:spacing w:before="0" w:beforeAutospacing="0" w:after="0" w:afterAutospacing="0" w:line="360" w:lineRule="auto"/>
        <w:ind w:firstLine="420" w:firstLineChars="200"/>
        <w:rPr>
          <w:rFonts w:hint="default" w:cs="宋体"/>
          <w:color w:val="auto"/>
          <w:kern w:val="2"/>
          <w:sz w:val="21"/>
          <w:szCs w:val="21"/>
          <w:highlight w:val="none"/>
          <w:lang w:val="en-US" w:eastAsia="zh-CN"/>
        </w:rPr>
      </w:pPr>
      <w:r>
        <w:rPr>
          <w:rFonts w:hint="eastAsia" w:cs="宋体"/>
          <w:color w:val="auto"/>
          <w:kern w:val="2"/>
          <w:sz w:val="21"/>
          <w:szCs w:val="21"/>
          <w:highlight w:val="none"/>
          <w:lang w:val="en-US" w:eastAsia="zh-CN"/>
        </w:rPr>
        <w:t>注：</w:t>
      </w:r>
      <w:r>
        <w:rPr>
          <w:rFonts w:hint="eastAsia" w:ascii="宋体" w:hAnsi="宋体" w:eastAsia="宋体" w:cs="宋体"/>
          <w:color w:val="auto"/>
          <w:kern w:val="2"/>
          <w:sz w:val="21"/>
          <w:szCs w:val="21"/>
          <w:highlight w:val="none"/>
        </w:rPr>
        <w:t xml:space="preserve"> 从业人员、营业收入、资产总额填报上一年度数据，无上一年度数据的新成立企业可不填报</w:t>
      </w:r>
      <w:r>
        <w:rPr>
          <w:rFonts w:hint="eastAsia" w:cs="宋体"/>
          <w:color w:val="auto"/>
          <w:kern w:val="2"/>
          <w:sz w:val="21"/>
          <w:szCs w:val="21"/>
          <w:highlight w:val="none"/>
          <w:lang w:eastAsia="zh-CN"/>
        </w:rPr>
        <w:t>。</w:t>
      </w:r>
      <w:r>
        <w:rPr>
          <w:rFonts w:hint="eastAsia" w:cs="宋体"/>
          <w:color w:val="auto"/>
          <w:kern w:val="2"/>
          <w:sz w:val="21"/>
          <w:szCs w:val="21"/>
          <w:highlight w:val="none"/>
          <w:lang w:val="en-US" w:eastAsia="zh-CN"/>
        </w:rPr>
        <w:t>招标人</w:t>
      </w:r>
      <w:r>
        <w:rPr>
          <w:rFonts w:hint="eastAsia" w:cs="宋体"/>
          <w:color w:val="auto"/>
          <w:kern w:val="2"/>
          <w:sz w:val="21"/>
          <w:szCs w:val="21"/>
          <w:highlight w:val="none"/>
          <w:lang w:eastAsia="zh-CN"/>
        </w:rPr>
        <w:t>同等条件下优先选择符合条件的中小企业中标</w:t>
      </w:r>
      <w:r>
        <w:rPr>
          <w:rFonts w:hint="eastAsia" w:cs="宋体"/>
          <w:color w:val="auto"/>
          <w:kern w:val="2"/>
          <w:sz w:val="21"/>
          <w:szCs w:val="21"/>
          <w:highlight w:val="none"/>
          <w:lang w:val="en-US" w:eastAsia="zh-CN"/>
        </w:rPr>
        <w:t>的，投标人属于招标项目所属行业的中小企业且提供声明函后，方可适用该条款。</w:t>
      </w:r>
    </w:p>
    <w:p w14:paraId="007D2593">
      <w:pPr>
        <w:rPr>
          <w:snapToGrid w:val="0"/>
          <w:color w:val="auto"/>
          <w:kern w:val="0"/>
          <w:highlight w:val="none"/>
        </w:rPr>
      </w:pPr>
    </w:p>
    <w:p w14:paraId="0604F229">
      <w:pPr>
        <w:rPr>
          <w:snapToGrid w:val="0"/>
          <w:color w:val="auto"/>
          <w:kern w:val="0"/>
          <w:highlight w:val="none"/>
        </w:rPr>
      </w:pPr>
    </w:p>
    <w:p w14:paraId="71F36D9A">
      <w:pPr>
        <w:rPr>
          <w:snapToGrid w:val="0"/>
          <w:color w:val="auto"/>
          <w:kern w:val="0"/>
          <w:highlight w:val="none"/>
        </w:rPr>
      </w:pPr>
    </w:p>
    <w:p w14:paraId="117307F5">
      <w:pPr>
        <w:rPr>
          <w:snapToGrid w:val="0"/>
          <w:color w:val="auto"/>
          <w:kern w:val="0"/>
          <w:highlight w:val="none"/>
        </w:rPr>
      </w:pPr>
    </w:p>
    <w:p w14:paraId="33B463FD">
      <w:pPr>
        <w:rPr>
          <w:snapToGrid w:val="0"/>
          <w:color w:val="auto"/>
          <w:kern w:val="0"/>
          <w:highlight w:val="none"/>
        </w:rPr>
      </w:pPr>
    </w:p>
    <w:p w14:paraId="64267D9B">
      <w:pPr>
        <w:rPr>
          <w:snapToGrid w:val="0"/>
          <w:color w:val="auto"/>
          <w:kern w:val="0"/>
          <w:highlight w:val="none"/>
        </w:rPr>
      </w:pPr>
    </w:p>
    <w:p w14:paraId="78D8E7A1">
      <w:pPr>
        <w:rPr>
          <w:snapToGrid w:val="0"/>
          <w:color w:val="auto"/>
          <w:kern w:val="0"/>
          <w:highlight w:val="none"/>
        </w:rPr>
      </w:pPr>
    </w:p>
    <w:p w14:paraId="146FD465">
      <w:pPr>
        <w:rPr>
          <w:snapToGrid w:val="0"/>
          <w:color w:val="auto"/>
          <w:kern w:val="0"/>
          <w:highlight w:val="none"/>
        </w:rPr>
      </w:pPr>
    </w:p>
    <w:p w14:paraId="2C29F900">
      <w:pPr>
        <w:rPr>
          <w:snapToGrid w:val="0"/>
          <w:color w:val="auto"/>
          <w:kern w:val="0"/>
          <w:highlight w:val="none"/>
        </w:rPr>
      </w:pPr>
    </w:p>
    <w:p w14:paraId="68951E50">
      <w:pPr>
        <w:rPr>
          <w:snapToGrid w:val="0"/>
          <w:color w:val="auto"/>
          <w:kern w:val="0"/>
          <w:highlight w:val="none"/>
        </w:rPr>
      </w:pPr>
    </w:p>
    <w:p w14:paraId="4F99F3F0">
      <w:pPr>
        <w:rPr>
          <w:snapToGrid w:val="0"/>
          <w:color w:val="auto"/>
          <w:kern w:val="0"/>
          <w:highlight w:val="none"/>
        </w:rPr>
      </w:pPr>
    </w:p>
    <w:p w14:paraId="3271301B">
      <w:pPr>
        <w:rPr>
          <w:snapToGrid w:val="0"/>
          <w:color w:val="auto"/>
          <w:kern w:val="0"/>
          <w:highlight w:val="none"/>
        </w:rPr>
      </w:pPr>
    </w:p>
    <w:p w14:paraId="56FFA7A9">
      <w:pPr>
        <w:rPr>
          <w:snapToGrid w:val="0"/>
          <w:color w:val="auto"/>
          <w:kern w:val="0"/>
          <w:highlight w:val="none"/>
        </w:rPr>
      </w:pPr>
    </w:p>
    <w:p w14:paraId="664E67EB">
      <w:pPr>
        <w:rPr>
          <w:snapToGrid w:val="0"/>
          <w:color w:val="auto"/>
          <w:kern w:val="0"/>
          <w:highlight w:val="none"/>
        </w:rPr>
      </w:pPr>
    </w:p>
    <w:p w14:paraId="4FECF4E8">
      <w:pPr>
        <w:rPr>
          <w:snapToGrid w:val="0"/>
          <w:color w:val="auto"/>
          <w:kern w:val="0"/>
          <w:highlight w:val="none"/>
        </w:rPr>
      </w:pPr>
    </w:p>
    <w:p w14:paraId="5DEACFF5">
      <w:pPr>
        <w:rPr>
          <w:snapToGrid w:val="0"/>
          <w:color w:val="auto"/>
          <w:kern w:val="0"/>
          <w:highlight w:val="none"/>
        </w:rPr>
      </w:pPr>
    </w:p>
    <w:p w14:paraId="352541B2">
      <w:pPr>
        <w:rPr>
          <w:snapToGrid w:val="0"/>
          <w:color w:val="auto"/>
          <w:kern w:val="0"/>
          <w:highlight w:val="none"/>
        </w:rPr>
      </w:pPr>
    </w:p>
    <w:p w14:paraId="217C98C5">
      <w:pPr>
        <w:rPr>
          <w:snapToGrid w:val="0"/>
          <w:color w:val="auto"/>
          <w:kern w:val="0"/>
          <w:highlight w:val="none"/>
        </w:rPr>
      </w:pPr>
    </w:p>
    <w:p w14:paraId="510E30D6">
      <w:pPr>
        <w:rPr>
          <w:snapToGrid w:val="0"/>
          <w:color w:val="auto"/>
          <w:kern w:val="0"/>
          <w:highlight w:val="none"/>
        </w:rPr>
      </w:pPr>
    </w:p>
    <w:p w14:paraId="603E284D">
      <w:pPr>
        <w:rPr>
          <w:snapToGrid w:val="0"/>
          <w:color w:val="auto"/>
          <w:kern w:val="0"/>
          <w:highlight w:val="none"/>
        </w:rPr>
      </w:pPr>
    </w:p>
    <w:p w14:paraId="705A4A37">
      <w:pPr>
        <w:rPr>
          <w:snapToGrid w:val="0"/>
          <w:color w:val="auto"/>
          <w:kern w:val="0"/>
          <w:highlight w:val="none"/>
        </w:rPr>
      </w:pPr>
    </w:p>
    <w:p w14:paraId="048A966F">
      <w:pPr>
        <w:rPr>
          <w:snapToGrid w:val="0"/>
          <w:color w:val="auto"/>
          <w:kern w:val="0"/>
          <w:highlight w:val="none"/>
        </w:rPr>
      </w:pPr>
    </w:p>
    <w:p w14:paraId="5208392A">
      <w:pPr>
        <w:rPr>
          <w:snapToGrid w:val="0"/>
          <w:color w:val="auto"/>
          <w:kern w:val="0"/>
          <w:highlight w:val="none"/>
        </w:rPr>
      </w:pPr>
    </w:p>
    <w:p w14:paraId="780A8D88">
      <w:pPr>
        <w:rPr>
          <w:snapToGrid w:val="0"/>
          <w:color w:val="auto"/>
          <w:kern w:val="0"/>
          <w:highlight w:val="none"/>
        </w:rPr>
      </w:pPr>
    </w:p>
    <w:p w14:paraId="51368568">
      <w:pPr>
        <w:rPr>
          <w:snapToGrid w:val="0"/>
          <w:color w:val="auto"/>
          <w:kern w:val="0"/>
          <w:highlight w:val="none"/>
        </w:rPr>
      </w:pPr>
    </w:p>
    <w:p w14:paraId="38238473">
      <w:pPr>
        <w:rPr>
          <w:snapToGrid w:val="0"/>
          <w:color w:val="auto"/>
          <w:kern w:val="0"/>
          <w:highlight w:val="none"/>
        </w:rPr>
      </w:pPr>
    </w:p>
    <w:p w14:paraId="3094B7F9">
      <w:pPr>
        <w:rPr>
          <w:snapToGrid w:val="0"/>
          <w:color w:val="auto"/>
          <w:kern w:val="0"/>
          <w:highlight w:val="none"/>
        </w:rPr>
      </w:pPr>
    </w:p>
    <w:p w14:paraId="36EC50A9">
      <w:pPr>
        <w:rPr>
          <w:snapToGrid w:val="0"/>
          <w:color w:val="auto"/>
          <w:kern w:val="0"/>
          <w:highlight w:val="none"/>
        </w:rPr>
      </w:pPr>
    </w:p>
    <w:p w14:paraId="31F26A36">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经年检的营业执照副本</w:t>
      </w:r>
    </w:p>
    <w:p w14:paraId="4C62EDFD">
      <w:pPr>
        <w:jc w:val="left"/>
        <w:rPr>
          <w:snapToGrid w:val="0"/>
          <w:color w:val="auto"/>
          <w:kern w:val="0"/>
          <w:highlight w:val="none"/>
        </w:rPr>
      </w:pPr>
    </w:p>
    <w:p w14:paraId="18DA12CB">
      <w:pPr>
        <w:tabs>
          <w:tab w:val="left" w:pos="5580"/>
        </w:tabs>
        <w:jc w:val="center"/>
        <w:rPr>
          <w:rFonts w:ascii="仿宋_GB2312" w:hAnsi="宋体" w:eastAsia="仿宋_GB2312"/>
          <w:snapToGrid w:val="0"/>
          <w:color w:val="auto"/>
          <w:kern w:val="0"/>
          <w:sz w:val="24"/>
          <w:highlight w:val="none"/>
        </w:rPr>
      </w:pPr>
      <w:r>
        <w:rPr>
          <w:rFonts w:hint="eastAsia" w:ascii="仿宋_GB2312" w:hAnsi="宋体" w:eastAsia="仿宋_GB2312"/>
          <w:snapToGrid w:val="0"/>
          <w:color w:val="auto"/>
          <w:kern w:val="0"/>
          <w:sz w:val="24"/>
          <w:highlight w:val="none"/>
        </w:rPr>
        <w:t>（扫描件）</w:t>
      </w:r>
    </w:p>
    <w:p w14:paraId="05D595B6">
      <w:pPr>
        <w:rPr>
          <w:snapToGrid w:val="0"/>
          <w:color w:val="auto"/>
          <w:kern w:val="0"/>
          <w:highlight w:val="none"/>
        </w:rPr>
      </w:pPr>
      <w:r>
        <w:rPr>
          <w:snapToGrid w:val="0"/>
          <w:color w:val="auto"/>
          <w:kern w:val="0"/>
          <w:highlight w:val="none"/>
        </w:rPr>
        <w:br w:type="page"/>
      </w:r>
    </w:p>
    <w:p w14:paraId="7A74BDE3">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企业资质证书</w:t>
      </w:r>
    </w:p>
    <w:p w14:paraId="4FC74162">
      <w:pPr>
        <w:jc w:val="left"/>
        <w:rPr>
          <w:snapToGrid w:val="0"/>
          <w:color w:val="auto"/>
          <w:kern w:val="0"/>
          <w:highlight w:val="none"/>
        </w:rPr>
      </w:pPr>
    </w:p>
    <w:p w14:paraId="5E4C60F1">
      <w:pPr>
        <w:tabs>
          <w:tab w:val="left" w:pos="5580"/>
        </w:tabs>
        <w:jc w:val="center"/>
        <w:rPr>
          <w:rFonts w:ascii="仿宋_GB2312" w:hAnsi="宋体" w:eastAsia="仿宋_GB2312"/>
          <w:snapToGrid w:val="0"/>
          <w:color w:val="auto"/>
          <w:kern w:val="0"/>
          <w:sz w:val="24"/>
          <w:highlight w:val="none"/>
        </w:rPr>
      </w:pPr>
      <w:r>
        <w:rPr>
          <w:rFonts w:hint="eastAsia" w:ascii="仿宋_GB2312" w:hAnsi="宋体" w:eastAsia="仿宋_GB2312"/>
          <w:snapToGrid w:val="0"/>
          <w:color w:val="auto"/>
          <w:kern w:val="0"/>
          <w:sz w:val="24"/>
          <w:highlight w:val="none"/>
        </w:rPr>
        <w:t>（扫描件）</w:t>
      </w:r>
    </w:p>
    <w:p w14:paraId="63B98F9B">
      <w:pPr>
        <w:rPr>
          <w:snapToGrid w:val="0"/>
          <w:color w:val="auto"/>
          <w:kern w:val="0"/>
          <w:highlight w:val="none"/>
        </w:rPr>
      </w:pPr>
      <w:r>
        <w:rPr>
          <w:snapToGrid w:val="0"/>
          <w:color w:val="auto"/>
          <w:kern w:val="0"/>
          <w:highlight w:val="none"/>
        </w:rPr>
        <w:br w:type="page"/>
      </w:r>
    </w:p>
    <w:p w14:paraId="036347B5">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投标人人员情况一览表</w:t>
      </w:r>
    </w:p>
    <w:p w14:paraId="41385D90">
      <w:pPr>
        <w:tabs>
          <w:tab w:val="left" w:pos="1050"/>
        </w:tabs>
        <w:spacing w:before="120" w:beforeLines="50" w:after="120" w:afterLines="50"/>
        <w:ind w:left="57" w:right="57" w:firstLine="57"/>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u w:val="single"/>
        </w:rPr>
        <w:t xml:space="preserve">                    </w:t>
      </w:r>
    </w:p>
    <w:tbl>
      <w:tblPr>
        <w:tblStyle w:val="78"/>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142"/>
        <w:gridCol w:w="1522"/>
        <w:gridCol w:w="1332"/>
        <w:gridCol w:w="3996"/>
      </w:tblGrid>
      <w:tr w14:paraId="68FF7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7E6BE420">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名称</w:t>
            </w:r>
          </w:p>
        </w:tc>
        <w:tc>
          <w:tcPr>
            <w:tcW w:w="1142" w:type="dxa"/>
            <w:vAlign w:val="center"/>
          </w:tcPr>
          <w:p w14:paraId="3073892F">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姓名</w:t>
            </w:r>
          </w:p>
        </w:tc>
        <w:tc>
          <w:tcPr>
            <w:tcW w:w="1522" w:type="dxa"/>
            <w:vAlign w:val="center"/>
          </w:tcPr>
          <w:p w14:paraId="4AE4255A">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职务</w:t>
            </w:r>
          </w:p>
        </w:tc>
        <w:tc>
          <w:tcPr>
            <w:tcW w:w="1332" w:type="dxa"/>
            <w:vAlign w:val="center"/>
          </w:tcPr>
          <w:p w14:paraId="3B73208A">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职称</w:t>
            </w:r>
          </w:p>
        </w:tc>
        <w:tc>
          <w:tcPr>
            <w:tcW w:w="3996" w:type="dxa"/>
            <w:vAlign w:val="center"/>
          </w:tcPr>
          <w:p w14:paraId="65FEC9D5">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主要简历、经验及承担过的项目</w:t>
            </w:r>
          </w:p>
        </w:tc>
      </w:tr>
      <w:tr w14:paraId="15C01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47D3E52C">
            <w:pPr>
              <w:spacing w:line="360" w:lineRule="auto"/>
              <w:rPr>
                <w:rFonts w:ascii="宋体" w:hAnsi="宋体" w:eastAsia="宋体" w:cs="宋体"/>
                <w:dstrike/>
                <w:snapToGrid w:val="0"/>
                <w:color w:val="auto"/>
                <w:kern w:val="0"/>
                <w:szCs w:val="21"/>
                <w:highlight w:val="none"/>
              </w:rPr>
            </w:pPr>
          </w:p>
        </w:tc>
        <w:tc>
          <w:tcPr>
            <w:tcW w:w="1142" w:type="dxa"/>
            <w:vAlign w:val="center"/>
          </w:tcPr>
          <w:p w14:paraId="790D7D7A">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2012AF7A">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44DCFD57">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18FAA22D">
            <w:pPr>
              <w:spacing w:line="360" w:lineRule="auto"/>
              <w:jc w:val="left"/>
              <w:rPr>
                <w:rFonts w:ascii="宋体" w:hAnsi="宋体" w:eastAsia="宋体" w:cs="宋体"/>
                <w:snapToGrid w:val="0"/>
                <w:color w:val="auto"/>
                <w:kern w:val="0"/>
                <w:szCs w:val="21"/>
                <w:highlight w:val="none"/>
              </w:rPr>
            </w:pPr>
          </w:p>
        </w:tc>
      </w:tr>
      <w:tr w14:paraId="1B402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2E9E93AB">
            <w:pPr>
              <w:spacing w:line="360" w:lineRule="auto"/>
              <w:rPr>
                <w:rFonts w:ascii="宋体" w:hAnsi="宋体" w:eastAsia="宋体" w:cs="宋体"/>
                <w:snapToGrid w:val="0"/>
                <w:color w:val="auto"/>
                <w:kern w:val="0"/>
                <w:szCs w:val="21"/>
                <w:highlight w:val="none"/>
              </w:rPr>
            </w:pPr>
          </w:p>
        </w:tc>
        <w:tc>
          <w:tcPr>
            <w:tcW w:w="1142" w:type="dxa"/>
            <w:vAlign w:val="center"/>
          </w:tcPr>
          <w:p w14:paraId="2F32917D">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2E3811A2">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11F9C290">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7A2D11D4">
            <w:pPr>
              <w:spacing w:line="360" w:lineRule="auto"/>
              <w:jc w:val="left"/>
              <w:rPr>
                <w:rFonts w:ascii="宋体" w:hAnsi="宋体" w:eastAsia="宋体" w:cs="宋体"/>
                <w:snapToGrid w:val="0"/>
                <w:color w:val="auto"/>
                <w:kern w:val="0"/>
                <w:szCs w:val="21"/>
                <w:highlight w:val="none"/>
              </w:rPr>
            </w:pPr>
          </w:p>
        </w:tc>
      </w:tr>
      <w:tr w14:paraId="2EB92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351C7075">
            <w:pPr>
              <w:spacing w:line="360" w:lineRule="auto"/>
              <w:rPr>
                <w:rFonts w:ascii="宋体" w:hAnsi="宋体" w:eastAsia="宋体" w:cs="宋体"/>
                <w:snapToGrid w:val="0"/>
                <w:color w:val="auto"/>
                <w:kern w:val="0"/>
                <w:szCs w:val="21"/>
                <w:highlight w:val="none"/>
              </w:rPr>
            </w:pPr>
          </w:p>
        </w:tc>
        <w:tc>
          <w:tcPr>
            <w:tcW w:w="1142" w:type="dxa"/>
            <w:vAlign w:val="center"/>
          </w:tcPr>
          <w:p w14:paraId="27C15ED1">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676F0032">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44AF2999">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07F0C9A9">
            <w:pPr>
              <w:spacing w:line="360" w:lineRule="auto"/>
              <w:jc w:val="left"/>
              <w:rPr>
                <w:rFonts w:ascii="宋体" w:hAnsi="宋体" w:eastAsia="宋体" w:cs="宋体"/>
                <w:snapToGrid w:val="0"/>
                <w:color w:val="auto"/>
                <w:kern w:val="0"/>
                <w:szCs w:val="21"/>
                <w:highlight w:val="none"/>
              </w:rPr>
            </w:pPr>
          </w:p>
        </w:tc>
      </w:tr>
      <w:tr w14:paraId="4040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4BBF607E">
            <w:pPr>
              <w:spacing w:line="360" w:lineRule="auto"/>
              <w:rPr>
                <w:rFonts w:ascii="宋体" w:hAnsi="宋体" w:eastAsia="宋体" w:cs="宋体"/>
                <w:snapToGrid w:val="0"/>
                <w:color w:val="auto"/>
                <w:kern w:val="0"/>
                <w:szCs w:val="21"/>
                <w:highlight w:val="none"/>
              </w:rPr>
            </w:pPr>
          </w:p>
        </w:tc>
        <w:tc>
          <w:tcPr>
            <w:tcW w:w="1142" w:type="dxa"/>
            <w:vAlign w:val="center"/>
          </w:tcPr>
          <w:p w14:paraId="535C6FA5">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7358EF70">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34D01033">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7E6AAF9B">
            <w:pPr>
              <w:spacing w:line="360" w:lineRule="auto"/>
              <w:jc w:val="left"/>
              <w:rPr>
                <w:rFonts w:ascii="宋体" w:hAnsi="宋体" w:eastAsia="宋体" w:cs="宋体"/>
                <w:snapToGrid w:val="0"/>
                <w:color w:val="auto"/>
                <w:kern w:val="0"/>
                <w:szCs w:val="21"/>
                <w:highlight w:val="none"/>
              </w:rPr>
            </w:pPr>
          </w:p>
        </w:tc>
      </w:tr>
      <w:tr w14:paraId="03205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5C038FD2">
            <w:pPr>
              <w:spacing w:line="360" w:lineRule="auto"/>
              <w:rPr>
                <w:rFonts w:ascii="宋体" w:hAnsi="宋体" w:eastAsia="宋体" w:cs="宋体"/>
                <w:snapToGrid w:val="0"/>
                <w:color w:val="auto"/>
                <w:kern w:val="0"/>
                <w:szCs w:val="21"/>
                <w:highlight w:val="none"/>
              </w:rPr>
            </w:pPr>
          </w:p>
        </w:tc>
        <w:tc>
          <w:tcPr>
            <w:tcW w:w="1142" w:type="dxa"/>
            <w:vAlign w:val="center"/>
          </w:tcPr>
          <w:p w14:paraId="08158973">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7FFF0FA4">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7501B942">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73703B54">
            <w:pPr>
              <w:spacing w:line="360" w:lineRule="auto"/>
              <w:jc w:val="left"/>
              <w:rPr>
                <w:rFonts w:ascii="宋体" w:hAnsi="宋体" w:eastAsia="宋体" w:cs="宋体"/>
                <w:snapToGrid w:val="0"/>
                <w:color w:val="auto"/>
                <w:kern w:val="0"/>
                <w:szCs w:val="21"/>
                <w:highlight w:val="none"/>
              </w:rPr>
            </w:pPr>
          </w:p>
        </w:tc>
      </w:tr>
      <w:tr w14:paraId="7B655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6B016492">
            <w:pPr>
              <w:spacing w:line="360" w:lineRule="auto"/>
              <w:rPr>
                <w:rFonts w:ascii="宋体" w:hAnsi="宋体" w:eastAsia="宋体" w:cs="宋体"/>
                <w:snapToGrid w:val="0"/>
                <w:color w:val="auto"/>
                <w:kern w:val="0"/>
                <w:szCs w:val="21"/>
                <w:highlight w:val="none"/>
              </w:rPr>
            </w:pPr>
          </w:p>
        </w:tc>
        <w:tc>
          <w:tcPr>
            <w:tcW w:w="1142" w:type="dxa"/>
            <w:vAlign w:val="center"/>
          </w:tcPr>
          <w:p w14:paraId="5BF7B838">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192E5B27">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382CA75A">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66EA07DC">
            <w:pPr>
              <w:spacing w:line="360" w:lineRule="auto"/>
              <w:jc w:val="left"/>
              <w:rPr>
                <w:rFonts w:ascii="宋体" w:hAnsi="宋体" w:eastAsia="宋体" w:cs="宋体"/>
                <w:snapToGrid w:val="0"/>
                <w:color w:val="auto"/>
                <w:kern w:val="0"/>
                <w:szCs w:val="21"/>
                <w:highlight w:val="none"/>
              </w:rPr>
            </w:pPr>
          </w:p>
        </w:tc>
      </w:tr>
      <w:tr w14:paraId="75678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599D4545">
            <w:pPr>
              <w:spacing w:line="360" w:lineRule="auto"/>
              <w:rPr>
                <w:rFonts w:ascii="宋体" w:hAnsi="宋体" w:eastAsia="宋体" w:cs="宋体"/>
                <w:snapToGrid w:val="0"/>
                <w:color w:val="auto"/>
                <w:kern w:val="0"/>
                <w:szCs w:val="21"/>
                <w:highlight w:val="none"/>
              </w:rPr>
            </w:pPr>
          </w:p>
        </w:tc>
        <w:tc>
          <w:tcPr>
            <w:tcW w:w="1142" w:type="dxa"/>
            <w:vAlign w:val="center"/>
          </w:tcPr>
          <w:p w14:paraId="006F287D">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31819108">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274D2AFE">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47C7141C">
            <w:pPr>
              <w:spacing w:line="360" w:lineRule="auto"/>
              <w:jc w:val="left"/>
              <w:rPr>
                <w:rFonts w:ascii="宋体" w:hAnsi="宋体" w:eastAsia="宋体" w:cs="宋体"/>
                <w:snapToGrid w:val="0"/>
                <w:color w:val="auto"/>
                <w:kern w:val="0"/>
                <w:szCs w:val="21"/>
                <w:highlight w:val="none"/>
              </w:rPr>
            </w:pPr>
          </w:p>
        </w:tc>
      </w:tr>
      <w:tr w14:paraId="25ABE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502138BE">
            <w:pPr>
              <w:spacing w:line="360" w:lineRule="auto"/>
              <w:rPr>
                <w:rFonts w:ascii="宋体" w:hAnsi="宋体" w:eastAsia="宋体" w:cs="宋体"/>
                <w:snapToGrid w:val="0"/>
                <w:color w:val="auto"/>
                <w:kern w:val="0"/>
                <w:szCs w:val="21"/>
                <w:highlight w:val="none"/>
              </w:rPr>
            </w:pPr>
          </w:p>
        </w:tc>
        <w:tc>
          <w:tcPr>
            <w:tcW w:w="1142" w:type="dxa"/>
            <w:vAlign w:val="center"/>
          </w:tcPr>
          <w:p w14:paraId="722C01C5">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161E0BB6">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675471D6">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203718BE">
            <w:pPr>
              <w:spacing w:line="360" w:lineRule="auto"/>
              <w:jc w:val="left"/>
              <w:rPr>
                <w:rFonts w:ascii="宋体" w:hAnsi="宋体" w:eastAsia="宋体" w:cs="宋体"/>
                <w:snapToGrid w:val="0"/>
                <w:color w:val="auto"/>
                <w:kern w:val="0"/>
                <w:szCs w:val="21"/>
                <w:highlight w:val="none"/>
              </w:rPr>
            </w:pPr>
          </w:p>
        </w:tc>
      </w:tr>
      <w:tr w14:paraId="0C8B2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03623B49">
            <w:pPr>
              <w:spacing w:line="360" w:lineRule="auto"/>
              <w:rPr>
                <w:rFonts w:ascii="宋体" w:hAnsi="宋体" w:eastAsia="宋体" w:cs="宋体"/>
                <w:snapToGrid w:val="0"/>
                <w:color w:val="auto"/>
                <w:kern w:val="0"/>
                <w:szCs w:val="21"/>
                <w:highlight w:val="none"/>
              </w:rPr>
            </w:pPr>
          </w:p>
        </w:tc>
        <w:tc>
          <w:tcPr>
            <w:tcW w:w="1142" w:type="dxa"/>
            <w:vAlign w:val="center"/>
          </w:tcPr>
          <w:p w14:paraId="76BBB38D">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39E9F19A">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733C6D4D">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2D4D2BEA">
            <w:pPr>
              <w:spacing w:line="360" w:lineRule="auto"/>
              <w:jc w:val="left"/>
              <w:rPr>
                <w:rFonts w:ascii="宋体" w:hAnsi="宋体" w:eastAsia="宋体" w:cs="宋体"/>
                <w:snapToGrid w:val="0"/>
                <w:color w:val="auto"/>
                <w:kern w:val="0"/>
                <w:szCs w:val="21"/>
                <w:highlight w:val="none"/>
              </w:rPr>
            </w:pPr>
          </w:p>
        </w:tc>
      </w:tr>
      <w:tr w14:paraId="65C9C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106E289F">
            <w:pPr>
              <w:spacing w:line="360" w:lineRule="auto"/>
              <w:rPr>
                <w:rFonts w:ascii="宋体" w:hAnsi="宋体" w:eastAsia="宋体" w:cs="宋体"/>
                <w:snapToGrid w:val="0"/>
                <w:color w:val="auto"/>
                <w:kern w:val="0"/>
                <w:szCs w:val="21"/>
                <w:highlight w:val="none"/>
              </w:rPr>
            </w:pPr>
          </w:p>
        </w:tc>
        <w:tc>
          <w:tcPr>
            <w:tcW w:w="1142" w:type="dxa"/>
            <w:vAlign w:val="center"/>
          </w:tcPr>
          <w:p w14:paraId="3324DC54">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34DD4746">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78258615">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69B0AC8C">
            <w:pPr>
              <w:spacing w:line="360" w:lineRule="auto"/>
              <w:jc w:val="left"/>
              <w:rPr>
                <w:rFonts w:ascii="宋体" w:hAnsi="宋体" w:eastAsia="宋体" w:cs="宋体"/>
                <w:snapToGrid w:val="0"/>
                <w:color w:val="auto"/>
                <w:kern w:val="0"/>
                <w:szCs w:val="21"/>
                <w:highlight w:val="none"/>
              </w:rPr>
            </w:pPr>
          </w:p>
        </w:tc>
      </w:tr>
      <w:tr w14:paraId="4660E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0ADF4E7F">
            <w:pPr>
              <w:spacing w:line="360" w:lineRule="auto"/>
              <w:rPr>
                <w:rFonts w:ascii="宋体" w:hAnsi="宋体" w:eastAsia="宋体" w:cs="宋体"/>
                <w:snapToGrid w:val="0"/>
                <w:color w:val="auto"/>
                <w:kern w:val="0"/>
                <w:szCs w:val="21"/>
                <w:highlight w:val="none"/>
              </w:rPr>
            </w:pPr>
          </w:p>
        </w:tc>
        <w:tc>
          <w:tcPr>
            <w:tcW w:w="1142" w:type="dxa"/>
            <w:vAlign w:val="center"/>
          </w:tcPr>
          <w:p w14:paraId="45FE715B">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3D3774EA">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628A6462">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70169542">
            <w:pPr>
              <w:spacing w:line="360" w:lineRule="auto"/>
              <w:jc w:val="left"/>
              <w:rPr>
                <w:rFonts w:ascii="宋体" w:hAnsi="宋体" w:eastAsia="宋体" w:cs="宋体"/>
                <w:snapToGrid w:val="0"/>
                <w:color w:val="auto"/>
                <w:kern w:val="0"/>
                <w:szCs w:val="21"/>
                <w:highlight w:val="none"/>
              </w:rPr>
            </w:pPr>
          </w:p>
        </w:tc>
      </w:tr>
      <w:tr w14:paraId="2F2DC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5BDC0754">
            <w:pPr>
              <w:spacing w:line="360" w:lineRule="auto"/>
              <w:rPr>
                <w:rFonts w:ascii="宋体" w:hAnsi="宋体" w:eastAsia="宋体" w:cs="宋体"/>
                <w:snapToGrid w:val="0"/>
                <w:color w:val="auto"/>
                <w:kern w:val="0"/>
                <w:szCs w:val="21"/>
                <w:highlight w:val="none"/>
              </w:rPr>
            </w:pPr>
          </w:p>
        </w:tc>
        <w:tc>
          <w:tcPr>
            <w:tcW w:w="1142" w:type="dxa"/>
            <w:vAlign w:val="center"/>
          </w:tcPr>
          <w:p w14:paraId="1E3033F1">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2FE4C8D2">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065FCEC6">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28C80B35">
            <w:pPr>
              <w:spacing w:line="360" w:lineRule="auto"/>
              <w:jc w:val="left"/>
              <w:rPr>
                <w:rFonts w:ascii="宋体" w:hAnsi="宋体" w:eastAsia="宋体" w:cs="宋体"/>
                <w:snapToGrid w:val="0"/>
                <w:color w:val="auto"/>
                <w:kern w:val="0"/>
                <w:szCs w:val="21"/>
                <w:highlight w:val="none"/>
              </w:rPr>
            </w:pPr>
          </w:p>
        </w:tc>
      </w:tr>
      <w:tr w14:paraId="4B589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4AB67D4D">
            <w:pPr>
              <w:spacing w:line="360" w:lineRule="auto"/>
              <w:rPr>
                <w:rFonts w:ascii="宋体" w:hAnsi="宋体" w:eastAsia="宋体" w:cs="宋体"/>
                <w:snapToGrid w:val="0"/>
                <w:color w:val="auto"/>
                <w:kern w:val="0"/>
                <w:szCs w:val="21"/>
                <w:highlight w:val="none"/>
              </w:rPr>
            </w:pPr>
          </w:p>
        </w:tc>
        <w:tc>
          <w:tcPr>
            <w:tcW w:w="1142" w:type="dxa"/>
            <w:vAlign w:val="center"/>
          </w:tcPr>
          <w:p w14:paraId="1FB85813">
            <w:pPr>
              <w:spacing w:line="360" w:lineRule="auto"/>
              <w:jc w:val="left"/>
              <w:rPr>
                <w:rFonts w:ascii="宋体" w:hAnsi="宋体" w:eastAsia="宋体" w:cs="宋体"/>
                <w:snapToGrid w:val="0"/>
                <w:color w:val="auto"/>
                <w:kern w:val="0"/>
                <w:szCs w:val="21"/>
                <w:highlight w:val="none"/>
              </w:rPr>
            </w:pPr>
          </w:p>
        </w:tc>
        <w:tc>
          <w:tcPr>
            <w:tcW w:w="1522" w:type="dxa"/>
            <w:vAlign w:val="center"/>
          </w:tcPr>
          <w:p w14:paraId="462B65A8">
            <w:pPr>
              <w:spacing w:line="360" w:lineRule="auto"/>
              <w:jc w:val="left"/>
              <w:rPr>
                <w:rFonts w:ascii="宋体" w:hAnsi="宋体" w:eastAsia="宋体" w:cs="宋体"/>
                <w:snapToGrid w:val="0"/>
                <w:color w:val="auto"/>
                <w:kern w:val="0"/>
                <w:szCs w:val="21"/>
                <w:highlight w:val="none"/>
              </w:rPr>
            </w:pPr>
          </w:p>
        </w:tc>
        <w:tc>
          <w:tcPr>
            <w:tcW w:w="1332" w:type="dxa"/>
            <w:vAlign w:val="center"/>
          </w:tcPr>
          <w:p w14:paraId="0256266A">
            <w:pPr>
              <w:spacing w:line="360" w:lineRule="auto"/>
              <w:jc w:val="left"/>
              <w:rPr>
                <w:rFonts w:ascii="宋体" w:hAnsi="宋体" w:eastAsia="宋体" w:cs="宋体"/>
                <w:snapToGrid w:val="0"/>
                <w:color w:val="auto"/>
                <w:kern w:val="0"/>
                <w:szCs w:val="21"/>
                <w:highlight w:val="none"/>
              </w:rPr>
            </w:pPr>
          </w:p>
        </w:tc>
        <w:tc>
          <w:tcPr>
            <w:tcW w:w="3996" w:type="dxa"/>
            <w:vAlign w:val="center"/>
          </w:tcPr>
          <w:p w14:paraId="3FBCDC1A">
            <w:pPr>
              <w:spacing w:line="360" w:lineRule="auto"/>
              <w:jc w:val="left"/>
              <w:rPr>
                <w:rFonts w:ascii="宋体" w:hAnsi="宋体" w:eastAsia="宋体" w:cs="宋体"/>
                <w:snapToGrid w:val="0"/>
                <w:color w:val="auto"/>
                <w:kern w:val="0"/>
                <w:szCs w:val="21"/>
                <w:highlight w:val="none"/>
              </w:rPr>
            </w:pPr>
          </w:p>
        </w:tc>
      </w:tr>
    </w:tbl>
    <w:p w14:paraId="1565ADBA">
      <w:pPr>
        <w:rPr>
          <w:snapToGrid w:val="0"/>
          <w:color w:val="auto"/>
          <w:kern w:val="0"/>
          <w:highlight w:val="none"/>
        </w:rPr>
      </w:pPr>
      <w:r>
        <w:rPr>
          <w:snapToGrid w:val="0"/>
          <w:color w:val="auto"/>
          <w:kern w:val="0"/>
          <w:highlight w:val="none"/>
        </w:rPr>
        <w:br w:type="page"/>
      </w:r>
    </w:p>
    <w:p w14:paraId="778509B0">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投标人相关项目业绩表</w:t>
      </w:r>
    </w:p>
    <w:p w14:paraId="55CE35FD">
      <w:pPr>
        <w:tabs>
          <w:tab w:val="left" w:pos="1050"/>
        </w:tabs>
        <w:spacing w:before="120" w:beforeLines="50" w:after="120" w:afterLines="50"/>
        <w:ind w:right="57"/>
        <w:jc w:val="left"/>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u w:val="single"/>
        </w:rPr>
        <w:t xml:space="preserve">                    </w:t>
      </w:r>
    </w:p>
    <w:tbl>
      <w:tblPr>
        <w:tblStyle w:val="78"/>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2011"/>
        <w:gridCol w:w="1007"/>
        <w:gridCol w:w="1007"/>
        <w:gridCol w:w="1406"/>
        <w:gridCol w:w="1406"/>
        <w:gridCol w:w="955"/>
      </w:tblGrid>
      <w:tr w14:paraId="3B9DD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27330200">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建设单位</w:t>
            </w:r>
          </w:p>
        </w:tc>
        <w:tc>
          <w:tcPr>
            <w:tcW w:w="2011" w:type="dxa"/>
            <w:vAlign w:val="center"/>
          </w:tcPr>
          <w:p w14:paraId="1CDCB102">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项目名称</w:t>
            </w:r>
          </w:p>
        </w:tc>
        <w:tc>
          <w:tcPr>
            <w:tcW w:w="1007" w:type="dxa"/>
            <w:vAlign w:val="center"/>
          </w:tcPr>
          <w:p w14:paraId="485E834A">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w:t>
            </w:r>
          </w:p>
          <w:p w14:paraId="35285901">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地点</w:t>
            </w:r>
          </w:p>
        </w:tc>
        <w:tc>
          <w:tcPr>
            <w:tcW w:w="1007" w:type="dxa"/>
            <w:vAlign w:val="center"/>
          </w:tcPr>
          <w:p w14:paraId="6DED22CD">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w:t>
            </w:r>
          </w:p>
          <w:p w14:paraId="085198CE">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规模</w:t>
            </w:r>
          </w:p>
        </w:tc>
        <w:tc>
          <w:tcPr>
            <w:tcW w:w="1406" w:type="dxa"/>
            <w:vAlign w:val="center"/>
          </w:tcPr>
          <w:p w14:paraId="2780FBBD">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开竣工日期</w:t>
            </w:r>
          </w:p>
        </w:tc>
        <w:tc>
          <w:tcPr>
            <w:tcW w:w="1406" w:type="dxa"/>
            <w:vAlign w:val="center"/>
          </w:tcPr>
          <w:p w14:paraId="6B2BDB4C">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合同价格</w:t>
            </w:r>
          </w:p>
          <w:p w14:paraId="3D6C741E">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（万元）</w:t>
            </w:r>
          </w:p>
        </w:tc>
        <w:tc>
          <w:tcPr>
            <w:tcW w:w="955" w:type="dxa"/>
            <w:vAlign w:val="center"/>
          </w:tcPr>
          <w:p w14:paraId="194F04FA">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备注</w:t>
            </w:r>
          </w:p>
        </w:tc>
      </w:tr>
      <w:tr w14:paraId="3C4E9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0D57195D">
            <w:pPr>
              <w:spacing w:line="360" w:lineRule="auto"/>
              <w:rPr>
                <w:rFonts w:ascii="宋体" w:hAnsi="宋体" w:eastAsia="宋体" w:cs="宋体"/>
                <w:snapToGrid w:val="0"/>
                <w:color w:val="auto"/>
                <w:kern w:val="0"/>
                <w:szCs w:val="21"/>
                <w:highlight w:val="none"/>
              </w:rPr>
            </w:pPr>
          </w:p>
        </w:tc>
        <w:tc>
          <w:tcPr>
            <w:tcW w:w="2011" w:type="dxa"/>
            <w:vAlign w:val="center"/>
          </w:tcPr>
          <w:p w14:paraId="7699413B">
            <w:pPr>
              <w:spacing w:line="360" w:lineRule="auto"/>
              <w:rPr>
                <w:rFonts w:ascii="宋体" w:hAnsi="宋体" w:eastAsia="宋体" w:cs="宋体"/>
                <w:snapToGrid w:val="0"/>
                <w:color w:val="auto"/>
                <w:kern w:val="0"/>
                <w:szCs w:val="21"/>
                <w:highlight w:val="none"/>
              </w:rPr>
            </w:pPr>
          </w:p>
        </w:tc>
        <w:tc>
          <w:tcPr>
            <w:tcW w:w="1007" w:type="dxa"/>
            <w:vAlign w:val="center"/>
          </w:tcPr>
          <w:p w14:paraId="1503BA1E">
            <w:pPr>
              <w:spacing w:line="360" w:lineRule="auto"/>
              <w:rPr>
                <w:rFonts w:ascii="宋体" w:hAnsi="宋体" w:eastAsia="宋体" w:cs="宋体"/>
                <w:snapToGrid w:val="0"/>
                <w:color w:val="auto"/>
                <w:kern w:val="0"/>
                <w:szCs w:val="21"/>
                <w:highlight w:val="none"/>
              </w:rPr>
            </w:pPr>
          </w:p>
        </w:tc>
        <w:tc>
          <w:tcPr>
            <w:tcW w:w="1007" w:type="dxa"/>
            <w:vAlign w:val="center"/>
          </w:tcPr>
          <w:p w14:paraId="63A61D68">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74FDF60F">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0179E470">
            <w:pPr>
              <w:spacing w:line="360" w:lineRule="auto"/>
              <w:jc w:val="left"/>
              <w:rPr>
                <w:rFonts w:ascii="宋体" w:hAnsi="宋体" w:eastAsia="宋体" w:cs="宋体"/>
                <w:snapToGrid w:val="0"/>
                <w:color w:val="auto"/>
                <w:kern w:val="0"/>
                <w:szCs w:val="21"/>
                <w:highlight w:val="none"/>
              </w:rPr>
            </w:pPr>
          </w:p>
        </w:tc>
        <w:tc>
          <w:tcPr>
            <w:tcW w:w="955" w:type="dxa"/>
            <w:vAlign w:val="center"/>
          </w:tcPr>
          <w:p w14:paraId="378FD271">
            <w:pPr>
              <w:spacing w:line="360" w:lineRule="auto"/>
              <w:jc w:val="left"/>
              <w:rPr>
                <w:rFonts w:ascii="宋体" w:hAnsi="宋体" w:eastAsia="宋体" w:cs="宋体"/>
                <w:snapToGrid w:val="0"/>
                <w:color w:val="auto"/>
                <w:kern w:val="0"/>
                <w:szCs w:val="21"/>
                <w:highlight w:val="none"/>
              </w:rPr>
            </w:pPr>
          </w:p>
        </w:tc>
      </w:tr>
      <w:tr w14:paraId="00556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5F93B3C2">
            <w:pPr>
              <w:spacing w:line="360" w:lineRule="auto"/>
              <w:rPr>
                <w:rFonts w:ascii="宋体" w:hAnsi="宋体" w:eastAsia="宋体" w:cs="宋体"/>
                <w:snapToGrid w:val="0"/>
                <w:color w:val="auto"/>
                <w:kern w:val="0"/>
                <w:szCs w:val="21"/>
                <w:highlight w:val="none"/>
              </w:rPr>
            </w:pPr>
          </w:p>
        </w:tc>
        <w:tc>
          <w:tcPr>
            <w:tcW w:w="2011" w:type="dxa"/>
            <w:vAlign w:val="center"/>
          </w:tcPr>
          <w:p w14:paraId="7C823ACD">
            <w:pPr>
              <w:spacing w:line="360" w:lineRule="auto"/>
              <w:rPr>
                <w:rFonts w:ascii="宋体" w:hAnsi="宋体" w:eastAsia="宋体" w:cs="宋体"/>
                <w:snapToGrid w:val="0"/>
                <w:color w:val="auto"/>
                <w:kern w:val="0"/>
                <w:szCs w:val="21"/>
                <w:highlight w:val="none"/>
              </w:rPr>
            </w:pPr>
          </w:p>
        </w:tc>
        <w:tc>
          <w:tcPr>
            <w:tcW w:w="1007" w:type="dxa"/>
            <w:vAlign w:val="center"/>
          </w:tcPr>
          <w:p w14:paraId="4677ED98">
            <w:pPr>
              <w:spacing w:line="360" w:lineRule="auto"/>
              <w:rPr>
                <w:rFonts w:ascii="宋体" w:hAnsi="宋体" w:eastAsia="宋体" w:cs="宋体"/>
                <w:snapToGrid w:val="0"/>
                <w:color w:val="auto"/>
                <w:kern w:val="0"/>
                <w:szCs w:val="21"/>
                <w:highlight w:val="none"/>
              </w:rPr>
            </w:pPr>
          </w:p>
        </w:tc>
        <w:tc>
          <w:tcPr>
            <w:tcW w:w="1007" w:type="dxa"/>
            <w:vAlign w:val="center"/>
          </w:tcPr>
          <w:p w14:paraId="51603B70">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57725DA8">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612ADBC9">
            <w:pPr>
              <w:spacing w:line="360" w:lineRule="auto"/>
              <w:jc w:val="left"/>
              <w:rPr>
                <w:rFonts w:ascii="宋体" w:hAnsi="宋体" w:eastAsia="宋体" w:cs="宋体"/>
                <w:snapToGrid w:val="0"/>
                <w:color w:val="auto"/>
                <w:kern w:val="0"/>
                <w:szCs w:val="21"/>
                <w:highlight w:val="none"/>
              </w:rPr>
            </w:pPr>
          </w:p>
        </w:tc>
        <w:tc>
          <w:tcPr>
            <w:tcW w:w="955" w:type="dxa"/>
            <w:vAlign w:val="center"/>
          </w:tcPr>
          <w:p w14:paraId="1350755F">
            <w:pPr>
              <w:spacing w:line="360" w:lineRule="auto"/>
              <w:jc w:val="left"/>
              <w:rPr>
                <w:rFonts w:ascii="宋体" w:hAnsi="宋体" w:eastAsia="宋体" w:cs="宋体"/>
                <w:snapToGrid w:val="0"/>
                <w:color w:val="auto"/>
                <w:kern w:val="0"/>
                <w:szCs w:val="21"/>
                <w:highlight w:val="none"/>
              </w:rPr>
            </w:pPr>
          </w:p>
        </w:tc>
      </w:tr>
      <w:tr w14:paraId="3A97E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7A7C3854">
            <w:pPr>
              <w:spacing w:line="360" w:lineRule="auto"/>
              <w:rPr>
                <w:rFonts w:ascii="宋体" w:hAnsi="宋体" w:eastAsia="宋体" w:cs="宋体"/>
                <w:snapToGrid w:val="0"/>
                <w:color w:val="auto"/>
                <w:kern w:val="0"/>
                <w:szCs w:val="21"/>
                <w:highlight w:val="none"/>
              </w:rPr>
            </w:pPr>
          </w:p>
        </w:tc>
        <w:tc>
          <w:tcPr>
            <w:tcW w:w="2011" w:type="dxa"/>
            <w:vAlign w:val="center"/>
          </w:tcPr>
          <w:p w14:paraId="098351F6">
            <w:pPr>
              <w:spacing w:line="360" w:lineRule="auto"/>
              <w:rPr>
                <w:rFonts w:ascii="宋体" w:hAnsi="宋体" w:eastAsia="宋体" w:cs="宋体"/>
                <w:snapToGrid w:val="0"/>
                <w:color w:val="auto"/>
                <w:kern w:val="0"/>
                <w:szCs w:val="21"/>
                <w:highlight w:val="none"/>
              </w:rPr>
            </w:pPr>
          </w:p>
        </w:tc>
        <w:tc>
          <w:tcPr>
            <w:tcW w:w="1007" w:type="dxa"/>
            <w:vAlign w:val="center"/>
          </w:tcPr>
          <w:p w14:paraId="0FF1120F">
            <w:pPr>
              <w:spacing w:line="360" w:lineRule="auto"/>
              <w:rPr>
                <w:rFonts w:ascii="宋体" w:hAnsi="宋体" w:eastAsia="宋体" w:cs="宋体"/>
                <w:snapToGrid w:val="0"/>
                <w:color w:val="auto"/>
                <w:kern w:val="0"/>
                <w:szCs w:val="21"/>
                <w:highlight w:val="none"/>
              </w:rPr>
            </w:pPr>
          </w:p>
        </w:tc>
        <w:tc>
          <w:tcPr>
            <w:tcW w:w="1007" w:type="dxa"/>
            <w:vAlign w:val="center"/>
          </w:tcPr>
          <w:p w14:paraId="5E452150">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1A2878CB">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70983BA2">
            <w:pPr>
              <w:spacing w:line="360" w:lineRule="auto"/>
              <w:jc w:val="left"/>
              <w:rPr>
                <w:rFonts w:ascii="宋体" w:hAnsi="宋体" w:eastAsia="宋体" w:cs="宋体"/>
                <w:snapToGrid w:val="0"/>
                <w:color w:val="auto"/>
                <w:kern w:val="0"/>
                <w:szCs w:val="21"/>
                <w:highlight w:val="none"/>
              </w:rPr>
            </w:pPr>
          </w:p>
        </w:tc>
        <w:tc>
          <w:tcPr>
            <w:tcW w:w="955" w:type="dxa"/>
            <w:vAlign w:val="center"/>
          </w:tcPr>
          <w:p w14:paraId="2CEB1218">
            <w:pPr>
              <w:spacing w:line="360" w:lineRule="auto"/>
              <w:jc w:val="left"/>
              <w:rPr>
                <w:rFonts w:ascii="宋体" w:hAnsi="宋体" w:eastAsia="宋体" w:cs="宋体"/>
                <w:snapToGrid w:val="0"/>
                <w:color w:val="auto"/>
                <w:kern w:val="0"/>
                <w:szCs w:val="21"/>
                <w:highlight w:val="none"/>
              </w:rPr>
            </w:pPr>
          </w:p>
        </w:tc>
      </w:tr>
      <w:tr w14:paraId="3B5A9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4CC82FBD">
            <w:pPr>
              <w:spacing w:line="360" w:lineRule="auto"/>
              <w:rPr>
                <w:rFonts w:ascii="宋体" w:hAnsi="宋体" w:eastAsia="宋体" w:cs="宋体"/>
                <w:snapToGrid w:val="0"/>
                <w:color w:val="auto"/>
                <w:kern w:val="0"/>
                <w:szCs w:val="21"/>
                <w:highlight w:val="none"/>
              </w:rPr>
            </w:pPr>
          </w:p>
        </w:tc>
        <w:tc>
          <w:tcPr>
            <w:tcW w:w="2011" w:type="dxa"/>
            <w:vAlign w:val="center"/>
          </w:tcPr>
          <w:p w14:paraId="4AEBF5FC">
            <w:pPr>
              <w:spacing w:line="360" w:lineRule="auto"/>
              <w:rPr>
                <w:rFonts w:ascii="宋体" w:hAnsi="宋体" w:eastAsia="宋体" w:cs="宋体"/>
                <w:snapToGrid w:val="0"/>
                <w:color w:val="auto"/>
                <w:kern w:val="0"/>
                <w:szCs w:val="21"/>
                <w:highlight w:val="none"/>
              </w:rPr>
            </w:pPr>
          </w:p>
        </w:tc>
        <w:tc>
          <w:tcPr>
            <w:tcW w:w="1007" w:type="dxa"/>
            <w:vAlign w:val="center"/>
          </w:tcPr>
          <w:p w14:paraId="1E47A520">
            <w:pPr>
              <w:spacing w:line="360" w:lineRule="auto"/>
              <w:rPr>
                <w:rFonts w:ascii="宋体" w:hAnsi="宋体" w:eastAsia="宋体" w:cs="宋体"/>
                <w:snapToGrid w:val="0"/>
                <w:color w:val="auto"/>
                <w:kern w:val="0"/>
                <w:szCs w:val="21"/>
                <w:highlight w:val="none"/>
              </w:rPr>
            </w:pPr>
          </w:p>
        </w:tc>
        <w:tc>
          <w:tcPr>
            <w:tcW w:w="1007" w:type="dxa"/>
            <w:vAlign w:val="center"/>
          </w:tcPr>
          <w:p w14:paraId="5C58B2DF">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0CCB0C94">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5B6FC963">
            <w:pPr>
              <w:spacing w:line="360" w:lineRule="auto"/>
              <w:jc w:val="left"/>
              <w:rPr>
                <w:rFonts w:ascii="宋体" w:hAnsi="宋体" w:eastAsia="宋体" w:cs="宋体"/>
                <w:snapToGrid w:val="0"/>
                <w:color w:val="auto"/>
                <w:kern w:val="0"/>
                <w:szCs w:val="21"/>
                <w:highlight w:val="none"/>
              </w:rPr>
            </w:pPr>
          </w:p>
        </w:tc>
        <w:tc>
          <w:tcPr>
            <w:tcW w:w="955" w:type="dxa"/>
            <w:vAlign w:val="center"/>
          </w:tcPr>
          <w:p w14:paraId="1510B733">
            <w:pPr>
              <w:spacing w:line="360" w:lineRule="auto"/>
              <w:jc w:val="left"/>
              <w:rPr>
                <w:rFonts w:ascii="宋体" w:hAnsi="宋体" w:eastAsia="宋体" w:cs="宋体"/>
                <w:snapToGrid w:val="0"/>
                <w:color w:val="auto"/>
                <w:kern w:val="0"/>
                <w:szCs w:val="21"/>
                <w:highlight w:val="none"/>
              </w:rPr>
            </w:pPr>
          </w:p>
        </w:tc>
      </w:tr>
      <w:tr w14:paraId="32CE8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7AE92AB5">
            <w:pPr>
              <w:spacing w:line="360" w:lineRule="auto"/>
              <w:rPr>
                <w:rFonts w:ascii="宋体" w:hAnsi="宋体" w:eastAsia="宋体" w:cs="宋体"/>
                <w:snapToGrid w:val="0"/>
                <w:color w:val="auto"/>
                <w:kern w:val="0"/>
                <w:szCs w:val="21"/>
                <w:highlight w:val="none"/>
              </w:rPr>
            </w:pPr>
          </w:p>
        </w:tc>
        <w:tc>
          <w:tcPr>
            <w:tcW w:w="2011" w:type="dxa"/>
            <w:vAlign w:val="center"/>
          </w:tcPr>
          <w:p w14:paraId="5A2B48D7">
            <w:pPr>
              <w:spacing w:line="360" w:lineRule="auto"/>
              <w:rPr>
                <w:rFonts w:ascii="宋体" w:hAnsi="宋体" w:eastAsia="宋体" w:cs="宋体"/>
                <w:snapToGrid w:val="0"/>
                <w:color w:val="auto"/>
                <w:kern w:val="0"/>
                <w:szCs w:val="21"/>
                <w:highlight w:val="none"/>
              </w:rPr>
            </w:pPr>
          </w:p>
        </w:tc>
        <w:tc>
          <w:tcPr>
            <w:tcW w:w="1007" w:type="dxa"/>
            <w:vAlign w:val="center"/>
          </w:tcPr>
          <w:p w14:paraId="166CD58D">
            <w:pPr>
              <w:spacing w:line="360" w:lineRule="auto"/>
              <w:rPr>
                <w:rFonts w:ascii="宋体" w:hAnsi="宋体" w:eastAsia="宋体" w:cs="宋体"/>
                <w:snapToGrid w:val="0"/>
                <w:color w:val="auto"/>
                <w:kern w:val="0"/>
                <w:szCs w:val="21"/>
                <w:highlight w:val="none"/>
              </w:rPr>
            </w:pPr>
          </w:p>
        </w:tc>
        <w:tc>
          <w:tcPr>
            <w:tcW w:w="1007" w:type="dxa"/>
            <w:vAlign w:val="center"/>
          </w:tcPr>
          <w:p w14:paraId="539A4A2B">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03827AE2">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7E8A5629">
            <w:pPr>
              <w:spacing w:line="360" w:lineRule="auto"/>
              <w:jc w:val="left"/>
              <w:rPr>
                <w:rFonts w:ascii="宋体" w:hAnsi="宋体" w:eastAsia="宋体" w:cs="宋体"/>
                <w:snapToGrid w:val="0"/>
                <w:color w:val="auto"/>
                <w:kern w:val="0"/>
                <w:szCs w:val="21"/>
                <w:highlight w:val="none"/>
              </w:rPr>
            </w:pPr>
          </w:p>
        </w:tc>
        <w:tc>
          <w:tcPr>
            <w:tcW w:w="955" w:type="dxa"/>
            <w:vAlign w:val="center"/>
          </w:tcPr>
          <w:p w14:paraId="48D2EEB9">
            <w:pPr>
              <w:spacing w:line="360" w:lineRule="auto"/>
              <w:jc w:val="left"/>
              <w:rPr>
                <w:rFonts w:ascii="宋体" w:hAnsi="宋体" w:eastAsia="宋体" w:cs="宋体"/>
                <w:snapToGrid w:val="0"/>
                <w:color w:val="auto"/>
                <w:kern w:val="0"/>
                <w:szCs w:val="21"/>
                <w:highlight w:val="none"/>
              </w:rPr>
            </w:pPr>
          </w:p>
        </w:tc>
      </w:tr>
      <w:tr w14:paraId="3378A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2B3F40E7">
            <w:pPr>
              <w:spacing w:line="360" w:lineRule="auto"/>
              <w:rPr>
                <w:rFonts w:ascii="宋体" w:hAnsi="宋体" w:eastAsia="宋体" w:cs="宋体"/>
                <w:snapToGrid w:val="0"/>
                <w:color w:val="auto"/>
                <w:kern w:val="0"/>
                <w:szCs w:val="21"/>
                <w:highlight w:val="none"/>
              </w:rPr>
            </w:pPr>
          </w:p>
        </w:tc>
        <w:tc>
          <w:tcPr>
            <w:tcW w:w="2011" w:type="dxa"/>
            <w:vAlign w:val="center"/>
          </w:tcPr>
          <w:p w14:paraId="3496CCA3">
            <w:pPr>
              <w:spacing w:line="360" w:lineRule="auto"/>
              <w:rPr>
                <w:rFonts w:ascii="宋体" w:hAnsi="宋体" w:eastAsia="宋体" w:cs="宋体"/>
                <w:snapToGrid w:val="0"/>
                <w:color w:val="auto"/>
                <w:kern w:val="0"/>
                <w:szCs w:val="21"/>
                <w:highlight w:val="none"/>
              </w:rPr>
            </w:pPr>
          </w:p>
        </w:tc>
        <w:tc>
          <w:tcPr>
            <w:tcW w:w="1007" w:type="dxa"/>
            <w:vAlign w:val="center"/>
          </w:tcPr>
          <w:p w14:paraId="05B552EF">
            <w:pPr>
              <w:spacing w:line="360" w:lineRule="auto"/>
              <w:rPr>
                <w:rFonts w:ascii="宋体" w:hAnsi="宋体" w:eastAsia="宋体" w:cs="宋体"/>
                <w:snapToGrid w:val="0"/>
                <w:color w:val="auto"/>
                <w:kern w:val="0"/>
                <w:szCs w:val="21"/>
                <w:highlight w:val="none"/>
              </w:rPr>
            </w:pPr>
          </w:p>
        </w:tc>
        <w:tc>
          <w:tcPr>
            <w:tcW w:w="1007" w:type="dxa"/>
            <w:vAlign w:val="center"/>
          </w:tcPr>
          <w:p w14:paraId="0A1C9342">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15A6DF4E">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5706E1FD">
            <w:pPr>
              <w:spacing w:line="360" w:lineRule="auto"/>
              <w:jc w:val="left"/>
              <w:rPr>
                <w:rFonts w:ascii="宋体" w:hAnsi="宋体" w:eastAsia="宋体" w:cs="宋体"/>
                <w:snapToGrid w:val="0"/>
                <w:color w:val="auto"/>
                <w:kern w:val="0"/>
                <w:szCs w:val="21"/>
                <w:highlight w:val="none"/>
              </w:rPr>
            </w:pPr>
          </w:p>
        </w:tc>
        <w:tc>
          <w:tcPr>
            <w:tcW w:w="955" w:type="dxa"/>
            <w:vAlign w:val="center"/>
          </w:tcPr>
          <w:p w14:paraId="3FD9D587">
            <w:pPr>
              <w:spacing w:line="360" w:lineRule="auto"/>
              <w:jc w:val="left"/>
              <w:rPr>
                <w:rFonts w:ascii="宋体" w:hAnsi="宋体" w:eastAsia="宋体" w:cs="宋体"/>
                <w:snapToGrid w:val="0"/>
                <w:color w:val="auto"/>
                <w:kern w:val="0"/>
                <w:szCs w:val="21"/>
                <w:highlight w:val="none"/>
              </w:rPr>
            </w:pPr>
          </w:p>
        </w:tc>
      </w:tr>
      <w:tr w14:paraId="1E0B5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1DCBC4D2">
            <w:pPr>
              <w:spacing w:line="360" w:lineRule="auto"/>
              <w:rPr>
                <w:rFonts w:ascii="宋体" w:hAnsi="宋体" w:eastAsia="宋体" w:cs="宋体"/>
                <w:snapToGrid w:val="0"/>
                <w:color w:val="auto"/>
                <w:kern w:val="0"/>
                <w:szCs w:val="21"/>
                <w:highlight w:val="none"/>
              </w:rPr>
            </w:pPr>
          </w:p>
        </w:tc>
        <w:tc>
          <w:tcPr>
            <w:tcW w:w="2011" w:type="dxa"/>
            <w:vAlign w:val="center"/>
          </w:tcPr>
          <w:p w14:paraId="46311155">
            <w:pPr>
              <w:spacing w:line="360" w:lineRule="auto"/>
              <w:rPr>
                <w:rFonts w:ascii="宋体" w:hAnsi="宋体" w:eastAsia="宋体" w:cs="宋体"/>
                <w:snapToGrid w:val="0"/>
                <w:color w:val="auto"/>
                <w:kern w:val="0"/>
                <w:szCs w:val="21"/>
                <w:highlight w:val="none"/>
              </w:rPr>
            </w:pPr>
          </w:p>
        </w:tc>
        <w:tc>
          <w:tcPr>
            <w:tcW w:w="1007" w:type="dxa"/>
            <w:vAlign w:val="center"/>
          </w:tcPr>
          <w:p w14:paraId="5E861F6F">
            <w:pPr>
              <w:spacing w:line="360" w:lineRule="auto"/>
              <w:rPr>
                <w:rFonts w:ascii="宋体" w:hAnsi="宋体" w:eastAsia="宋体" w:cs="宋体"/>
                <w:snapToGrid w:val="0"/>
                <w:color w:val="auto"/>
                <w:kern w:val="0"/>
                <w:szCs w:val="21"/>
                <w:highlight w:val="none"/>
              </w:rPr>
            </w:pPr>
          </w:p>
        </w:tc>
        <w:tc>
          <w:tcPr>
            <w:tcW w:w="1007" w:type="dxa"/>
            <w:vAlign w:val="center"/>
          </w:tcPr>
          <w:p w14:paraId="3D3A1EC8">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7B05FF1D">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2F94E4CC">
            <w:pPr>
              <w:spacing w:line="360" w:lineRule="auto"/>
              <w:jc w:val="left"/>
              <w:rPr>
                <w:rFonts w:ascii="宋体" w:hAnsi="宋体" w:eastAsia="宋体" w:cs="宋体"/>
                <w:snapToGrid w:val="0"/>
                <w:color w:val="auto"/>
                <w:kern w:val="0"/>
                <w:szCs w:val="21"/>
                <w:highlight w:val="none"/>
              </w:rPr>
            </w:pPr>
          </w:p>
        </w:tc>
        <w:tc>
          <w:tcPr>
            <w:tcW w:w="955" w:type="dxa"/>
            <w:vAlign w:val="center"/>
          </w:tcPr>
          <w:p w14:paraId="1156E83E">
            <w:pPr>
              <w:spacing w:line="360" w:lineRule="auto"/>
              <w:jc w:val="left"/>
              <w:rPr>
                <w:rFonts w:ascii="宋体" w:hAnsi="宋体" w:eastAsia="宋体" w:cs="宋体"/>
                <w:snapToGrid w:val="0"/>
                <w:color w:val="auto"/>
                <w:kern w:val="0"/>
                <w:szCs w:val="21"/>
                <w:highlight w:val="none"/>
              </w:rPr>
            </w:pPr>
          </w:p>
        </w:tc>
      </w:tr>
      <w:tr w14:paraId="1F4A3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279544C0">
            <w:pPr>
              <w:spacing w:line="360" w:lineRule="auto"/>
              <w:rPr>
                <w:rFonts w:ascii="宋体" w:hAnsi="宋体" w:eastAsia="宋体" w:cs="宋体"/>
                <w:snapToGrid w:val="0"/>
                <w:color w:val="auto"/>
                <w:kern w:val="0"/>
                <w:szCs w:val="21"/>
                <w:highlight w:val="none"/>
              </w:rPr>
            </w:pPr>
          </w:p>
        </w:tc>
        <w:tc>
          <w:tcPr>
            <w:tcW w:w="2011" w:type="dxa"/>
            <w:vAlign w:val="center"/>
          </w:tcPr>
          <w:p w14:paraId="77AB427B">
            <w:pPr>
              <w:spacing w:line="360" w:lineRule="auto"/>
              <w:rPr>
                <w:rFonts w:ascii="宋体" w:hAnsi="宋体" w:eastAsia="宋体" w:cs="宋体"/>
                <w:snapToGrid w:val="0"/>
                <w:color w:val="auto"/>
                <w:kern w:val="0"/>
                <w:szCs w:val="21"/>
                <w:highlight w:val="none"/>
              </w:rPr>
            </w:pPr>
          </w:p>
        </w:tc>
        <w:tc>
          <w:tcPr>
            <w:tcW w:w="1007" w:type="dxa"/>
            <w:vAlign w:val="center"/>
          </w:tcPr>
          <w:p w14:paraId="679674CB">
            <w:pPr>
              <w:spacing w:line="360" w:lineRule="auto"/>
              <w:rPr>
                <w:rFonts w:ascii="宋体" w:hAnsi="宋体" w:eastAsia="宋体" w:cs="宋体"/>
                <w:snapToGrid w:val="0"/>
                <w:color w:val="auto"/>
                <w:kern w:val="0"/>
                <w:szCs w:val="21"/>
                <w:highlight w:val="none"/>
              </w:rPr>
            </w:pPr>
          </w:p>
        </w:tc>
        <w:tc>
          <w:tcPr>
            <w:tcW w:w="1007" w:type="dxa"/>
            <w:vAlign w:val="center"/>
          </w:tcPr>
          <w:p w14:paraId="521740F5">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3CD08B5A">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75D5DDC4">
            <w:pPr>
              <w:spacing w:line="360" w:lineRule="auto"/>
              <w:jc w:val="left"/>
              <w:rPr>
                <w:rFonts w:ascii="宋体" w:hAnsi="宋体" w:eastAsia="宋体" w:cs="宋体"/>
                <w:snapToGrid w:val="0"/>
                <w:color w:val="auto"/>
                <w:kern w:val="0"/>
                <w:szCs w:val="21"/>
                <w:highlight w:val="none"/>
              </w:rPr>
            </w:pPr>
          </w:p>
        </w:tc>
        <w:tc>
          <w:tcPr>
            <w:tcW w:w="955" w:type="dxa"/>
            <w:vAlign w:val="center"/>
          </w:tcPr>
          <w:p w14:paraId="61B5E8FF">
            <w:pPr>
              <w:spacing w:line="360" w:lineRule="auto"/>
              <w:jc w:val="left"/>
              <w:rPr>
                <w:rFonts w:ascii="宋体" w:hAnsi="宋体" w:eastAsia="宋体" w:cs="宋体"/>
                <w:snapToGrid w:val="0"/>
                <w:color w:val="auto"/>
                <w:kern w:val="0"/>
                <w:szCs w:val="21"/>
                <w:highlight w:val="none"/>
              </w:rPr>
            </w:pPr>
          </w:p>
        </w:tc>
      </w:tr>
      <w:tr w14:paraId="25A3D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01750710">
            <w:pPr>
              <w:spacing w:line="360" w:lineRule="auto"/>
              <w:rPr>
                <w:rFonts w:ascii="宋体" w:hAnsi="宋体" w:eastAsia="宋体" w:cs="宋体"/>
                <w:snapToGrid w:val="0"/>
                <w:color w:val="auto"/>
                <w:kern w:val="0"/>
                <w:szCs w:val="21"/>
                <w:highlight w:val="none"/>
              </w:rPr>
            </w:pPr>
          </w:p>
        </w:tc>
        <w:tc>
          <w:tcPr>
            <w:tcW w:w="2011" w:type="dxa"/>
            <w:vAlign w:val="center"/>
          </w:tcPr>
          <w:p w14:paraId="77E64C21">
            <w:pPr>
              <w:spacing w:line="360" w:lineRule="auto"/>
              <w:rPr>
                <w:rFonts w:ascii="宋体" w:hAnsi="宋体" w:eastAsia="宋体" w:cs="宋体"/>
                <w:snapToGrid w:val="0"/>
                <w:color w:val="auto"/>
                <w:kern w:val="0"/>
                <w:szCs w:val="21"/>
                <w:highlight w:val="none"/>
              </w:rPr>
            </w:pPr>
          </w:p>
        </w:tc>
        <w:tc>
          <w:tcPr>
            <w:tcW w:w="1007" w:type="dxa"/>
            <w:vAlign w:val="center"/>
          </w:tcPr>
          <w:p w14:paraId="3630BAAB">
            <w:pPr>
              <w:spacing w:line="360" w:lineRule="auto"/>
              <w:rPr>
                <w:rFonts w:ascii="宋体" w:hAnsi="宋体" w:eastAsia="宋体" w:cs="宋体"/>
                <w:snapToGrid w:val="0"/>
                <w:color w:val="auto"/>
                <w:kern w:val="0"/>
                <w:szCs w:val="21"/>
                <w:highlight w:val="none"/>
              </w:rPr>
            </w:pPr>
          </w:p>
        </w:tc>
        <w:tc>
          <w:tcPr>
            <w:tcW w:w="1007" w:type="dxa"/>
            <w:vAlign w:val="center"/>
          </w:tcPr>
          <w:p w14:paraId="512092EE">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477AF4D5">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57566165">
            <w:pPr>
              <w:spacing w:line="360" w:lineRule="auto"/>
              <w:jc w:val="left"/>
              <w:rPr>
                <w:rFonts w:ascii="宋体" w:hAnsi="宋体" w:eastAsia="宋体" w:cs="宋体"/>
                <w:snapToGrid w:val="0"/>
                <w:color w:val="auto"/>
                <w:kern w:val="0"/>
                <w:szCs w:val="21"/>
                <w:highlight w:val="none"/>
              </w:rPr>
            </w:pPr>
          </w:p>
        </w:tc>
        <w:tc>
          <w:tcPr>
            <w:tcW w:w="955" w:type="dxa"/>
            <w:vAlign w:val="center"/>
          </w:tcPr>
          <w:p w14:paraId="200982BF">
            <w:pPr>
              <w:spacing w:line="360" w:lineRule="auto"/>
              <w:jc w:val="left"/>
              <w:rPr>
                <w:rFonts w:ascii="宋体" w:hAnsi="宋体" w:eastAsia="宋体" w:cs="宋体"/>
                <w:snapToGrid w:val="0"/>
                <w:color w:val="auto"/>
                <w:kern w:val="0"/>
                <w:szCs w:val="21"/>
                <w:highlight w:val="none"/>
              </w:rPr>
            </w:pPr>
          </w:p>
        </w:tc>
      </w:tr>
      <w:tr w14:paraId="3CD63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1EF2C11F">
            <w:pPr>
              <w:spacing w:line="360" w:lineRule="auto"/>
              <w:rPr>
                <w:rFonts w:ascii="宋体" w:hAnsi="宋体" w:eastAsia="宋体" w:cs="宋体"/>
                <w:snapToGrid w:val="0"/>
                <w:color w:val="auto"/>
                <w:kern w:val="0"/>
                <w:szCs w:val="21"/>
                <w:highlight w:val="none"/>
              </w:rPr>
            </w:pPr>
          </w:p>
        </w:tc>
        <w:tc>
          <w:tcPr>
            <w:tcW w:w="2011" w:type="dxa"/>
            <w:vAlign w:val="center"/>
          </w:tcPr>
          <w:p w14:paraId="1567BD4F">
            <w:pPr>
              <w:spacing w:line="360" w:lineRule="auto"/>
              <w:rPr>
                <w:rFonts w:ascii="宋体" w:hAnsi="宋体" w:eastAsia="宋体" w:cs="宋体"/>
                <w:snapToGrid w:val="0"/>
                <w:color w:val="auto"/>
                <w:kern w:val="0"/>
                <w:szCs w:val="21"/>
                <w:highlight w:val="none"/>
              </w:rPr>
            </w:pPr>
          </w:p>
        </w:tc>
        <w:tc>
          <w:tcPr>
            <w:tcW w:w="1007" w:type="dxa"/>
            <w:vAlign w:val="center"/>
          </w:tcPr>
          <w:p w14:paraId="0770E483">
            <w:pPr>
              <w:spacing w:line="360" w:lineRule="auto"/>
              <w:rPr>
                <w:rFonts w:ascii="宋体" w:hAnsi="宋体" w:eastAsia="宋体" w:cs="宋体"/>
                <w:snapToGrid w:val="0"/>
                <w:color w:val="auto"/>
                <w:kern w:val="0"/>
                <w:szCs w:val="21"/>
                <w:highlight w:val="none"/>
              </w:rPr>
            </w:pPr>
          </w:p>
        </w:tc>
        <w:tc>
          <w:tcPr>
            <w:tcW w:w="1007" w:type="dxa"/>
            <w:vAlign w:val="center"/>
          </w:tcPr>
          <w:p w14:paraId="0BFB96A3">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71E81BB4">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2881000A">
            <w:pPr>
              <w:spacing w:line="360" w:lineRule="auto"/>
              <w:jc w:val="left"/>
              <w:rPr>
                <w:rFonts w:ascii="宋体" w:hAnsi="宋体" w:eastAsia="宋体" w:cs="宋体"/>
                <w:snapToGrid w:val="0"/>
                <w:color w:val="auto"/>
                <w:kern w:val="0"/>
                <w:szCs w:val="21"/>
                <w:highlight w:val="none"/>
              </w:rPr>
            </w:pPr>
          </w:p>
        </w:tc>
        <w:tc>
          <w:tcPr>
            <w:tcW w:w="955" w:type="dxa"/>
            <w:vAlign w:val="center"/>
          </w:tcPr>
          <w:p w14:paraId="72D80FF9">
            <w:pPr>
              <w:spacing w:line="360" w:lineRule="auto"/>
              <w:jc w:val="left"/>
              <w:rPr>
                <w:rFonts w:ascii="宋体" w:hAnsi="宋体" w:eastAsia="宋体" w:cs="宋体"/>
                <w:snapToGrid w:val="0"/>
                <w:color w:val="auto"/>
                <w:kern w:val="0"/>
                <w:szCs w:val="21"/>
                <w:highlight w:val="none"/>
              </w:rPr>
            </w:pPr>
          </w:p>
        </w:tc>
      </w:tr>
      <w:tr w14:paraId="6A24E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5820910A">
            <w:pPr>
              <w:spacing w:line="360" w:lineRule="auto"/>
              <w:rPr>
                <w:rFonts w:ascii="宋体" w:hAnsi="宋体" w:eastAsia="宋体" w:cs="宋体"/>
                <w:snapToGrid w:val="0"/>
                <w:color w:val="auto"/>
                <w:kern w:val="0"/>
                <w:szCs w:val="21"/>
                <w:highlight w:val="none"/>
              </w:rPr>
            </w:pPr>
          </w:p>
        </w:tc>
        <w:tc>
          <w:tcPr>
            <w:tcW w:w="2011" w:type="dxa"/>
            <w:vAlign w:val="center"/>
          </w:tcPr>
          <w:p w14:paraId="3F40DF0A">
            <w:pPr>
              <w:spacing w:line="360" w:lineRule="auto"/>
              <w:rPr>
                <w:rFonts w:ascii="宋体" w:hAnsi="宋体" w:eastAsia="宋体" w:cs="宋体"/>
                <w:snapToGrid w:val="0"/>
                <w:color w:val="auto"/>
                <w:kern w:val="0"/>
                <w:szCs w:val="21"/>
                <w:highlight w:val="none"/>
              </w:rPr>
            </w:pPr>
          </w:p>
        </w:tc>
        <w:tc>
          <w:tcPr>
            <w:tcW w:w="1007" w:type="dxa"/>
            <w:vAlign w:val="center"/>
          </w:tcPr>
          <w:p w14:paraId="7A12F96B">
            <w:pPr>
              <w:spacing w:line="360" w:lineRule="auto"/>
              <w:rPr>
                <w:rFonts w:ascii="宋体" w:hAnsi="宋体" w:eastAsia="宋体" w:cs="宋体"/>
                <w:snapToGrid w:val="0"/>
                <w:color w:val="auto"/>
                <w:kern w:val="0"/>
                <w:szCs w:val="21"/>
                <w:highlight w:val="none"/>
              </w:rPr>
            </w:pPr>
          </w:p>
        </w:tc>
        <w:tc>
          <w:tcPr>
            <w:tcW w:w="1007" w:type="dxa"/>
            <w:vAlign w:val="center"/>
          </w:tcPr>
          <w:p w14:paraId="3B22968D">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1C2BE79D">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41782B45">
            <w:pPr>
              <w:spacing w:line="360" w:lineRule="auto"/>
              <w:jc w:val="left"/>
              <w:rPr>
                <w:rFonts w:ascii="宋体" w:hAnsi="宋体" w:eastAsia="宋体" w:cs="宋体"/>
                <w:snapToGrid w:val="0"/>
                <w:color w:val="auto"/>
                <w:kern w:val="0"/>
                <w:szCs w:val="21"/>
                <w:highlight w:val="none"/>
              </w:rPr>
            </w:pPr>
          </w:p>
        </w:tc>
        <w:tc>
          <w:tcPr>
            <w:tcW w:w="955" w:type="dxa"/>
            <w:vAlign w:val="center"/>
          </w:tcPr>
          <w:p w14:paraId="2930B163">
            <w:pPr>
              <w:spacing w:line="360" w:lineRule="auto"/>
              <w:jc w:val="left"/>
              <w:rPr>
                <w:rFonts w:ascii="宋体" w:hAnsi="宋体" w:eastAsia="宋体" w:cs="宋体"/>
                <w:snapToGrid w:val="0"/>
                <w:color w:val="auto"/>
                <w:kern w:val="0"/>
                <w:szCs w:val="21"/>
                <w:highlight w:val="none"/>
              </w:rPr>
            </w:pPr>
          </w:p>
        </w:tc>
      </w:tr>
      <w:tr w14:paraId="0385E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39649D8D">
            <w:pPr>
              <w:spacing w:line="360" w:lineRule="auto"/>
              <w:rPr>
                <w:rFonts w:ascii="宋体" w:hAnsi="宋体" w:eastAsia="宋体" w:cs="宋体"/>
                <w:snapToGrid w:val="0"/>
                <w:color w:val="auto"/>
                <w:kern w:val="0"/>
                <w:szCs w:val="21"/>
                <w:highlight w:val="none"/>
              </w:rPr>
            </w:pPr>
          </w:p>
        </w:tc>
        <w:tc>
          <w:tcPr>
            <w:tcW w:w="2011" w:type="dxa"/>
            <w:vAlign w:val="center"/>
          </w:tcPr>
          <w:p w14:paraId="6A49A91D">
            <w:pPr>
              <w:spacing w:line="360" w:lineRule="auto"/>
              <w:rPr>
                <w:rFonts w:ascii="宋体" w:hAnsi="宋体" w:eastAsia="宋体" w:cs="宋体"/>
                <w:snapToGrid w:val="0"/>
                <w:color w:val="auto"/>
                <w:kern w:val="0"/>
                <w:szCs w:val="21"/>
                <w:highlight w:val="none"/>
              </w:rPr>
            </w:pPr>
          </w:p>
        </w:tc>
        <w:tc>
          <w:tcPr>
            <w:tcW w:w="1007" w:type="dxa"/>
            <w:vAlign w:val="center"/>
          </w:tcPr>
          <w:p w14:paraId="6B8BCDF4">
            <w:pPr>
              <w:spacing w:line="360" w:lineRule="auto"/>
              <w:rPr>
                <w:rFonts w:ascii="宋体" w:hAnsi="宋体" w:eastAsia="宋体" w:cs="宋体"/>
                <w:snapToGrid w:val="0"/>
                <w:color w:val="auto"/>
                <w:kern w:val="0"/>
                <w:szCs w:val="21"/>
                <w:highlight w:val="none"/>
              </w:rPr>
            </w:pPr>
          </w:p>
        </w:tc>
        <w:tc>
          <w:tcPr>
            <w:tcW w:w="1007" w:type="dxa"/>
            <w:vAlign w:val="center"/>
          </w:tcPr>
          <w:p w14:paraId="5AC24B69">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4FF9C019">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02A723F0">
            <w:pPr>
              <w:spacing w:line="360" w:lineRule="auto"/>
              <w:jc w:val="left"/>
              <w:rPr>
                <w:rFonts w:ascii="宋体" w:hAnsi="宋体" w:eastAsia="宋体" w:cs="宋体"/>
                <w:snapToGrid w:val="0"/>
                <w:color w:val="auto"/>
                <w:kern w:val="0"/>
                <w:szCs w:val="21"/>
                <w:highlight w:val="none"/>
              </w:rPr>
            </w:pPr>
          </w:p>
        </w:tc>
        <w:tc>
          <w:tcPr>
            <w:tcW w:w="955" w:type="dxa"/>
            <w:vAlign w:val="center"/>
          </w:tcPr>
          <w:p w14:paraId="4E5903AC">
            <w:pPr>
              <w:spacing w:line="360" w:lineRule="auto"/>
              <w:jc w:val="left"/>
              <w:rPr>
                <w:rFonts w:ascii="宋体" w:hAnsi="宋体" w:eastAsia="宋体" w:cs="宋体"/>
                <w:snapToGrid w:val="0"/>
                <w:color w:val="auto"/>
                <w:kern w:val="0"/>
                <w:szCs w:val="21"/>
                <w:highlight w:val="none"/>
              </w:rPr>
            </w:pPr>
          </w:p>
        </w:tc>
      </w:tr>
      <w:tr w14:paraId="7AD6A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77263630">
            <w:pPr>
              <w:spacing w:line="360" w:lineRule="auto"/>
              <w:rPr>
                <w:rFonts w:ascii="宋体" w:hAnsi="宋体" w:eastAsia="宋体" w:cs="宋体"/>
                <w:snapToGrid w:val="0"/>
                <w:color w:val="auto"/>
                <w:kern w:val="0"/>
                <w:szCs w:val="21"/>
                <w:highlight w:val="none"/>
              </w:rPr>
            </w:pPr>
          </w:p>
        </w:tc>
        <w:tc>
          <w:tcPr>
            <w:tcW w:w="2011" w:type="dxa"/>
            <w:vAlign w:val="center"/>
          </w:tcPr>
          <w:p w14:paraId="579619AF">
            <w:pPr>
              <w:spacing w:line="360" w:lineRule="auto"/>
              <w:rPr>
                <w:rFonts w:ascii="宋体" w:hAnsi="宋体" w:eastAsia="宋体" w:cs="宋体"/>
                <w:snapToGrid w:val="0"/>
                <w:color w:val="auto"/>
                <w:kern w:val="0"/>
                <w:szCs w:val="21"/>
                <w:highlight w:val="none"/>
              </w:rPr>
            </w:pPr>
          </w:p>
        </w:tc>
        <w:tc>
          <w:tcPr>
            <w:tcW w:w="1007" w:type="dxa"/>
            <w:vAlign w:val="center"/>
          </w:tcPr>
          <w:p w14:paraId="718F8B95">
            <w:pPr>
              <w:spacing w:line="360" w:lineRule="auto"/>
              <w:rPr>
                <w:rFonts w:ascii="宋体" w:hAnsi="宋体" w:eastAsia="宋体" w:cs="宋体"/>
                <w:snapToGrid w:val="0"/>
                <w:color w:val="auto"/>
                <w:kern w:val="0"/>
                <w:szCs w:val="21"/>
                <w:highlight w:val="none"/>
              </w:rPr>
            </w:pPr>
          </w:p>
        </w:tc>
        <w:tc>
          <w:tcPr>
            <w:tcW w:w="1007" w:type="dxa"/>
            <w:vAlign w:val="center"/>
          </w:tcPr>
          <w:p w14:paraId="5711A883">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62ADF596">
            <w:pPr>
              <w:spacing w:line="360" w:lineRule="auto"/>
              <w:jc w:val="left"/>
              <w:rPr>
                <w:rFonts w:ascii="宋体" w:hAnsi="宋体" w:eastAsia="宋体" w:cs="宋体"/>
                <w:snapToGrid w:val="0"/>
                <w:color w:val="auto"/>
                <w:kern w:val="0"/>
                <w:szCs w:val="21"/>
                <w:highlight w:val="none"/>
              </w:rPr>
            </w:pPr>
          </w:p>
        </w:tc>
        <w:tc>
          <w:tcPr>
            <w:tcW w:w="1406" w:type="dxa"/>
            <w:vAlign w:val="center"/>
          </w:tcPr>
          <w:p w14:paraId="128701EF">
            <w:pPr>
              <w:spacing w:line="360" w:lineRule="auto"/>
              <w:jc w:val="left"/>
              <w:rPr>
                <w:rFonts w:ascii="宋体" w:hAnsi="宋体" w:eastAsia="宋体" w:cs="宋体"/>
                <w:snapToGrid w:val="0"/>
                <w:color w:val="auto"/>
                <w:kern w:val="0"/>
                <w:szCs w:val="21"/>
                <w:highlight w:val="none"/>
              </w:rPr>
            </w:pPr>
          </w:p>
        </w:tc>
        <w:tc>
          <w:tcPr>
            <w:tcW w:w="955" w:type="dxa"/>
            <w:vAlign w:val="center"/>
          </w:tcPr>
          <w:p w14:paraId="6F351110">
            <w:pPr>
              <w:spacing w:line="360" w:lineRule="auto"/>
              <w:jc w:val="left"/>
              <w:rPr>
                <w:rFonts w:ascii="宋体" w:hAnsi="宋体" w:eastAsia="宋体" w:cs="宋体"/>
                <w:snapToGrid w:val="0"/>
                <w:color w:val="auto"/>
                <w:kern w:val="0"/>
                <w:szCs w:val="21"/>
                <w:highlight w:val="none"/>
              </w:rPr>
            </w:pPr>
          </w:p>
        </w:tc>
      </w:tr>
    </w:tbl>
    <w:p w14:paraId="5252D298">
      <w:pPr>
        <w:spacing w:line="360" w:lineRule="auto"/>
        <w:jc w:val="left"/>
        <w:rPr>
          <w:rFonts w:ascii="宋体" w:hAnsi="宋体" w:eastAsia="宋体" w:cs="宋体"/>
          <w:snapToGrid w:val="0"/>
          <w:color w:val="auto"/>
          <w:kern w:val="0"/>
          <w:szCs w:val="21"/>
          <w:highlight w:val="none"/>
        </w:rPr>
      </w:pPr>
    </w:p>
    <w:p w14:paraId="05716EB9">
      <w:pPr>
        <w:spacing w:line="360" w:lineRule="auto"/>
        <w:ind w:firstLine="420" w:firstLineChars="200"/>
        <w:jc w:val="left"/>
        <w:rPr>
          <w:rFonts w:ascii="楷体_GB2312" w:hAnsi="楷体_GB2312" w:eastAsia="楷体_GB2312" w:cs="楷体_GB2312"/>
          <w:snapToGrid w:val="0"/>
          <w:color w:val="auto"/>
          <w:kern w:val="0"/>
          <w:szCs w:val="21"/>
          <w:highlight w:val="none"/>
        </w:rPr>
      </w:pPr>
      <w:r>
        <w:rPr>
          <w:rFonts w:hint="eastAsia" w:ascii="楷体_GB2312" w:hAnsi="楷体_GB2312" w:eastAsia="楷体_GB2312" w:cs="楷体_GB2312"/>
          <w:snapToGrid w:val="0"/>
          <w:color w:val="auto"/>
          <w:kern w:val="0"/>
          <w:szCs w:val="21"/>
          <w:highlight w:val="none"/>
        </w:rPr>
        <w:t>提示：要求附项目证明材料扫描件（如合同扫描件、用户证明等）。</w:t>
      </w:r>
    </w:p>
    <w:p w14:paraId="50122618">
      <w:pPr>
        <w:rPr>
          <w:snapToGrid w:val="0"/>
          <w:color w:val="auto"/>
          <w:kern w:val="0"/>
          <w:highlight w:val="none"/>
        </w:rPr>
      </w:pPr>
      <w:r>
        <w:rPr>
          <w:snapToGrid w:val="0"/>
          <w:color w:val="auto"/>
          <w:kern w:val="0"/>
          <w:highlight w:val="none"/>
        </w:rPr>
        <w:br w:type="page"/>
      </w:r>
    </w:p>
    <w:p w14:paraId="74FA89D5">
      <w:pPr>
        <w:spacing w:before="100" w:after="120" w:afterLines="50" w:line="360" w:lineRule="auto"/>
        <w:jc w:val="center"/>
        <w:rPr>
          <w:rFonts w:ascii="宋体" w:hAnsi="宋体" w:eastAsia="宋体" w:cs="宋体"/>
          <w:bCs/>
          <w:snapToGrid w:val="0"/>
          <w:color w:val="auto"/>
          <w:kern w:val="0"/>
          <w:sz w:val="30"/>
          <w:szCs w:val="30"/>
          <w:highlight w:val="none"/>
        </w:rPr>
      </w:pPr>
      <w:r>
        <w:rPr>
          <w:rFonts w:hint="eastAsia" w:ascii="宋体" w:hAnsi="宋体" w:eastAsia="宋体" w:cs="宋体"/>
          <w:bCs/>
          <w:snapToGrid w:val="0"/>
          <w:color w:val="auto"/>
          <w:kern w:val="0"/>
          <w:sz w:val="30"/>
          <w:szCs w:val="30"/>
          <w:highlight w:val="none"/>
        </w:rPr>
        <w:t>其他</w:t>
      </w:r>
    </w:p>
    <w:p w14:paraId="61FD49B2">
      <w:pPr>
        <w:adjustRightInd w:val="0"/>
        <w:snapToGrid w:val="0"/>
        <w:spacing w:line="360" w:lineRule="auto"/>
        <w:jc w:val="left"/>
        <w:rPr>
          <w:rFonts w:ascii="宋体" w:hAnsi="宋体" w:eastAsia="宋体" w:cs="宋体"/>
          <w:snapToGrid w:val="0"/>
          <w:color w:val="auto"/>
          <w:kern w:val="0"/>
          <w:szCs w:val="20"/>
          <w:highlight w:val="none"/>
        </w:rPr>
      </w:pPr>
      <w:r>
        <w:rPr>
          <w:rFonts w:hint="eastAsia" w:ascii="宋体" w:hAnsi="宋体" w:eastAsia="宋体" w:cs="宋体"/>
          <w:snapToGrid w:val="0"/>
          <w:color w:val="auto"/>
          <w:kern w:val="0"/>
          <w:szCs w:val="20"/>
          <w:highlight w:val="none"/>
        </w:rPr>
        <w:t>其他1</w:t>
      </w:r>
    </w:p>
    <w:p w14:paraId="5C08B72F">
      <w:pPr>
        <w:spacing w:line="360" w:lineRule="auto"/>
        <w:ind w:firstLine="420" w:firstLineChars="200"/>
        <w:jc w:val="left"/>
        <w:rPr>
          <w:snapToGrid w:val="0"/>
          <w:color w:val="auto"/>
          <w:kern w:val="0"/>
          <w:highlight w:val="none"/>
        </w:rPr>
      </w:pPr>
      <w:r>
        <w:rPr>
          <w:rFonts w:hint="eastAsia" w:ascii="宋体" w:hAnsi="宋体" w:eastAsia="宋体" w:cs="宋体"/>
          <w:bCs/>
          <w:snapToGrid w:val="0"/>
          <w:color w:val="auto"/>
          <w:kern w:val="0"/>
          <w:highlight w:val="none"/>
        </w:rPr>
        <w:t>（投标人认为应补充提供的其他文件资料或说明）</w:t>
      </w:r>
      <w:r>
        <w:rPr>
          <w:snapToGrid w:val="0"/>
          <w:color w:val="auto"/>
          <w:kern w:val="0"/>
          <w:highlight w:val="none"/>
        </w:rPr>
        <w:br w:type="page"/>
      </w:r>
    </w:p>
    <w:p w14:paraId="0A5E12C5">
      <w:pPr>
        <w:jc w:val="center"/>
        <w:rPr>
          <w:rFonts w:ascii="宋体" w:hAnsi="宋体" w:eastAsia="宋体" w:cs="宋体"/>
          <w:snapToGrid w:val="0"/>
          <w:color w:val="auto"/>
          <w:kern w:val="0"/>
          <w:sz w:val="44"/>
          <w:szCs w:val="44"/>
          <w:highlight w:val="none"/>
        </w:rPr>
      </w:pPr>
      <w:r>
        <w:rPr>
          <w:rFonts w:hint="eastAsia" w:ascii="宋体" w:hAnsi="宋体" w:eastAsia="宋体" w:cs="宋体"/>
          <w:snapToGrid w:val="0"/>
          <w:color w:val="auto"/>
          <w:kern w:val="0"/>
          <w:sz w:val="44"/>
          <w:szCs w:val="44"/>
          <w:highlight w:val="none"/>
          <w:u w:val="single"/>
        </w:rPr>
        <w:t xml:space="preserve">                 </w:t>
      </w:r>
      <w:r>
        <w:rPr>
          <w:rFonts w:hint="eastAsia" w:ascii="宋体" w:hAnsi="宋体" w:eastAsia="宋体" w:cs="宋体"/>
          <w:snapToGrid w:val="0"/>
          <w:color w:val="auto"/>
          <w:kern w:val="0"/>
          <w:sz w:val="44"/>
          <w:szCs w:val="44"/>
          <w:highlight w:val="none"/>
        </w:rPr>
        <w:t>项目</w:t>
      </w:r>
    </w:p>
    <w:p w14:paraId="2579D77A">
      <w:pPr>
        <w:jc w:val="center"/>
        <w:rPr>
          <w:rFonts w:ascii="宋体" w:hAnsi="宋体" w:eastAsia="宋体" w:cs="宋体"/>
          <w:snapToGrid w:val="0"/>
          <w:color w:val="auto"/>
          <w:kern w:val="0"/>
          <w:sz w:val="44"/>
          <w:szCs w:val="44"/>
          <w:highlight w:val="none"/>
        </w:rPr>
      </w:pPr>
    </w:p>
    <w:p w14:paraId="17CDC04B">
      <w:pPr>
        <w:jc w:val="center"/>
        <w:rPr>
          <w:rFonts w:ascii="宋体" w:hAnsi="宋体" w:eastAsia="宋体" w:cs="宋体"/>
          <w:snapToGrid w:val="0"/>
          <w:color w:val="auto"/>
          <w:kern w:val="0"/>
          <w:sz w:val="52"/>
          <w:szCs w:val="52"/>
          <w:highlight w:val="none"/>
        </w:rPr>
      </w:pPr>
      <w:r>
        <w:rPr>
          <w:rFonts w:hint="eastAsia" w:ascii="宋体" w:hAnsi="宋体" w:eastAsia="宋体" w:cs="宋体"/>
          <w:snapToGrid w:val="0"/>
          <w:color w:val="auto"/>
          <w:kern w:val="0"/>
          <w:sz w:val="52"/>
          <w:szCs w:val="52"/>
          <w:highlight w:val="none"/>
        </w:rPr>
        <w:t>投标文件</w:t>
      </w:r>
    </w:p>
    <w:p w14:paraId="2DF096ED">
      <w:pPr>
        <w:jc w:val="center"/>
        <w:rPr>
          <w:rFonts w:ascii="宋体" w:hAnsi="宋体" w:eastAsia="宋体" w:cs="宋体"/>
          <w:snapToGrid w:val="0"/>
          <w:color w:val="auto"/>
          <w:kern w:val="0"/>
          <w:sz w:val="52"/>
          <w:szCs w:val="52"/>
          <w:highlight w:val="none"/>
        </w:rPr>
      </w:pPr>
    </w:p>
    <w:p w14:paraId="17F8AD9D">
      <w:pPr>
        <w:jc w:val="center"/>
        <w:rPr>
          <w:rFonts w:ascii="宋体" w:hAnsi="宋体" w:eastAsia="宋体" w:cs="宋体"/>
          <w:snapToGrid w:val="0"/>
          <w:color w:val="auto"/>
          <w:kern w:val="0"/>
          <w:sz w:val="44"/>
          <w:szCs w:val="44"/>
          <w:highlight w:val="none"/>
        </w:rPr>
      </w:pPr>
    </w:p>
    <w:p w14:paraId="0CB268FD">
      <w:pPr>
        <w:jc w:val="center"/>
        <w:outlineLvl w:val="1"/>
        <w:rPr>
          <w:rFonts w:ascii="宋体" w:hAnsi="宋体" w:eastAsia="宋体" w:cs="宋体"/>
          <w:b/>
          <w:snapToGrid w:val="0"/>
          <w:color w:val="auto"/>
          <w:kern w:val="0"/>
          <w:sz w:val="44"/>
          <w:szCs w:val="44"/>
          <w:highlight w:val="none"/>
        </w:rPr>
      </w:pPr>
      <w:bookmarkStart w:id="71" w:name="_Toc16838"/>
      <w:bookmarkStart w:id="72" w:name="_Toc15662"/>
      <w:r>
        <w:rPr>
          <w:rFonts w:hint="eastAsia" w:ascii="宋体" w:hAnsi="宋体" w:eastAsia="宋体" w:cs="宋体"/>
          <w:b/>
          <w:snapToGrid w:val="0"/>
          <w:color w:val="auto"/>
          <w:kern w:val="0"/>
          <w:sz w:val="44"/>
          <w:szCs w:val="44"/>
          <w:highlight w:val="none"/>
        </w:rPr>
        <w:t>技术标书</w:t>
      </w:r>
      <w:bookmarkEnd w:id="71"/>
      <w:bookmarkEnd w:id="72"/>
    </w:p>
    <w:p w14:paraId="3AEA8FEF">
      <w:pPr>
        <w:jc w:val="center"/>
        <w:rPr>
          <w:rFonts w:ascii="宋体" w:hAnsi="宋体" w:eastAsia="宋体" w:cs="宋体"/>
          <w:snapToGrid w:val="0"/>
          <w:color w:val="auto"/>
          <w:kern w:val="0"/>
          <w:sz w:val="44"/>
          <w:szCs w:val="44"/>
          <w:highlight w:val="none"/>
        </w:rPr>
      </w:pPr>
    </w:p>
    <w:p w14:paraId="452D4F99">
      <w:pPr>
        <w:jc w:val="center"/>
        <w:rPr>
          <w:rFonts w:ascii="宋体" w:hAnsi="宋体" w:eastAsia="宋体" w:cs="宋体"/>
          <w:snapToGrid w:val="0"/>
          <w:color w:val="auto"/>
          <w:kern w:val="0"/>
          <w:sz w:val="44"/>
          <w:szCs w:val="44"/>
          <w:highlight w:val="none"/>
        </w:rPr>
      </w:pPr>
    </w:p>
    <w:p w14:paraId="04BE05B7">
      <w:pPr>
        <w:jc w:val="center"/>
        <w:rPr>
          <w:rFonts w:ascii="宋体" w:hAnsi="宋体" w:eastAsia="宋体" w:cs="宋体"/>
          <w:snapToGrid w:val="0"/>
          <w:color w:val="auto"/>
          <w:kern w:val="0"/>
          <w:sz w:val="44"/>
          <w:szCs w:val="44"/>
          <w:highlight w:val="none"/>
        </w:rPr>
      </w:pPr>
    </w:p>
    <w:p w14:paraId="4EA94783">
      <w:pPr>
        <w:jc w:val="center"/>
        <w:rPr>
          <w:rFonts w:ascii="宋体" w:hAnsi="宋体" w:eastAsia="宋体" w:cs="宋体"/>
          <w:snapToGrid w:val="0"/>
          <w:color w:val="auto"/>
          <w:kern w:val="0"/>
          <w:sz w:val="44"/>
          <w:szCs w:val="44"/>
          <w:highlight w:val="none"/>
        </w:rPr>
      </w:pPr>
    </w:p>
    <w:p w14:paraId="3A0D82BB">
      <w:pPr>
        <w:jc w:val="center"/>
        <w:rPr>
          <w:rFonts w:ascii="宋体" w:hAnsi="宋体" w:eastAsia="宋体" w:cs="宋体"/>
          <w:snapToGrid w:val="0"/>
          <w:color w:val="auto"/>
          <w:kern w:val="0"/>
          <w:sz w:val="44"/>
          <w:szCs w:val="44"/>
          <w:highlight w:val="none"/>
        </w:rPr>
      </w:pPr>
    </w:p>
    <w:p w14:paraId="4B3C9624">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项目编号：</w:t>
      </w:r>
      <w:r>
        <w:rPr>
          <w:rFonts w:hint="eastAsia" w:ascii="宋体" w:hAnsi="宋体" w:eastAsia="宋体" w:cs="宋体"/>
          <w:snapToGrid w:val="0"/>
          <w:color w:val="auto"/>
          <w:kern w:val="0"/>
          <w:sz w:val="28"/>
          <w:szCs w:val="28"/>
          <w:highlight w:val="none"/>
          <w:u w:val="single"/>
        </w:rPr>
        <w:t xml:space="preserve">                              </w:t>
      </w:r>
    </w:p>
    <w:p w14:paraId="446F0CC2">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投标人名称：</w:t>
      </w:r>
      <w:r>
        <w:rPr>
          <w:rFonts w:hint="eastAsia" w:ascii="宋体" w:hAnsi="宋体" w:eastAsia="宋体" w:cs="宋体"/>
          <w:snapToGrid w:val="0"/>
          <w:color w:val="auto"/>
          <w:kern w:val="0"/>
          <w:sz w:val="28"/>
          <w:szCs w:val="28"/>
          <w:highlight w:val="none"/>
          <w:u w:val="single"/>
        </w:rPr>
        <w:t xml:space="preserve">                            </w:t>
      </w:r>
    </w:p>
    <w:p w14:paraId="44048355">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投标人代表：</w:t>
      </w:r>
      <w:r>
        <w:rPr>
          <w:rFonts w:hint="eastAsia" w:ascii="宋体" w:hAnsi="宋体" w:eastAsia="宋体" w:cs="宋体"/>
          <w:snapToGrid w:val="0"/>
          <w:color w:val="auto"/>
          <w:kern w:val="0"/>
          <w:sz w:val="28"/>
          <w:szCs w:val="28"/>
          <w:highlight w:val="none"/>
          <w:u w:val="single"/>
        </w:rPr>
        <w:t xml:space="preserve">                            </w:t>
      </w:r>
    </w:p>
    <w:p w14:paraId="6C5DC38B">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日    期：</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14:paraId="4D34FA9F">
      <w:pPr>
        <w:spacing w:before="100" w:beforeAutospacing="1" w:after="120" w:afterLines="50" w:line="360" w:lineRule="auto"/>
        <w:ind w:firstLine="601"/>
        <w:jc w:val="center"/>
        <w:rPr>
          <w:rFonts w:ascii="宋体" w:hAnsi="宋体" w:eastAsia="宋体" w:cs="宋体"/>
          <w:b/>
          <w:snapToGrid w:val="0"/>
          <w:color w:val="auto"/>
          <w:kern w:val="0"/>
          <w:sz w:val="30"/>
          <w:szCs w:val="30"/>
          <w:highlight w:val="none"/>
        </w:rPr>
      </w:pPr>
      <w:r>
        <w:rPr>
          <w:snapToGrid w:val="0"/>
          <w:color w:val="auto"/>
          <w:kern w:val="0"/>
          <w:highlight w:val="none"/>
        </w:rPr>
        <w:br w:type="page"/>
      </w:r>
      <w:r>
        <w:rPr>
          <w:rFonts w:hint="eastAsia" w:ascii="宋体" w:hAnsi="宋体" w:eastAsia="宋体" w:cs="宋体"/>
          <w:b/>
          <w:snapToGrid w:val="0"/>
          <w:color w:val="auto"/>
          <w:kern w:val="0"/>
          <w:sz w:val="30"/>
          <w:szCs w:val="30"/>
          <w:highlight w:val="none"/>
        </w:rPr>
        <w:t>拟投入本项目人员情况表</w:t>
      </w:r>
    </w:p>
    <w:p w14:paraId="26FDF1A8">
      <w:pPr>
        <w:tabs>
          <w:tab w:val="left" w:pos="1050"/>
        </w:tabs>
        <w:spacing w:before="120" w:beforeLines="50" w:after="120" w:afterLines="50"/>
        <w:ind w:left="57" w:right="57" w:firstLine="420"/>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u w:val="single"/>
        </w:rPr>
        <w:t xml:space="preserve">                    </w:t>
      </w:r>
    </w:p>
    <w:tbl>
      <w:tblPr>
        <w:tblStyle w:val="78"/>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142"/>
        <w:gridCol w:w="1522"/>
        <w:gridCol w:w="1332"/>
        <w:gridCol w:w="3996"/>
      </w:tblGrid>
      <w:tr w14:paraId="55F3C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35A7418E">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在本项目中拟任职务</w:t>
            </w:r>
          </w:p>
        </w:tc>
        <w:tc>
          <w:tcPr>
            <w:tcW w:w="1142" w:type="dxa"/>
            <w:vAlign w:val="center"/>
          </w:tcPr>
          <w:p w14:paraId="2E57CBC8">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姓名</w:t>
            </w:r>
          </w:p>
        </w:tc>
        <w:tc>
          <w:tcPr>
            <w:tcW w:w="1522" w:type="dxa"/>
            <w:vAlign w:val="center"/>
          </w:tcPr>
          <w:p w14:paraId="72594C1B">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职务</w:t>
            </w:r>
          </w:p>
        </w:tc>
        <w:tc>
          <w:tcPr>
            <w:tcW w:w="1332" w:type="dxa"/>
            <w:vAlign w:val="center"/>
          </w:tcPr>
          <w:p w14:paraId="0CF2F258">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职称</w:t>
            </w:r>
          </w:p>
        </w:tc>
        <w:tc>
          <w:tcPr>
            <w:tcW w:w="3996" w:type="dxa"/>
            <w:vAlign w:val="center"/>
          </w:tcPr>
          <w:p w14:paraId="000DBBE5">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主要简历、经验及承担过的项目</w:t>
            </w:r>
          </w:p>
        </w:tc>
      </w:tr>
      <w:tr w14:paraId="53456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409F64FF">
            <w:pPr>
              <w:spacing w:line="360" w:lineRule="auto"/>
              <w:ind w:firstLine="420"/>
              <w:rPr>
                <w:rFonts w:ascii="宋体" w:hAnsi="宋体" w:eastAsia="宋体" w:cs="宋体"/>
                <w:dstrike/>
                <w:snapToGrid w:val="0"/>
                <w:color w:val="auto"/>
                <w:kern w:val="0"/>
                <w:szCs w:val="21"/>
                <w:highlight w:val="none"/>
              </w:rPr>
            </w:pPr>
          </w:p>
        </w:tc>
        <w:tc>
          <w:tcPr>
            <w:tcW w:w="1142" w:type="dxa"/>
            <w:vAlign w:val="center"/>
          </w:tcPr>
          <w:p w14:paraId="49C3C7DC">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730A0796">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30173661">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7181CEF8">
            <w:pPr>
              <w:spacing w:line="360" w:lineRule="auto"/>
              <w:ind w:firstLine="420"/>
              <w:rPr>
                <w:rFonts w:ascii="宋体" w:hAnsi="宋体" w:eastAsia="宋体" w:cs="宋体"/>
                <w:snapToGrid w:val="0"/>
                <w:color w:val="auto"/>
                <w:kern w:val="0"/>
                <w:szCs w:val="21"/>
                <w:highlight w:val="none"/>
              </w:rPr>
            </w:pPr>
          </w:p>
        </w:tc>
      </w:tr>
      <w:tr w14:paraId="5011C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192172DA">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2295EE78">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526C581C">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374A4A9A">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5E07E296">
            <w:pPr>
              <w:spacing w:line="360" w:lineRule="auto"/>
              <w:ind w:firstLine="420"/>
              <w:rPr>
                <w:rFonts w:ascii="宋体" w:hAnsi="宋体" w:eastAsia="宋体" w:cs="宋体"/>
                <w:snapToGrid w:val="0"/>
                <w:color w:val="auto"/>
                <w:kern w:val="0"/>
                <w:szCs w:val="21"/>
                <w:highlight w:val="none"/>
              </w:rPr>
            </w:pPr>
          </w:p>
        </w:tc>
      </w:tr>
      <w:tr w14:paraId="48820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72C99BF7">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5ADFE1A3">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2D54E3B8">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1BCB243F">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47509286">
            <w:pPr>
              <w:spacing w:line="360" w:lineRule="auto"/>
              <w:ind w:firstLine="420"/>
              <w:rPr>
                <w:rFonts w:ascii="宋体" w:hAnsi="宋体" w:eastAsia="宋体" w:cs="宋体"/>
                <w:snapToGrid w:val="0"/>
                <w:color w:val="auto"/>
                <w:kern w:val="0"/>
                <w:szCs w:val="21"/>
                <w:highlight w:val="none"/>
              </w:rPr>
            </w:pPr>
          </w:p>
        </w:tc>
      </w:tr>
      <w:tr w14:paraId="71E58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04ECB794">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2C8F8914">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1D74EDF4">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5328D440">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151C03AA">
            <w:pPr>
              <w:spacing w:line="360" w:lineRule="auto"/>
              <w:ind w:firstLine="420"/>
              <w:rPr>
                <w:rFonts w:ascii="宋体" w:hAnsi="宋体" w:eastAsia="宋体" w:cs="宋体"/>
                <w:snapToGrid w:val="0"/>
                <w:color w:val="auto"/>
                <w:kern w:val="0"/>
                <w:szCs w:val="21"/>
                <w:highlight w:val="none"/>
              </w:rPr>
            </w:pPr>
          </w:p>
        </w:tc>
      </w:tr>
      <w:tr w14:paraId="34542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358BAD8C">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0187E6E7">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67D88684">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2BCC2A66">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5D776069">
            <w:pPr>
              <w:spacing w:line="360" w:lineRule="auto"/>
              <w:ind w:firstLine="420"/>
              <w:rPr>
                <w:rFonts w:ascii="宋体" w:hAnsi="宋体" w:eastAsia="宋体" w:cs="宋体"/>
                <w:snapToGrid w:val="0"/>
                <w:color w:val="auto"/>
                <w:kern w:val="0"/>
                <w:szCs w:val="21"/>
                <w:highlight w:val="none"/>
              </w:rPr>
            </w:pPr>
          </w:p>
        </w:tc>
      </w:tr>
      <w:tr w14:paraId="25B40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19164503">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313FEC09">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3561A62A">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1F19DEE5">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785F8A01">
            <w:pPr>
              <w:spacing w:line="360" w:lineRule="auto"/>
              <w:ind w:firstLine="420"/>
              <w:rPr>
                <w:rFonts w:ascii="宋体" w:hAnsi="宋体" w:eastAsia="宋体" w:cs="宋体"/>
                <w:snapToGrid w:val="0"/>
                <w:color w:val="auto"/>
                <w:kern w:val="0"/>
                <w:szCs w:val="21"/>
                <w:highlight w:val="none"/>
              </w:rPr>
            </w:pPr>
          </w:p>
        </w:tc>
      </w:tr>
      <w:tr w14:paraId="6AE4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1E147B0C">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5F6F36BC">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7526325C">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1123A3E1">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04EB2133">
            <w:pPr>
              <w:spacing w:line="360" w:lineRule="auto"/>
              <w:ind w:firstLine="420"/>
              <w:rPr>
                <w:rFonts w:ascii="宋体" w:hAnsi="宋体" w:eastAsia="宋体" w:cs="宋体"/>
                <w:snapToGrid w:val="0"/>
                <w:color w:val="auto"/>
                <w:kern w:val="0"/>
                <w:szCs w:val="21"/>
                <w:highlight w:val="none"/>
              </w:rPr>
            </w:pPr>
          </w:p>
        </w:tc>
      </w:tr>
      <w:tr w14:paraId="55A5F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305EA1FA">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68A221EC">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6A970C72">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418ED967">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2A580CBC">
            <w:pPr>
              <w:spacing w:line="360" w:lineRule="auto"/>
              <w:ind w:firstLine="420"/>
              <w:rPr>
                <w:rFonts w:ascii="宋体" w:hAnsi="宋体" w:eastAsia="宋体" w:cs="宋体"/>
                <w:snapToGrid w:val="0"/>
                <w:color w:val="auto"/>
                <w:kern w:val="0"/>
                <w:szCs w:val="21"/>
                <w:highlight w:val="none"/>
              </w:rPr>
            </w:pPr>
          </w:p>
        </w:tc>
      </w:tr>
      <w:tr w14:paraId="7FA99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7C3408D1">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1A5321AB">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78EC3F8D">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79858ED7">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022FB674">
            <w:pPr>
              <w:spacing w:line="360" w:lineRule="auto"/>
              <w:ind w:firstLine="420"/>
              <w:rPr>
                <w:rFonts w:ascii="宋体" w:hAnsi="宋体" w:eastAsia="宋体" w:cs="宋体"/>
                <w:snapToGrid w:val="0"/>
                <w:color w:val="auto"/>
                <w:kern w:val="0"/>
                <w:szCs w:val="21"/>
                <w:highlight w:val="none"/>
              </w:rPr>
            </w:pPr>
          </w:p>
        </w:tc>
      </w:tr>
      <w:tr w14:paraId="42688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3C10F4D8">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59ED6A57">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3B74477B">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79DB5503">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3FB38E4E">
            <w:pPr>
              <w:spacing w:line="360" w:lineRule="auto"/>
              <w:ind w:firstLine="420"/>
              <w:rPr>
                <w:rFonts w:ascii="宋体" w:hAnsi="宋体" w:eastAsia="宋体" w:cs="宋体"/>
                <w:snapToGrid w:val="0"/>
                <w:color w:val="auto"/>
                <w:kern w:val="0"/>
                <w:szCs w:val="21"/>
                <w:highlight w:val="none"/>
              </w:rPr>
            </w:pPr>
          </w:p>
        </w:tc>
      </w:tr>
      <w:tr w14:paraId="39ACF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377B4BB5">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4BA8070C">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06F52054">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7E5004DF">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0DFFF7AD">
            <w:pPr>
              <w:spacing w:line="360" w:lineRule="auto"/>
              <w:ind w:firstLine="420"/>
              <w:rPr>
                <w:rFonts w:ascii="宋体" w:hAnsi="宋体" w:eastAsia="宋体" w:cs="宋体"/>
                <w:snapToGrid w:val="0"/>
                <w:color w:val="auto"/>
                <w:kern w:val="0"/>
                <w:szCs w:val="21"/>
                <w:highlight w:val="none"/>
              </w:rPr>
            </w:pPr>
          </w:p>
        </w:tc>
      </w:tr>
      <w:tr w14:paraId="73F50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77E3BD34">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66EC0EE7">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2DB5CCDC">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30B4D32B">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45CEBE21">
            <w:pPr>
              <w:spacing w:line="360" w:lineRule="auto"/>
              <w:ind w:firstLine="420"/>
              <w:rPr>
                <w:rFonts w:ascii="宋体" w:hAnsi="宋体" w:eastAsia="宋体" w:cs="宋体"/>
                <w:snapToGrid w:val="0"/>
                <w:color w:val="auto"/>
                <w:kern w:val="0"/>
                <w:szCs w:val="21"/>
                <w:highlight w:val="none"/>
              </w:rPr>
            </w:pPr>
          </w:p>
        </w:tc>
      </w:tr>
      <w:tr w14:paraId="787E1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3" w:type="dxa"/>
            <w:vAlign w:val="center"/>
          </w:tcPr>
          <w:p w14:paraId="2F85D326">
            <w:pPr>
              <w:spacing w:line="360" w:lineRule="auto"/>
              <w:ind w:firstLine="420"/>
              <w:rPr>
                <w:rFonts w:ascii="宋体" w:hAnsi="宋体" w:eastAsia="宋体" w:cs="宋体"/>
                <w:snapToGrid w:val="0"/>
                <w:color w:val="auto"/>
                <w:kern w:val="0"/>
                <w:szCs w:val="21"/>
                <w:highlight w:val="none"/>
              </w:rPr>
            </w:pPr>
          </w:p>
        </w:tc>
        <w:tc>
          <w:tcPr>
            <w:tcW w:w="1142" w:type="dxa"/>
            <w:vAlign w:val="center"/>
          </w:tcPr>
          <w:p w14:paraId="03F68612">
            <w:pPr>
              <w:spacing w:line="360" w:lineRule="auto"/>
              <w:ind w:firstLine="420"/>
              <w:rPr>
                <w:rFonts w:ascii="宋体" w:hAnsi="宋体" w:eastAsia="宋体" w:cs="宋体"/>
                <w:snapToGrid w:val="0"/>
                <w:color w:val="auto"/>
                <w:kern w:val="0"/>
                <w:szCs w:val="21"/>
                <w:highlight w:val="none"/>
              </w:rPr>
            </w:pPr>
          </w:p>
        </w:tc>
        <w:tc>
          <w:tcPr>
            <w:tcW w:w="1522" w:type="dxa"/>
            <w:vAlign w:val="center"/>
          </w:tcPr>
          <w:p w14:paraId="7AEB463B">
            <w:pPr>
              <w:spacing w:line="360" w:lineRule="auto"/>
              <w:ind w:firstLine="420"/>
              <w:rPr>
                <w:rFonts w:ascii="宋体" w:hAnsi="宋体" w:eastAsia="宋体" w:cs="宋体"/>
                <w:snapToGrid w:val="0"/>
                <w:color w:val="auto"/>
                <w:kern w:val="0"/>
                <w:szCs w:val="21"/>
                <w:highlight w:val="none"/>
              </w:rPr>
            </w:pPr>
          </w:p>
        </w:tc>
        <w:tc>
          <w:tcPr>
            <w:tcW w:w="1332" w:type="dxa"/>
            <w:vAlign w:val="center"/>
          </w:tcPr>
          <w:p w14:paraId="15AF0F36">
            <w:pPr>
              <w:spacing w:line="360" w:lineRule="auto"/>
              <w:ind w:firstLine="420"/>
              <w:rPr>
                <w:rFonts w:ascii="宋体" w:hAnsi="宋体" w:eastAsia="宋体" w:cs="宋体"/>
                <w:snapToGrid w:val="0"/>
                <w:color w:val="auto"/>
                <w:kern w:val="0"/>
                <w:szCs w:val="21"/>
                <w:highlight w:val="none"/>
              </w:rPr>
            </w:pPr>
          </w:p>
        </w:tc>
        <w:tc>
          <w:tcPr>
            <w:tcW w:w="3996" w:type="dxa"/>
            <w:vAlign w:val="center"/>
          </w:tcPr>
          <w:p w14:paraId="0E3F94FE">
            <w:pPr>
              <w:spacing w:line="360" w:lineRule="auto"/>
              <w:ind w:firstLine="420"/>
              <w:rPr>
                <w:rFonts w:ascii="宋体" w:hAnsi="宋体" w:eastAsia="宋体" w:cs="宋体"/>
                <w:snapToGrid w:val="0"/>
                <w:color w:val="auto"/>
                <w:kern w:val="0"/>
                <w:szCs w:val="21"/>
                <w:highlight w:val="none"/>
              </w:rPr>
            </w:pPr>
          </w:p>
        </w:tc>
      </w:tr>
    </w:tbl>
    <w:p w14:paraId="26826EB3">
      <w:pPr>
        <w:spacing w:line="360" w:lineRule="auto"/>
        <w:jc w:val="left"/>
        <w:rPr>
          <w:rFonts w:ascii="宋体" w:hAnsi="宋体" w:eastAsia="宋体" w:cs="宋体"/>
          <w:snapToGrid w:val="0"/>
          <w:color w:val="auto"/>
          <w:kern w:val="0"/>
          <w:szCs w:val="21"/>
          <w:highlight w:val="none"/>
        </w:rPr>
      </w:pPr>
    </w:p>
    <w:p w14:paraId="2A25EF5B">
      <w:pPr>
        <w:spacing w:line="360" w:lineRule="auto"/>
        <w:ind w:firstLine="420"/>
        <w:jc w:val="left"/>
        <w:rPr>
          <w:rFonts w:ascii="楷体_GB2312" w:hAnsi="楷体_GB2312" w:eastAsia="楷体_GB2312" w:cs="楷体_GB2312"/>
          <w:snapToGrid w:val="0"/>
          <w:color w:val="auto"/>
          <w:kern w:val="0"/>
          <w:szCs w:val="21"/>
          <w:highlight w:val="none"/>
        </w:rPr>
      </w:pPr>
      <w:r>
        <w:rPr>
          <w:rFonts w:hint="eastAsia" w:ascii="楷体_GB2312" w:hAnsi="楷体_GB2312" w:eastAsia="楷体_GB2312" w:cs="楷体_GB2312"/>
          <w:snapToGrid w:val="0"/>
          <w:color w:val="auto"/>
          <w:kern w:val="0"/>
          <w:szCs w:val="21"/>
          <w:highlight w:val="none"/>
        </w:rPr>
        <w:t>提示：项目参与人员主要指：项目负责人，项目技术负责人，项目主要技术人员等。</w:t>
      </w:r>
    </w:p>
    <w:p w14:paraId="5DE0ADB9">
      <w:pPr>
        <w:spacing w:line="360" w:lineRule="auto"/>
        <w:jc w:val="center"/>
        <w:rPr>
          <w:rFonts w:ascii="黑体" w:hAnsi="宋体" w:eastAsia="黑体"/>
          <w:b/>
          <w:snapToGrid w:val="0"/>
          <w:color w:val="auto"/>
          <w:kern w:val="0"/>
          <w:sz w:val="30"/>
          <w:szCs w:val="30"/>
          <w:highlight w:val="none"/>
        </w:rPr>
      </w:pPr>
      <w:r>
        <w:rPr>
          <w:snapToGrid w:val="0"/>
          <w:color w:val="auto"/>
          <w:kern w:val="0"/>
          <w:highlight w:val="none"/>
        </w:rPr>
        <w:br w:type="page"/>
      </w:r>
      <w:r>
        <w:rPr>
          <w:rFonts w:hint="eastAsia" w:ascii="宋体" w:hAnsi="宋体" w:eastAsia="宋体" w:cs="宋体"/>
          <w:b/>
          <w:snapToGrid w:val="0"/>
          <w:color w:val="auto"/>
          <w:kern w:val="0"/>
          <w:sz w:val="30"/>
          <w:szCs w:val="30"/>
          <w:highlight w:val="none"/>
        </w:rPr>
        <w:t>拟派项目组人员的相关业绩表</w:t>
      </w:r>
    </w:p>
    <w:p w14:paraId="05CC43FD">
      <w:pPr>
        <w:tabs>
          <w:tab w:val="left" w:pos="1050"/>
        </w:tabs>
        <w:spacing w:before="120" w:beforeLines="50" w:after="120" w:afterLines="50"/>
        <w:ind w:right="57" w:firstLine="420"/>
        <w:rPr>
          <w:rFonts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kern w:val="0"/>
          <w:szCs w:val="21"/>
          <w:highlight w:val="none"/>
          <w:u w:val="single"/>
        </w:rPr>
        <w:t xml:space="preserve">                    </w:t>
      </w:r>
    </w:p>
    <w:tbl>
      <w:tblPr>
        <w:tblStyle w:val="78"/>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2011"/>
        <w:gridCol w:w="1007"/>
        <w:gridCol w:w="1007"/>
        <w:gridCol w:w="1406"/>
        <w:gridCol w:w="1406"/>
        <w:gridCol w:w="955"/>
      </w:tblGrid>
      <w:tr w14:paraId="0223A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1B2261EE">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建设单位</w:t>
            </w:r>
          </w:p>
        </w:tc>
        <w:tc>
          <w:tcPr>
            <w:tcW w:w="2011" w:type="dxa"/>
            <w:vAlign w:val="center"/>
          </w:tcPr>
          <w:p w14:paraId="09668779">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项目名称</w:t>
            </w:r>
          </w:p>
        </w:tc>
        <w:tc>
          <w:tcPr>
            <w:tcW w:w="1007" w:type="dxa"/>
            <w:vAlign w:val="center"/>
          </w:tcPr>
          <w:p w14:paraId="03CCFD48">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w:t>
            </w:r>
          </w:p>
          <w:p w14:paraId="4EB71324">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地点</w:t>
            </w:r>
          </w:p>
        </w:tc>
        <w:tc>
          <w:tcPr>
            <w:tcW w:w="1007" w:type="dxa"/>
            <w:vAlign w:val="center"/>
          </w:tcPr>
          <w:p w14:paraId="3270487D">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建设</w:t>
            </w:r>
          </w:p>
          <w:p w14:paraId="4E5BAEC8">
            <w:pPr>
              <w:spacing w:line="360" w:lineRule="auto"/>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规模</w:t>
            </w:r>
          </w:p>
        </w:tc>
        <w:tc>
          <w:tcPr>
            <w:tcW w:w="1406" w:type="dxa"/>
            <w:vAlign w:val="center"/>
          </w:tcPr>
          <w:p w14:paraId="060AD5A8">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开竣工日期</w:t>
            </w:r>
          </w:p>
        </w:tc>
        <w:tc>
          <w:tcPr>
            <w:tcW w:w="1406" w:type="dxa"/>
            <w:vAlign w:val="center"/>
          </w:tcPr>
          <w:p w14:paraId="3E42F4D3">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合同价格</w:t>
            </w:r>
          </w:p>
          <w:p w14:paraId="1FC73FB3">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（万元）</w:t>
            </w:r>
          </w:p>
        </w:tc>
        <w:tc>
          <w:tcPr>
            <w:tcW w:w="955" w:type="dxa"/>
            <w:vAlign w:val="center"/>
          </w:tcPr>
          <w:p w14:paraId="07EFD4E4">
            <w:pPr>
              <w:spacing w:line="360" w:lineRule="auto"/>
              <w:jc w:val="center"/>
              <w:rPr>
                <w:rFonts w:ascii="宋体" w:hAnsi="宋体" w:eastAsia="宋体" w:cs="宋体"/>
                <w:b/>
                <w:snapToGrid w:val="0"/>
                <w:color w:val="auto"/>
                <w:kern w:val="0"/>
                <w:szCs w:val="21"/>
                <w:highlight w:val="none"/>
              </w:rPr>
            </w:pPr>
            <w:r>
              <w:rPr>
                <w:rFonts w:hint="eastAsia" w:ascii="宋体" w:hAnsi="宋体" w:eastAsia="宋体" w:cs="宋体"/>
                <w:b/>
                <w:snapToGrid w:val="0"/>
                <w:color w:val="auto"/>
                <w:kern w:val="0"/>
                <w:szCs w:val="21"/>
                <w:highlight w:val="none"/>
              </w:rPr>
              <w:t>备注</w:t>
            </w:r>
          </w:p>
        </w:tc>
      </w:tr>
      <w:tr w14:paraId="2F717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4BFA32E1">
            <w:pPr>
              <w:spacing w:line="360" w:lineRule="auto"/>
              <w:rPr>
                <w:rFonts w:ascii="宋体" w:hAnsi="宋体" w:eastAsia="宋体" w:cs="宋体"/>
                <w:snapToGrid w:val="0"/>
                <w:color w:val="auto"/>
                <w:kern w:val="0"/>
                <w:szCs w:val="21"/>
                <w:highlight w:val="none"/>
              </w:rPr>
            </w:pPr>
          </w:p>
        </w:tc>
        <w:tc>
          <w:tcPr>
            <w:tcW w:w="2011" w:type="dxa"/>
            <w:vAlign w:val="center"/>
          </w:tcPr>
          <w:p w14:paraId="3EB7BEE7">
            <w:pPr>
              <w:spacing w:line="360" w:lineRule="auto"/>
              <w:rPr>
                <w:rFonts w:ascii="宋体" w:hAnsi="宋体" w:eastAsia="宋体" w:cs="宋体"/>
                <w:snapToGrid w:val="0"/>
                <w:color w:val="auto"/>
                <w:kern w:val="0"/>
                <w:szCs w:val="21"/>
                <w:highlight w:val="none"/>
              </w:rPr>
            </w:pPr>
          </w:p>
        </w:tc>
        <w:tc>
          <w:tcPr>
            <w:tcW w:w="1007" w:type="dxa"/>
            <w:vAlign w:val="center"/>
          </w:tcPr>
          <w:p w14:paraId="3D2C090A">
            <w:pPr>
              <w:spacing w:line="360" w:lineRule="auto"/>
              <w:rPr>
                <w:rFonts w:ascii="宋体" w:hAnsi="宋体" w:eastAsia="宋体" w:cs="宋体"/>
                <w:snapToGrid w:val="0"/>
                <w:color w:val="auto"/>
                <w:kern w:val="0"/>
                <w:szCs w:val="21"/>
                <w:highlight w:val="none"/>
              </w:rPr>
            </w:pPr>
          </w:p>
        </w:tc>
        <w:tc>
          <w:tcPr>
            <w:tcW w:w="1007" w:type="dxa"/>
            <w:vAlign w:val="center"/>
          </w:tcPr>
          <w:p w14:paraId="0439EFFB">
            <w:pPr>
              <w:spacing w:line="360" w:lineRule="auto"/>
              <w:rPr>
                <w:rFonts w:ascii="宋体" w:hAnsi="宋体" w:eastAsia="宋体" w:cs="宋体"/>
                <w:snapToGrid w:val="0"/>
                <w:color w:val="auto"/>
                <w:kern w:val="0"/>
                <w:szCs w:val="21"/>
                <w:highlight w:val="none"/>
              </w:rPr>
            </w:pPr>
          </w:p>
        </w:tc>
        <w:tc>
          <w:tcPr>
            <w:tcW w:w="1406" w:type="dxa"/>
            <w:vAlign w:val="center"/>
          </w:tcPr>
          <w:p w14:paraId="074C785B">
            <w:pPr>
              <w:spacing w:line="360" w:lineRule="auto"/>
              <w:rPr>
                <w:rFonts w:ascii="宋体" w:hAnsi="宋体" w:eastAsia="宋体" w:cs="宋体"/>
                <w:snapToGrid w:val="0"/>
                <w:color w:val="auto"/>
                <w:kern w:val="0"/>
                <w:szCs w:val="21"/>
                <w:highlight w:val="none"/>
              </w:rPr>
            </w:pPr>
          </w:p>
        </w:tc>
        <w:tc>
          <w:tcPr>
            <w:tcW w:w="1406" w:type="dxa"/>
            <w:vAlign w:val="center"/>
          </w:tcPr>
          <w:p w14:paraId="7EA9B004">
            <w:pPr>
              <w:spacing w:line="360" w:lineRule="auto"/>
              <w:rPr>
                <w:rFonts w:ascii="宋体" w:hAnsi="宋体" w:eastAsia="宋体" w:cs="宋体"/>
                <w:snapToGrid w:val="0"/>
                <w:color w:val="auto"/>
                <w:kern w:val="0"/>
                <w:szCs w:val="21"/>
                <w:highlight w:val="none"/>
              </w:rPr>
            </w:pPr>
          </w:p>
        </w:tc>
        <w:tc>
          <w:tcPr>
            <w:tcW w:w="955" w:type="dxa"/>
            <w:vAlign w:val="center"/>
          </w:tcPr>
          <w:p w14:paraId="639D4516">
            <w:pPr>
              <w:spacing w:line="360" w:lineRule="auto"/>
              <w:rPr>
                <w:rFonts w:ascii="宋体" w:hAnsi="宋体" w:eastAsia="宋体" w:cs="宋体"/>
                <w:snapToGrid w:val="0"/>
                <w:color w:val="auto"/>
                <w:kern w:val="0"/>
                <w:szCs w:val="21"/>
                <w:highlight w:val="none"/>
              </w:rPr>
            </w:pPr>
          </w:p>
        </w:tc>
      </w:tr>
      <w:tr w14:paraId="25230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74351E74">
            <w:pPr>
              <w:spacing w:line="360" w:lineRule="auto"/>
              <w:rPr>
                <w:rFonts w:ascii="宋体" w:hAnsi="宋体" w:eastAsia="宋体" w:cs="宋体"/>
                <w:snapToGrid w:val="0"/>
                <w:color w:val="auto"/>
                <w:kern w:val="0"/>
                <w:szCs w:val="21"/>
                <w:highlight w:val="none"/>
              </w:rPr>
            </w:pPr>
          </w:p>
        </w:tc>
        <w:tc>
          <w:tcPr>
            <w:tcW w:w="2011" w:type="dxa"/>
            <w:vAlign w:val="center"/>
          </w:tcPr>
          <w:p w14:paraId="3FEEE6F3">
            <w:pPr>
              <w:spacing w:line="360" w:lineRule="auto"/>
              <w:rPr>
                <w:rFonts w:ascii="宋体" w:hAnsi="宋体" w:eastAsia="宋体" w:cs="宋体"/>
                <w:snapToGrid w:val="0"/>
                <w:color w:val="auto"/>
                <w:kern w:val="0"/>
                <w:szCs w:val="21"/>
                <w:highlight w:val="none"/>
              </w:rPr>
            </w:pPr>
          </w:p>
        </w:tc>
        <w:tc>
          <w:tcPr>
            <w:tcW w:w="1007" w:type="dxa"/>
            <w:vAlign w:val="center"/>
          </w:tcPr>
          <w:p w14:paraId="35E44271">
            <w:pPr>
              <w:spacing w:line="360" w:lineRule="auto"/>
              <w:rPr>
                <w:rFonts w:ascii="宋体" w:hAnsi="宋体" w:eastAsia="宋体" w:cs="宋体"/>
                <w:snapToGrid w:val="0"/>
                <w:color w:val="auto"/>
                <w:kern w:val="0"/>
                <w:szCs w:val="21"/>
                <w:highlight w:val="none"/>
              </w:rPr>
            </w:pPr>
          </w:p>
        </w:tc>
        <w:tc>
          <w:tcPr>
            <w:tcW w:w="1007" w:type="dxa"/>
            <w:vAlign w:val="center"/>
          </w:tcPr>
          <w:p w14:paraId="03DC48D6">
            <w:pPr>
              <w:spacing w:line="360" w:lineRule="auto"/>
              <w:rPr>
                <w:rFonts w:ascii="宋体" w:hAnsi="宋体" w:eastAsia="宋体" w:cs="宋体"/>
                <w:snapToGrid w:val="0"/>
                <w:color w:val="auto"/>
                <w:kern w:val="0"/>
                <w:szCs w:val="21"/>
                <w:highlight w:val="none"/>
              </w:rPr>
            </w:pPr>
          </w:p>
        </w:tc>
        <w:tc>
          <w:tcPr>
            <w:tcW w:w="1406" w:type="dxa"/>
            <w:vAlign w:val="center"/>
          </w:tcPr>
          <w:p w14:paraId="7ADD4ADA">
            <w:pPr>
              <w:spacing w:line="360" w:lineRule="auto"/>
              <w:rPr>
                <w:rFonts w:ascii="宋体" w:hAnsi="宋体" w:eastAsia="宋体" w:cs="宋体"/>
                <w:snapToGrid w:val="0"/>
                <w:color w:val="auto"/>
                <w:kern w:val="0"/>
                <w:szCs w:val="21"/>
                <w:highlight w:val="none"/>
              </w:rPr>
            </w:pPr>
          </w:p>
        </w:tc>
        <w:tc>
          <w:tcPr>
            <w:tcW w:w="1406" w:type="dxa"/>
            <w:vAlign w:val="center"/>
          </w:tcPr>
          <w:p w14:paraId="4FC31A37">
            <w:pPr>
              <w:spacing w:line="360" w:lineRule="auto"/>
              <w:rPr>
                <w:rFonts w:ascii="宋体" w:hAnsi="宋体" w:eastAsia="宋体" w:cs="宋体"/>
                <w:snapToGrid w:val="0"/>
                <w:color w:val="auto"/>
                <w:kern w:val="0"/>
                <w:szCs w:val="21"/>
                <w:highlight w:val="none"/>
              </w:rPr>
            </w:pPr>
          </w:p>
        </w:tc>
        <w:tc>
          <w:tcPr>
            <w:tcW w:w="955" w:type="dxa"/>
            <w:vAlign w:val="center"/>
          </w:tcPr>
          <w:p w14:paraId="176E82E7">
            <w:pPr>
              <w:spacing w:line="360" w:lineRule="auto"/>
              <w:rPr>
                <w:rFonts w:ascii="宋体" w:hAnsi="宋体" w:eastAsia="宋体" w:cs="宋体"/>
                <w:snapToGrid w:val="0"/>
                <w:color w:val="auto"/>
                <w:kern w:val="0"/>
                <w:szCs w:val="21"/>
                <w:highlight w:val="none"/>
              </w:rPr>
            </w:pPr>
          </w:p>
        </w:tc>
      </w:tr>
      <w:tr w14:paraId="75565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530C6B90">
            <w:pPr>
              <w:spacing w:line="360" w:lineRule="auto"/>
              <w:rPr>
                <w:rFonts w:ascii="宋体" w:hAnsi="宋体" w:eastAsia="宋体" w:cs="宋体"/>
                <w:snapToGrid w:val="0"/>
                <w:color w:val="auto"/>
                <w:kern w:val="0"/>
                <w:szCs w:val="21"/>
                <w:highlight w:val="none"/>
              </w:rPr>
            </w:pPr>
          </w:p>
        </w:tc>
        <w:tc>
          <w:tcPr>
            <w:tcW w:w="2011" w:type="dxa"/>
            <w:vAlign w:val="center"/>
          </w:tcPr>
          <w:p w14:paraId="51AB63BA">
            <w:pPr>
              <w:spacing w:line="360" w:lineRule="auto"/>
              <w:rPr>
                <w:rFonts w:ascii="宋体" w:hAnsi="宋体" w:eastAsia="宋体" w:cs="宋体"/>
                <w:snapToGrid w:val="0"/>
                <w:color w:val="auto"/>
                <w:kern w:val="0"/>
                <w:szCs w:val="21"/>
                <w:highlight w:val="none"/>
              </w:rPr>
            </w:pPr>
          </w:p>
        </w:tc>
        <w:tc>
          <w:tcPr>
            <w:tcW w:w="1007" w:type="dxa"/>
            <w:vAlign w:val="center"/>
          </w:tcPr>
          <w:p w14:paraId="244625B8">
            <w:pPr>
              <w:spacing w:line="360" w:lineRule="auto"/>
              <w:rPr>
                <w:rFonts w:ascii="宋体" w:hAnsi="宋体" w:eastAsia="宋体" w:cs="宋体"/>
                <w:snapToGrid w:val="0"/>
                <w:color w:val="auto"/>
                <w:kern w:val="0"/>
                <w:szCs w:val="21"/>
                <w:highlight w:val="none"/>
              </w:rPr>
            </w:pPr>
          </w:p>
        </w:tc>
        <w:tc>
          <w:tcPr>
            <w:tcW w:w="1007" w:type="dxa"/>
            <w:vAlign w:val="center"/>
          </w:tcPr>
          <w:p w14:paraId="22E5D1AE">
            <w:pPr>
              <w:spacing w:line="360" w:lineRule="auto"/>
              <w:rPr>
                <w:rFonts w:ascii="宋体" w:hAnsi="宋体" w:eastAsia="宋体" w:cs="宋体"/>
                <w:snapToGrid w:val="0"/>
                <w:color w:val="auto"/>
                <w:kern w:val="0"/>
                <w:szCs w:val="21"/>
                <w:highlight w:val="none"/>
              </w:rPr>
            </w:pPr>
          </w:p>
        </w:tc>
        <w:tc>
          <w:tcPr>
            <w:tcW w:w="1406" w:type="dxa"/>
            <w:vAlign w:val="center"/>
          </w:tcPr>
          <w:p w14:paraId="052AC1A2">
            <w:pPr>
              <w:spacing w:line="360" w:lineRule="auto"/>
              <w:rPr>
                <w:rFonts w:ascii="宋体" w:hAnsi="宋体" w:eastAsia="宋体" w:cs="宋体"/>
                <w:snapToGrid w:val="0"/>
                <w:color w:val="auto"/>
                <w:kern w:val="0"/>
                <w:szCs w:val="21"/>
                <w:highlight w:val="none"/>
              </w:rPr>
            </w:pPr>
          </w:p>
        </w:tc>
        <w:tc>
          <w:tcPr>
            <w:tcW w:w="1406" w:type="dxa"/>
            <w:vAlign w:val="center"/>
          </w:tcPr>
          <w:p w14:paraId="57D87BC0">
            <w:pPr>
              <w:spacing w:line="360" w:lineRule="auto"/>
              <w:rPr>
                <w:rFonts w:ascii="宋体" w:hAnsi="宋体" w:eastAsia="宋体" w:cs="宋体"/>
                <w:snapToGrid w:val="0"/>
                <w:color w:val="auto"/>
                <w:kern w:val="0"/>
                <w:szCs w:val="21"/>
                <w:highlight w:val="none"/>
              </w:rPr>
            </w:pPr>
          </w:p>
        </w:tc>
        <w:tc>
          <w:tcPr>
            <w:tcW w:w="955" w:type="dxa"/>
            <w:vAlign w:val="center"/>
          </w:tcPr>
          <w:p w14:paraId="5492B81E">
            <w:pPr>
              <w:spacing w:line="360" w:lineRule="auto"/>
              <w:rPr>
                <w:rFonts w:ascii="宋体" w:hAnsi="宋体" w:eastAsia="宋体" w:cs="宋体"/>
                <w:snapToGrid w:val="0"/>
                <w:color w:val="auto"/>
                <w:kern w:val="0"/>
                <w:szCs w:val="21"/>
                <w:highlight w:val="none"/>
              </w:rPr>
            </w:pPr>
          </w:p>
        </w:tc>
      </w:tr>
      <w:tr w14:paraId="2155A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4FA58472">
            <w:pPr>
              <w:spacing w:line="360" w:lineRule="auto"/>
              <w:rPr>
                <w:rFonts w:ascii="宋体" w:hAnsi="宋体" w:eastAsia="宋体" w:cs="宋体"/>
                <w:snapToGrid w:val="0"/>
                <w:color w:val="auto"/>
                <w:kern w:val="0"/>
                <w:szCs w:val="21"/>
                <w:highlight w:val="none"/>
              </w:rPr>
            </w:pPr>
          </w:p>
        </w:tc>
        <w:tc>
          <w:tcPr>
            <w:tcW w:w="2011" w:type="dxa"/>
            <w:vAlign w:val="center"/>
          </w:tcPr>
          <w:p w14:paraId="14027D7C">
            <w:pPr>
              <w:spacing w:line="360" w:lineRule="auto"/>
              <w:rPr>
                <w:rFonts w:ascii="宋体" w:hAnsi="宋体" w:eastAsia="宋体" w:cs="宋体"/>
                <w:snapToGrid w:val="0"/>
                <w:color w:val="auto"/>
                <w:kern w:val="0"/>
                <w:szCs w:val="21"/>
                <w:highlight w:val="none"/>
              </w:rPr>
            </w:pPr>
          </w:p>
        </w:tc>
        <w:tc>
          <w:tcPr>
            <w:tcW w:w="1007" w:type="dxa"/>
            <w:vAlign w:val="center"/>
          </w:tcPr>
          <w:p w14:paraId="0842C6AB">
            <w:pPr>
              <w:spacing w:line="360" w:lineRule="auto"/>
              <w:rPr>
                <w:rFonts w:ascii="宋体" w:hAnsi="宋体" w:eastAsia="宋体" w:cs="宋体"/>
                <w:snapToGrid w:val="0"/>
                <w:color w:val="auto"/>
                <w:kern w:val="0"/>
                <w:szCs w:val="21"/>
                <w:highlight w:val="none"/>
              </w:rPr>
            </w:pPr>
          </w:p>
        </w:tc>
        <w:tc>
          <w:tcPr>
            <w:tcW w:w="1007" w:type="dxa"/>
            <w:vAlign w:val="center"/>
          </w:tcPr>
          <w:p w14:paraId="1BE63B23">
            <w:pPr>
              <w:spacing w:line="360" w:lineRule="auto"/>
              <w:rPr>
                <w:rFonts w:ascii="宋体" w:hAnsi="宋体" w:eastAsia="宋体" w:cs="宋体"/>
                <w:snapToGrid w:val="0"/>
                <w:color w:val="auto"/>
                <w:kern w:val="0"/>
                <w:szCs w:val="21"/>
                <w:highlight w:val="none"/>
              </w:rPr>
            </w:pPr>
          </w:p>
        </w:tc>
        <w:tc>
          <w:tcPr>
            <w:tcW w:w="1406" w:type="dxa"/>
            <w:vAlign w:val="center"/>
          </w:tcPr>
          <w:p w14:paraId="6371F7FD">
            <w:pPr>
              <w:spacing w:line="360" w:lineRule="auto"/>
              <w:rPr>
                <w:rFonts w:ascii="宋体" w:hAnsi="宋体" w:eastAsia="宋体" w:cs="宋体"/>
                <w:snapToGrid w:val="0"/>
                <w:color w:val="auto"/>
                <w:kern w:val="0"/>
                <w:szCs w:val="21"/>
                <w:highlight w:val="none"/>
              </w:rPr>
            </w:pPr>
          </w:p>
        </w:tc>
        <w:tc>
          <w:tcPr>
            <w:tcW w:w="1406" w:type="dxa"/>
            <w:vAlign w:val="center"/>
          </w:tcPr>
          <w:p w14:paraId="3CECC7E9">
            <w:pPr>
              <w:spacing w:line="360" w:lineRule="auto"/>
              <w:rPr>
                <w:rFonts w:ascii="宋体" w:hAnsi="宋体" w:eastAsia="宋体" w:cs="宋体"/>
                <w:snapToGrid w:val="0"/>
                <w:color w:val="auto"/>
                <w:kern w:val="0"/>
                <w:szCs w:val="21"/>
                <w:highlight w:val="none"/>
              </w:rPr>
            </w:pPr>
          </w:p>
        </w:tc>
        <w:tc>
          <w:tcPr>
            <w:tcW w:w="955" w:type="dxa"/>
            <w:vAlign w:val="center"/>
          </w:tcPr>
          <w:p w14:paraId="55FB0320">
            <w:pPr>
              <w:spacing w:line="360" w:lineRule="auto"/>
              <w:rPr>
                <w:rFonts w:ascii="宋体" w:hAnsi="宋体" w:eastAsia="宋体" w:cs="宋体"/>
                <w:snapToGrid w:val="0"/>
                <w:color w:val="auto"/>
                <w:kern w:val="0"/>
                <w:szCs w:val="21"/>
                <w:highlight w:val="none"/>
              </w:rPr>
            </w:pPr>
          </w:p>
        </w:tc>
      </w:tr>
      <w:tr w14:paraId="1EC35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354AA055">
            <w:pPr>
              <w:spacing w:line="360" w:lineRule="auto"/>
              <w:rPr>
                <w:rFonts w:ascii="宋体" w:hAnsi="宋体" w:eastAsia="宋体" w:cs="宋体"/>
                <w:snapToGrid w:val="0"/>
                <w:color w:val="auto"/>
                <w:kern w:val="0"/>
                <w:szCs w:val="21"/>
                <w:highlight w:val="none"/>
              </w:rPr>
            </w:pPr>
          </w:p>
        </w:tc>
        <w:tc>
          <w:tcPr>
            <w:tcW w:w="2011" w:type="dxa"/>
            <w:vAlign w:val="center"/>
          </w:tcPr>
          <w:p w14:paraId="115361FF">
            <w:pPr>
              <w:spacing w:line="360" w:lineRule="auto"/>
              <w:rPr>
                <w:rFonts w:ascii="宋体" w:hAnsi="宋体" w:eastAsia="宋体" w:cs="宋体"/>
                <w:snapToGrid w:val="0"/>
                <w:color w:val="auto"/>
                <w:kern w:val="0"/>
                <w:szCs w:val="21"/>
                <w:highlight w:val="none"/>
              </w:rPr>
            </w:pPr>
          </w:p>
        </w:tc>
        <w:tc>
          <w:tcPr>
            <w:tcW w:w="1007" w:type="dxa"/>
            <w:vAlign w:val="center"/>
          </w:tcPr>
          <w:p w14:paraId="69ACAAC8">
            <w:pPr>
              <w:spacing w:line="360" w:lineRule="auto"/>
              <w:rPr>
                <w:rFonts w:ascii="宋体" w:hAnsi="宋体" w:eastAsia="宋体" w:cs="宋体"/>
                <w:snapToGrid w:val="0"/>
                <w:color w:val="auto"/>
                <w:kern w:val="0"/>
                <w:szCs w:val="21"/>
                <w:highlight w:val="none"/>
              </w:rPr>
            </w:pPr>
          </w:p>
        </w:tc>
        <w:tc>
          <w:tcPr>
            <w:tcW w:w="1007" w:type="dxa"/>
            <w:vAlign w:val="center"/>
          </w:tcPr>
          <w:p w14:paraId="063D525B">
            <w:pPr>
              <w:spacing w:line="360" w:lineRule="auto"/>
              <w:rPr>
                <w:rFonts w:ascii="宋体" w:hAnsi="宋体" w:eastAsia="宋体" w:cs="宋体"/>
                <w:snapToGrid w:val="0"/>
                <w:color w:val="auto"/>
                <w:kern w:val="0"/>
                <w:szCs w:val="21"/>
                <w:highlight w:val="none"/>
              </w:rPr>
            </w:pPr>
          </w:p>
        </w:tc>
        <w:tc>
          <w:tcPr>
            <w:tcW w:w="1406" w:type="dxa"/>
            <w:vAlign w:val="center"/>
          </w:tcPr>
          <w:p w14:paraId="5B722A0F">
            <w:pPr>
              <w:spacing w:line="360" w:lineRule="auto"/>
              <w:rPr>
                <w:rFonts w:ascii="宋体" w:hAnsi="宋体" w:eastAsia="宋体" w:cs="宋体"/>
                <w:snapToGrid w:val="0"/>
                <w:color w:val="auto"/>
                <w:kern w:val="0"/>
                <w:szCs w:val="21"/>
                <w:highlight w:val="none"/>
              </w:rPr>
            </w:pPr>
          </w:p>
        </w:tc>
        <w:tc>
          <w:tcPr>
            <w:tcW w:w="1406" w:type="dxa"/>
            <w:vAlign w:val="center"/>
          </w:tcPr>
          <w:p w14:paraId="1A04DA3C">
            <w:pPr>
              <w:spacing w:line="360" w:lineRule="auto"/>
              <w:rPr>
                <w:rFonts w:ascii="宋体" w:hAnsi="宋体" w:eastAsia="宋体" w:cs="宋体"/>
                <w:snapToGrid w:val="0"/>
                <w:color w:val="auto"/>
                <w:kern w:val="0"/>
                <w:szCs w:val="21"/>
                <w:highlight w:val="none"/>
              </w:rPr>
            </w:pPr>
          </w:p>
        </w:tc>
        <w:tc>
          <w:tcPr>
            <w:tcW w:w="955" w:type="dxa"/>
            <w:vAlign w:val="center"/>
          </w:tcPr>
          <w:p w14:paraId="324A591C">
            <w:pPr>
              <w:spacing w:line="360" w:lineRule="auto"/>
              <w:rPr>
                <w:rFonts w:ascii="宋体" w:hAnsi="宋体" w:eastAsia="宋体" w:cs="宋体"/>
                <w:snapToGrid w:val="0"/>
                <w:color w:val="auto"/>
                <w:kern w:val="0"/>
                <w:szCs w:val="21"/>
                <w:highlight w:val="none"/>
              </w:rPr>
            </w:pPr>
          </w:p>
        </w:tc>
      </w:tr>
      <w:tr w14:paraId="36757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06FE3ED2">
            <w:pPr>
              <w:spacing w:line="360" w:lineRule="auto"/>
              <w:rPr>
                <w:rFonts w:ascii="宋体" w:hAnsi="宋体" w:eastAsia="宋体" w:cs="宋体"/>
                <w:snapToGrid w:val="0"/>
                <w:color w:val="auto"/>
                <w:kern w:val="0"/>
                <w:szCs w:val="21"/>
                <w:highlight w:val="none"/>
              </w:rPr>
            </w:pPr>
          </w:p>
        </w:tc>
        <w:tc>
          <w:tcPr>
            <w:tcW w:w="2011" w:type="dxa"/>
            <w:vAlign w:val="center"/>
          </w:tcPr>
          <w:p w14:paraId="40D37487">
            <w:pPr>
              <w:spacing w:line="360" w:lineRule="auto"/>
              <w:rPr>
                <w:rFonts w:ascii="宋体" w:hAnsi="宋体" w:eastAsia="宋体" w:cs="宋体"/>
                <w:snapToGrid w:val="0"/>
                <w:color w:val="auto"/>
                <w:kern w:val="0"/>
                <w:szCs w:val="21"/>
                <w:highlight w:val="none"/>
              </w:rPr>
            </w:pPr>
          </w:p>
        </w:tc>
        <w:tc>
          <w:tcPr>
            <w:tcW w:w="1007" w:type="dxa"/>
            <w:vAlign w:val="center"/>
          </w:tcPr>
          <w:p w14:paraId="3E9D3008">
            <w:pPr>
              <w:spacing w:line="360" w:lineRule="auto"/>
              <w:rPr>
                <w:rFonts w:ascii="宋体" w:hAnsi="宋体" w:eastAsia="宋体" w:cs="宋体"/>
                <w:snapToGrid w:val="0"/>
                <w:color w:val="auto"/>
                <w:kern w:val="0"/>
                <w:szCs w:val="21"/>
                <w:highlight w:val="none"/>
              </w:rPr>
            </w:pPr>
          </w:p>
        </w:tc>
        <w:tc>
          <w:tcPr>
            <w:tcW w:w="1007" w:type="dxa"/>
            <w:vAlign w:val="center"/>
          </w:tcPr>
          <w:p w14:paraId="4220F313">
            <w:pPr>
              <w:spacing w:line="360" w:lineRule="auto"/>
              <w:rPr>
                <w:rFonts w:ascii="宋体" w:hAnsi="宋体" w:eastAsia="宋体" w:cs="宋体"/>
                <w:snapToGrid w:val="0"/>
                <w:color w:val="auto"/>
                <w:kern w:val="0"/>
                <w:szCs w:val="21"/>
                <w:highlight w:val="none"/>
              </w:rPr>
            </w:pPr>
          </w:p>
        </w:tc>
        <w:tc>
          <w:tcPr>
            <w:tcW w:w="1406" w:type="dxa"/>
            <w:vAlign w:val="center"/>
          </w:tcPr>
          <w:p w14:paraId="441A7203">
            <w:pPr>
              <w:spacing w:line="360" w:lineRule="auto"/>
              <w:rPr>
                <w:rFonts w:ascii="宋体" w:hAnsi="宋体" w:eastAsia="宋体" w:cs="宋体"/>
                <w:snapToGrid w:val="0"/>
                <w:color w:val="auto"/>
                <w:kern w:val="0"/>
                <w:szCs w:val="21"/>
                <w:highlight w:val="none"/>
              </w:rPr>
            </w:pPr>
          </w:p>
        </w:tc>
        <w:tc>
          <w:tcPr>
            <w:tcW w:w="1406" w:type="dxa"/>
            <w:vAlign w:val="center"/>
          </w:tcPr>
          <w:p w14:paraId="673240ED">
            <w:pPr>
              <w:spacing w:line="360" w:lineRule="auto"/>
              <w:rPr>
                <w:rFonts w:ascii="宋体" w:hAnsi="宋体" w:eastAsia="宋体" w:cs="宋体"/>
                <w:snapToGrid w:val="0"/>
                <w:color w:val="auto"/>
                <w:kern w:val="0"/>
                <w:szCs w:val="21"/>
                <w:highlight w:val="none"/>
              </w:rPr>
            </w:pPr>
          </w:p>
        </w:tc>
        <w:tc>
          <w:tcPr>
            <w:tcW w:w="955" w:type="dxa"/>
            <w:vAlign w:val="center"/>
          </w:tcPr>
          <w:p w14:paraId="431B89A0">
            <w:pPr>
              <w:spacing w:line="360" w:lineRule="auto"/>
              <w:rPr>
                <w:rFonts w:ascii="宋体" w:hAnsi="宋体" w:eastAsia="宋体" w:cs="宋体"/>
                <w:snapToGrid w:val="0"/>
                <w:color w:val="auto"/>
                <w:kern w:val="0"/>
                <w:szCs w:val="21"/>
                <w:highlight w:val="none"/>
              </w:rPr>
            </w:pPr>
          </w:p>
        </w:tc>
      </w:tr>
      <w:tr w14:paraId="76F8E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40220F8D">
            <w:pPr>
              <w:spacing w:line="360" w:lineRule="auto"/>
              <w:rPr>
                <w:rFonts w:ascii="宋体" w:hAnsi="宋体" w:eastAsia="宋体" w:cs="宋体"/>
                <w:snapToGrid w:val="0"/>
                <w:color w:val="auto"/>
                <w:kern w:val="0"/>
                <w:szCs w:val="21"/>
                <w:highlight w:val="none"/>
              </w:rPr>
            </w:pPr>
          </w:p>
        </w:tc>
        <w:tc>
          <w:tcPr>
            <w:tcW w:w="2011" w:type="dxa"/>
            <w:vAlign w:val="center"/>
          </w:tcPr>
          <w:p w14:paraId="4C1C2DA7">
            <w:pPr>
              <w:spacing w:line="360" w:lineRule="auto"/>
              <w:rPr>
                <w:rFonts w:ascii="宋体" w:hAnsi="宋体" w:eastAsia="宋体" w:cs="宋体"/>
                <w:snapToGrid w:val="0"/>
                <w:color w:val="auto"/>
                <w:kern w:val="0"/>
                <w:szCs w:val="21"/>
                <w:highlight w:val="none"/>
              </w:rPr>
            </w:pPr>
          </w:p>
        </w:tc>
        <w:tc>
          <w:tcPr>
            <w:tcW w:w="1007" w:type="dxa"/>
            <w:vAlign w:val="center"/>
          </w:tcPr>
          <w:p w14:paraId="3DA154B0">
            <w:pPr>
              <w:spacing w:line="360" w:lineRule="auto"/>
              <w:rPr>
                <w:rFonts w:ascii="宋体" w:hAnsi="宋体" w:eastAsia="宋体" w:cs="宋体"/>
                <w:snapToGrid w:val="0"/>
                <w:color w:val="auto"/>
                <w:kern w:val="0"/>
                <w:szCs w:val="21"/>
                <w:highlight w:val="none"/>
              </w:rPr>
            </w:pPr>
          </w:p>
        </w:tc>
        <w:tc>
          <w:tcPr>
            <w:tcW w:w="1007" w:type="dxa"/>
            <w:vAlign w:val="center"/>
          </w:tcPr>
          <w:p w14:paraId="78511D24">
            <w:pPr>
              <w:spacing w:line="360" w:lineRule="auto"/>
              <w:rPr>
                <w:rFonts w:ascii="宋体" w:hAnsi="宋体" w:eastAsia="宋体" w:cs="宋体"/>
                <w:snapToGrid w:val="0"/>
                <w:color w:val="auto"/>
                <w:kern w:val="0"/>
                <w:szCs w:val="21"/>
                <w:highlight w:val="none"/>
              </w:rPr>
            </w:pPr>
          </w:p>
        </w:tc>
        <w:tc>
          <w:tcPr>
            <w:tcW w:w="1406" w:type="dxa"/>
            <w:vAlign w:val="center"/>
          </w:tcPr>
          <w:p w14:paraId="64BED773">
            <w:pPr>
              <w:spacing w:line="360" w:lineRule="auto"/>
              <w:rPr>
                <w:rFonts w:ascii="宋体" w:hAnsi="宋体" w:eastAsia="宋体" w:cs="宋体"/>
                <w:snapToGrid w:val="0"/>
                <w:color w:val="auto"/>
                <w:kern w:val="0"/>
                <w:szCs w:val="21"/>
                <w:highlight w:val="none"/>
              </w:rPr>
            </w:pPr>
          </w:p>
        </w:tc>
        <w:tc>
          <w:tcPr>
            <w:tcW w:w="1406" w:type="dxa"/>
            <w:vAlign w:val="center"/>
          </w:tcPr>
          <w:p w14:paraId="56D0A331">
            <w:pPr>
              <w:spacing w:line="360" w:lineRule="auto"/>
              <w:rPr>
                <w:rFonts w:ascii="宋体" w:hAnsi="宋体" w:eastAsia="宋体" w:cs="宋体"/>
                <w:snapToGrid w:val="0"/>
                <w:color w:val="auto"/>
                <w:kern w:val="0"/>
                <w:szCs w:val="21"/>
                <w:highlight w:val="none"/>
              </w:rPr>
            </w:pPr>
          </w:p>
        </w:tc>
        <w:tc>
          <w:tcPr>
            <w:tcW w:w="955" w:type="dxa"/>
            <w:vAlign w:val="center"/>
          </w:tcPr>
          <w:p w14:paraId="30316851">
            <w:pPr>
              <w:spacing w:line="360" w:lineRule="auto"/>
              <w:rPr>
                <w:rFonts w:ascii="宋体" w:hAnsi="宋体" w:eastAsia="宋体" w:cs="宋体"/>
                <w:snapToGrid w:val="0"/>
                <w:color w:val="auto"/>
                <w:kern w:val="0"/>
                <w:szCs w:val="21"/>
                <w:highlight w:val="none"/>
              </w:rPr>
            </w:pPr>
          </w:p>
        </w:tc>
      </w:tr>
      <w:tr w14:paraId="327A2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580D2DBF">
            <w:pPr>
              <w:spacing w:line="360" w:lineRule="auto"/>
              <w:rPr>
                <w:rFonts w:ascii="宋体" w:hAnsi="宋体" w:eastAsia="宋体" w:cs="宋体"/>
                <w:snapToGrid w:val="0"/>
                <w:color w:val="auto"/>
                <w:kern w:val="0"/>
                <w:szCs w:val="21"/>
                <w:highlight w:val="none"/>
              </w:rPr>
            </w:pPr>
          </w:p>
        </w:tc>
        <w:tc>
          <w:tcPr>
            <w:tcW w:w="2011" w:type="dxa"/>
            <w:vAlign w:val="center"/>
          </w:tcPr>
          <w:p w14:paraId="74F6002E">
            <w:pPr>
              <w:spacing w:line="360" w:lineRule="auto"/>
              <w:rPr>
                <w:rFonts w:ascii="宋体" w:hAnsi="宋体" w:eastAsia="宋体" w:cs="宋体"/>
                <w:snapToGrid w:val="0"/>
                <w:color w:val="auto"/>
                <w:kern w:val="0"/>
                <w:szCs w:val="21"/>
                <w:highlight w:val="none"/>
              </w:rPr>
            </w:pPr>
          </w:p>
        </w:tc>
        <w:tc>
          <w:tcPr>
            <w:tcW w:w="1007" w:type="dxa"/>
            <w:vAlign w:val="center"/>
          </w:tcPr>
          <w:p w14:paraId="2F5ECB23">
            <w:pPr>
              <w:spacing w:line="360" w:lineRule="auto"/>
              <w:rPr>
                <w:rFonts w:ascii="宋体" w:hAnsi="宋体" w:eastAsia="宋体" w:cs="宋体"/>
                <w:snapToGrid w:val="0"/>
                <w:color w:val="auto"/>
                <w:kern w:val="0"/>
                <w:szCs w:val="21"/>
                <w:highlight w:val="none"/>
              </w:rPr>
            </w:pPr>
          </w:p>
        </w:tc>
        <w:tc>
          <w:tcPr>
            <w:tcW w:w="1007" w:type="dxa"/>
            <w:vAlign w:val="center"/>
          </w:tcPr>
          <w:p w14:paraId="223056DF">
            <w:pPr>
              <w:spacing w:line="360" w:lineRule="auto"/>
              <w:rPr>
                <w:rFonts w:ascii="宋体" w:hAnsi="宋体" w:eastAsia="宋体" w:cs="宋体"/>
                <w:snapToGrid w:val="0"/>
                <w:color w:val="auto"/>
                <w:kern w:val="0"/>
                <w:szCs w:val="21"/>
                <w:highlight w:val="none"/>
              </w:rPr>
            </w:pPr>
          </w:p>
        </w:tc>
        <w:tc>
          <w:tcPr>
            <w:tcW w:w="1406" w:type="dxa"/>
            <w:vAlign w:val="center"/>
          </w:tcPr>
          <w:p w14:paraId="08DAC0CF">
            <w:pPr>
              <w:spacing w:line="360" w:lineRule="auto"/>
              <w:rPr>
                <w:rFonts w:ascii="宋体" w:hAnsi="宋体" w:eastAsia="宋体" w:cs="宋体"/>
                <w:snapToGrid w:val="0"/>
                <w:color w:val="auto"/>
                <w:kern w:val="0"/>
                <w:szCs w:val="21"/>
                <w:highlight w:val="none"/>
              </w:rPr>
            </w:pPr>
          </w:p>
        </w:tc>
        <w:tc>
          <w:tcPr>
            <w:tcW w:w="1406" w:type="dxa"/>
            <w:vAlign w:val="center"/>
          </w:tcPr>
          <w:p w14:paraId="0E12BA35">
            <w:pPr>
              <w:spacing w:line="360" w:lineRule="auto"/>
              <w:rPr>
                <w:rFonts w:ascii="宋体" w:hAnsi="宋体" w:eastAsia="宋体" w:cs="宋体"/>
                <w:snapToGrid w:val="0"/>
                <w:color w:val="auto"/>
                <w:kern w:val="0"/>
                <w:szCs w:val="21"/>
                <w:highlight w:val="none"/>
              </w:rPr>
            </w:pPr>
          </w:p>
        </w:tc>
        <w:tc>
          <w:tcPr>
            <w:tcW w:w="955" w:type="dxa"/>
            <w:vAlign w:val="center"/>
          </w:tcPr>
          <w:p w14:paraId="12080FA5">
            <w:pPr>
              <w:spacing w:line="360" w:lineRule="auto"/>
              <w:rPr>
                <w:rFonts w:ascii="宋体" w:hAnsi="宋体" w:eastAsia="宋体" w:cs="宋体"/>
                <w:snapToGrid w:val="0"/>
                <w:color w:val="auto"/>
                <w:kern w:val="0"/>
                <w:szCs w:val="21"/>
                <w:highlight w:val="none"/>
              </w:rPr>
            </w:pPr>
          </w:p>
        </w:tc>
      </w:tr>
      <w:tr w14:paraId="1CF9C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38B10BEB">
            <w:pPr>
              <w:spacing w:line="360" w:lineRule="auto"/>
              <w:rPr>
                <w:rFonts w:ascii="宋体" w:hAnsi="宋体" w:eastAsia="宋体" w:cs="宋体"/>
                <w:snapToGrid w:val="0"/>
                <w:color w:val="auto"/>
                <w:kern w:val="0"/>
                <w:szCs w:val="21"/>
                <w:highlight w:val="none"/>
              </w:rPr>
            </w:pPr>
          </w:p>
        </w:tc>
        <w:tc>
          <w:tcPr>
            <w:tcW w:w="2011" w:type="dxa"/>
            <w:vAlign w:val="center"/>
          </w:tcPr>
          <w:p w14:paraId="2F68E3BE">
            <w:pPr>
              <w:spacing w:line="360" w:lineRule="auto"/>
              <w:rPr>
                <w:rFonts w:ascii="宋体" w:hAnsi="宋体" w:eastAsia="宋体" w:cs="宋体"/>
                <w:snapToGrid w:val="0"/>
                <w:color w:val="auto"/>
                <w:kern w:val="0"/>
                <w:szCs w:val="21"/>
                <w:highlight w:val="none"/>
              </w:rPr>
            </w:pPr>
          </w:p>
        </w:tc>
        <w:tc>
          <w:tcPr>
            <w:tcW w:w="1007" w:type="dxa"/>
            <w:vAlign w:val="center"/>
          </w:tcPr>
          <w:p w14:paraId="11B99F66">
            <w:pPr>
              <w:spacing w:line="360" w:lineRule="auto"/>
              <w:rPr>
                <w:rFonts w:ascii="宋体" w:hAnsi="宋体" w:eastAsia="宋体" w:cs="宋体"/>
                <w:snapToGrid w:val="0"/>
                <w:color w:val="auto"/>
                <w:kern w:val="0"/>
                <w:szCs w:val="21"/>
                <w:highlight w:val="none"/>
              </w:rPr>
            </w:pPr>
          </w:p>
        </w:tc>
        <w:tc>
          <w:tcPr>
            <w:tcW w:w="1007" w:type="dxa"/>
            <w:vAlign w:val="center"/>
          </w:tcPr>
          <w:p w14:paraId="1DFEE9FE">
            <w:pPr>
              <w:spacing w:line="360" w:lineRule="auto"/>
              <w:rPr>
                <w:rFonts w:ascii="宋体" w:hAnsi="宋体" w:eastAsia="宋体" w:cs="宋体"/>
                <w:snapToGrid w:val="0"/>
                <w:color w:val="auto"/>
                <w:kern w:val="0"/>
                <w:szCs w:val="21"/>
                <w:highlight w:val="none"/>
              </w:rPr>
            </w:pPr>
          </w:p>
        </w:tc>
        <w:tc>
          <w:tcPr>
            <w:tcW w:w="1406" w:type="dxa"/>
            <w:vAlign w:val="center"/>
          </w:tcPr>
          <w:p w14:paraId="3C2A592E">
            <w:pPr>
              <w:spacing w:line="360" w:lineRule="auto"/>
              <w:rPr>
                <w:rFonts w:ascii="宋体" w:hAnsi="宋体" w:eastAsia="宋体" w:cs="宋体"/>
                <w:snapToGrid w:val="0"/>
                <w:color w:val="auto"/>
                <w:kern w:val="0"/>
                <w:szCs w:val="21"/>
                <w:highlight w:val="none"/>
              </w:rPr>
            </w:pPr>
          </w:p>
        </w:tc>
        <w:tc>
          <w:tcPr>
            <w:tcW w:w="1406" w:type="dxa"/>
            <w:vAlign w:val="center"/>
          </w:tcPr>
          <w:p w14:paraId="25E9C925">
            <w:pPr>
              <w:spacing w:line="360" w:lineRule="auto"/>
              <w:rPr>
                <w:rFonts w:ascii="宋体" w:hAnsi="宋体" w:eastAsia="宋体" w:cs="宋体"/>
                <w:snapToGrid w:val="0"/>
                <w:color w:val="auto"/>
                <w:kern w:val="0"/>
                <w:szCs w:val="21"/>
                <w:highlight w:val="none"/>
              </w:rPr>
            </w:pPr>
          </w:p>
        </w:tc>
        <w:tc>
          <w:tcPr>
            <w:tcW w:w="955" w:type="dxa"/>
            <w:vAlign w:val="center"/>
          </w:tcPr>
          <w:p w14:paraId="6F75C56E">
            <w:pPr>
              <w:spacing w:line="360" w:lineRule="auto"/>
              <w:rPr>
                <w:rFonts w:ascii="宋体" w:hAnsi="宋体" w:eastAsia="宋体" w:cs="宋体"/>
                <w:snapToGrid w:val="0"/>
                <w:color w:val="auto"/>
                <w:kern w:val="0"/>
                <w:szCs w:val="21"/>
                <w:highlight w:val="none"/>
              </w:rPr>
            </w:pPr>
          </w:p>
        </w:tc>
      </w:tr>
      <w:tr w14:paraId="66B23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5E105D07">
            <w:pPr>
              <w:spacing w:line="360" w:lineRule="auto"/>
              <w:rPr>
                <w:rFonts w:ascii="宋体" w:hAnsi="宋体" w:eastAsia="宋体" w:cs="宋体"/>
                <w:snapToGrid w:val="0"/>
                <w:color w:val="auto"/>
                <w:kern w:val="0"/>
                <w:szCs w:val="21"/>
                <w:highlight w:val="none"/>
              </w:rPr>
            </w:pPr>
          </w:p>
        </w:tc>
        <w:tc>
          <w:tcPr>
            <w:tcW w:w="2011" w:type="dxa"/>
            <w:vAlign w:val="center"/>
          </w:tcPr>
          <w:p w14:paraId="39230428">
            <w:pPr>
              <w:spacing w:line="360" w:lineRule="auto"/>
              <w:rPr>
                <w:rFonts w:ascii="宋体" w:hAnsi="宋体" w:eastAsia="宋体" w:cs="宋体"/>
                <w:snapToGrid w:val="0"/>
                <w:color w:val="auto"/>
                <w:kern w:val="0"/>
                <w:szCs w:val="21"/>
                <w:highlight w:val="none"/>
              </w:rPr>
            </w:pPr>
          </w:p>
        </w:tc>
        <w:tc>
          <w:tcPr>
            <w:tcW w:w="1007" w:type="dxa"/>
            <w:vAlign w:val="center"/>
          </w:tcPr>
          <w:p w14:paraId="103AFADF">
            <w:pPr>
              <w:spacing w:line="360" w:lineRule="auto"/>
              <w:rPr>
                <w:rFonts w:ascii="宋体" w:hAnsi="宋体" w:eastAsia="宋体" w:cs="宋体"/>
                <w:snapToGrid w:val="0"/>
                <w:color w:val="auto"/>
                <w:kern w:val="0"/>
                <w:szCs w:val="21"/>
                <w:highlight w:val="none"/>
              </w:rPr>
            </w:pPr>
          </w:p>
        </w:tc>
        <w:tc>
          <w:tcPr>
            <w:tcW w:w="1007" w:type="dxa"/>
            <w:vAlign w:val="center"/>
          </w:tcPr>
          <w:p w14:paraId="3016FF0D">
            <w:pPr>
              <w:spacing w:line="360" w:lineRule="auto"/>
              <w:rPr>
                <w:rFonts w:ascii="宋体" w:hAnsi="宋体" w:eastAsia="宋体" w:cs="宋体"/>
                <w:snapToGrid w:val="0"/>
                <w:color w:val="auto"/>
                <w:kern w:val="0"/>
                <w:szCs w:val="21"/>
                <w:highlight w:val="none"/>
              </w:rPr>
            </w:pPr>
          </w:p>
        </w:tc>
        <w:tc>
          <w:tcPr>
            <w:tcW w:w="1406" w:type="dxa"/>
            <w:vAlign w:val="center"/>
          </w:tcPr>
          <w:p w14:paraId="3251485A">
            <w:pPr>
              <w:spacing w:line="360" w:lineRule="auto"/>
              <w:rPr>
                <w:rFonts w:ascii="宋体" w:hAnsi="宋体" w:eastAsia="宋体" w:cs="宋体"/>
                <w:snapToGrid w:val="0"/>
                <w:color w:val="auto"/>
                <w:kern w:val="0"/>
                <w:szCs w:val="21"/>
                <w:highlight w:val="none"/>
              </w:rPr>
            </w:pPr>
          </w:p>
        </w:tc>
        <w:tc>
          <w:tcPr>
            <w:tcW w:w="1406" w:type="dxa"/>
            <w:vAlign w:val="center"/>
          </w:tcPr>
          <w:p w14:paraId="4F123E1F">
            <w:pPr>
              <w:spacing w:line="360" w:lineRule="auto"/>
              <w:rPr>
                <w:rFonts w:ascii="宋体" w:hAnsi="宋体" w:eastAsia="宋体" w:cs="宋体"/>
                <w:snapToGrid w:val="0"/>
                <w:color w:val="auto"/>
                <w:kern w:val="0"/>
                <w:szCs w:val="21"/>
                <w:highlight w:val="none"/>
              </w:rPr>
            </w:pPr>
          </w:p>
        </w:tc>
        <w:tc>
          <w:tcPr>
            <w:tcW w:w="955" w:type="dxa"/>
            <w:vAlign w:val="center"/>
          </w:tcPr>
          <w:p w14:paraId="04D1507B">
            <w:pPr>
              <w:spacing w:line="360" w:lineRule="auto"/>
              <w:rPr>
                <w:rFonts w:ascii="宋体" w:hAnsi="宋体" w:eastAsia="宋体" w:cs="宋体"/>
                <w:snapToGrid w:val="0"/>
                <w:color w:val="auto"/>
                <w:kern w:val="0"/>
                <w:szCs w:val="21"/>
                <w:highlight w:val="none"/>
              </w:rPr>
            </w:pPr>
          </w:p>
        </w:tc>
      </w:tr>
      <w:tr w14:paraId="5764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214A645C">
            <w:pPr>
              <w:spacing w:line="360" w:lineRule="auto"/>
              <w:rPr>
                <w:rFonts w:ascii="宋体" w:hAnsi="宋体" w:eastAsia="宋体" w:cs="宋体"/>
                <w:snapToGrid w:val="0"/>
                <w:color w:val="auto"/>
                <w:kern w:val="0"/>
                <w:szCs w:val="21"/>
                <w:highlight w:val="none"/>
              </w:rPr>
            </w:pPr>
          </w:p>
        </w:tc>
        <w:tc>
          <w:tcPr>
            <w:tcW w:w="2011" w:type="dxa"/>
            <w:vAlign w:val="center"/>
          </w:tcPr>
          <w:p w14:paraId="1DDD2F6A">
            <w:pPr>
              <w:spacing w:line="360" w:lineRule="auto"/>
              <w:rPr>
                <w:rFonts w:ascii="宋体" w:hAnsi="宋体" w:eastAsia="宋体" w:cs="宋体"/>
                <w:snapToGrid w:val="0"/>
                <w:color w:val="auto"/>
                <w:kern w:val="0"/>
                <w:szCs w:val="21"/>
                <w:highlight w:val="none"/>
              </w:rPr>
            </w:pPr>
          </w:p>
        </w:tc>
        <w:tc>
          <w:tcPr>
            <w:tcW w:w="1007" w:type="dxa"/>
            <w:vAlign w:val="center"/>
          </w:tcPr>
          <w:p w14:paraId="2105B4E6">
            <w:pPr>
              <w:spacing w:line="360" w:lineRule="auto"/>
              <w:rPr>
                <w:rFonts w:ascii="宋体" w:hAnsi="宋体" w:eastAsia="宋体" w:cs="宋体"/>
                <w:snapToGrid w:val="0"/>
                <w:color w:val="auto"/>
                <w:kern w:val="0"/>
                <w:szCs w:val="21"/>
                <w:highlight w:val="none"/>
              </w:rPr>
            </w:pPr>
          </w:p>
        </w:tc>
        <w:tc>
          <w:tcPr>
            <w:tcW w:w="1007" w:type="dxa"/>
            <w:vAlign w:val="center"/>
          </w:tcPr>
          <w:p w14:paraId="5152ECCA">
            <w:pPr>
              <w:spacing w:line="360" w:lineRule="auto"/>
              <w:rPr>
                <w:rFonts w:ascii="宋体" w:hAnsi="宋体" w:eastAsia="宋体" w:cs="宋体"/>
                <w:snapToGrid w:val="0"/>
                <w:color w:val="auto"/>
                <w:kern w:val="0"/>
                <w:szCs w:val="21"/>
                <w:highlight w:val="none"/>
              </w:rPr>
            </w:pPr>
          </w:p>
        </w:tc>
        <w:tc>
          <w:tcPr>
            <w:tcW w:w="1406" w:type="dxa"/>
            <w:vAlign w:val="center"/>
          </w:tcPr>
          <w:p w14:paraId="0229EC27">
            <w:pPr>
              <w:spacing w:line="360" w:lineRule="auto"/>
              <w:rPr>
                <w:rFonts w:ascii="宋体" w:hAnsi="宋体" w:eastAsia="宋体" w:cs="宋体"/>
                <w:snapToGrid w:val="0"/>
                <w:color w:val="auto"/>
                <w:kern w:val="0"/>
                <w:szCs w:val="21"/>
                <w:highlight w:val="none"/>
              </w:rPr>
            </w:pPr>
          </w:p>
        </w:tc>
        <w:tc>
          <w:tcPr>
            <w:tcW w:w="1406" w:type="dxa"/>
            <w:vAlign w:val="center"/>
          </w:tcPr>
          <w:p w14:paraId="4DFEC321">
            <w:pPr>
              <w:spacing w:line="360" w:lineRule="auto"/>
              <w:rPr>
                <w:rFonts w:ascii="宋体" w:hAnsi="宋体" w:eastAsia="宋体" w:cs="宋体"/>
                <w:snapToGrid w:val="0"/>
                <w:color w:val="auto"/>
                <w:kern w:val="0"/>
                <w:szCs w:val="21"/>
                <w:highlight w:val="none"/>
              </w:rPr>
            </w:pPr>
          </w:p>
        </w:tc>
        <w:tc>
          <w:tcPr>
            <w:tcW w:w="955" w:type="dxa"/>
            <w:vAlign w:val="center"/>
          </w:tcPr>
          <w:p w14:paraId="6835F12F">
            <w:pPr>
              <w:spacing w:line="360" w:lineRule="auto"/>
              <w:rPr>
                <w:rFonts w:ascii="宋体" w:hAnsi="宋体" w:eastAsia="宋体" w:cs="宋体"/>
                <w:snapToGrid w:val="0"/>
                <w:color w:val="auto"/>
                <w:kern w:val="0"/>
                <w:szCs w:val="21"/>
                <w:highlight w:val="none"/>
              </w:rPr>
            </w:pPr>
          </w:p>
        </w:tc>
      </w:tr>
      <w:tr w14:paraId="2DBF6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26A1FB4E">
            <w:pPr>
              <w:spacing w:line="360" w:lineRule="auto"/>
              <w:rPr>
                <w:rFonts w:ascii="宋体" w:hAnsi="宋体" w:eastAsia="宋体" w:cs="宋体"/>
                <w:snapToGrid w:val="0"/>
                <w:color w:val="auto"/>
                <w:kern w:val="0"/>
                <w:szCs w:val="21"/>
                <w:highlight w:val="none"/>
              </w:rPr>
            </w:pPr>
          </w:p>
        </w:tc>
        <w:tc>
          <w:tcPr>
            <w:tcW w:w="2011" w:type="dxa"/>
            <w:vAlign w:val="center"/>
          </w:tcPr>
          <w:p w14:paraId="3A363BE8">
            <w:pPr>
              <w:spacing w:line="360" w:lineRule="auto"/>
              <w:rPr>
                <w:rFonts w:ascii="宋体" w:hAnsi="宋体" w:eastAsia="宋体" w:cs="宋体"/>
                <w:snapToGrid w:val="0"/>
                <w:color w:val="auto"/>
                <w:kern w:val="0"/>
                <w:szCs w:val="21"/>
                <w:highlight w:val="none"/>
              </w:rPr>
            </w:pPr>
          </w:p>
        </w:tc>
        <w:tc>
          <w:tcPr>
            <w:tcW w:w="1007" w:type="dxa"/>
            <w:vAlign w:val="center"/>
          </w:tcPr>
          <w:p w14:paraId="28AF24BB">
            <w:pPr>
              <w:spacing w:line="360" w:lineRule="auto"/>
              <w:rPr>
                <w:rFonts w:ascii="宋体" w:hAnsi="宋体" w:eastAsia="宋体" w:cs="宋体"/>
                <w:snapToGrid w:val="0"/>
                <w:color w:val="auto"/>
                <w:kern w:val="0"/>
                <w:szCs w:val="21"/>
                <w:highlight w:val="none"/>
              </w:rPr>
            </w:pPr>
          </w:p>
        </w:tc>
        <w:tc>
          <w:tcPr>
            <w:tcW w:w="1007" w:type="dxa"/>
            <w:vAlign w:val="center"/>
          </w:tcPr>
          <w:p w14:paraId="6DA6A709">
            <w:pPr>
              <w:spacing w:line="360" w:lineRule="auto"/>
              <w:rPr>
                <w:rFonts w:ascii="宋体" w:hAnsi="宋体" w:eastAsia="宋体" w:cs="宋体"/>
                <w:snapToGrid w:val="0"/>
                <w:color w:val="auto"/>
                <w:kern w:val="0"/>
                <w:szCs w:val="21"/>
                <w:highlight w:val="none"/>
              </w:rPr>
            </w:pPr>
          </w:p>
        </w:tc>
        <w:tc>
          <w:tcPr>
            <w:tcW w:w="1406" w:type="dxa"/>
            <w:vAlign w:val="center"/>
          </w:tcPr>
          <w:p w14:paraId="3080F94C">
            <w:pPr>
              <w:spacing w:line="360" w:lineRule="auto"/>
              <w:rPr>
                <w:rFonts w:ascii="宋体" w:hAnsi="宋体" w:eastAsia="宋体" w:cs="宋体"/>
                <w:snapToGrid w:val="0"/>
                <w:color w:val="auto"/>
                <w:kern w:val="0"/>
                <w:szCs w:val="21"/>
                <w:highlight w:val="none"/>
              </w:rPr>
            </w:pPr>
          </w:p>
        </w:tc>
        <w:tc>
          <w:tcPr>
            <w:tcW w:w="1406" w:type="dxa"/>
            <w:vAlign w:val="center"/>
          </w:tcPr>
          <w:p w14:paraId="2ADBC0DD">
            <w:pPr>
              <w:spacing w:line="360" w:lineRule="auto"/>
              <w:rPr>
                <w:rFonts w:ascii="宋体" w:hAnsi="宋体" w:eastAsia="宋体" w:cs="宋体"/>
                <w:snapToGrid w:val="0"/>
                <w:color w:val="auto"/>
                <w:kern w:val="0"/>
                <w:szCs w:val="21"/>
                <w:highlight w:val="none"/>
              </w:rPr>
            </w:pPr>
          </w:p>
        </w:tc>
        <w:tc>
          <w:tcPr>
            <w:tcW w:w="955" w:type="dxa"/>
            <w:vAlign w:val="center"/>
          </w:tcPr>
          <w:p w14:paraId="035F260D">
            <w:pPr>
              <w:spacing w:line="360" w:lineRule="auto"/>
              <w:rPr>
                <w:rFonts w:ascii="宋体" w:hAnsi="宋体" w:eastAsia="宋体" w:cs="宋体"/>
                <w:snapToGrid w:val="0"/>
                <w:color w:val="auto"/>
                <w:kern w:val="0"/>
                <w:szCs w:val="21"/>
                <w:highlight w:val="none"/>
              </w:rPr>
            </w:pPr>
          </w:p>
        </w:tc>
      </w:tr>
      <w:tr w14:paraId="7F9AB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23" w:type="dxa"/>
            <w:vAlign w:val="center"/>
          </w:tcPr>
          <w:p w14:paraId="4B9C7D42">
            <w:pPr>
              <w:spacing w:line="360" w:lineRule="auto"/>
              <w:rPr>
                <w:rFonts w:ascii="宋体" w:hAnsi="宋体" w:eastAsia="宋体" w:cs="宋体"/>
                <w:snapToGrid w:val="0"/>
                <w:color w:val="auto"/>
                <w:kern w:val="0"/>
                <w:szCs w:val="21"/>
                <w:highlight w:val="none"/>
              </w:rPr>
            </w:pPr>
          </w:p>
        </w:tc>
        <w:tc>
          <w:tcPr>
            <w:tcW w:w="2011" w:type="dxa"/>
            <w:vAlign w:val="center"/>
          </w:tcPr>
          <w:p w14:paraId="00D55325">
            <w:pPr>
              <w:spacing w:line="360" w:lineRule="auto"/>
              <w:rPr>
                <w:rFonts w:ascii="宋体" w:hAnsi="宋体" w:eastAsia="宋体" w:cs="宋体"/>
                <w:snapToGrid w:val="0"/>
                <w:color w:val="auto"/>
                <w:kern w:val="0"/>
                <w:szCs w:val="21"/>
                <w:highlight w:val="none"/>
              </w:rPr>
            </w:pPr>
          </w:p>
        </w:tc>
        <w:tc>
          <w:tcPr>
            <w:tcW w:w="1007" w:type="dxa"/>
            <w:vAlign w:val="center"/>
          </w:tcPr>
          <w:p w14:paraId="1D60A20E">
            <w:pPr>
              <w:spacing w:line="360" w:lineRule="auto"/>
              <w:rPr>
                <w:rFonts w:ascii="宋体" w:hAnsi="宋体" w:eastAsia="宋体" w:cs="宋体"/>
                <w:snapToGrid w:val="0"/>
                <w:color w:val="auto"/>
                <w:kern w:val="0"/>
                <w:szCs w:val="21"/>
                <w:highlight w:val="none"/>
              </w:rPr>
            </w:pPr>
          </w:p>
        </w:tc>
        <w:tc>
          <w:tcPr>
            <w:tcW w:w="1007" w:type="dxa"/>
            <w:vAlign w:val="center"/>
          </w:tcPr>
          <w:p w14:paraId="65D74C3B">
            <w:pPr>
              <w:spacing w:line="360" w:lineRule="auto"/>
              <w:rPr>
                <w:rFonts w:ascii="宋体" w:hAnsi="宋体" w:eastAsia="宋体" w:cs="宋体"/>
                <w:snapToGrid w:val="0"/>
                <w:color w:val="auto"/>
                <w:kern w:val="0"/>
                <w:szCs w:val="21"/>
                <w:highlight w:val="none"/>
              </w:rPr>
            </w:pPr>
          </w:p>
        </w:tc>
        <w:tc>
          <w:tcPr>
            <w:tcW w:w="1406" w:type="dxa"/>
            <w:vAlign w:val="center"/>
          </w:tcPr>
          <w:p w14:paraId="582ABABF">
            <w:pPr>
              <w:spacing w:line="360" w:lineRule="auto"/>
              <w:rPr>
                <w:rFonts w:ascii="宋体" w:hAnsi="宋体" w:eastAsia="宋体" w:cs="宋体"/>
                <w:snapToGrid w:val="0"/>
                <w:color w:val="auto"/>
                <w:kern w:val="0"/>
                <w:szCs w:val="21"/>
                <w:highlight w:val="none"/>
              </w:rPr>
            </w:pPr>
          </w:p>
        </w:tc>
        <w:tc>
          <w:tcPr>
            <w:tcW w:w="1406" w:type="dxa"/>
            <w:vAlign w:val="center"/>
          </w:tcPr>
          <w:p w14:paraId="6D51263E">
            <w:pPr>
              <w:spacing w:line="360" w:lineRule="auto"/>
              <w:rPr>
                <w:rFonts w:ascii="宋体" w:hAnsi="宋体" w:eastAsia="宋体" w:cs="宋体"/>
                <w:snapToGrid w:val="0"/>
                <w:color w:val="auto"/>
                <w:kern w:val="0"/>
                <w:szCs w:val="21"/>
                <w:highlight w:val="none"/>
              </w:rPr>
            </w:pPr>
          </w:p>
        </w:tc>
        <w:tc>
          <w:tcPr>
            <w:tcW w:w="955" w:type="dxa"/>
            <w:vAlign w:val="center"/>
          </w:tcPr>
          <w:p w14:paraId="58A3935C">
            <w:pPr>
              <w:spacing w:line="360" w:lineRule="auto"/>
              <w:rPr>
                <w:rFonts w:ascii="宋体" w:hAnsi="宋体" w:eastAsia="宋体" w:cs="宋体"/>
                <w:snapToGrid w:val="0"/>
                <w:color w:val="auto"/>
                <w:kern w:val="0"/>
                <w:szCs w:val="21"/>
                <w:highlight w:val="none"/>
              </w:rPr>
            </w:pPr>
          </w:p>
        </w:tc>
      </w:tr>
    </w:tbl>
    <w:p w14:paraId="7B3EE227">
      <w:pPr>
        <w:spacing w:line="360" w:lineRule="auto"/>
        <w:ind w:firstLine="420"/>
        <w:jc w:val="left"/>
        <w:rPr>
          <w:rFonts w:ascii="黑体" w:hAnsi="宋体" w:eastAsia="黑体"/>
          <w:snapToGrid w:val="0"/>
          <w:color w:val="auto"/>
          <w:kern w:val="0"/>
          <w:szCs w:val="21"/>
          <w:highlight w:val="none"/>
        </w:rPr>
      </w:pPr>
    </w:p>
    <w:p w14:paraId="292CBB8B">
      <w:pPr>
        <w:spacing w:line="360" w:lineRule="auto"/>
        <w:ind w:firstLine="420"/>
        <w:jc w:val="left"/>
        <w:rPr>
          <w:rFonts w:ascii="楷体_GB2312" w:hAnsi="楷体_GB2312" w:eastAsia="楷体_GB2312" w:cs="楷体_GB2312"/>
          <w:snapToGrid w:val="0"/>
          <w:color w:val="auto"/>
          <w:kern w:val="0"/>
          <w:szCs w:val="21"/>
          <w:highlight w:val="none"/>
        </w:rPr>
      </w:pPr>
      <w:r>
        <w:rPr>
          <w:rFonts w:hint="eastAsia" w:ascii="楷体_GB2312" w:hAnsi="楷体_GB2312" w:eastAsia="楷体_GB2312" w:cs="楷体_GB2312"/>
          <w:snapToGrid w:val="0"/>
          <w:color w:val="auto"/>
          <w:kern w:val="0"/>
          <w:szCs w:val="21"/>
          <w:highlight w:val="none"/>
        </w:rPr>
        <w:t>提示：要求附项目证明材料扫描件（如合同扫描件、用户证明等）。</w:t>
      </w:r>
    </w:p>
    <w:p w14:paraId="26CEC270">
      <w:pPr>
        <w:rPr>
          <w:snapToGrid w:val="0"/>
          <w:color w:val="auto"/>
          <w:kern w:val="0"/>
          <w:highlight w:val="none"/>
        </w:rPr>
      </w:pPr>
      <w:r>
        <w:rPr>
          <w:rFonts w:hint="eastAsia"/>
          <w:snapToGrid w:val="0"/>
          <w:color w:val="auto"/>
          <w:kern w:val="0"/>
          <w:highlight w:val="none"/>
        </w:rPr>
        <w:br w:type="page"/>
      </w:r>
    </w:p>
    <w:p w14:paraId="3CDBFAB8">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技术方案</w:t>
      </w:r>
    </w:p>
    <w:p w14:paraId="6F73482C">
      <w:pPr>
        <w:spacing w:line="500" w:lineRule="exact"/>
        <w:jc w:val="center"/>
        <w:rPr>
          <w:rFonts w:ascii="仿宋_GB2312" w:hAnsi="宋体" w:eastAsia="仿宋_GB2312"/>
          <w:snapToGrid w:val="0"/>
          <w:color w:val="auto"/>
          <w:kern w:val="0"/>
          <w:sz w:val="24"/>
          <w:highlight w:val="none"/>
        </w:rPr>
      </w:pPr>
      <w:r>
        <w:rPr>
          <w:rFonts w:hint="eastAsia" w:ascii="仿宋_GB2312" w:hAnsi="宋体" w:eastAsia="仿宋_GB2312"/>
          <w:snapToGrid w:val="0"/>
          <w:color w:val="auto"/>
          <w:kern w:val="0"/>
          <w:sz w:val="24"/>
          <w:highlight w:val="none"/>
        </w:rPr>
        <w:t>（投标人应根据招标文件要求做出项目的技术方案。）</w:t>
      </w:r>
    </w:p>
    <w:p w14:paraId="41928928">
      <w:pPr>
        <w:pStyle w:val="201"/>
        <w:widowControl w:val="0"/>
        <w:spacing w:before="0" w:beforeAutospacing="0" w:after="0" w:afterAutospacing="0" w:line="360" w:lineRule="auto"/>
        <w:jc w:val="center"/>
        <w:rPr>
          <w:rFonts w:ascii="黑体" w:hAnsi="黑体" w:eastAsia="黑体"/>
          <w:snapToGrid w:val="0"/>
          <w:color w:val="auto"/>
          <w:sz w:val="30"/>
          <w:szCs w:val="30"/>
          <w:highlight w:val="none"/>
        </w:rPr>
      </w:pPr>
      <w:r>
        <w:rPr>
          <w:snapToGrid w:val="0"/>
          <w:color w:val="auto"/>
          <w:highlight w:val="none"/>
        </w:rPr>
        <w:br w:type="page"/>
      </w:r>
      <w:r>
        <w:rPr>
          <w:rFonts w:hint="eastAsia"/>
          <w:b/>
          <w:bCs/>
          <w:snapToGrid w:val="0"/>
          <w:color w:val="auto"/>
          <w:sz w:val="30"/>
          <w:szCs w:val="30"/>
          <w:highlight w:val="none"/>
        </w:rPr>
        <w:t>其他</w:t>
      </w:r>
    </w:p>
    <w:p w14:paraId="28DD74FC">
      <w:pPr>
        <w:pStyle w:val="201"/>
        <w:widowControl w:val="0"/>
        <w:adjustRightInd w:val="0"/>
        <w:snapToGrid w:val="0"/>
        <w:spacing w:before="0" w:beforeAutospacing="0" w:after="0" w:afterAutospacing="0" w:line="360" w:lineRule="auto"/>
        <w:rPr>
          <w:snapToGrid w:val="0"/>
          <w:color w:val="auto"/>
          <w:sz w:val="21"/>
          <w:szCs w:val="21"/>
          <w:highlight w:val="none"/>
        </w:rPr>
      </w:pPr>
      <w:r>
        <w:rPr>
          <w:rFonts w:hint="eastAsia"/>
          <w:snapToGrid w:val="0"/>
          <w:color w:val="auto"/>
          <w:sz w:val="21"/>
          <w:szCs w:val="21"/>
          <w:highlight w:val="none"/>
        </w:rPr>
        <w:t>其他2</w:t>
      </w:r>
    </w:p>
    <w:p w14:paraId="3C29AB01">
      <w:pPr>
        <w:pStyle w:val="201"/>
        <w:widowControl w:val="0"/>
        <w:spacing w:before="0" w:beforeAutospacing="0" w:after="0" w:afterAutospacing="0" w:line="360" w:lineRule="auto"/>
        <w:rPr>
          <w:snapToGrid w:val="0"/>
          <w:color w:val="auto"/>
          <w:highlight w:val="none"/>
        </w:rPr>
      </w:pPr>
      <w:r>
        <w:rPr>
          <w:snapToGrid w:val="0"/>
          <w:color w:val="auto"/>
          <w:sz w:val="21"/>
          <w:szCs w:val="21"/>
          <w:highlight w:val="none"/>
        </w:rPr>
        <w:t>（投标人认为应补充提供的其他文件资料或说明）</w:t>
      </w:r>
      <w:r>
        <w:rPr>
          <w:snapToGrid w:val="0"/>
          <w:color w:val="auto"/>
          <w:highlight w:val="none"/>
        </w:rPr>
        <w:br w:type="page"/>
      </w:r>
    </w:p>
    <w:p w14:paraId="5C06EAF5">
      <w:pPr>
        <w:jc w:val="center"/>
        <w:rPr>
          <w:rFonts w:ascii="宋体" w:hAnsi="宋体" w:eastAsia="宋体" w:cs="宋体"/>
          <w:snapToGrid w:val="0"/>
          <w:color w:val="auto"/>
          <w:kern w:val="0"/>
          <w:sz w:val="44"/>
          <w:szCs w:val="44"/>
          <w:highlight w:val="none"/>
        </w:rPr>
      </w:pPr>
    </w:p>
    <w:p w14:paraId="1984905E">
      <w:pPr>
        <w:jc w:val="center"/>
        <w:rPr>
          <w:rFonts w:ascii="宋体" w:hAnsi="宋体" w:eastAsia="宋体" w:cs="宋体"/>
          <w:snapToGrid w:val="0"/>
          <w:color w:val="auto"/>
          <w:kern w:val="0"/>
          <w:sz w:val="44"/>
          <w:szCs w:val="44"/>
          <w:highlight w:val="none"/>
        </w:rPr>
      </w:pPr>
    </w:p>
    <w:p w14:paraId="749802D1">
      <w:pPr>
        <w:jc w:val="center"/>
        <w:rPr>
          <w:rFonts w:ascii="宋体" w:hAnsi="宋体" w:eastAsia="宋体" w:cs="宋体"/>
          <w:snapToGrid w:val="0"/>
          <w:color w:val="auto"/>
          <w:kern w:val="0"/>
          <w:sz w:val="44"/>
          <w:szCs w:val="44"/>
          <w:highlight w:val="none"/>
        </w:rPr>
      </w:pPr>
      <w:r>
        <w:rPr>
          <w:rFonts w:hint="eastAsia" w:ascii="宋体" w:hAnsi="宋体" w:eastAsia="宋体" w:cs="宋体"/>
          <w:snapToGrid w:val="0"/>
          <w:color w:val="auto"/>
          <w:kern w:val="0"/>
          <w:sz w:val="44"/>
          <w:szCs w:val="44"/>
          <w:highlight w:val="none"/>
          <w:u w:val="single"/>
        </w:rPr>
        <w:t xml:space="preserve">                 </w:t>
      </w:r>
      <w:r>
        <w:rPr>
          <w:rFonts w:hint="eastAsia" w:ascii="宋体" w:hAnsi="宋体" w:eastAsia="宋体" w:cs="宋体"/>
          <w:snapToGrid w:val="0"/>
          <w:color w:val="auto"/>
          <w:kern w:val="0"/>
          <w:sz w:val="44"/>
          <w:szCs w:val="44"/>
          <w:highlight w:val="none"/>
        </w:rPr>
        <w:t>项目</w:t>
      </w:r>
    </w:p>
    <w:p w14:paraId="24B152B5">
      <w:pPr>
        <w:jc w:val="center"/>
        <w:rPr>
          <w:rFonts w:ascii="宋体" w:hAnsi="宋体" w:eastAsia="宋体" w:cs="宋体"/>
          <w:snapToGrid w:val="0"/>
          <w:color w:val="auto"/>
          <w:kern w:val="0"/>
          <w:sz w:val="44"/>
          <w:szCs w:val="44"/>
          <w:highlight w:val="none"/>
        </w:rPr>
      </w:pPr>
    </w:p>
    <w:p w14:paraId="0A79D3D7">
      <w:pPr>
        <w:jc w:val="center"/>
        <w:rPr>
          <w:rFonts w:ascii="宋体" w:hAnsi="宋体" w:eastAsia="宋体" w:cs="宋体"/>
          <w:snapToGrid w:val="0"/>
          <w:color w:val="auto"/>
          <w:kern w:val="0"/>
          <w:sz w:val="52"/>
          <w:szCs w:val="52"/>
          <w:highlight w:val="none"/>
        </w:rPr>
      </w:pPr>
      <w:r>
        <w:rPr>
          <w:rFonts w:hint="eastAsia" w:ascii="宋体" w:hAnsi="宋体" w:eastAsia="宋体" w:cs="宋体"/>
          <w:snapToGrid w:val="0"/>
          <w:color w:val="auto"/>
          <w:kern w:val="0"/>
          <w:sz w:val="52"/>
          <w:szCs w:val="52"/>
          <w:highlight w:val="none"/>
        </w:rPr>
        <w:t>投标文件</w:t>
      </w:r>
    </w:p>
    <w:p w14:paraId="71FAC480">
      <w:pPr>
        <w:jc w:val="center"/>
        <w:rPr>
          <w:rFonts w:ascii="宋体" w:hAnsi="宋体" w:eastAsia="宋体" w:cs="宋体"/>
          <w:snapToGrid w:val="0"/>
          <w:color w:val="auto"/>
          <w:kern w:val="0"/>
          <w:sz w:val="52"/>
          <w:szCs w:val="52"/>
          <w:highlight w:val="none"/>
        </w:rPr>
      </w:pPr>
    </w:p>
    <w:p w14:paraId="3B77F0CB">
      <w:pPr>
        <w:jc w:val="center"/>
        <w:rPr>
          <w:rFonts w:ascii="宋体" w:hAnsi="宋体" w:eastAsia="宋体" w:cs="宋体"/>
          <w:snapToGrid w:val="0"/>
          <w:color w:val="auto"/>
          <w:kern w:val="0"/>
          <w:sz w:val="52"/>
          <w:szCs w:val="52"/>
          <w:highlight w:val="none"/>
        </w:rPr>
      </w:pPr>
    </w:p>
    <w:p w14:paraId="7B31F1A2">
      <w:pPr>
        <w:jc w:val="center"/>
        <w:outlineLvl w:val="1"/>
        <w:rPr>
          <w:rFonts w:ascii="宋体" w:hAnsi="宋体" w:eastAsia="宋体" w:cs="宋体"/>
          <w:b/>
          <w:snapToGrid w:val="0"/>
          <w:color w:val="auto"/>
          <w:kern w:val="0"/>
          <w:sz w:val="44"/>
          <w:szCs w:val="44"/>
          <w:highlight w:val="none"/>
        </w:rPr>
      </w:pPr>
      <w:bookmarkStart w:id="73" w:name="_Toc4866"/>
      <w:bookmarkStart w:id="74" w:name="_Toc14572"/>
      <w:r>
        <w:rPr>
          <w:rFonts w:hint="eastAsia" w:ascii="宋体" w:hAnsi="宋体" w:eastAsia="宋体" w:cs="宋体"/>
          <w:b/>
          <w:snapToGrid w:val="0"/>
          <w:color w:val="auto"/>
          <w:kern w:val="0"/>
          <w:sz w:val="44"/>
          <w:szCs w:val="44"/>
          <w:highlight w:val="none"/>
        </w:rPr>
        <w:t>商务标书</w:t>
      </w:r>
      <w:bookmarkEnd w:id="73"/>
      <w:bookmarkEnd w:id="74"/>
    </w:p>
    <w:p w14:paraId="033D7954">
      <w:pPr>
        <w:jc w:val="center"/>
        <w:rPr>
          <w:rFonts w:ascii="宋体" w:hAnsi="宋体" w:eastAsia="宋体" w:cs="宋体"/>
          <w:snapToGrid w:val="0"/>
          <w:color w:val="auto"/>
          <w:kern w:val="0"/>
          <w:sz w:val="44"/>
          <w:szCs w:val="44"/>
          <w:highlight w:val="none"/>
        </w:rPr>
      </w:pPr>
    </w:p>
    <w:p w14:paraId="2F199DE2">
      <w:pPr>
        <w:jc w:val="center"/>
        <w:rPr>
          <w:rFonts w:ascii="宋体" w:hAnsi="宋体" w:eastAsia="宋体" w:cs="宋体"/>
          <w:snapToGrid w:val="0"/>
          <w:color w:val="auto"/>
          <w:kern w:val="0"/>
          <w:sz w:val="44"/>
          <w:szCs w:val="44"/>
          <w:highlight w:val="none"/>
        </w:rPr>
      </w:pPr>
    </w:p>
    <w:p w14:paraId="6ADD6BA4">
      <w:pPr>
        <w:jc w:val="center"/>
        <w:rPr>
          <w:rFonts w:ascii="宋体" w:hAnsi="宋体" w:eastAsia="宋体" w:cs="宋体"/>
          <w:snapToGrid w:val="0"/>
          <w:color w:val="auto"/>
          <w:kern w:val="0"/>
          <w:sz w:val="44"/>
          <w:szCs w:val="44"/>
          <w:highlight w:val="none"/>
        </w:rPr>
      </w:pPr>
    </w:p>
    <w:p w14:paraId="5FE47997">
      <w:pPr>
        <w:jc w:val="center"/>
        <w:rPr>
          <w:rFonts w:ascii="宋体" w:hAnsi="宋体" w:eastAsia="宋体" w:cs="宋体"/>
          <w:snapToGrid w:val="0"/>
          <w:color w:val="auto"/>
          <w:kern w:val="0"/>
          <w:sz w:val="44"/>
          <w:szCs w:val="44"/>
          <w:highlight w:val="none"/>
        </w:rPr>
      </w:pPr>
    </w:p>
    <w:p w14:paraId="02D52E4D">
      <w:pPr>
        <w:jc w:val="center"/>
        <w:rPr>
          <w:rFonts w:ascii="宋体" w:hAnsi="宋体" w:eastAsia="宋体" w:cs="宋体"/>
          <w:snapToGrid w:val="0"/>
          <w:color w:val="auto"/>
          <w:kern w:val="0"/>
          <w:sz w:val="44"/>
          <w:szCs w:val="44"/>
          <w:highlight w:val="none"/>
        </w:rPr>
      </w:pPr>
    </w:p>
    <w:p w14:paraId="52AA2F99">
      <w:pPr>
        <w:jc w:val="center"/>
        <w:rPr>
          <w:rFonts w:ascii="宋体" w:hAnsi="宋体" w:eastAsia="宋体" w:cs="宋体"/>
          <w:snapToGrid w:val="0"/>
          <w:color w:val="auto"/>
          <w:kern w:val="0"/>
          <w:sz w:val="44"/>
          <w:szCs w:val="44"/>
          <w:highlight w:val="none"/>
        </w:rPr>
      </w:pPr>
    </w:p>
    <w:p w14:paraId="70FA258D">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项目编号：</w:t>
      </w:r>
      <w:r>
        <w:rPr>
          <w:rFonts w:hint="eastAsia" w:ascii="宋体" w:hAnsi="宋体" w:eastAsia="宋体" w:cs="宋体"/>
          <w:snapToGrid w:val="0"/>
          <w:color w:val="auto"/>
          <w:kern w:val="0"/>
          <w:sz w:val="28"/>
          <w:szCs w:val="28"/>
          <w:highlight w:val="none"/>
          <w:u w:val="single"/>
        </w:rPr>
        <w:t xml:space="preserve">                              </w:t>
      </w:r>
    </w:p>
    <w:p w14:paraId="416687A2">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投标人名称：</w:t>
      </w:r>
      <w:r>
        <w:rPr>
          <w:rFonts w:hint="eastAsia" w:ascii="宋体" w:hAnsi="宋体" w:eastAsia="宋体" w:cs="宋体"/>
          <w:snapToGrid w:val="0"/>
          <w:color w:val="auto"/>
          <w:kern w:val="0"/>
          <w:sz w:val="28"/>
          <w:szCs w:val="28"/>
          <w:highlight w:val="none"/>
          <w:u w:val="single"/>
        </w:rPr>
        <w:t xml:space="preserve">                            </w:t>
      </w:r>
    </w:p>
    <w:p w14:paraId="4CC9409D">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投标人代表：</w:t>
      </w:r>
      <w:r>
        <w:rPr>
          <w:rFonts w:hint="eastAsia" w:ascii="宋体" w:hAnsi="宋体" w:eastAsia="宋体" w:cs="宋体"/>
          <w:snapToGrid w:val="0"/>
          <w:color w:val="auto"/>
          <w:kern w:val="0"/>
          <w:sz w:val="28"/>
          <w:szCs w:val="28"/>
          <w:highlight w:val="none"/>
          <w:u w:val="single"/>
        </w:rPr>
        <w:t xml:space="preserve">                            </w:t>
      </w:r>
    </w:p>
    <w:p w14:paraId="645E25BC">
      <w:pPr>
        <w:spacing w:line="480" w:lineRule="auto"/>
        <w:ind w:firstLine="1400" w:firstLineChars="500"/>
        <w:jc w:val="left"/>
        <w:rPr>
          <w:rFonts w:ascii="宋体" w:hAnsi="宋体" w:eastAsia="宋体" w:cs="宋体"/>
          <w:snapToGrid w:val="0"/>
          <w:color w:val="auto"/>
          <w:kern w:val="0"/>
          <w:sz w:val="28"/>
          <w:szCs w:val="28"/>
          <w:highlight w:val="none"/>
        </w:rPr>
      </w:pPr>
      <w:r>
        <w:rPr>
          <w:rFonts w:hint="eastAsia" w:ascii="宋体" w:hAnsi="宋体" w:eastAsia="宋体" w:cs="宋体"/>
          <w:snapToGrid w:val="0"/>
          <w:color w:val="auto"/>
          <w:kern w:val="0"/>
          <w:sz w:val="28"/>
          <w:szCs w:val="28"/>
          <w:highlight w:val="none"/>
        </w:rPr>
        <w:t>日    期：</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年</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月</w:t>
      </w:r>
      <w:r>
        <w:rPr>
          <w:rFonts w:hint="eastAsia" w:ascii="宋体" w:hAnsi="宋体" w:eastAsia="宋体" w:cs="宋体"/>
          <w:snapToGrid w:val="0"/>
          <w:color w:val="auto"/>
          <w:kern w:val="0"/>
          <w:sz w:val="28"/>
          <w:szCs w:val="28"/>
          <w:highlight w:val="none"/>
          <w:u w:val="single"/>
        </w:rPr>
        <w:t xml:space="preserve">      </w:t>
      </w:r>
      <w:r>
        <w:rPr>
          <w:rFonts w:hint="eastAsia" w:ascii="宋体" w:hAnsi="宋体" w:eastAsia="宋体" w:cs="宋体"/>
          <w:snapToGrid w:val="0"/>
          <w:color w:val="auto"/>
          <w:kern w:val="0"/>
          <w:sz w:val="28"/>
          <w:szCs w:val="28"/>
          <w:highlight w:val="none"/>
        </w:rPr>
        <w:t>日</w:t>
      </w:r>
    </w:p>
    <w:p w14:paraId="75C708B3">
      <w:pPr>
        <w:rPr>
          <w:snapToGrid w:val="0"/>
          <w:color w:val="auto"/>
          <w:kern w:val="0"/>
          <w:highlight w:val="none"/>
        </w:rPr>
      </w:pPr>
      <w:r>
        <w:rPr>
          <w:rFonts w:hint="eastAsia"/>
          <w:snapToGrid w:val="0"/>
          <w:color w:val="auto"/>
          <w:kern w:val="0"/>
          <w:highlight w:val="none"/>
        </w:rPr>
        <w:br w:type="page"/>
      </w:r>
    </w:p>
    <w:p w14:paraId="10C7625A">
      <w:pPr>
        <w:spacing w:before="100" w:after="120" w:afterLines="50" w:line="360" w:lineRule="auto"/>
        <w:jc w:val="center"/>
        <w:rPr>
          <w:rFonts w:ascii="宋体" w:hAnsi="宋体" w:eastAsia="宋体" w:cs="宋体"/>
          <w:b/>
          <w:snapToGrid w:val="0"/>
          <w:color w:val="auto"/>
          <w:kern w:val="0"/>
          <w:sz w:val="30"/>
          <w:szCs w:val="30"/>
          <w:highlight w:val="none"/>
        </w:rPr>
      </w:pPr>
      <w:r>
        <w:rPr>
          <w:rFonts w:hint="eastAsia" w:ascii="宋体" w:hAnsi="宋体" w:eastAsia="宋体" w:cs="宋体"/>
          <w:b/>
          <w:snapToGrid w:val="0"/>
          <w:color w:val="auto"/>
          <w:kern w:val="0"/>
          <w:sz w:val="30"/>
          <w:szCs w:val="30"/>
          <w:highlight w:val="none"/>
        </w:rPr>
        <w:t>投标报价一览表</w:t>
      </w:r>
    </w:p>
    <w:p w14:paraId="7FFB3A44">
      <w:pPr>
        <w:spacing w:after="120" w:afterLines="50" w:line="500" w:lineRule="exact"/>
        <w:jc w:val="left"/>
        <w:rPr>
          <w:rFonts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sz w:val="24"/>
          <w:szCs w:val="24"/>
          <w:highlight w:val="none"/>
        </w:rPr>
        <w:t>投标人名称：</w:t>
      </w:r>
      <w:r>
        <w:rPr>
          <w:rFonts w:hint="eastAsia" w:ascii="宋体" w:hAnsi="宋体" w:eastAsia="宋体" w:cs="宋体"/>
          <w:snapToGrid w:val="0"/>
          <w:color w:val="auto"/>
          <w:kern w:val="0"/>
          <w:sz w:val="24"/>
          <w:szCs w:val="24"/>
          <w:highlight w:val="none"/>
          <w:u w:val="single"/>
        </w:rPr>
        <w:t xml:space="preserve">                     </w:t>
      </w:r>
    </w:p>
    <w:tbl>
      <w:tblPr>
        <w:tblStyle w:val="78"/>
        <w:tblW w:w="951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387"/>
        <w:gridCol w:w="3247"/>
      </w:tblGrid>
      <w:tr w14:paraId="7D917A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3B45341E">
            <w:pPr>
              <w:spacing w:line="360" w:lineRule="auto"/>
              <w:jc w:val="center"/>
              <w:rPr>
                <w:rFonts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序号</w:t>
            </w:r>
          </w:p>
        </w:tc>
        <w:tc>
          <w:tcPr>
            <w:tcW w:w="5387" w:type="dxa"/>
            <w:vAlign w:val="center"/>
          </w:tcPr>
          <w:p w14:paraId="66CA646D">
            <w:pPr>
              <w:spacing w:line="360" w:lineRule="auto"/>
              <w:jc w:val="center"/>
              <w:rPr>
                <w:rFonts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内  容</w:t>
            </w:r>
          </w:p>
        </w:tc>
        <w:tc>
          <w:tcPr>
            <w:tcW w:w="3247" w:type="dxa"/>
            <w:vAlign w:val="center"/>
          </w:tcPr>
          <w:p w14:paraId="2D0E09F0">
            <w:pPr>
              <w:spacing w:line="360" w:lineRule="auto"/>
              <w:jc w:val="center"/>
              <w:rPr>
                <w:rFonts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投标价格</w:t>
            </w:r>
          </w:p>
          <w:p w14:paraId="7F1B17A0">
            <w:pPr>
              <w:spacing w:line="360" w:lineRule="auto"/>
              <w:jc w:val="center"/>
              <w:rPr>
                <w:rFonts w:ascii="宋体" w:hAnsi="宋体" w:eastAsia="宋体" w:cs="宋体"/>
                <w:b/>
                <w:snapToGrid w:val="0"/>
                <w:color w:val="auto"/>
                <w:kern w:val="0"/>
                <w:sz w:val="24"/>
                <w:szCs w:val="24"/>
                <w:highlight w:val="none"/>
              </w:rPr>
            </w:pPr>
            <w:r>
              <w:rPr>
                <w:rFonts w:hint="eastAsia" w:ascii="宋体" w:hAnsi="宋体" w:eastAsia="宋体" w:cs="宋体"/>
                <w:b/>
                <w:snapToGrid w:val="0"/>
                <w:color w:val="auto"/>
                <w:kern w:val="0"/>
                <w:sz w:val="24"/>
                <w:szCs w:val="24"/>
                <w:highlight w:val="none"/>
              </w:rPr>
              <w:t>（元）</w:t>
            </w:r>
          </w:p>
        </w:tc>
      </w:tr>
      <w:tr w14:paraId="4EF312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6AE040A9">
            <w:pPr>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w:t>
            </w:r>
          </w:p>
        </w:tc>
        <w:tc>
          <w:tcPr>
            <w:tcW w:w="5387" w:type="dxa"/>
            <w:vAlign w:val="center"/>
          </w:tcPr>
          <w:p w14:paraId="597DC0AF">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p>
        </w:tc>
        <w:tc>
          <w:tcPr>
            <w:tcW w:w="3247" w:type="dxa"/>
            <w:vAlign w:val="center"/>
          </w:tcPr>
          <w:p w14:paraId="6B4E6A64">
            <w:pPr>
              <w:spacing w:line="360" w:lineRule="auto"/>
              <w:jc w:val="left"/>
              <w:rPr>
                <w:rFonts w:ascii="宋体" w:hAnsi="宋体" w:eastAsia="宋体" w:cs="宋体"/>
                <w:snapToGrid w:val="0"/>
                <w:color w:val="auto"/>
                <w:kern w:val="0"/>
                <w:highlight w:val="none"/>
              </w:rPr>
            </w:pPr>
          </w:p>
        </w:tc>
      </w:tr>
      <w:tr w14:paraId="426A9E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58321437">
            <w:pPr>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w:t>
            </w:r>
          </w:p>
        </w:tc>
        <w:tc>
          <w:tcPr>
            <w:tcW w:w="5387" w:type="dxa"/>
            <w:vAlign w:val="center"/>
          </w:tcPr>
          <w:p w14:paraId="4BCC0EE0">
            <w:pPr>
              <w:spacing w:line="360" w:lineRule="auto"/>
              <w:jc w:val="left"/>
              <w:rPr>
                <w:rFonts w:ascii="宋体" w:hAnsi="宋体" w:eastAsia="宋体" w:cs="宋体"/>
                <w:snapToGrid w:val="0"/>
                <w:color w:val="auto"/>
                <w:kern w:val="0"/>
                <w:sz w:val="24"/>
                <w:szCs w:val="24"/>
                <w:highlight w:val="none"/>
              </w:rPr>
            </w:pPr>
            <w:r>
              <w:rPr>
                <w:rFonts w:hint="eastAsia" w:ascii="宋体" w:hAnsi="宋体" w:eastAsia="宋体" w:cs="宋体"/>
                <w:snapToGrid w:val="0"/>
                <w:color w:val="auto"/>
                <w:kern w:val="0"/>
                <w:highlight w:val="none"/>
              </w:rPr>
              <w:t>……</w:t>
            </w:r>
          </w:p>
        </w:tc>
        <w:tc>
          <w:tcPr>
            <w:tcW w:w="3247" w:type="dxa"/>
            <w:vAlign w:val="center"/>
          </w:tcPr>
          <w:p w14:paraId="40C99488">
            <w:pPr>
              <w:spacing w:line="360" w:lineRule="auto"/>
              <w:jc w:val="left"/>
              <w:rPr>
                <w:rFonts w:ascii="宋体" w:hAnsi="宋体" w:eastAsia="宋体" w:cs="宋体"/>
                <w:snapToGrid w:val="0"/>
                <w:color w:val="auto"/>
                <w:kern w:val="0"/>
                <w:highlight w:val="none"/>
              </w:rPr>
            </w:pPr>
          </w:p>
        </w:tc>
      </w:tr>
      <w:tr w14:paraId="6DAC2A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42814F79">
            <w:pPr>
              <w:spacing w:line="360" w:lineRule="auto"/>
              <w:jc w:val="center"/>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w:t>
            </w:r>
          </w:p>
        </w:tc>
        <w:tc>
          <w:tcPr>
            <w:tcW w:w="5387" w:type="dxa"/>
            <w:vAlign w:val="center"/>
          </w:tcPr>
          <w:p w14:paraId="1D8C51B0">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p>
        </w:tc>
        <w:tc>
          <w:tcPr>
            <w:tcW w:w="3247" w:type="dxa"/>
            <w:vAlign w:val="center"/>
          </w:tcPr>
          <w:p w14:paraId="1194B017">
            <w:pPr>
              <w:spacing w:line="360" w:lineRule="auto"/>
              <w:jc w:val="left"/>
              <w:rPr>
                <w:rFonts w:ascii="宋体" w:hAnsi="宋体" w:eastAsia="宋体" w:cs="宋体"/>
                <w:snapToGrid w:val="0"/>
                <w:color w:val="auto"/>
                <w:kern w:val="0"/>
                <w:highlight w:val="none"/>
              </w:rPr>
            </w:pPr>
          </w:p>
        </w:tc>
      </w:tr>
      <w:tr w14:paraId="6916AE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537CEA19">
            <w:pPr>
              <w:spacing w:line="360" w:lineRule="auto"/>
              <w:jc w:val="center"/>
              <w:rPr>
                <w:rFonts w:ascii="宋体" w:hAnsi="宋体" w:eastAsia="宋体" w:cs="宋体"/>
                <w:snapToGrid w:val="0"/>
                <w:color w:val="auto"/>
                <w:kern w:val="0"/>
                <w:highlight w:val="none"/>
              </w:rPr>
            </w:pPr>
          </w:p>
        </w:tc>
        <w:tc>
          <w:tcPr>
            <w:tcW w:w="5387" w:type="dxa"/>
            <w:vAlign w:val="center"/>
          </w:tcPr>
          <w:p w14:paraId="5F323301">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p>
        </w:tc>
        <w:tc>
          <w:tcPr>
            <w:tcW w:w="3247" w:type="dxa"/>
            <w:vAlign w:val="center"/>
          </w:tcPr>
          <w:p w14:paraId="38C24570">
            <w:pPr>
              <w:spacing w:line="360" w:lineRule="auto"/>
              <w:jc w:val="left"/>
              <w:rPr>
                <w:rFonts w:ascii="宋体" w:hAnsi="宋体" w:eastAsia="宋体" w:cs="宋体"/>
                <w:snapToGrid w:val="0"/>
                <w:color w:val="auto"/>
                <w:kern w:val="0"/>
                <w:highlight w:val="none"/>
              </w:rPr>
            </w:pPr>
          </w:p>
        </w:tc>
      </w:tr>
      <w:tr w14:paraId="3AC253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0A884C63">
            <w:pPr>
              <w:spacing w:line="360" w:lineRule="auto"/>
              <w:jc w:val="center"/>
              <w:rPr>
                <w:rFonts w:ascii="宋体" w:hAnsi="宋体" w:eastAsia="宋体" w:cs="宋体"/>
                <w:snapToGrid w:val="0"/>
                <w:color w:val="auto"/>
                <w:kern w:val="0"/>
                <w:highlight w:val="none"/>
              </w:rPr>
            </w:pPr>
          </w:p>
        </w:tc>
        <w:tc>
          <w:tcPr>
            <w:tcW w:w="5387" w:type="dxa"/>
            <w:vAlign w:val="center"/>
          </w:tcPr>
          <w:p w14:paraId="375BDE42">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p>
        </w:tc>
        <w:tc>
          <w:tcPr>
            <w:tcW w:w="3247" w:type="dxa"/>
            <w:vAlign w:val="center"/>
          </w:tcPr>
          <w:p w14:paraId="1DAE221F">
            <w:pPr>
              <w:spacing w:line="360" w:lineRule="auto"/>
              <w:jc w:val="left"/>
              <w:rPr>
                <w:rFonts w:ascii="宋体" w:hAnsi="宋体" w:eastAsia="宋体" w:cs="宋体"/>
                <w:snapToGrid w:val="0"/>
                <w:color w:val="auto"/>
                <w:kern w:val="0"/>
                <w:highlight w:val="none"/>
              </w:rPr>
            </w:pPr>
          </w:p>
        </w:tc>
      </w:tr>
      <w:tr w14:paraId="2A6D1A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81" w:type="dxa"/>
            <w:vAlign w:val="center"/>
          </w:tcPr>
          <w:p w14:paraId="01046296">
            <w:pPr>
              <w:spacing w:line="360" w:lineRule="auto"/>
              <w:jc w:val="center"/>
              <w:rPr>
                <w:rFonts w:ascii="宋体" w:hAnsi="宋体" w:eastAsia="宋体" w:cs="宋体"/>
                <w:snapToGrid w:val="0"/>
                <w:color w:val="auto"/>
                <w:kern w:val="0"/>
                <w:highlight w:val="none"/>
              </w:rPr>
            </w:pPr>
          </w:p>
        </w:tc>
        <w:tc>
          <w:tcPr>
            <w:tcW w:w="5387" w:type="dxa"/>
            <w:vAlign w:val="center"/>
          </w:tcPr>
          <w:p w14:paraId="129088D3">
            <w:pPr>
              <w:spacing w:line="360" w:lineRule="auto"/>
              <w:jc w:val="left"/>
              <w:rPr>
                <w:rFonts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合计</w:t>
            </w:r>
          </w:p>
        </w:tc>
        <w:tc>
          <w:tcPr>
            <w:tcW w:w="3247" w:type="dxa"/>
            <w:vAlign w:val="center"/>
          </w:tcPr>
          <w:p w14:paraId="1092097F">
            <w:pPr>
              <w:spacing w:line="360" w:lineRule="auto"/>
              <w:jc w:val="left"/>
              <w:rPr>
                <w:rFonts w:ascii="宋体" w:hAnsi="宋体" w:eastAsia="宋体" w:cs="宋体"/>
                <w:snapToGrid w:val="0"/>
                <w:color w:val="auto"/>
                <w:kern w:val="0"/>
                <w:highlight w:val="none"/>
              </w:rPr>
            </w:pPr>
          </w:p>
        </w:tc>
      </w:tr>
    </w:tbl>
    <w:p w14:paraId="43E52E31">
      <w:pPr>
        <w:pStyle w:val="201"/>
        <w:widowControl w:val="0"/>
        <w:spacing w:before="0" w:beforeAutospacing="0" w:after="0" w:afterAutospacing="0" w:line="360" w:lineRule="auto"/>
        <w:jc w:val="center"/>
        <w:rPr>
          <w:snapToGrid w:val="0"/>
          <w:color w:val="auto"/>
          <w:sz w:val="30"/>
          <w:szCs w:val="30"/>
          <w:highlight w:val="none"/>
        </w:rPr>
      </w:pPr>
      <w:r>
        <w:rPr>
          <w:snapToGrid w:val="0"/>
          <w:color w:val="auto"/>
          <w:highlight w:val="none"/>
        </w:rPr>
        <w:br w:type="page"/>
      </w:r>
      <w:r>
        <w:rPr>
          <w:rFonts w:hint="eastAsia"/>
          <w:b/>
          <w:bCs/>
          <w:snapToGrid w:val="0"/>
          <w:color w:val="auto"/>
          <w:sz w:val="30"/>
          <w:szCs w:val="30"/>
          <w:highlight w:val="none"/>
        </w:rPr>
        <w:t>其他</w:t>
      </w:r>
    </w:p>
    <w:p w14:paraId="787C695D">
      <w:pPr>
        <w:pStyle w:val="201"/>
        <w:widowControl w:val="0"/>
        <w:adjustRightInd w:val="0"/>
        <w:snapToGrid w:val="0"/>
        <w:spacing w:before="0" w:beforeAutospacing="0" w:after="0" w:afterAutospacing="0" w:line="360" w:lineRule="auto"/>
        <w:rPr>
          <w:snapToGrid w:val="0"/>
          <w:color w:val="auto"/>
          <w:sz w:val="21"/>
          <w:szCs w:val="21"/>
          <w:highlight w:val="none"/>
        </w:rPr>
      </w:pPr>
      <w:r>
        <w:rPr>
          <w:rFonts w:hint="eastAsia"/>
          <w:snapToGrid w:val="0"/>
          <w:color w:val="auto"/>
          <w:sz w:val="21"/>
          <w:szCs w:val="21"/>
          <w:highlight w:val="none"/>
        </w:rPr>
        <w:t>其他3</w:t>
      </w:r>
    </w:p>
    <w:p w14:paraId="49CBDBA1">
      <w:pPr>
        <w:pStyle w:val="201"/>
        <w:widowControl w:val="0"/>
        <w:spacing w:before="0" w:beforeAutospacing="0" w:after="0" w:afterAutospacing="0" w:line="360" w:lineRule="auto"/>
        <w:rPr>
          <w:color w:val="auto"/>
          <w:sz w:val="44"/>
          <w:szCs w:val="44"/>
          <w:highlight w:val="none"/>
        </w:rPr>
      </w:pPr>
      <w:r>
        <w:rPr>
          <w:rFonts w:hint="eastAsia"/>
          <w:snapToGrid w:val="0"/>
          <w:color w:val="auto"/>
          <w:sz w:val="21"/>
          <w:szCs w:val="21"/>
          <w:highlight w:val="none"/>
        </w:rPr>
        <w:t>（投标人认为应补充提供的其他文件资料或说明）</w:t>
      </w:r>
      <w:r>
        <w:rPr>
          <w:snapToGrid w:val="0"/>
          <w:color w:val="auto"/>
          <w:highlight w:val="none"/>
        </w:rPr>
        <w:br w:type="page"/>
      </w:r>
    </w:p>
    <w:p w14:paraId="4AF61F0D">
      <w:pPr>
        <w:jc w:val="center"/>
        <w:rPr>
          <w:rFonts w:ascii="宋体" w:hAnsi="宋体" w:eastAsia="宋体" w:cs="宋体"/>
          <w:color w:val="auto"/>
          <w:sz w:val="44"/>
          <w:szCs w:val="44"/>
          <w:highlight w:val="none"/>
        </w:rPr>
      </w:pPr>
      <w:r>
        <w:rPr>
          <w:rFonts w:hint="eastAsia" w:ascii="宋体" w:hAnsi="宋体" w:eastAsia="宋体" w:cs="宋体"/>
          <w:color w:val="auto"/>
          <w:sz w:val="44"/>
          <w:szCs w:val="44"/>
          <w:highlight w:val="none"/>
          <w:u w:val="single"/>
        </w:rPr>
        <w:t xml:space="preserve">                        </w:t>
      </w:r>
      <w:r>
        <w:rPr>
          <w:rFonts w:hint="eastAsia" w:ascii="宋体" w:hAnsi="宋体" w:eastAsia="宋体" w:cs="宋体"/>
          <w:color w:val="auto"/>
          <w:sz w:val="44"/>
          <w:szCs w:val="44"/>
          <w:highlight w:val="none"/>
        </w:rPr>
        <w:t>工程</w:t>
      </w:r>
    </w:p>
    <w:p w14:paraId="1574EBFF">
      <w:pPr>
        <w:jc w:val="left"/>
        <w:rPr>
          <w:rFonts w:ascii="宋体" w:hAnsi="宋体" w:eastAsia="宋体" w:cs="宋体"/>
          <w:color w:val="auto"/>
          <w:highlight w:val="none"/>
        </w:rPr>
      </w:pPr>
    </w:p>
    <w:p w14:paraId="184611F8">
      <w:pPr>
        <w:jc w:val="center"/>
        <w:rPr>
          <w:rFonts w:ascii="宋体" w:hAnsi="宋体" w:eastAsia="宋体" w:cs="宋体"/>
          <w:color w:val="auto"/>
          <w:sz w:val="52"/>
          <w:szCs w:val="52"/>
          <w:highlight w:val="none"/>
        </w:rPr>
      </w:pPr>
      <w:r>
        <w:rPr>
          <w:rFonts w:hint="eastAsia" w:ascii="宋体" w:hAnsi="宋体" w:eastAsia="宋体" w:cs="宋体"/>
          <w:color w:val="auto"/>
          <w:sz w:val="52"/>
          <w:szCs w:val="52"/>
          <w:highlight w:val="none"/>
        </w:rPr>
        <w:t>投标文件</w:t>
      </w:r>
    </w:p>
    <w:p w14:paraId="4555FFBF">
      <w:pPr>
        <w:jc w:val="left"/>
        <w:rPr>
          <w:rFonts w:ascii="宋体" w:hAnsi="宋体" w:eastAsia="宋体" w:cs="宋体"/>
          <w:color w:val="auto"/>
          <w:sz w:val="44"/>
          <w:szCs w:val="44"/>
          <w:highlight w:val="none"/>
        </w:rPr>
      </w:pPr>
    </w:p>
    <w:p w14:paraId="5B9B98E5">
      <w:pPr>
        <w:jc w:val="center"/>
        <w:rPr>
          <w:rFonts w:ascii="宋体" w:hAnsi="宋体" w:eastAsia="宋体" w:cs="宋体"/>
          <w:color w:val="auto"/>
          <w:sz w:val="44"/>
          <w:szCs w:val="44"/>
          <w:highlight w:val="none"/>
        </w:rPr>
      </w:pPr>
    </w:p>
    <w:p w14:paraId="602AE693">
      <w:pPr>
        <w:jc w:val="center"/>
        <w:outlineLvl w:val="1"/>
        <w:rPr>
          <w:rFonts w:ascii="宋体" w:hAnsi="宋体" w:eastAsia="宋体" w:cs="宋体"/>
          <w:color w:val="auto"/>
          <w:sz w:val="44"/>
          <w:szCs w:val="44"/>
          <w:highlight w:val="none"/>
        </w:rPr>
      </w:pPr>
      <w:bookmarkStart w:id="75" w:name="_Toc5427"/>
      <w:bookmarkStart w:id="76" w:name="_Toc21342"/>
      <w:r>
        <w:rPr>
          <w:rFonts w:hint="eastAsia" w:ascii="宋体" w:hAnsi="宋体" w:eastAsia="宋体" w:cs="宋体"/>
          <w:color w:val="auto"/>
          <w:sz w:val="44"/>
          <w:szCs w:val="44"/>
          <w:highlight w:val="none"/>
        </w:rPr>
        <w:t>业绩文件</w:t>
      </w:r>
      <w:bookmarkEnd w:id="75"/>
      <w:bookmarkEnd w:id="76"/>
    </w:p>
    <w:p w14:paraId="7D1DCE89">
      <w:pPr>
        <w:jc w:val="center"/>
        <w:rPr>
          <w:rFonts w:ascii="宋体" w:hAnsi="宋体" w:eastAsia="宋体" w:cs="宋体"/>
          <w:color w:val="auto"/>
          <w:sz w:val="44"/>
          <w:szCs w:val="44"/>
          <w:highlight w:val="none"/>
        </w:rPr>
      </w:pPr>
    </w:p>
    <w:p w14:paraId="3BF3A0B0">
      <w:pPr>
        <w:jc w:val="center"/>
        <w:rPr>
          <w:rFonts w:ascii="宋体" w:hAnsi="宋体" w:eastAsia="宋体" w:cs="宋体"/>
          <w:color w:val="auto"/>
          <w:sz w:val="44"/>
          <w:szCs w:val="44"/>
          <w:highlight w:val="none"/>
        </w:rPr>
      </w:pPr>
    </w:p>
    <w:p w14:paraId="3095AD1A">
      <w:pPr>
        <w:jc w:val="center"/>
        <w:rPr>
          <w:rFonts w:ascii="宋体" w:hAnsi="宋体" w:eastAsia="宋体" w:cs="宋体"/>
          <w:color w:val="auto"/>
          <w:sz w:val="44"/>
          <w:szCs w:val="44"/>
          <w:highlight w:val="none"/>
        </w:rPr>
      </w:pPr>
    </w:p>
    <w:p w14:paraId="0BE9C37A">
      <w:pPr>
        <w:jc w:val="center"/>
        <w:rPr>
          <w:rFonts w:ascii="宋体" w:hAnsi="宋体" w:eastAsia="宋体" w:cs="宋体"/>
          <w:color w:val="auto"/>
          <w:sz w:val="44"/>
          <w:szCs w:val="44"/>
          <w:highlight w:val="none"/>
        </w:rPr>
      </w:pPr>
    </w:p>
    <w:p w14:paraId="2A1F2A46">
      <w:pPr>
        <w:jc w:val="center"/>
        <w:rPr>
          <w:rFonts w:ascii="宋体" w:hAnsi="宋体" w:eastAsia="宋体" w:cs="宋体"/>
          <w:color w:val="auto"/>
          <w:sz w:val="44"/>
          <w:szCs w:val="44"/>
          <w:highlight w:val="none"/>
        </w:rPr>
      </w:pPr>
    </w:p>
    <w:p w14:paraId="64037151">
      <w:pPr>
        <w:jc w:val="left"/>
        <w:rPr>
          <w:rFonts w:ascii="宋体" w:hAnsi="宋体" w:eastAsia="宋体" w:cs="宋体"/>
          <w:color w:val="auto"/>
          <w:sz w:val="44"/>
          <w:szCs w:val="44"/>
          <w:highlight w:val="none"/>
        </w:rPr>
      </w:pPr>
    </w:p>
    <w:p w14:paraId="08C51E43">
      <w:pPr>
        <w:spacing w:line="480" w:lineRule="auto"/>
        <w:ind w:firstLine="1400" w:firstLineChars="500"/>
        <w:jc w:val="lef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项目编号：_____________________________</w:t>
      </w:r>
    </w:p>
    <w:p w14:paraId="024E91DF">
      <w:pPr>
        <w:spacing w:line="480" w:lineRule="auto"/>
        <w:ind w:firstLine="1400" w:firstLineChars="500"/>
        <w:jc w:val="lef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投标人名称：___________________________</w:t>
      </w:r>
    </w:p>
    <w:p w14:paraId="24F9E36D">
      <w:pPr>
        <w:spacing w:line="480" w:lineRule="auto"/>
        <w:ind w:firstLine="1400" w:firstLineChars="500"/>
        <w:jc w:val="lef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投标人代表：___________________________</w:t>
      </w:r>
    </w:p>
    <w:p w14:paraId="2C9618CF">
      <w:pPr>
        <w:spacing w:line="480" w:lineRule="auto"/>
        <w:ind w:firstLine="1400" w:firstLineChars="500"/>
        <w:jc w:val="left"/>
        <w:rPr>
          <w:rFonts w:ascii="黑体" w:eastAsia="黑体"/>
          <w:color w:val="auto"/>
          <w:sz w:val="28"/>
          <w:szCs w:val="28"/>
          <w:highlight w:val="none"/>
        </w:rPr>
      </w:pPr>
      <w:r>
        <w:rPr>
          <w:rFonts w:hint="eastAsia" w:ascii="宋体" w:hAnsi="宋体" w:eastAsia="宋体" w:cs="宋体"/>
          <w:color w:val="auto"/>
          <w:sz w:val="28"/>
          <w:szCs w:val="28"/>
          <w:highlight w:val="none"/>
        </w:rPr>
        <w:t>投标日期：____________年_____月______日</w:t>
      </w:r>
    </w:p>
    <w:p w14:paraId="72A939F6">
      <w:pPr>
        <w:jc w:val="center"/>
        <w:rPr>
          <w:b/>
          <w:bCs/>
          <w:color w:val="auto"/>
          <w:sz w:val="32"/>
          <w:szCs w:val="32"/>
          <w:highlight w:val="none"/>
        </w:rPr>
      </w:pPr>
      <w:r>
        <w:rPr>
          <w:rFonts w:ascii="宋体" w:hAnsi="宋体"/>
          <w:color w:val="auto"/>
          <w:sz w:val="24"/>
          <w:highlight w:val="none"/>
        </w:rPr>
        <w:br w:type="page"/>
      </w:r>
      <w:r>
        <w:rPr>
          <w:rFonts w:hint="eastAsia" w:ascii="宋体" w:hAnsi="宋体" w:eastAsia="宋体" w:cs="宋体"/>
          <w:b/>
          <w:bCs/>
          <w:color w:val="auto"/>
          <w:sz w:val="32"/>
          <w:szCs w:val="32"/>
          <w:highlight w:val="none"/>
        </w:rPr>
        <w:t>业绩清单一览表</w:t>
      </w:r>
    </w:p>
    <w:p w14:paraId="6A9CDE28">
      <w:pPr>
        <w:spacing w:after="120" w:afterLines="50" w:line="500" w:lineRule="exact"/>
        <w:jc w:val="left"/>
        <w:rPr>
          <w:rFonts w:ascii="宋体" w:hAnsi="宋体" w:eastAsia="宋体" w:cs="宋体"/>
          <w:color w:val="auto"/>
          <w:szCs w:val="21"/>
          <w:highlight w:val="none"/>
        </w:rPr>
      </w:pPr>
      <w:r>
        <w:rPr>
          <w:rFonts w:hint="eastAsia" w:ascii="宋体" w:hAnsi="宋体" w:eastAsia="宋体" w:cs="宋体"/>
          <w:color w:val="auto"/>
          <w:szCs w:val="21"/>
          <w:highlight w:val="none"/>
        </w:rPr>
        <w:t>投标人名称：_____________________</w:t>
      </w:r>
    </w:p>
    <w:tbl>
      <w:tblPr>
        <w:tblStyle w:val="78"/>
        <w:tblW w:w="842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2"/>
        <w:gridCol w:w="3725"/>
        <w:gridCol w:w="850"/>
        <w:gridCol w:w="1134"/>
        <w:gridCol w:w="1276"/>
        <w:gridCol w:w="811"/>
      </w:tblGrid>
      <w:tr w14:paraId="5B38CB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632" w:type="dxa"/>
            <w:vAlign w:val="center"/>
          </w:tcPr>
          <w:p w14:paraId="740537B6">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3725" w:type="dxa"/>
            <w:vAlign w:val="center"/>
          </w:tcPr>
          <w:p w14:paraId="410A3C62">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工程名称</w:t>
            </w:r>
          </w:p>
        </w:tc>
        <w:tc>
          <w:tcPr>
            <w:tcW w:w="850" w:type="dxa"/>
          </w:tcPr>
          <w:p w14:paraId="7304E2D5">
            <w:pPr>
              <w:spacing w:before="120" w:beforeLines="5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建设地点</w:t>
            </w:r>
          </w:p>
        </w:tc>
        <w:tc>
          <w:tcPr>
            <w:tcW w:w="1134" w:type="dxa"/>
          </w:tcPr>
          <w:p w14:paraId="785D4583">
            <w:pPr>
              <w:spacing w:before="120" w:beforeLines="5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开竣工日期</w:t>
            </w:r>
          </w:p>
        </w:tc>
        <w:tc>
          <w:tcPr>
            <w:tcW w:w="1276" w:type="dxa"/>
          </w:tcPr>
          <w:p w14:paraId="08F711CF">
            <w:pPr>
              <w:spacing w:before="120" w:beforeLines="5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合同价格</w:t>
            </w:r>
          </w:p>
          <w:p w14:paraId="33F0F043">
            <w:pPr>
              <w:spacing w:before="120" w:beforeLines="50"/>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（万元）</w:t>
            </w:r>
          </w:p>
        </w:tc>
        <w:tc>
          <w:tcPr>
            <w:tcW w:w="811" w:type="dxa"/>
            <w:vAlign w:val="center"/>
          </w:tcPr>
          <w:p w14:paraId="7382A73A">
            <w:pPr>
              <w:jc w:val="center"/>
              <w:rPr>
                <w:rFonts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5C181E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32" w:type="dxa"/>
            <w:vAlign w:val="center"/>
          </w:tcPr>
          <w:p w14:paraId="41EBF456">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3725" w:type="dxa"/>
            <w:vAlign w:val="center"/>
          </w:tcPr>
          <w:p w14:paraId="7A6322FB">
            <w:pPr>
              <w:jc w:val="left"/>
              <w:rPr>
                <w:rFonts w:ascii="宋体" w:hAnsi="宋体" w:eastAsia="宋体" w:cs="宋体"/>
                <w:color w:val="auto"/>
                <w:szCs w:val="21"/>
                <w:highlight w:val="none"/>
              </w:rPr>
            </w:pPr>
          </w:p>
        </w:tc>
        <w:tc>
          <w:tcPr>
            <w:tcW w:w="850" w:type="dxa"/>
          </w:tcPr>
          <w:p w14:paraId="6F8975C3">
            <w:pPr>
              <w:jc w:val="left"/>
              <w:rPr>
                <w:rFonts w:ascii="宋体" w:hAnsi="宋体" w:eastAsia="宋体" w:cs="宋体"/>
                <w:color w:val="auto"/>
                <w:szCs w:val="21"/>
                <w:highlight w:val="none"/>
              </w:rPr>
            </w:pPr>
          </w:p>
        </w:tc>
        <w:tc>
          <w:tcPr>
            <w:tcW w:w="1134" w:type="dxa"/>
          </w:tcPr>
          <w:p w14:paraId="1BAC88B7">
            <w:pPr>
              <w:jc w:val="left"/>
              <w:rPr>
                <w:rFonts w:ascii="宋体" w:hAnsi="宋体" w:eastAsia="宋体" w:cs="宋体"/>
                <w:color w:val="auto"/>
                <w:szCs w:val="21"/>
                <w:highlight w:val="none"/>
              </w:rPr>
            </w:pPr>
          </w:p>
        </w:tc>
        <w:tc>
          <w:tcPr>
            <w:tcW w:w="1276" w:type="dxa"/>
          </w:tcPr>
          <w:p w14:paraId="75428CB8">
            <w:pPr>
              <w:jc w:val="left"/>
              <w:rPr>
                <w:rFonts w:ascii="宋体" w:hAnsi="宋体" w:eastAsia="宋体" w:cs="宋体"/>
                <w:color w:val="auto"/>
                <w:szCs w:val="21"/>
                <w:highlight w:val="none"/>
              </w:rPr>
            </w:pPr>
          </w:p>
        </w:tc>
        <w:tc>
          <w:tcPr>
            <w:tcW w:w="811" w:type="dxa"/>
            <w:vAlign w:val="center"/>
          </w:tcPr>
          <w:p w14:paraId="581E5D16">
            <w:pPr>
              <w:jc w:val="left"/>
              <w:rPr>
                <w:rFonts w:ascii="宋体" w:hAnsi="宋体" w:eastAsia="宋体" w:cs="宋体"/>
                <w:color w:val="auto"/>
                <w:szCs w:val="21"/>
                <w:highlight w:val="none"/>
              </w:rPr>
            </w:pPr>
          </w:p>
        </w:tc>
      </w:tr>
      <w:tr w14:paraId="07210C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32" w:type="dxa"/>
            <w:vAlign w:val="center"/>
          </w:tcPr>
          <w:p w14:paraId="608CA5D7">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3725" w:type="dxa"/>
            <w:vAlign w:val="center"/>
          </w:tcPr>
          <w:p w14:paraId="23C8BE1D">
            <w:pPr>
              <w:jc w:val="left"/>
              <w:rPr>
                <w:rFonts w:ascii="宋体" w:hAnsi="宋体" w:eastAsia="宋体" w:cs="宋体"/>
                <w:color w:val="auto"/>
                <w:szCs w:val="21"/>
                <w:highlight w:val="none"/>
              </w:rPr>
            </w:pPr>
          </w:p>
        </w:tc>
        <w:tc>
          <w:tcPr>
            <w:tcW w:w="850" w:type="dxa"/>
          </w:tcPr>
          <w:p w14:paraId="619E6527">
            <w:pPr>
              <w:jc w:val="left"/>
              <w:rPr>
                <w:rFonts w:ascii="宋体" w:hAnsi="宋体" w:eastAsia="宋体" w:cs="宋体"/>
                <w:color w:val="auto"/>
                <w:szCs w:val="21"/>
                <w:highlight w:val="none"/>
              </w:rPr>
            </w:pPr>
          </w:p>
        </w:tc>
        <w:tc>
          <w:tcPr>
            <w:tcW w:w="1134" w:type="dxa"/>
          </w:tcPr>
          <w:p w14:paraId="66D405C0">
            <w:pPr>
              <w:jc w:val="left"/>
              <w:rPr>
                <w:rFonts w:ascii="宋体" w:hAnsi="宋体" w:eastAsia="宋体" w:cs="宋体"/>
                <w:color w:val="auto"/>
                <w:szCs w:val="21"/>
                <w:highlight w:val="none"/>
              </w:rPr>
            </w:pPr>
          </w:p>
        </w:tc>
        <w:tc>
          <w:tcPr>
            <w:tcW w:w="1276" w:type="dxa"/>
          </w:tcPr>
          <w:p w14:paraId="68D77679">
            <w:pPr>
              <w:jc w:val="left"/>
              <w:rPr>
                <w:rFonts w:ascii="宋体" w:hAnsi="宋体" w:eastAsia="宋体" w:cs="宋体"/>
                <w:color w:val="auto"/>
                <w:szCs w:val="21"/>
                <w:highlight w:val="none"/>
              </w:rPr>
            </w:pPr>
          </w:p>
        </w:tc>
        <w:tc>
          <w:tcPr>
            <w:tcW w:w="811" w:type="dxa"/>
            <w:vAlign w:val="center"/>
          </w:tcPr>
          <w:p w14:paraId="10E2B5CA">
            <w:pPr>
              <w:jc w:val="left"/>
              <w:rPr>
                <w:rFonts w:ascii="宋体" w:hAnsi="宋体" w:eastAsia="宋体" w:cs="宋体"/>
                <w:color w:val="auto"/>
                <w:szCs w:val="21"/>
                <w:highlight w:val="none"/>
              </w:rPr>
            </w:pPr>
          </w:p>
        </w:tc>
      </w:tr>
      <w:tr w14:paraId="18346D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32" w:type="dxa"/>
            <w:vAlign w:val="center"/>
          </w:tcPr>
          <w:p w14:paraId="550989C2">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3725" w:type="dxa"/>
            <w:vAlign w:val="center"/>
          </w:tcPr>
          <w:p w14:paraId="0C5A3C15">
            <w:pPr>
              <w:jc w:val="left"/>
              <w:rPr>
                <w:rFonts w:ascii="宋体" w:hAnsi="宋体" w:eastAsia="宋体" w:cs="宋体"/>
                <w:color w:val="auto"/>
                <w:szCs w:val="21"/>
                <w:highlight w:val="none"/>
              </w:rPr>
            </w:pPr>
          </w:p>
        </w:tc>
        <w:tc>
          <w:tcPr>
            <w:tcW w:w="850" w:type="dxa"/>
          </w:tcPr>
          <w:p w14:paraId="7B654235">
            <w:pPr>
              <w:jc w:val="left"/>
              <w:rPr>
                <w:rFonts w:ascii="宋体" w:hAnsi="宋体" w:eastAsia="宋体" w:cs="宋体"/>
                <w:color w:val="auto"/>
                <w:szCs w:val="21"/>
                <w:highlight w:val="none"/>
              </w:rPr>
            </w:pPr>
          </w:p>
        </w:tc>
        <w:tc>
          <w:tcPr>
            <w:tcW w:w="1134" w:type="dxa"/>
          </w:tcPr>
          <w:p w14:paraId="12E4B8EF">
            <w:pPr>
              <w:jc w:val="left"/>
              <w:rPr>
                <w:rFonts w:ascii="宋体" w:hAnsi="宋体" w:eastAsia="宋体" w:cs="宋体"/>
                <w:color w:val="auto"/>
                <w:szCs w:val="21"/>
                <w:highlight w:val="none"/>
              </w:rPr>
            </w:pPr>
          </w:p>
        </w:tc>
        <w:tc>
          <w:tcPr>
            <w:tcW w:w="1276" w:type="dxa"/>
          </w:tcPr>
          <w:p w14:paraId="34EA659D">
            <w:pPr>
              <w:jc w:val="left"/>
              <w:rPr>
                <w:rFonts w:ascii="宋体" w:hAnsi="宋体" w:eastAsia="宋体" w:cs="宋体"/>
                <w:color w:val="auto"/>
                <w:szCs w:val="21"/>
                <w:highlight w:val="none"/>
              </w:rPr>
            </w:pPr>
          </w:p>
        </w:tc>
        <w:tc>
          <w:tcPr>
            <w:tcW w:w="811" w:type="dxa"/>
            <w:vAlign w:val="center"/>
          </w:tcPr>
          <w:p w14:paraId="7C5D7D31">
            <w:pPr>
              <w:jc w:val="left"/>
              <w:rPr>
                <w:rFonts w:ascii="宋体" w:hAnsi="宋体" w:eastAsia="宋体" w:cs="宋体"/>
                <w:color w:val="auto"/>
                <w:szCs w:val="21"/>
                <w:highlight w:val="none"/>
              </w:rPr>
            </w:pPr>
          </w:p>
        </w:tc>
      </w:tr>
      <w:tr w14:paraId="6A1F26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32" w:type="dxa"/>
            <w:vAlign w:val="center"/>
          </w:tcPr>
          <w:p w14:paraId="346DAE06">
            <w:pPr>
              <w:jc w:val="center"/>
              <w:rPr>
                <w:rFonts w:ascii="宋体" w:hAnsi="宋体" w:eastAsia="宋体" w:cs="宋体"/>
                <w:color w:val="auto"/>
                <w:szCs w:val="21"/>
                <w:highlight w:val="none"/>
              </w:rPr>
            </w:pPr>
          </w:p>
        </w:tc>
        <w:tc>
          <w:tcPr>
            <w:tcW w:w="3725" w:type="dxa"/>
            <w:vAlign w:val="center"/>
          </w:tcPr>
          <w:p w14:paraId="5A562D58">
            <w:pPr>
              <w:jc w:val="left"/>
              <w:rPr>
                <w:rFonts w:ascii="宋体" w:hAnsi="宋体" w:eastAsia="宋体" w:cs="宋体"/>
                <w:color w:val="auto"/>
                <w:szCs w:val="21"/>
                <w:highlight w:val="none"/>
              </w:rPr>
            </w:pPr>
          </w:p>
        </w:tc>
        <w:tc>
          <w:tcPr>
            <w:tcW w:w="850" w:type="dxa"/>
          </w:tcPr>
          <w:p w14:paraId="58E3D32D">
            <w:pPr>
              <w:jc w:val="left"/>
              <w:rPr>
                <w:rFonts w:ascii="宋体" w:hAnsi="宋体" w:eastAsia="宋体" w:cs="宋体"/>
                <w:color w:val="auto"/>
                <w:szCs w:val="21"/>
                <w:highlight w:val="none"/>
              </w:rPr>
            </w:pPr>
          </w:p>
        </w:tc>
        <w:tc>
          <w:tcPr>
            <w:tcW w:w="1134" w:type="dxa"/>
          </w:tcPr>
          <w:p w14:paraId="2B81B479">
            <w:pPr>
              <w:jc w:val="left"/>
              <w:rPr>
                <w:rFonts w:ascii="宋体" w:hAnsi="宋体" w:eastAsia="宋体" w:cs="宋体"/>
                <w:color w:val="auto"/>
                <w:szCs w:val="21"/>
                <w:highlight w:val="none"/>
              </w:rPr>
            </w:pPr>
          </w:p>
        </w:tc>
        <w:tc>
          <w:tcPr>
            <w:tcW w:w="1276" w:type="dxa"/>
          </w:tcPr>
          <w:p w14:paraId="699A9AFA">
            <w:pPr>
              <w:jc w:val="left"/>
              <w:rPr>
                <w:rFonts w:ascii="宋体" w:hAnsi="宋体" w:eastAsia="宋体" w:cs="宋体"/>
                <w:color w:val="auto"/>
                <w:szCs w:val="21"/>
                <w:highlight w:val="none"/>
              </w:rPr>
            </w:pPr>
          </w:p>
        </w:tc>
        <w:tc>
          <w:tcPr>
            <w:tcW w:w="811" w:type="dxa"/>
            <w:vAlign w:val="center"/>
          </w:tcPr>
          <w:p w14:paraId="0BD6B2E9">
            <w:pPr>
              <w:jc w:val="left"/>
              <w:rPr>
                <w:rFonts w:ascii="宋体" w:hAnsi="宋体" w:eastAsia="宋体" w:cs="宋体"/>
                <w:color w:val="auto"/>
                <w:szCs w:val="21"/>
                <w:highlight w:val="none"/>
              </w:rPr>
            </w:pPr>
          </w:p>
        </w:tc>
      </w:tr>
      <w:tr w14:paraId="2E7E5D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32" w:type="dxa"/>
            <w:vAlign w:val="center"/>
          </w:tcPr>
          <w:p w14:paraId="57C24700">
            <w:pPr>
              <w:jc w:val="center"/>
              <w:rPr>
                <w:rFonts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725" w:type="dxa"/>
            <w:vAlign w:val="center"/>
          </w:tcPr>
          <w:p w14:paraId="529D8ACA">
            <w:pPr>
              <w:jc w:val="left"/>
              <w:rPr>
                <w:rFonts w:ascii="宋体" w:hAnsi="宋体" w:eastAsia="宋体" w:cs="宋体"/>
                <w:color w:val="auto"/>
                <w:szCs w:val="21"/>
                <w:highlight w:val="none"/>
              </w:rPr>
            </w:pPr>
          </w:p>
        </w:tc>
        <w:tc>
          <w:tcPr>
            <w:tcW w:w="850" w:type="dxa"/>
          </w:tcPr>
          <w:p w14:paraId="0B992CDD">
            <w:pPr>
              <w:jc w:val="left"/>
              <w:rPr>
                <w:rFonts w:ascii="宋体" w:hAnsi="宋体" w:eastAsia="宋体" w:cs="宋体"/>
                <w:color w:val="auto"/>
                <w:szCs w:val="21"/>
                <w:highlight w:val="none"/>
              </w:rPr>
            </w:pPr>
          </w:p>
        </w:tc>
        <w:tc>
          <w:tcPr>
            <w:tcW w:w="1134" w:type="dxa"/>
          </w:tcPr>
          <w:p w14:paraId="63FA36F5">
            <w:pPr>
              <w:jc w:val="left"/>
              <w:rPr>
                <w:rFonts w:ascii="宋体" w:hAnsi="宋体" w:eastAsia="宋体" w:cs="宋体"/>
                <w:color w:val="auto"/>
                <w:szCs w:val="21"/>
                <w:highlight w:val="none"/>
              </w:rPr>
            </w:pPr>
          </w:p>
        </w:tc>
        <w:tc>
          <w:tcPr>
            <w:tcW w:w="1276" w:type="dxa"/>
          </w:tcPr>
          <w:p w14:paraId="016DA86E">
            <w:pPr>
              <w:jc w:val="left"/>
              <w:rPr>
                <w:rFonts w:ascii="宋体" w:hAnsi="宋体" w:eastAsia="宋体" w:cs="宋体"/>
                <w:color w:val="auto"/>
                <w:szCs w:val="21"/>
                <w:highlight w:val="none"/>
              </w:rPr>
            </w:pPr>
          </w:p>
        </w:tc>
        <w:tc>
          <w:tcPr>
            <w:tcW w:w="811" w:type="dxa"/>
            <w:vAlign w:val="center"/>
          </w:tcPr>
          <w:p w14:paraId="435A84E2">
            <w:pPr>
              <w:jc w:val="left"/>
              <w:rPr>
                <w:rFonts w:ascii="宋体" w:hAnsi="宋体" w:eastAsia="宋体" w:cs="宋体"/>
                <w:color w:val="auto"/>
                <w:szCs w:val="21"/>
                <w:highlight w:val="none"/>
              </w:rPr>
            </w:pPr>
          </w:p>
        </w:tc>
      </w:tr>
      <w:tr w14:paraId="7AE1F6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32" w:type="dxa"/>
            <w:vAlign w:val="center"/>
          </w:tcPr>
          <w:p w14:paraId="7ADBB792">
            <w:pPr>
              <w:jc w:val="center"/>
              <w:rPr>
                <w:rFonts w:ascii="宋体" w:hAnsi="宋体" w:eastAsia="宋体" w:cs="宋体"/>
                <w:color w:val="auto"/>
                <w:szCs w:val="21"/>
                <w:highlight w:val="none"/>
              </w:rPr>
            </w:pPr>
          </w:p>
        </w:tc>
        <w:tc>
          <w:tcPr>
            <w:tcW w:w="3725" w:type="dxa"/>
            <w:vAlign w:val="center"/>
          </w:tcPr>
          <w:p w14:paraId="7C37A0C0">
            <w:pPr>
              <w:jc w:val="left"/>
              <w:rPr>
                <w:rFonts w:ascii="宋体" w:hAnsi="宋体" w:eastAsia="宋体" w:cs="宋体"/>
                <w:color w:val="auto"/>
                <w:szCs w:val="21"/>
                <w:highlight w:val="none"/>
              </w:rPr>
            </w:pPr>
          </w:p>
        </w:tc>
        <w:tc>
          <w:tcPr>
            <w:tcW w:w="850" w:type="dxa"/>
          </w:tcPr>
          <w:p w14:paraId="1E1A1B70">
            <w:pPr>
              <w:jc w:val="left"/>
              <w:rPr>
                <w:rFonts w:ascii="宋体" w:hAnsi="宋体" w:eastAsia="宋体" w:cs="宋体"/>
                <w:color w:val="auto"/>
                <w:szCs w:val="21"/>
                <w:highlight w:val="none"/>
              </w:rPr>
            </w:pPr>
          </w:p>
        </w:tc>
        <w:tc>
          <w:tcPr>
            <w:tcW w:w="1134" w:type="dxa"/>
          </w:tcPr>
          <w:p w14:paraId="7137A255">
            <w:pPr>
              <w:jc w:val="left"/>
              <w:rPr>
                <w:rFonts w:ascii="宋体" w:hAnsi="宋体" w:eastAsia="宋体" w:cs="宋体"/>
                <w:color w:val="auto"/>
                <w:szCs w:val="21"/>
                <w:highlight w:val="none"/>
              </w:rPr>
            </w:pPr>
          </w:p>
        </w:tc>
        <w:tc>
          <w:tcPr>
            <w:tcW w:w="1276" w:type="dxa"/>
          </w:tcPr>
          <w:p w14:paraId="2D8C343F">
            <w:pPr>
              <w:jc w:val="left"/>
              <w:rPr>
                <w:rFonts w:ascii="宋体" w:hAnsi="宋体" w:eastAsia="宋体" w:cs="宋体"/>
                <w:color w:val="auto"/>
                <w:szCs w:val="21"/>
                <w:highlight w:val="none"/>
              </w:rPr>
            </w:pPr>
          </w:p>
        </w:tc>
        <w:tc>
          <w:tcPr>
            <w:tcW w:w="811" w:type="dxa"/>
            <w:vAlign w:val="center"/>
          </w:tcPr>
          <w:p w14:paraId="38C8CF1D">
            <w:pPr>
              <w:jc w:val="left"/>
              <w:rPr>
                <w:rFonts w:ascii="宋体" w:hAnsi="宋体" w:eastAsia="宋体" w:cs="宋体"/>
                <w:color w:val="auto"/>
                <w:szCs w:val="21"/>
                <w:highlight w:val="none"/>
              </w:rPr>
            </w:pPr>
          </w:p>
        </w:tc>
      </w:tr>
    </w:tbl>
    <w:p w14:paraId="1DC31C66">
      <w:pPr>
        <w:spacing w:line="480" w:lineRule="auto"/>
        <w:jc w:val="left"/>
        <w:rPr>
          <w:rFonts w:ascii="仿宋_GB2312" w:eastAsia="仿宋_GB2312"/>
          <w:color w:val="auto"/>
          <w:sz w:val="24"/>
          <w:szCs w:val="24"/>
          <w:highlight w:val="none"/>
        </w:rPr>
      </w:pPr>
      <w:r>
        <w:rPr>
          <w:rFonts w:ascii="仿宋_GB2312" w:eastAsia="仿宋_GB2312"/>
          <w:color w:val="auto"/>
          <w:sz w:val="24"/>
          <w:szCs w:val="24"/>
          <w:highlight w:val="none"/>
        </w:rPr>
        <w:br w:type="page"/>
      </w:r>
      <w:r>
        <w:rPr>
          <w:rFonts w:hint="eastAsia" w:ascii="仿宋_GB2312" w:eastAsia="仿宋_GB2312"/>
          <w:color w:val="auto"/>
          <w:sz w:val="24"/>
          <w:szCs w:val="24"/>
          <w:highlight w:val="none"/>
        </w:rPr>
        <w:t>业绩证明文件</w:t>
      </w:r>
    </w:p>
    <w:p w14:paraId="716F890E">
      <w:pPr>
        <w:spacing w:line="360" w:lineRule="auto"/>
        <w:jc w:val="center"/>
        <w:outlineLvl w:val="0"/>
        <w:rPr>
          <w:rFonts w:ascii="黑体" w:hAnsi="黑体" w:eastAsia="黑体" w:cs="黑体"/>
          <w:bCs/>
          <w:color w:val="auto"/>
          <w:sz w:val="32"/>
          <w:szCs w:val="32"/>
          <w:highlight w:val="none"/>
        </w:rPr>
      </w:pPr>
      <w:r>
        <w:rPr>
          <w:snapToGrid w:val="0"/>
          <w:color w:val="auto"/>
          <w:kern w:val="0"/>
          <w:highlight w:val="none"/>
        </w:rPr>
        <w:br w:type="page"/>
      </w:r>
      <w:bookmarkStart w:id="77" w:name="_Toc11888"/>
      <w:bookmarkStart w:id="78" w:name="_Toc30309"/>
      <w:r>
        <w:rPr>
          <w:rFonts w:hint="eastAsia" w:ascii="黑体" w:hAnsi="黑体" w:eastAsia="黑体" w:cs="黑体"/>
          <w:bCs/>
          <w:snapToGrid w:val="0"/>
          <w:color w:val="auto"/>
          <w:kern w:val="0"/>
          <w:sz w:val="32"/>
          <w:szCs w:val="32"/>
          <w:highlight w:val="none"/>
        </w:rPr>
        <w:t xml:space="preserve">第五章 </w:t>
      </w:r>
      <w:r>
        <w:rPr>
          <w:rFonts w:hint="eastAsia" w:ascii="黑体" w:hAnsi="黑体" w:eastAsia="黑体" w:cs="黑体"/>
          <w:bCs/>
          <w:color w:val="auto"/>
          <w:sz w:val="32"/>
          <w:szCs w:val="32"/>
          <w:highlight w:val="none"/>
        </w:rPr>
        <w:t>合同条款及格式</w:t>
      </w:r>
      <w:bookmarkEnd w:id="77"/>
      <w:bookmarkEnd w:id="78"/>
    </w:p>
    <w:p w14:paraId="5E3F9CA1">
      <w:pPr>
        <w:pStyle w:val="201"/>
        <w:widowControl w:val="0"/>
        <w:spacing w:before="0" w:beforeAutospacing="0" w:after="0" w:afterAutospacing="0" w:line="360" w:lineRule="auto"/>
        <w:rPr>
          <w:snapToGrid w:val="0"/>
          <w:color w:val="auto"/>
          <w:szCs w:val="21"/>
          <w:highlight w:val="none"/>
        </w:rPr>
      </w:pPr>
      <w:r>
        <w:rPr>
          <w:rFonts w:hint="eastAsia"/>
          <w:snapToGrid w:val="0"/>
          <w:color w:val="auto"/>
          <w:szCs w:val="21"/>
          <w:highlight w:val="none"/>
        </w:rPr>
        <w:t>合同条款</w:t>
      </w:r>
      <w:r>
        <w:rPr>
          <w:snapToGrid w:val="0"/>
          <w:color w:val="auto"/>
          <w:szCs w:val="21"/>
          <w:highlight w:val="none"/>
        </w:rPr>
        <w:br w:type="page"/>
      </w:r>
    </w:p>
    <w:p w14:paraId="23C0947C">
      <w:pPr>
        <w:spacing w:line="360" w:lineRule="auto"/>
        <w:jc w:val="center"/>
        <w:outlineLvl w:val="0"/>
        <w:rPr>
          <w:rFonts w:ascii="黑体" w:hAnsi="黑体" w:eastAsia="黑体"/>
          <w:bCs/>
          <w:color w:val="auto"/>
          <w:sz w:val="32"/>
          <w:szCs w:val="32"/>
          <w:highlight w:val="none"/>
        </w:rPr>
      </w:pPr>
      <w:bookmarkStart w:id="79" w:name="_Toc32559"/>
      <w:r>
        <w:rPr>
          <w:rFonts w:hint="eastAsia" w:ascii="黑体" w:hAnsi="黑体" w:eastAsia="黑体"/>
          <w:bCs/>
          <w:color w:val="auto"/>
          <w:sz w:val="32"/>
          <w:szCs w:val="32"/>
          <w:highlight w:val="none"/>
        </w:rPr>
        <w:t>第六章  任务书</w:t>
      </w:r>
      <w:bookmarkEnd w:id="79"/>
    </w:p>
    <w:p w14:paraId="4713958D">
      <w:pPr>
        <w:pStyle w:val="201"/>
        <w:widowControl w:val="0"/>
        <w:spacing w:before="0" w:beforeAutospacing="0" w:after="0" w:afterAutospacing="0" w:line="360" w:lineRule="auto"/>
        <w:rPr>
          <w:snapToGrid w:val="0"/>
          <w:color w:val="auto"/>
          <w:szCs w:val="21"/>
          <w:highlight w:val="none"/>
        </w:rPr>
      </w:pPr>
      <w:r>
        <w:rPr>
          <w:rFonts w:hint="eastAsia"/>
          <w:snapToGrid w:val="0"/>
          <w:color w:val="auto"/>
          <w:szCs w:val="20"/>
          <w:highlight w:val="none"/>
        </w:rPr>
        <w:t>任务书</w:t>
      </w:r>
    </w:p>
    <w:p w14:paraId="2A161077">
      <w:pPr>
        <w:rPr>
          <w:color w:val="auto"/>
          <w:highlight w:val="none"/>
        </w:rPr>
      </w:pPr>
    </w:p>
    <w:sectPr>
      <w:footerReference r:id="rId5" w:type="default"/>
      <w:pgSz w:w="11907" w:h="16839"/>
      <w:pgMar w:top="1361" w:right="1304" w:bottom="1304" w:left="1304" w:header="1247" w:footer="737" w:gutter="0"/>
      <w:cols w:space="720" w:num="1"/>
      <w:docGrid w:linePitch="380"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ˎ̥">
    <w:altName w:val="华光中圆_CNKI"/>
    <w:panose1 w:val="00000000000000000000"/>
    <w:charset w:val="00"/>
    <w:family w:val="roman"/>
    <w:pitch w:val="default"/>
    <w:sig w:usb0="00000000" w:usb1="00000000" w:usb2="00000000" w:usb3="00000000" w:csb0="00040001" w:csb1="00000000"/>
  </w:font>
  <w:font w:name="华光中圆_CNKI">
    <w:panose1 w:val="02000500000000000000"/>
    <w:charset w:val="86"/>
    <w:family w:val="auto"/>
    <w:pitch w:val="default"/>
    <w:sig w:usb0="A00002BF" w:usb1="1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59549">
    <w:pPr>
      <w:jc w:val="center"/>
    </w:pPr>
    <w:r>
      <w:fldChar w:fldCharType="begin"/>
    </w:r>
    <w:r>
      <w:instrText xml:space="preserve"> PAGE   \* MERGEFORMAT </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FAD2F">
    <w:pPr>
      <w:jc w:val="center"/>
    </w:pPr>
    <w:r>
      <w:fldChar w:fldCharType="begin"/>
    </w:r>
    <w:r>
      <w:instrText xml:space="preserve"> PAGE   \* MERGEFORMAT </w:instrText>
    </w:r>
    <w:r>
      <w:fldChar w:fldCharType="separate"/>
    </w:r>
    <w:r>
      <w:rPr>
        <w:lang w:val="zh-CN"/>
      </w:rPr>
      <w:t>40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8">
    <w:p>
      <w:r>
        <w:separator/>
      </w:r>
    </w:p>
  </w:footnote>
  <w:footnote w:type="continuationSeparator" w:id="19">
    <w:p>
      <w:r>
        <w:continuationSeparator/>
      </w:r>
    </w:p>
  </w:footnote>
  <w:footnote w:id="0">
    <w:p w14:paraId="490B8476">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[1]的具体要求源自《深圳市住房和建设局关于明确建设工程招标相关事宜的通知》第四条。</w:t>
      </w:r>
    </w:p>
  </w:footnote>
  <w:footnote w:id="1">
    <w:p w14:paraId="0029AA97">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[2]、[3]的具体要求源自《深圳市人民政府关于进一步规范建设工程招标投标活动的通知》(深府规〔2024〕8号)第三、四条。</w:t>
      </w:r>
    </w:p>
  </w:footnote>
  <w:footnote w:id="2">
    <w:p w14:paraId="21A3AFB0">
      <w:pPr>
        <w:pStyle w:val="61"/>
        <w:snapToGrid w:val="0"/>
      </w:pPr>
    </w:p>
  </w:footnote>
  <w:footnote w:id="3">
    <w:p w14:paraId="0E532169">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[4]的具体要求源自《深圳市人民政府关于进一步规范建设工程招标投标活动的通知》(深府规〔2024〕8号)第七条。</w:t>
      </w:r>
    </w:p>
    <w:p w14:paraId="37026D36">
      <w:pPr>
        <w:pStyle w:val="61"/>
        <w:snapToGrid w:val="0"/>
      </w:pPr>
    </w:p>
  </w:footnote>
  <w:footnote w:id="4">
    <w:p w14:paraId="50697981">
      <w:pPr>
        <w:adjustRightInd w:val="0"/>
        <w:snapToGrid w:val="0"/>
        <w:ind w:firstLine="420" w:firstLineChars="200"/>
      </w:pPr>
      <w:r>
        <w:rPr>
          <w:rFonts w:hint="eastAsia" w:ascii="宋体" w:hAnsi="宋体" w:eastAsia="宋体" w:cs="宋体"/>
          <w:color w:val="000000" w:themeColor="text1"/>
          <w:szCs w:val="21"/>
          <w:lang w:val="en-US" w:eastAsia="zh-CN"/>
          <w14:textFill>
            <w14:solidFill>
              <w14:schemeClr w14:val="tx1"/>
            </w14:solidFill>
          </w14:textFill>
        </w:rPr>
        <w:t>[5]的具体要求源自《深圳市住房和建设局关于进一步规范招标投标有关事宜的通知》（深建市场〔2022〕4号）第三条。</w:t>
      </w:r>
    </w:p>
    <w:p w14:paraId="28DEA54D">
      <w:pPr>
        <w:pStyle w:val="61"/>
        <w:snapToGrid w:val="0"/>
      </w:pPr>
    </w:p>
  </w:footnote>
  <w:footnote w:id="5">
    <w:p w14:paraId="6155D751">
      <w:pPr>
        <w:adjustRightInd w:val="0"/>
        <w:snapToGrid w:val="0"/>
        <w:ind w:firstLine="0" w:firstLineChars="0"/>
      </w:pPr>
      <w:r>
        <w:rPr>
          <w:rFonts w:hint="eastAsia" w:ascii="宋体" w:hAnsi="宋体" w:eastAsia="宋体" w:cs="宋体"/>
          <w:color w:val="000000" w:themeColor="text1"/>
          <w:szCs w:val="21"/>
          <w:lang w:val="en-US" w:eastAsia="zh-CN"/>
          <w14:textFill>
            <w14:solidFill>
              <w14:schemeClr w14:val="tx1"/>
            </w14:solidFill>
          </w14:textFill>
        </w:rPr>
        <w:t>[6]-[8]的具体要求源自《深圳市人民政府关于进一步规范建设工程招标投标活动的通知》(深府规〔2024〕8号)第五、七、九条，以及《深圳市人民政府印发关于建设工程招标投标改革若干规定的通</w:t>
      </w:r>
    </w:p>
  </w:footnote>
  <w:footnote w:id="6">
    <w:p w14:paraId="6A6AF5B2">
      <w:pPr>
        <w:adjustRightInd w:val="0"/>
        <w:snapToGrid w:val="0"/>
        <w:ind w:firstLine="0" w:firstLineChars="0"/>
        <w:rPr>
          <w:rFonts w:hint="default"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知》（深府〔2015〕73号）第四十七条。</w:t>
      </w:r>
    </w:p>
  </w:footnote>
  <w:footnote w:id="7">
    <w:p w14:paraId="55EE332D">
      <w:pPr>
        <w:pStyle w:val="61"/>
        <w:snapToGrid w:val="0"/>
      </w:pPr>
    </w:p>
  </w:footnote>
  <w:footnote w:id="8">
    <w:p w14:paraId="7D67CAC0">
      <w:pPr>
        <w:adjustRightInd w:val="0"/>
        <w:snapToGrid w:val="0"/>
        <w:ind w:firstLine="420" w:firstLineChars="200"/>
        <w:rPr>
          <w:rFonts w:hint="default" w:ascii="宋体" w:hAnsi="宋体" w:eastAsia="宋体" w:cs="宋体"/>
          <w:color w:val="000000" w:themeColor="text1"/>
          <w:szCs w:val="21"/>
          <w:lang w:val="en-US" w:eastAsia="zh-CN"/>
          <w14:textFill>
            <w14:solidFill>
              <w14:schemeClr w14:val="tx1"/>
            </w14:solidFill>
          </w14:textFill>
        </w:rPr>
      </w:pPr>
      <w:r>
        <w:t xml:space="preserve"> </w:t>
      </w:r>
      <w:r>
        <w:rPr>
          <w:rFonts w:hint="eastAsia" w:ascii="宋体" w:hAnsi="宋体" w:eastAsia="宋体" w:cs="宋体"/>
          <w:color w:val="000000" w:themeColor="text1"/>
          <w:szCs w:val="21"/>
          <w:lang w:val="en-US" w:eastAsia="zh-CN"/>
          <w14:textFill>
            <w14:solidFill>
              <w14:schemeClr w14:val="tx1"/>
            </w14:solidFill>
          </w14:textFill>
        </w:rPr>
        <w:t>[9]的具体要求源自《深圳市人民政府关于进一步规范建设工程招标投标活动的通知》(深府规〔2024〕8号)第九条。</w:t>
      </w:r>
    </w:p>
    <w:p w14:paraId="68C1129D">
      <w:pPr>
        <w:pStyle w:val="61"/>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2DB9B4"/>
    <w:multiLevelType w:val="singleLevel"/>
    <w:tmpl w:val="EE2DB9B4"/>
    <w:lvl w:ilvl="0" w:tentative="0">
      <w:start w:val="4"/>
      <w:numFmt w:val="chineseCounting"/>
      <w:suff w:val="nothing"/>
      <w:lvlText w:val="%1、"/>
      <w:lvlJc w:val="left"/>
      <w:rPr>
        <w:rFonts w:hint="eastAsia"/>
      </w:rPr>
    </w:lvl>
  </w:abstractNum>
  <w:abstractNum w:abstractNumId="1">
    <w:nsid w:val="FFFFFF7C"/>
    <w:multiLevelType w:val="singleLevel"/>
    <w:tmpl w:val="FFFFFF7C"/>
    <w:lvl w:ilvl="0" w:tentative="0">
      <w:start w:val="1"/>
      <w:numFmt w:val="decimal"/>
      <w:pStyle w:val="59"/>
      <w:lvlText w:val="%1."/>
      <w:lvlJc w:val="left"/>
      <w:pPr>
        <w:tabs>
          <w:tab w:val="left" w:pos="2040"/>
        </w:tabs>
        <w:ind w:left="2040" w:hanging="360"/>
      </w:pPr>
    </w:lvl>
  </w:abstractNum>
  <w:abstractNum w:abstractNumId="2">
    <w:nsid w:val="FFFFFF7D"/>
    <w:multiLevelType w:val="singleLevel"/>
    <w:tmpl w:val="FFFFFF7D"/>
    <w:lvl w:ilvl="0" w:tentative="0">
      <w:start w:val="1"/>
      <w:numFmt w:val="decimal"/>
      <w:pStyle w:val="43"/>
      <w:lvlText w:val="%1."/>
      <w:lvlJc w:val="left"/>
      <w:pPr>
        <w:tabs>
          <w:tab w:val="left" w:pos="1620"/>
        </w:tabs>
        <w:ind w:left="1620" w:hanging="360"/>
      </w:pPr>
    </w:lvl>
  </w:abstractNum>
  <w:abstractNum w:abstractNumId="3">
    <w:nsid w:val="FFFFFF7E"/>
    <w:multiLevelType w:val="singleLevel"/>
    <w:tmpl w:val="FFFFFF7E"/>
    <w:lvl w:ilvl="0" w:tentative="0">
      <w:start w:val="1"/>
      <w:numFmt w:val="decimal"/>
      <w:pStyle w:val="32"/>
      <w:lvlText w:val="%1."/>
      <w:lvlJc w:val="left"/>
      <w:pPr>
        <w:tabs>
          <w:tab w:val="left" w:pos="1200"/>
        </w:tabs>
        <w:ind w:left="1200" w:hanging="360"/>
      </w:pPr>
    </w:lvl>
  </w:abstractNum>
  <w:abstractNum w:abstractNumId="4">
    <w:nsid w:val="FFFFFF7F"/>
    <w:multiLevelType w:val="singleLevel"/>
    <w:tmpl w:val="FFFFFF7F"/>
    <w:lvl w:ilvl="0" w:tentative="0">
      <w:start w:val="1"/>
      <w:numFmt w:val="decimal"/>
      <w:pStyle w:val="13"/>
      <w:lvlText w:val="%1."/>
      <w:lvlJc w:val="left"/>
      <w:pPr>
        <w:tabs>
          <w:tab w:val="left" w:pos="780"/>
        </w:tabs>
        <w:ind w:left="780" w:hanging="360"/>
      </w:pPr>
    </w:lvl>
  </w:abstractNum>
  <w:abstractNum w:abstractNumId="5">
    <w:nsid w:val="FFFFFF80"/>
    <w:multiLevelType w:val="singleLevel"/>
    <w:tmpl w:val="FFFFFF80"/>
    <w:lvl w:ilvl="0" w:tentative="0">
      <w:start w:val="1"/>
      <w:numFmt w:val="bullet"/>
      <w:lvlText w:val=""/>
      <w:lvlJc w:val="left"/>
      <w:pPr>
        <w:tabs>
          <w:tab w:val="left" w:pos="2040"/>
        </w:tabs>
        <w:ind w:left="2040" w:hanging="360"/>
      </w:pPr>
      <w:rPr>
        <w:rFonts w:hint="default" w:ascii="Wingdings" w:hAnsi="Wingdings"/>
      </w:rPr>
    </w:lvl>
  </w:abstractNum>
  <w:abstractNum w:abstractNumId="6">
    <w:nsid w:val="FFFFFF81"/>
    <w:multiLevelType w:val="singleLevel"/>
    <w:tmpl w:val="FFFFFF81"/>
    <w:lvl w:ilvl="0" w:tentative="0">
      <w:start w:val="1"/>
      <w:numFmt w:val="bullet"/>
      <w:pStyle w:val="15"/>
      <w:lvlText w:val=""/>
      <w:lvlJc w:val="left"/>
      <w:pPr>
        <w:tabs>
          <w:tab w:val="left" w:pos="1620"/>
        </w:tabs>
        <w:ind w:left="1620" w:hanging="360"/>
      </w:pPr>
      <w:rPr>
        <w:rFonts w:hint="default" w:ascii="Wingdings" w:hAnsi="Wingdings"/>
      </w:rPr>
    </w:lvl>
  </w:abstractNum>
  <w:abstractNum w:abstractNumId="7">
    <w:nsid w:val="FFFFFF82"/>
    <w:multiLevelType w:val="singleLevel"/>
    <w:tmpl w:val="FFFFFF82"/>
    <w:lvl w:ilvl="0" w:tentative="0">
      <w:start w:val="1"/>
      <w:numFmt w:val="bullet"/>
      <w:pStyle w:val="29"/>
      <w:lvlText w:val=""/>
      <w:lvlJc w:val="left"/>
      <w:pPr>
        <w:tabs>
          <w:tab w:val="left" w:pos="1200"/>
        </w:tabs>
        <w:ind w:left="1200" w:hanging="360"/>
      </w:pPr>
      <w:rPr>
        <w:rFonts w:hint="default" w:ascii="Wingdings" w:hAnsi="Wingdings"/>
      </w:rPr>
    </w:lvl>
  </w:abstractNum>
  <w:abstractNum w:abstractNumId="8">
    <w:nsid w:val="FFFFFF83"/>
    <w:multiLevelType w:val="singleLevel"/>
    <w:tmpl w:val="FFFFFF83"/>
    <w:lvl w:ilvl="0" w:tentative="0">
      <w:start w:val="1"/>
      <w:numFmt w:val="bullet"/>
      <w:pStyle w:val="36"/>
      <w:lvlText w:val=""/>
      <w:lvlJc w:val="left"/>
      <w:pPr>
        <w:tabs>
          <w:tab w:val="left" w:pos="780"/>
        </w:tabs>
        <w:ind w:left="780" w:hanging="360"/>
      </w:pPr>
      <w:rPr>
        <w:rFonts w:hint="default" w:ascii="Wingdings" w:hAnsi="Wingdings"/>
      </w:rPr>
    </w:lvl>
  </w:abstractNum>
  <w:abstractNum w:abstractNumId="9">
    <w:nsid w:val="FFFFFF88"/>
    <w:multiLevelType w:val="singleLevel"/>
    <w:tmpl w:val="FFFFFF88"/>
    <w:lvl w:ilvl="0" w:tentative="0">
      <w:start w:val="1"/>
      <w:numFmt w:val="decimal"/>
      <w:pStyle w:val="18"/>
      <w:lvlText w:val="%1."/>
      <w:lvlJc w:val="left"/>
      <w:pPr>
        <w:tabs>
          <w:tab w:val="left" w:pos="360"/>
        </w:tabs>
        <w:ind w:left="360" w:hanging="360"/>
      </w:pPr>
    </w:lvl>
  </w:abstractNum>
  <w:abstractNum w:abstractNumId="10">
    <w:nsid w:val="FFFFFF89"/>
    <w:multiLevelType w:val="singleLevel"/>
    <w:tmpl w:val="FFFFFF89"/>
    <w:lvl w:ilvl="0" w:tentative="0">
      <w:start w:val="1"/>
      <w:numFmt w:val="bullet"/>
      <w:pStyle w:val="20"/>
      <w:lvlText w:val=""/>
      <w:lvlJc w:val="left"/>
      <w:pPr>
        <w:tabs>
          <w:tab w:val="left" w:pos="360"/>
        </w:tabs>
        <w:ind w:left="360" w:hanging="360"/>
      </w:pPr>
      <w:rPr>
        <w:rFonts w:hint="default" w:ascii="Wingdings" w:hAnsi="Wingdings"/>
      </w:rPr>
    </w:lvl>
  </w:abstractNum>
  <w:abstractNum w:abstractNumId="11">
    <w:nsid w:val="39B864AE"/>
    <w:multiLevelType w:val="singleLevel"/>
    <w:tmpl w:val="39B864AE"/>
    <w:lvl w:ilvl="0" w:tentative="0">
      <w:start w:val="9"/>
      <w:numFmt w:val="chineseCounting"/>
      <w:suff w:val="nothing"/>
      <w:lvlText w:val="%1、"/>
      <w:lvlJc w:val="left"/>
      <w:rPr>
        <w:rFonts w:hint="eastAsia"/>
      </w:rPr>
    </w:lvl>
  </w:abstractNum>
  <w:abstractNum w:abstractNumId="12">
    <w:nsid w:val="628BE10E"/>
    <w:multiLevelType w:val="singleLevel"/>
    <w:tmpl w:val="628BE10E"/>
    <w:lvl w:ilvl="0" w:tentative="0">
      <w:start w:val="1"/>
      <w:numFmt w:val="chineseCounting"/>
      <w:suff w:val="nothing"/>
      <w:lvlText w:val="%1、"/>
      <w:lvlJc w:val="left"/>
      <w:rPr>
        <w:rFonts w:hint="eastAsia"/>
      </w:rPr>
    </w:lvl>
  </w:abstractNum>
  <w:num w:numId="1">
    <w:abstractNumId w:val="5"/>
  </w:num>
  <w:num w:numId="2">
    <w:abstractNumId w:val="4"/>
  </w:num>
  <w:num w:numId="3">
    <w:abstractNumId w:val="6"/>
  </w:num>
  <w:num w:numId="4">
    <w:abstractNumId w:val="9"/>
  </w:num>
  <w:num w:numId="5">
    <w:abstractNumId w:val="10"/>
  </w:num>
  <w:num w:numId="6">
    <w:abstractNumId w:val="7"/>
  </w:num>
  <w:num w:numId="7">
    <w:abstractNumId w:val="3"/>
  </w:num>
  <w:num w:numId="8">
    <w:abstractNumId w:val="8"/>
  </w:num>
  <w:num w:numId="9">
    <w:abstractNumId w:val="2"/>
  </w:num>
  <w:num w:numId="10">
    <w:abstractNumId w:val="1"/>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18"/>
    <w:footnote w:id="19"/>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RmOTMwMTRjZDY4NTcwNWRkYzc5MjI4ZThkNzIyOGUifQ=="/>
    <w:docVar w:name="KSO_WPS_MARK_KEY" w:val="4e3a8cf8-1c66-4795-9633-b2ed008a1dfd"/>
  </w:docVars>
  <w:rsids>
    <w:rsidRoot w:val="009E37AA"/>
    <w:rsid w:val="00005A05"/>
    <w:rsid w:val="000C2473"/>
    <w:rsid w:val="000F2AFF"/>
    <w:rsid w:val="001853B1"/>
    <w:rsid w:val="001D0B11"/>
    <w:rsid w:val="001D4CB8"/>
    <w:rsid w:val="002D0A40"/>
    <w:rsid w:val="004611A2"/>
    <w:rsid w:val="005651E2"/>
    <w:rsid w:val="00572956"/>
    <w:rsid w:val="006163EE"/>
    <w:rsid w:val="00641459"/>
    <w:rsid w:val="0084496D"/>
    <w:rsid w:val="009E37AA"/>
    <w:rsid w:val="00A1782B"/>
    <w:rsid w:val="00A51EB6"/>
    <w:rsid w:val="00A615FD"/>
    <w:rsid w:val="00A97177"/>
    <w:rsid w:val="00BB4731"/>
    <w:rsid w:val="00C55466"/>
    <w:rsid w:val="00C6526C"/>
    <w:rsid w:val="00C66145"/>
    <w:rsid w:val="00DF73EB"/>
    <w:rsid w:val="00E1509A"/>
    <w:rsid w:val="00FC7A5D"/>
    <w:rsid w:val="00FF2678"/>
    <w:rsid w:val="021F7DC1"/>
    <w:rsid w:val="028A5A0C"/>
    <w:rsid w:val="02B567B1"/>
    <w:rsid w:val="035D77C5"/>
    <w:rsid w:val="035E4F4B"/>
    <w:rsid w:val="036C316D"/>
    <w:rsid w:val="03E70A2F"/>
    <w:rsid w:val="043842DD"/>
    <w:rsid w:val="04D87AD6"/>
    <w:rsid w:val="04F24296"/>
    <w:rsid w:val="05A86320"/>
    <w:rsid w:val="06054F32"/>
    <w:rsid w:val="06E538D1"/>
    <w:rsid w:val="06FB0063"/>
    <w:rsid w:val="09E46395"/>
    <w:rsid w:val="0AE81120"/>
    <w:rsid w:val="0AF17FE6"/>
    <w:rsid w:val="0BE268FE"/>
    <w:rsid w:val="0C4C7F17"/>
    <w:rsid w:val="0CF76DF0"/>
    <w:rsid w:val="0DFF00C8"/>
    <w:rsid w:val="0EC00B7E"/>
    <w:rsid w:val="0EDC35DC"/>
    <w:rsid w:val="0EEB4CB7"/>
    <w:rsid w:val="0EF55380"/>
    <w:rsid w:val="0F16079E"/>
    <w:rsid w:val="108A00B8"/>
    <w:rsid w:val="12082111"/>
    <w:rsid w:val="12B02CB8"/>
    <w:rsid w:val="14887A48"/>
    <w:rsid w:val="15B533FA"/>
    <w:rsid w:val="16845A71"/>
    <w:rsid w:val="1770695F"/>
    <w:rsid w:val="17891C32"/>
    <w:rsid w:val="17CF3BE0"/>
    <w:rsid w:val="18F45C7C"/>
    <w:rsid w:val="1A197F51"/>
    <w:rsid w:val="1A4B2257"/>
    <w:rsid w:val="1A6F3322"/>
    <w:rsid w:val="1AA86650"/>
    <w:rsid w:val="1B1B6B02"/>
    <w:rsid w:val="1C9A68FF"/>
    <w:rsid w:val="1CA165F6"/>
    <w:rsid w:val="1EA858AB"/>
    <w:rsid w:val="218311C4"/>
    <w:rsid w:val="21B779EC"/>
    <w:rsid w:val="22452561"/>
    <w:rsid w:val="22FF446C"/>
    <w:rsid w:val="23547CEF"/>
    <w:rsid w:val="246B3175"/>
    <w:rsid w:val="24B65C94"/>
    <w:rsid w:val="24B921D0"/>
    <w:rsid w:val="24DC1605"/>
    <w:rsid w:val="24F065F8"/>
    <w:rsid w:val="250F7D12"/>
    <w:rsid w:val="25D15273"/>
    <w:rsid w:val="27194C9F"/>
    <w:rsid w:val="27865514"/>
    <w:rsid w:val="2835183D"/>
    <w:rsid w:val="28654619"/>
    <w:rsid w:val="294837F2"/>
    <w:rsid w:val="29D4148D"/>
    <w:rsid w:val="2A037491"/>
    <w:rsid w:val="2A064DDE"/>
    <w:rsid w:val="2AB56638"/>
    <w:rsid w:val="2AEE2585"/>
    <w:rsid w:val="2B08627E"/>
    <w:rsid w:val="2BFB97F7"/>
    <w:rsid w:val="2C0D61EB"/>
    <w:rsid w:val="2EBF87B4"/>
    <w:rsid w:val="3098562B"/>
    <w:rsid w:val="310B4B01"/>
    <w:rsid w:val="31F23214"/>
    <w:rsid w:val="32B57E0C"/>
    <w:rsid w:val="35173248"/>
    <w:rsid w:val="351A119D"/>
    <w:rsid w:val="359672BF"/>
    <w:rsid w:val="35AC108D"/>
    <w:rsid w:val="371B2CF2"/>
    <w:rsid w:val="37342DC7"/>
    <w:rsid w:val="380B5CF2"/>
    <w:rsid w:val="38865ED0"/>
    <w:rsid w:val="389105A5"/>
    <w:rsid w:val="395938C2"/>
    <w:rsid w:val="39A100F5"/>
    <w:rsid w:val="3A865F28"/>
    <w:rsid w:val="3CFC1279"/>
    <w:rsid w:val="3D246FB4"/>
    <w:rsid w:val="3D414A15"/>
    <w:rsid w:val="3E3619EC"/>
    <w:rsid w:val="3EEF0A5A"/>
    <w:rsid w:val="3F010273"/>
    <w:rsid w:val="40BD1796"/>
    <w:rsid w:val="415B71D8"/>
    <w:rsid w:val="422D52B6"/>
    <w:rsid w:val="43060B96"/>
    <w:rsid w:val="435370FC"/>
    <w:rsid w:val="43CF5AD0"/>
    <w:rsid w:val="44B46C68"/>
    <w:rsid w:val="44C04830"/>
    <w:rsid w:val="4560700C"/>
    <w:rsid w:val="460D4464"/>
    <w:rsid w:val="48466C2D"/>
    <w:rsid w:val="487C2E4A"/>
    <w:rsid w:val="49370CFF"/>
    <w:rsid w:val="4B0B48FD"/>
    <w:rsid w:val="4CBB0034"/>
    <w:rsid w:val="4D6F662D"/>
    <w:rsid w:val="4EEF5F47"/>
    <w:rsid w:val="500132DE"/>
    <w:rsid w:val="515A43B7"/>
    <w:rsid w:val="51770C31"/>
    <w:rsid w:val="51F15F26"/>
    <w:rsid w:val="52D337BC"/>
    <w:rsid w:val="53C27350"/>
    <w:rsid w:val="54C14C9E"/>
    <w:rsid w:val="56FF77C3"/>
    <w:rsid w:val="57B36157"/>
    <w:rsid w:val="57C15E41"/>
    <w:rsid w:val="59627EF9"/>
    <w:rsid w:val="597BD27A"/>
    <w:rsid w:val="598A2568"/>
    <w:rsid w:val="598A2B7E"/>
    <w:rsid w:val="59D740E7"/>
    <w:rsid w:val="59E12A44"/>
    <w:rsid w:val="59F035D7"/>
    <w:rsid w:val="5A071F85"/>
    <w:rsid w:val="5B6C4E89"/>
    <w:rsid w:val="5B94575D"/>
    <w:rsid w:val="5BAC0EFC"/>
    <w:rsid w:val="5BEA3436"/>
    <w:rsid w:val="5E956882"/>
    <w:rsid w:val="5EFE26C7"/>
    <w:rsid w:val="5FF93A47"/>
    <w:rsid w:val="60850BE2"/>
    <w:rsid w:val="60936B26"/>
    <w:rsid w:val="60D976C4"/>
    <w:rsid w:val="610A61B4"/>
    <w:rsid w:val="61350014"/>
    <w:rsid w:val="62C95105"/>
    <w:rsid w:val="62F67840"/>
    <w:rsid w:val="65065357"/>
    <w:rsid w:val="65CB79F0"/>
    <w:rsid w:val="65FE51AF"/>
    <w:rsid w:val="66287D10"/>
    <w:rsid w:val="663A0BE7"/>
    <w:rsid w:val="669265A4"/>
    <w:rsid w:val="67FF1C80"/>
    <w:rsid w:val="68AD6DD9"/>
    <w:rsid w:val="68EB54A9"/>
    <w:rsid w:val="69333369"/>
    <w:rsid w:val="69426E0D"/>
    <w:rsid w:val="697149FB"/>
    <w:rsid w:val="6A0116AB"/>
    <w:rsid w:val="6A242EE4"/>
    <w:rsid w:val="6B80704B"/>
    <w:rsid w:val="6BFF591A"/>
    <w:rsid w:val="6C242CA5"/>
    <w:rsid w:val="6C4176AF"/>
    <w:rsid w:val="6D8E6FF3"/>
    <w:rsid w:val="6E1F0FF2"/>
    <w:rsid w:val="6F2A2D4B"/>
    <w:rsid w:val="6F82431A"/>
    <w:rsid w:val="7066544C"/>
    <w:rsid w:val="728F134A"/>
    <w:rsid w:val="72A44C69"/>
    <w:rsid w:val="72FB67E8"/>
    <w:rsid w:val="733C326A"/>
    <w:rsid w:val="742171AE"/>
    <w:rsid w:val="74AF7D41"/>
    <w:rsid w:val="74D91599"/>
    <w:rsid w:val="76171077"/>
    <w:rsid w:val="77266CAE"/>
    <w:rsid w:val="77E432C2"/>
    <w:rsid w:val="78017D52"/>
    <w:rsid w:val="78123E4B"/>
    <w:rsid w:val="79355037"/>
    <w:rsid w:val="7AB10BF1"/>
    <w:rsid w:val="7B7B319C"/>
    <w:rsid w:val="7BDF70D9"/>
    <w:rsid w:val="7BDFAAA4"/>
    <w:rsid w:val="7C000C30"/>
    <w:rsid w:val="7C19682E"/>
    <w:rsid w:val="7CBB318C"/>
    <w:rsid w:val="7DA47889"/>
    <w:rsid w:val="7DD67A09"/>
    <w:rsid w:val="7F3B0401"/>
    <w:rsid w:val="7F5933DC"/>
    <w:rsid w:val="FFDF4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name="index heading"/>
    <w:lsdException w:qFormat="1" w:uiPriority="35" w:name="caption"/>
    <w:lsdException w:uiPriority="99" w:name="table of figures"/>
    <w:lsdException w:qFormat="1" w:unhideWhenUsed="0" w:uiPriority="0" w:name="envelope address"/>
    <w:lsdException w:qFormat="1" w:unhideWhenUsed="0" w:uiPriority="0" w:name="envelope return"/>
    <w:lsdException w:qFormat="1" w:uiPriority="99" w:name="footnote reference"/>
    <w:lsdException w:qFormat="1" w:unhideWhenUsed="0" w:uiPriority="0" w:name="annotation reference"/>
    <w:lsdException w:qFormat="1" w:unhideWhenUsed="0" w:uiPriority="0"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semiHidden="0" w:name="Body Text"/>
    <w:lsdException w:qFormat="1" w:uiPriority="99" w:semiHidden="0"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semiHidden="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iPriority="0" w:semiHidden="0" w:name="Plain Text"/>
    <w:lsdException w:qFormat="1" w:unhideWhenUsed="0" w:uiPriority="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6"/>
    <w:qFormat/>
    <w:uiPriority w:val="0"/>
    <w:pPr>
      <w:jc w:val="center"/>
      <w:outlineLvl w:val="0"/>
    </w:pPr>
    <w:rPr>
      <w:rFonts w:ascii="Times New Roman" w:hAnsi="Times New Roman" w:eastAsia="宋体" w:cs="Calibri"/>
      <w:b/>
      <w:kern w:val="0"/>
      <w:sz w:val="32"/>
      <w:szCs w:val="20"/>
    </w:rPr>
  </w:style>
  <w:style w:type="paragraph" w:styleId="3">
    <w:name w:val="heading 2"/>
    <w:basedOn w:val="1"/>
    <w:next w:val="1"/>
    <w:link w:val="137"/>
    <w:qFormat/>
    <w:uiPriority w:val="0"/>
    <w:pPr>
      <w:numPr>
        <w:ilvl w:val="1"/>
        <w:numId w:val="1"/>
      </w:numPr>
      <w:tabs>
        <w:tab w:val="left" w:pos="2040"/>
      </w:tabs>
      <w:spacing w:before="240" w:after="240" w:line="480" w:lineRule="auto"/>
      <w:ind w:left="0" w:firstLine="0"/>
      <w:jc w:val="center"/>
      <w:outlineLvl w:val="1"/>
    </w:pPr>
    <w:rPr>
      <w:rFonts w:ascii="Times New Roman" w:hAnsi="Times New Roman" w:eastAsia="宋体" w:cs="Calibri"/>
      <w:b/>
      <w:kern w:val="0"/>
      <w:sz w:val="28"/>
      <w:szCs w:val="20"/>
    </w:rPr>
  </w:style>
  <w:style w:type="paragraph" w:styleId="4">
    <w:name w:val="heading 3"/>
    <w:basedOn w:val="1"/>
    <w:next w:val="1"/>
    <w:link w:val="138"/>
    <w:qFormat/>
    <w:uiPriority w:val="0"/>
    <w:pPr>
      <w:numPr>
        <w:ilvl w:val="2"/>
        <w:numId w:val="1"/>
      </w:numPr>
      <w:tabs>
        <w:tab w:val="left" w:pos="2040"/>
      </w:tabs>
      <w:spacing w:before="240" w:after="240"/>
      <w:ind w:left="720" w:hanging="432"/>
      <w:outlineLvl w:val="2"/>
    </w:pPr>
    <w:rPr>
      <w:rFonts w:ascii="Times New Roman" w:hAnsi="Times New Roman" w:eastAsia="宋体" w:cs="Calibri"/>
      <w:b/>
      <w:kern w:val="0"/>
      <w:sz w:val="24"/>
      <w:szCs w:val="20"/>
    </w:rPr>
  </w:style>
  <w:style w:type="paragraph" w:styleId="5">
    <w:name w:val="heading 4"/>
    <w:basedOn w:val="1"/>
    <w:next w:val="1"/>
    <w:link w:val="139"/>
    <w:qFormat/>
    <w:uiPriority w:val="0"/>
    <w:pPr>
      <w:numPr>
        <w:ilvl w:val="3"/>
        <w:numId w:val="1"/>
      </w:numPr>
      <w:tabs>
        <w:tab w:val="left" w:pos="2040"/>
      </w:tabs>
      <w:spacing w:before="120" w:after="120"/>
      <w:ind w:left="864" w:hanging="144"/>
      <w:outlineLvl w:val="3"/>
    </w:pPr>
    <w:rPr>
      <w:rFonts w:ascii="Times New Roman" w:hAnsi="Times New Roman" w:eastAsia="宋体" w:cs="Calibri"/>
      <w:b/>
      <w:kern w:val="0"/>
      <w:sz w:val="22"/>
      <w:szCs w:val="20"/>
    </w:rPr>
  </w:style>
  <w:style w:type="paragraph" w:styleId="6">
    <w:name w:val="heading 5"/>
    <w:basedOn w:val="1"/>
    <w:next w:val="1"/>
    <w:link w:val="140"/>
    <w:qFormat/>
    <w:uiPriority w:val="0"/>
    <w:pPr>
      <w:numPr>
        <w:ilvl w:val="4"/>
        <w:numId w:val="1"/>
      </w:numPr>
      <w:tabs>
        <w:tab w:val="left" w:pos="2040"/>
      </w:tabs>
      <w:ind w:left="1008" w:hanging="432"/>
      <w:outlineLvl w:val="4"/>
    </w:pPr>
    <w:rPr>
      <w:rFonts w:ascii="Times New Roman" w:hAnsi="Times New Roman" w:eastAsia="宋体" w:cs="Calibri"/>
      <w:kern w:val="0"/>
      <w:sz w:val="20"/>
      <w:szCs w:val="20"/>
    </w:rPr>
  </w:style>
  <w:style w:type="paragraph" w:styleId="7">
    <w:name w:val="heading 6"/>
    <w:basedOn w:val="1"/>
    <w:next w:val="1"/>
    <w:link w:val="141"/>
    <w:qFormat/>
    <w:uiPriority w:val="0"/>
    <w:pPr>
      <w:numPr>
        <w:ilvl w:val="5"/>
        <w:numId w:val="1"/>
      </w:numPr>
      <w:tabs>
        <w:tab w:val="left" w:pos="2040"/>
      </w:tabs>
      <w:ind w:left="1152" w:hanging="432"/>
      <w:outlineLvl w:val="5"/>
    </w:pPr>
    <w:rPr>
      <w:rFonts w:ascii="Times New Roman" w:hAnsi="Times New Roman" w:eastAsia="宋体" w:cs="Calibri"/>
      <w:kern w:val="0"/>
      <w:sz w:val="20"/>
      <w:szCs w:val="20"/>
    </w:rPr>
  </w:style>
  <w:style w:type="paragraph" w:styleId="8">
    <w:name w:val="heading 7"/>
    <w:basedOn w:val="1"/>
    <w:next w:val="1"/>
    <w:link w:val="142"/>
    <w:qFormat/>
    <w:uiPriority w:val="0"/>
    <w:pPr>
      <w:numPr>
        <w:ilvl w:val="6"/>
        <w:numId w:val="1"/>
      </w:numPr>
      <w:tabs>
        <w:tab w:val="left" w:pos="2040"/>
      </w:tabs>
      <w:ind w:left="1296" w:hanging="288"/>
      <w:outlineLvl w:val="6"/>
    </w:pPr>
    <w:rPr>
      <w:rFonts w:ascii="Times New Roman" w:hAnsi="Times New Roman" w:eastAsia="宋体" w:cs="Calibri"/>
      <w:kern w:val="0"/>
      <w:sz w:val="20"/>
      <w:szCs w:val="20"/>
    </w:rPr>
  </w:style>
  <w:style w:type="paragraph" w:styleId="9">
    <w:name w:val="heading 8"/>
    <w:basedOn w:val="1"/>
    <w:next w:val="1"/>
    <w:link w:val="143"/>
    <w:qFormat/>
    <w:uiPriority w:val="0"/>
    <w:pPr>
      <w:numPr>
        <w:ilvl w:val="7"/>
        <w:numId w:val="1"/>
      </w:numPr>
      <w:tabs>
        <w:tab w:val="left" w:pos="2040"/>
      </w:tabs>
      <w:ind w:left="1440" w:hanging="432"/>
      <w:outlineLvl w:val="7"/>
    </w:pPr>
    <w:rPr>
      <w:rFonts w:ascii="Times New Roman" w:hAnsi="Times New Roman" w:eastAsia="宋体" w:cs="Calibri"/>
      <w:kern w:val="0"/>
      <w:sz w:val="20"/>
      <w:szCs w:val="20"/>
    </w:rPr>
  </w:style>
  <w:style w:type="paragraph" w:styleId="10">
    <w:name w:val="heading 9"/>
    <w:basedOn w:val="1"/>
    <w:next w:val="1"/>
    <w:link w:val="144"/>
    <w:qFormat/>
    <w:uiPriority w:val="0"/>
    <w:pPr>
      <w:tabs>
        <w:tab w:val="left" w:pos="2040"/>
      </w:tabs>
      <w:ind w:left="1584" w:hanging="144"/>
      <w:outlineLvl w:val="8"/>
    </w:pPr>
    <w:rPr>
      <w:rFonts w:ascii="Times New Roman" w:hAnsi="Times New Roman" w:eastAsia="宋体" w:cs="Calibri"/>
      <w:kern w:val="0"/>
      <w:sz w:val="20"/>
      <w:szCs w:val="20"/>
    </w:rPr>
  </w:style>
  <w:style w:type="character" w:default="1" w:styleId="123">
    <w:name w:val="Default Paragraph Font"/>
    <w:semiHidden/>
    <w:unhideWhenUsed/>
    <w:qFormat/>
    <w:uiPriority w:val="1"/>
  </w:style>
  <w:style w:type="table" w:default="1" w:styleId="78">
    <w:name w:val="Normal Table"/>
    <w:semiHidden/>
    <w:unhideWhenUsed/>
    <w:qFormat/>
    <w:uiPriority w:val="99"/>
    <w:tblPr>
      <w:tblCellMar>
        <w:top w:w="0" w:type="dxa"/>
        <w:left w:w="108" w:type="dxa"/>
        <w:bottom w:w="0" w:type="dxa"/>
        <w:right w:w="108" w:type="dxa"/>
      </w:tblCellMar>
    </w:tblPr>
  </w:style>
  <w:style w:type="paragraph" w:styleId="11">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2">
    <w:name w:val="toc 7"/>
    <w:basedOn w:val="1"/>
    <w:next w:val="1"/>
    <w:semiHidden/>
    <w:qFormat/>
    <w:uiPriority w:val="0"/>
    <w:pPr>
      <w:ind w:left="2520" w:leftChars="1200"/>
    </w:pPr>
    <w:rPr>
      <w:rFonts w:ascii="Calibri" w:hAnsi="Calibri" w:eastAsia="宋体" w:cs="Calibri"/>
    </w:rPr>
  </w:style>
  <w:style w:type="paragraph" w:styleId="13">
    <w:name w:val="List Number 2"/>
    <w:basedOn w:val="1"/>
    <w:semiHidden/>
    <w:qFormat/>
    <w:uiPriority w:val="0"/>
    <w:pPr>
      <w:numPr>
        <w:ilvl w:val="0"/>
        <w:numId w:val="2"/>
      </w:numPr>
    </w:pPr>
    <w:rPr>
      <w:rFonts w:ascii="Times New Roman" w:hAnsi="Times New Roman" w:eastAsia="宋体" w:cs="Times New Roman"/>
      <w:szCs w:val="24"/>
    </w:rPr>
  </w:style>
  <w:style w:type="paragraph" w:styleId="14">
    <w:name w:val="Note Heading"/>
    <w:basedOn w:val="1"/>
    <w:next w:val="1"/>
    <w:link w:val="159"/>
    <w:semiHidden/>
    <w:qFormat/>
    <w:uiPriority w:val="0"/>
    <w:pPr>
      <w:jc w:val="center"/>
    </w:pPr>
    <w:rPr>
      <w:rFonts w:ascii="Times New Roman" w:hAnsi="Times New Roman" w:eastAsia="宋体" w:cs="Times New Roman"/>
      <w:szCs w:val="24"/>
    </w:rPr>
  </w:style>
  <w:style w:type="paragraph" w:styleId="15">
    <w:name w:val="List Bullet 4"/>
    <w:basedOn w:val="1"/>
    <w:semiHidden/>
    <w:qFormat/>
    <w:uiPriority w:val="0"/>
    <w:pPr>
      <w:numPr>
        <w:ilvl w:val="0"/>
        <w:numId w:val="3"/>
      </w:numPr>
    </w:pPr>
    <w:rPr>
      <w:rFonts w:ascii="Times New Roman" w:hAnsi="Times New Roman" w:eastAsia="宋体" w:cs="Times New Roman"/>
      <w:szCs w:val="24"/>
    </w:rPr>
  </w:style>
  <w:style w:type="paragraph" w:styleId="16">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7">
    <w:name w:val="E-mail Signature"/>
    <w:basedOn w:val="1"/>
    <w:link w:val="163"/>
    <w:semiHidden/>
    <w:qFormat/>
    <w:uiPriority w:val="0"/>
    <w:rPr>
      <w:rFonts w:ascii="Times New Roman" w:hAnsi="Times New Roman" w:eastAsia="宋体" w:cs="Times New Roman"/>
      <w:szCs w:val="24"/>
    </w:rPr>
  </w:style>
  <w:style w:type="paragraph" w:styleId="18">
    <w:name w:val="List Number"/>
    <w:basedOn w:val="1"/>
    <w:semiHidden/>
    <w:qFormat/>
    <w:uiPriority w:val="0"/>
    <w:pPr>
      <w:numPr>
        <w:ilvl w:val="0"/>
        <w:numId w:val="4"/>
      </w:numPr>
    </w:pPr>
    <w:rPr>
      <w:rFonts w:ascii="Times New Roman" w:hAnsi="Times New Roman" w:eastAsia="宋体" w:cs="Times New Roman"/>
      <w:szCs w:val="24"/>
    </w:rPr>
  </w:style>
  <w:style w:type="paragraph" w:styleId="19">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0">
    <w:name w:val="List Bullet"/>
    <w:basedOn w:val="1"/>
    <w:semiHidden/>
    <w:qFormat/>
    <w:uiPriority w:val="0"/>
    <w:pPr>
      <w:numPr>
        <w:ilvl w:val="0"/>
        <w:numId w:val="5"/>
      </w:numPr>
    </w:pPr>
    <w:rPr>
      <w:rFonts w:ascii="Times New Roman" w:hAnsi="Times New Roman" w:eastAsia="宋体" w:cs="Times New Roman"/>
      <w:szCs w:val="24"/>
    </w:rPr>
  </w:style>
  <w:style w:type="paragraph" w:styleId="21">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2">
    <w:name w:val="Document Map"/>
    <w:basedOn w:val="1"/>
    <w:link w:val="156"/>
    <w:semiHidden/>
    <w:qFormat/>
    <w:uiPriority w:val="0"/>
    <w:pPr>
      <w:shd w:val="clear" w:color="auto" w:fill="000080"/>
    </w:pPr>
    <w:rPr>
      <w:rFonts w:ascii="Times New Roman" w:hAnsi="Times New Roman" w:eastAsia="宋体" w:cs="Times New Roman"/>
      <w:szCs w:val="20"/>
    </w:rPr>
  </w:style>
  <w:style w:type="paragraph" w:styleId="23">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4">
    <w:name w:val="annotation text"/>
    <w:basedOn w:val="1"/>
    <w:link w:val="149"/>
    <w:qFormat/>
    <w:uiPriority w:val="0"/>
    <w:pPr>
      <w:jc w:val="left"/>
    </w:pPr>
    <w:rPr>
      <w:rFonts w:ascii="Times New Roman" w:hAnsi="Times New Roman" w:eastAsia="宋体" w:cs="Times New Roman"/>
      <w:szCs w:val="20"/>
    </w:rPr>
  </w:style>
  <w:style w:type="paragraph" w:styleId="25">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6">
    <w:name w:val="Salutation"/>
    <w:basedOn w:val="1"/>
    <w:next w:val="1"/>
    <w:link w:val="165"/>
    <w:semiHidden/>
    <w:qFormat/>
    <w:uiPriority w:val="0"/>
    <w:rPr>
      <w:rFonts w:ascii="Times New Roman" w:hAnsi="Times New Roman" w:eastAsia="宋体" w:cs="Times New Roman"/>
      <w:szCs w:val="24"/>
    </w:rPr>
  </w:style>
  <w:style w:type="paragraph" w:styleId="27">
    <w:name w:val="Body Text 3"/>
    <w:basedOn w:val="1"/>
    <w:link w:val="173"/>
    <w:semiHidden/>
    <w:qFormat/>
    <w:uiPriority w:val="0"/>
    <w:pPr>
      <w:spacing w:after="120"/>
    </w:pPr>
    <w:rPr>
      <w:rFonts w:ascii="Times New Roman" w:hAnsi="Times New Roman" w:eastAsia="宋体" w:cs="Times New Roman"/>
      <w:sz w:val="16"/>
      <w:szCs w:val="16"/>
    </w:rPr>
  </w:style>
  <w:style w:type="paragraph" w:styleId="28">
    <w:name w:val="Closing"/>
    <w:basedOn w:val="1"/>
    <w:link w:val="153"/>
    <w:semiHidden/>
    <w:qFormat/>
    <w:uiPriority w:val="0"/>
    <w:pPr>
      <w:ind w:left="100" w:leftChars="2100"/>
    </w:pPr>
    <w:rPr>
      <w:rFonts w:ascii="Times New Roman" w:hAnsi="Times New Roman" w:eastAsia="宋体" w:cs="Times New Roman"/>
      <w:szCs w:val="24"/>
    </w:rPr>
  </w:style>
  <w:style w:type="paragraph" w:styleId="29">
    <w:name w:val="List Bullet 3"/>
    <w:basedOn w:val="1"/>
    <w:semiHidden/>
    <w:qFormat/>
    <w:uiPriority w:val="0"/>
    <w:pPr>
      <w:numPr>
        <w:ilvl w:val="0"/>
        <w:numId w:val="6"/>
      </w:numPr>
    </w:pPr>
    <w:rPr>
      <w:rFonts w:ascii="Times New Roman" w:hAnsi="Times New Roman" w:eastAsia="宋体" w:cs="Times New Roman"/>
      <w:szCs w:val="24"/>
    </w:rPr>
  </w:style>
  <w:style w:type="paragraph" w:styleId="30">
    <w:name w:val="Body Text"/>
    <w:basedOn w:val="1"/>
    <w:link w:val="158"/>
    <w:unhideWhenUsed/>
    <w:qFormat/>
    <w:uiPriority w:val="99"/>
    <w:pPr>
      <w:spacing w:after="120"/>
    </w:pPr>
  </w:style>
  <w:style w:type="paragraph" w:styleId="31">
    <w:name w:val="Body Text Indent"/>
    <w:basedOn w:val="1"/>
    <w:link w:val="155"/>
    <w:unhideWhenUsed/>
    <w:qFormat/>
    <w:uiPriority w:val="99"/>
    <w:pPr>
      <w:spacing w:after="120"/>
      <w:ind w:left="420" w:leftChars="200"/>
    </w:pPr>
  </w:style>
  <w:style w:type="paragraph" w:styleId="32">
    <w:name w:val="List Number 3"/>
    <w:basedOn w:val="1"/>
    <w:semiHidden/>
    <w:qFormat/>
    <w:uiPriority w:val="0"/>
    <w:pPr>
      <w:numPr>
        <w:ilvl w:val="0"/>
        <w:numId w:val="7"/>
      </w:numPr>
    </w:pPr>
    <w:rPr>
      <w:rFonts w:ascii="Times New Roman" w:hAnsi="Times New Roman" w:eastAsia="宋体" w:cs="Times New Roman"/>
      <w:szCs w:val="24"/>
    </w:rPr>
  </w:style>
  <w:style w:type="paragraph" w:styleId="33">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4">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5">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6">
    <w:name w:val="List Bullet 2"/>
    <w:basedOn w:val="1"/>
    <w:semiHidden/>
    <w:qFormat/>
    <w:uiPriority w:val="0"/>
    <w:pPr>
      <w:numPr>
        <w:ilvl w:val="0"/>
        <w:numId w:val="8"/>
      </w:numPr>
    </w:pPr>
    <w:rPr>
      <w:rFonts w:ascii="Times New Roman" w:hAnsi="Times New Roman" w:eastAsia="宋体" w:cs="Times New Roman"/>
      <w:szCs w:val="24"/>
    </w:rPr>
  </w:style>
  <w:style w:type="paragraph" w:styleId="37">
    <w:name w:val="HTML Address"/>
    <w:basedOn w:val="1"/>
    <w:link w:val="148"/>
    <w:semiHidden/>
    <w:qFormat/>
    <w:uiPriority w:val="0"/>
    <w:rPr>
      <w:rFonts w:ascii="Times New Roman" w:hAnsi="Times New Roman" w:eastAsia="宋体" w:cs="Times New Roman"/>
      <w:i/>
      <w:iCs/>
      <w:szCs w:val="24"/>
    </w:rPr>
  </w:style>
  <w:style w:type="paragraph" w:styleId="38">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39">
    <w:name w:val="toc 5"/>
    <w:basedOn w:val="1"/>
    <w:next w:val="1"/>
    <w:semiHidden/>
    <w:qFormat/>
    <w:uiPriority w:val="0"/>
    <w:pPr>
      <w:ind w:left="1680" w:leftChars="800"/>
    </w:pPr>
    <w:rPr>
      <w:rFonts w:ascii="Calibri" w:hAnsi="Calibri" w:eastAsia="宋体" w:cs="Calibri"/>
    </w:rPr>
  </w:style>
  <w:style w:type="paragraph" w:styleId="40">
    <w:name w:val="toc 3"/>
    <w:basedOn w:val="1"/>
    <w:next w:val="1"/>
    <w:semiHidden/>
    <w:qFormat/>
    <w:uiPriority w:val="0"/>
    <w:pPr>
      <w:ind w:left="840" w:leftChars="400"/>
    </w:pPr>
    <w:rPr>
      <w:rFonts w:ascii="Calibri" w:hAnsi="Calibri" w:eastAsia="宋体" w:cs="Calibri"/>
    </w:rPr>
  </w:style>
  <w:style w:type="paragraph" w:styleId="41">
    <w:name w:val="Plain Text"/>
    <w:basedOn w:val="1"/>
    <w:link w:val="152"/>
    <w:unhideWhenUsed/>
    <w:qFormat/>
    <w:uiPriority w:val="0"/>
    <w:rPr>
      <w:rFonts w:ascii="宋体" w:hAnsi="Courier New"/>
      <w:szCs w:val="21"/>
    </w:rPr>
  </w:style>
  <w:style w:type="paragraph" w:styleId="42">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3">
    <w:name w:val="List Number 4"/>
    <w:basedOn w:val="1"/>
    <w:semiHidden/>
    <w:qFormat/>
    <w:uiPriority w:val="0"/>
    <w:pPr>
      <w:numPr>
        <w:ilvl w:val="0"/>
        <w:numId w:val="9"/>
      </w:numPr>
    </w:pPr>
    <w:rPr>
      <w:rFonts w:ascii="Times New Roman" w:hAnsi="Times New Roman" w:eastAsia="宋体" w:cs="Times New Roman"/>
      <w:szCs w:val="24"/>
    </w:rPr>
  </w:style>
  <w:style w:type="paragraph" w:styleId="44">
    <w:name w:val="toc 8"/>
    <w:basedOn w:val="1"/>
    <w:next w:val="1"/>
    <w:semiHidden/>
    <w:qFormat/>
    <w:uiPriority w:val="0"/>
    <w:pPr>
      <w:ind w:left="2940" w:leftChars="1400"/>
    </w:pPr>
    <w:rPr>
      <w:rFonts w:ascii="Calibri" w:hAnsi="Calibri" w:eastAsia="宋体" w:cs="Calibri"/>
    </w:rPr>
  </w:style>
  <w:style w:type="paragraph" w:styleId="45">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6">
    <w:name w:val="Date"/>
    <w:basedOn w:val="1"/>
    <w:next w:val="1"/>
    <w:link w:val="150"/>
    <w:unhideWhenUsed/>
    <w:qFormat/>
    <w:uiPriority w:val="0"/>
    <w:pPr>
      <w:ind w:left="100" w:leftChars="2500"/>
    </w:pPr>
    <w:rPr>
      <w:rFonts w:ascii="Times New Roman" w:hAnsi="Times New Roman" w:eastAsia="宋体" w:cs="Times New Roman"/>
      <w:szCs w:val="20"/>
    </w:rPr>
  </w:style>
  <w:style w:type="paragraph" w:styleId="47">
    <w:name w:val="Body Text Indent 2"/>
    <w:basedOn w:val="1"/>
    <w:link w:val="166"/>
    <w:semiHidden/>
    <w:qFormat/>
    <w:uiPriority w:val="0"/>
    <w:pPr>
      <w:spacing w:after="120" w:line="480" w:lineRule="auto"/>
      <w:ind w:left="420" w:leftChars="200"/>
    </w:pPr>
    <w:rPr>
      <w:rFonts w:ascii="Times New Roman" w:hAnsi="Times New Roman" w:eastAsia="宋体" w:cs="Times New Roman"/>
      <w:szCs w:val="24"/>
    </w:rPr>
  </w:style>
  <w:style w:type="paragraph" w:styleId="48">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49">
    <w:name w:val="Balloon Text"/>
    <w:basedOn w:val="1"/>
    <w:link w:val="168"/>
    <w:semiHidden/>
    <w:qFormat/>
    <w:uiPriority w:val="0"/>
    <w:rPr>
      <w:rFonts w:ascii="Times New Roman" w:hAnsi="Times New Roman" w:eastAsia="宋体" w:cs="Times New Roman"/>
      <w:sz w:val="18"/>
      <w:szCs w:val="18"/>
    </w:rPr>
  </w:style>
  <w:style w:type="paragraph" w:styleId="50">
    <w:name w:val="footer"/>
    <w:basedOn w:val="1"/>
    <w:link w:val="157"/>
    <w:unhideWhenUsed/>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51">
    <w:name w:val="envelope return"/>
    <w:basedOn w:val="1"/>
    <w:semiHidden/>
    <w:qFormat/>
    <w:uiPriority w:val="0"/>
    <w:pPr>
      <w:snapToGrid w:val="0"/>
    </w:pPr>
    <w:rPr>
      <w:rFonts w:ascii="Arial" w:hAnsi="Arial" w:eastAsia="宋体" w:cs="Arial"/>
      <w:szCs w:val="24"/>
    </w:rPr>
  </w:style>
  <w:style w:type="paragraph" w:styleId="52">
    <w:name w:val="header"/>
    <w:basedOn w:val="1"/>
    <w:link w:val="146"/>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3">
    <w:name w:val="Signature"/>
    <w:basedOn w:val="1"/>
    <w:link w:val="175"/>
    <w:semiHidden/>
    <w:qFormat/>
    <w:uiPriority w:val="0"/>
    <w:pPr>
      <w:ind w:left="100" w:leftChars="2100"/>
    </w:pPr>
    <w:rPr>
      <w:rFonts w:ascii="Times New Roman" w:hAnsi="Times New Roman" w:eastAsia="宋体" w:cs="Times New Roman"/>
      <w:szCs w:val="24"/>
    </w:rPr>
  </w:style>
  <w:style w:type="paragraph" w:styleId="54">
    <w:name w:val="toc 1"/>
    <w:basedOn w:val="1"/>
    <w:next w:val="1"/>
    <w:semiHidden/>
    <w:qFormat/>
    <w:uiPriority w:val="0"/>
    <w:rPr>
      <w:rFonts w:ascii="Calibri" w:hAnsi="Calibri" w:eastAsia="宋体" w:cs="Calibri"/>
    </w:rPr>
  </w:style>
  <w:style w:type="paragraph" w:styleId="55">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6">
    <w:name w:val="toc 4"/>
    <w:basedOn w:val="1"/>
    <w:next w:val="1"/>
    <w:semiHidden/>
    <w:qFormat/>
    <w:uiPriority w:val="0"/>
    <w:pPr>
      <w:ind w:left="1260" w:leftChars="600"/>
    </w:pPr>
    <w:rPr>
      <w:rFonts w:ascii="Calibri" w:hAnsi="Calibri" w:eastAsia="宋体" w:cs="Calibri"/>
    </w:rPr>
  </w:style>
  <w:style w:type="paragraph" w:styleId="57">
    <w:name w:val="index heading"/>
    <w:basedOn w:val="1"/>
    <w:next w:val="58"/>
    <w:semiHidden/>
    <w:qFormat/>
    <w:uiPriority w:val="0"/>
    <w:pPr>
      <w:spacing w:before="120" w:after="120"/>
      <w:jc w:val="left"/>
    </w:pPr>
    <w:rPr>
      <w:rFonts w:ascii="Times New Roman" w:hAnsi="Times New Roman" w:eastAsia="宋体" w:cs="Times New Roman"/>
      <w:b/>
      <w:bCs/>
      <w:i/>
      <w:iCs/>
      <w:sz w:val="20"/>
      <w:szCs w:val="20"/>
    </w:rPr>
  </w:style>
  <w:style w:type="paragraph" w:styleId="58">
    <w:name w:val="index 1"/>
    <w:basedOn w:val="1"/>
    <w:next w:val="1"/>
    <w:semiHidden/>
    <w:unhideWhenUsed/>
    <w:qFormat/>
    <w:uiPriority w:val="0"/>
  </w:style>
  <w:style w:type="paragraph" w:styleId="59">
    <w:name w:val="List Number 5"/>
    <w:basedOn w:val="1"/>
    <w:semiHidden/>
    <w:qFormat/>
    <w:uiPriority w:val="0"/>
    <w:pPr>
      <w:numPr>
        <w:ilvl w:val="0"/>
        <w:numId w:val="10"/>
      </w:numPr>
    </w:pPr>
    <w:rPr>
      <w:rFonts w:ascii="Times New Roman" w:hAnsi="Times New Roman" w:eastAsia="宋体" w:cs="Times New Roman"/>
      <w:szCs w:val="24"/>
    </w:rPr>
  </w:style>
  <w:style w:type="paragraph" w:styleId="60">
    <w:name w:val="List"/>
    <w:basedOn w:val="1"/>
    <w:semiHidden/>
    <w:qFormat/>
    <w:uiPriority w:val="0"/>
    <w:pPr>
      <w:ind w:left="200" w:hanging="200" w:hangingChars="200"/>
    </w:pPr>
    <w:rPr>
      <w:rFonts w:ascii="Times New Roman" w:hAnsi="Times New Roman" w:eastAsia="宋体" w:cs="Times New Roman"/>
      <w:szCs w:val="24"/>
    </w:rPr>
  </w:style>
  <w:style w:type="paragraph" w:styleId="61">
    <w:name w:val="footnote text"/>
    <w:basedOn w:val="1"/>
    <w:qFormat/>
    <w:uiPriority w:val="0"/>
    <w:pPr>
      <w:snapToGrid w:val="0"/>
      <w:jc w:val="left"/>
    </w:pPr>
    <w:rPr>
      <w:rFonts w:ascii="Times New Roman" w:hAnsi="Times New Roman" w:cs="Times New Roman"/>
      <w:sz w:val="18"/>
    </w:rPr>
  </w:style>
  <w:style w:type="paragraph" w:styleId="62">
    <w:name w:val="toc 6"/>
    <w:basedOn w:val="1"/>
    <w:next w:val="1"/>
    <w:semiHidden/>
    <w:qFormat/>
    <w:uiPriority w:val="0"/>
    <w:pPr>
      <w:ind w:left="2100" w:leftChars="1000"/>
    </w:pPr>
    <w:rPr>
      <w:rFonts w:ascii="Calibri" w:hAnsi="Calibri" w:eastAsia="宋体" w:cs="Calibri"/>
    </w:rPr>
  </w:style>
  <w:style w:type="paragraph" w:styleId="63">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4">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5">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6">
    <w:name w:val="toc 2"/>
    <w:basedOn w:val="1"/>
    <w:next w:val="1"/>
    <w:semiHidden/>
    <w:qFormat/>
    <w:uiPriority w:val="0"/>
    <w:pPr>
      <w:ind w:left="420" w:leftChars="200"/>
    </w:pPr>
    <w:rPr>
      <w:rFonts w:ascii="Calibri" w:hAnsi="Calibri" w:eastAsia="宋体" w:cs="Calibri"/>
    </w:rPr>
  </w:style>
  <w:style w:type="paragraph" w:styleId="67">
    <w:name w:val="toc 9"/>
    <w:basedOn w:val="1"/>
    <w:next w:val="1"/>
    <w:semiHidden/>
    <w:qFormat/>
    <w:uiPriority w:val="0"/>
    <w:pPr>
      <w:ind w:left="3360" w:leftChars="1600"/>
    </w:pPr>
    <w:rPr>
      <w:rFonts w:ascii="Calibri" w:hAnsi="Calibri" w:eastAsia="宋体" w:cs="Calibri"/>
    </w:rPr>
  </w:style>
  <w:style w:type="paragraph" w:styleId="68">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69">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0">
    <w:name w:val="Message Header"/>
    <w:basedOn w:val="1"/>
    <w:link w:val="154"/>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1">
    <w:name w:val="HTML Preformatted"/>
    <w:basedOn w:val="1"/>
    <w:link w:val="172"/>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2">
    <w:name w:val="Normal (Web)"/>
    <w:basedOn w:val="1"/>
    <w:unhideWhenUsed/>
    <w:qFormat/>
    <w:uiPriority w:val="99"/>
    <w:rPr>
      <w:rFonts w:ascii="Calibri" w:hAnsi="Calibri" w:eastAsia="宋体" w:cs="Calibri"/>
      <w:sz w:val="24"/>
    </w:rPr>
  </w:style>
  <w:style w:type="paragraph" w:styleId="73">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4">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5">
    <w:name w:val="annotation subject"/>
    <w:basedOn w:val="24"/>
    <w:next w:val="24"/>
    <w:link w:val="162"/>
    <w:semiHidden/>
    <w:qFormat/>
    <w:uiPriority w:val="0"/>
    <w:rPr>
      <w:b/>
      <w:bCs/>
      <w:szCs w:val="24"/>
    </w:rPr>
  </w:style>
  <w:style w:type="paragraph" w:styleId="76">
    <w:name w:val="Body Text First Indent"/>
    <w:basedOn w:val="1"/>
    <w:link w:val="167"/>
    <w:semiHidden/>
    <w:qFormat/>
    <w:uiPriority w:val="0"/>
    <w:pPr>
      <w:spacing w:after="120"/>
      <w:ind w:firstLine="420" w:firstLineChars="100"/>
    </w:pPr>
    <w:rPr>
      <w:rFonts w:ascii="Times New Roman" w:hAnsi="Times New Roman" w:eastAsia="宋体" w:cs="Times New Roman"/>
      <w:szCs w:val="24"/>
    </w:rPr>
  </w:style>
  <w:style w:type="paragraph" w:styleId="77">
    <w:name w:val="Body Text First Indent 2"/>
    <w:basedOn w:val="1"/>
    <w:link w:val="169"/>
    <w:semiHidden/>
    <w:qFormat/>
    <w:uiPriority w:val="0"/>
    <w:pPr>
      <w:spacing w:after="120"/>
      <w:ind w:left="420" w:leftChars="200" w:firstLine="420" w:firstLineChars="200"/>
    </w:pPr>
    <w:rPr>
      <w:rFonts w:ascii="Times New Roman" w:hAnsi="Times New Roman" w:eastAsia="宋体" w:cs="Times New Roman"/>
      <w:szCs w:val="24"/>
    </w:rPr>
  </w:style>
  <w:style w:type="table" w:styleId="79">
    <w:name w:val="Table Grid"/>
    <w:basedOn w:val="7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0">
    <w:name w:val="Table Theme"/>
    <w:basedOn w:val="78"/>
    <w:semiHidden/>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1">
    <w:name w:val="Table Colorful 1"/>
    <w:basedOn w:val="78"/>
    <w:semiHidden/>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82">
    <w:name w:val="Table Colorful 2"/>
    <w:basedOn w:val="78"/>
    <w:semiHidden/>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83">
    <w:name w:val="Table Colorful 3"/>
    <w:basedOn w:val="78"/>
    <w:semiHidden/>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top w:val="nil"/>
          <w:left w:val="nil"/>
          <w:bottom w:val="single" w:color="000000" w:sz="6" w:space="0"/>
          <w:right w:val="nil"/>
          <w:insideH w:val="nil"/>
          <w:insideV w:val="nil"/>
          <w:tl2br w:val="nil"/>
          <w:tr2bl w:val="nil"/>
        </w:tcBorders>
        <w:shd w:val="solid" w:color="008080" w:fill="FFFFFF"/>
      </w:tcPr>
    </w:tblStylePr>
    <w:tblStylePr w:type="firstCol">
      <w:tblPr/>
      <w:tcPr>
        <w:tcBorders>
          <w:top w:val="nil"/>
          <w:left w:val="single" w:color="000000" w:sz="36" w:space="0"/>
          <w:bottom w:val="nil"/>
          <w:right w:val="single" w:color="000000" w:sz="6" w:space="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4">
    <w:name w:val="Table Elegant"/>
    <w:basedOn w:val="78"/>
    <w:semiHidden/>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85">
    <w:name w:val="Table Classic 1"/>
    <w:basedOn w:val="78"/>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6">
    <w:name w:val="Table Classic 2"/>
    <w:basedOn w:val="78"/>
    <w:semiHidden/>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top w:val="nil"/>
          <w:left w:val="nil"/>
          <w:bottom w:val="single" w:color="000000" w:sz="6" w:space="0"/>
          <w:right w:val="nil"/>
          <w:insideH w:val="nil"/>
          <w:insideV w:val="nil"/>
          <w:tl2br w:val="nil"/>
          <w:tr2bl w:val="nil"/>
        </w:tcBorders>
        <w:shd w:val="solid" w:color="800080" w:fill="FFFFFF"/>
      </w:tcPr>
    </w:tblStylePr>
    <w:tblStylePr w:type="lastRow">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87">
    <w:name w:val="Table Classic 3"/>
    <w:basedOn w:val="78"/>
    <w:semiHidden/>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top w:val="nil"/>
          <w:left w:val="nil"/>
          <w:bottom w:val="single" w:color="000000" w:sz="6" w:space="0"/>
          <w:right w:val="nil"/>
          <w:insideH w:val="nil"/>
          <w:insideV w:val="nil"/>
          <w:tl2br w:val="nil"/>
          <w:tr2bl w:val="nil"/>
        </w:tcBorders>
        <w:shd w:val="solid" w:color="000080" w:fill="FFFFFF"/>
      </w:tcPr>
    </w:tblStylePr>
    <w:tblStylePr w:type="lastRow">
      <w:rPr>
        <w:color w:val="000080"/>
      </w:rPr>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88">
    <w:name w:val="Table Classic 4"/>
    <w:basedOn w:val="78"/>
    <w:semiHidden/>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top w:val="nil"/>
          <w:left w:val="nil"/>
          <w:bottom w:val="single" w:color="000000" w:sz="6" w:space="0"/>
          <w:right w:val="nil"/>
          <w:insideH w:val="nil"/>
          <w:insideV w:val="nil"/>
          <w:tl2br w:val="nil"/>
          <w:tr2bl w:val="nil"/>
        </w:tcBorders>
        <w:shd w:val="pct50" w:color="000080" w:fill="FFFFFF"/>
      </w:tcPr>
    </w:tblStylePr>
    <w:tblStylePr w:type="lastRow">
      <w:rPr>
        <w:color w:val="000080"/>
      </w:rPr>
      <w:tblPr/>
      <w:tcPr>
        <w:tcBorders>
          <w:top w:val="nil"/>
          <w:left w:val="nil"/>
          <w:bottom w:val="single" w:color="000000" w:sz="6" w:space="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89">
    <w:name w:val="Table Simple 1"/>
    <w:basedOn w:val="78"/>
    <w:semiHidden/>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nil"/>
          <w:bottom w:val="single" w:color="008000" w:sz="6" w:space="0"/>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90">
    <w:name w:val="Table Simple 2"/>
    <w:basedOn w:val="78"/>
    <w:semiHidden/>
    <w:qFormat/>
    <w:uiPriority w:val="0"/>
    <w:pPr>
      <w:widowControl w:val="0"/>
      <w:jc w:val="both"/>
    </w:pPr>
    <w:tblPr/>
    <w:tblStylePr w:type="firstRow">
      <w:rPr>
        <w:b/>
        <w:bCs/>
      </w:rPr>
      <w:tblPr/>
      <w:tcPr>
        <w:tcBorders>
          <w:top w:val="nil"/>
          <w:left w:val="nil"/>
          <w:bottom w:val="single" w:color="000000" w:sz="12" w:space="0"/>
          <w:right w:val="nil"/>
          <w:insideH w:val="nil"/>
          <w:insideV w:val="nil"/>
          <w:tl2br w:val="nil"/>
          <w:tr2bl w:val="nil"/>
        </w:tcBorders>
      </w:tcPr>
    </w:tblStylePr>
    <w:tblStylePr w:type="lastRow">
      <w:rPr>
        <w:b/>
        <w:bCs/>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lastCol">
      <w:rPr>
        <w:b/>
        <w:bCs/>
      </w:rPr>
      <w:tblPr/>
      <w:tcPr>
        <w:tcBorders>
          <w:top w:val="nil"/>
          <w:left w:val="single" w:color="000000" w:sz="6" w:space="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1">
    <w:name w:val="Table Simple 3"/>
    <w:basedOn w:val="78"/>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92">
    <w:name w:val="Table Subtle 1"/>
    <w:basedOn w:val="78"/>
    <w:semiHidden/>
    <w:qFormat/>
    <w:uiPriority w:val="0"/>
    <w:pPr>
      <w:widowControl w:val="0"/>
      <w:jc w:val="both"/>
    </w:pPr>
    <w:tblPr>
      <w:tblStyleRowBandSize w:val="1"/>
    </w:tblPr>
    <w:tblStylePr w:type="firstRow">
      <w:tblPr/>
      <w:tcPr>
        <w:tcBorders>
          <w:top w:val="single" w:color="000000" w:sz="6" w:space="0"/>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color="000000" w:sz="12" w:space="0"/>
          <w:insideH w:val="nil"/>
          <w:insideV w:val="nil"/>
          <w:tl2br w:val="nil"/>
          <w:tr2bl w:val="nil"/>
        </w:tcBorders>
      </w:tcPr>
    </w:tblStylePr>
    <w:tblStylePr w:type="lastCol">
      <w:tblPr/>
      <w:tcPr>
        <w:tcBorders>
          <w:top w:val="nil"/>
          <w:left w:val="single" w:color="000000" w:sz="12" w:space="0"/>
          <w:bottom w:val="nil"/>
          <w:right w:val="nil"/>
          <w:insideH w:val="nil"/>
          <w:insideV w:val="nil"/>
          <w:tl2br w:val="nil"/>
          <w:tr2bl w:val="nil"/>
        </w:tcBorders>
      </w:tcPr>
    </w:tblStylePr>
    <w:tblStylePr w:type="band1Horz">
      <w:tblPr/>
      <w:tcPr>
        <w:tcBorders>
          <w:top w:val="nil"/>
          <w:left w:val="nil"/>
          <w:bottom w:val="single" w:color="000000" w:sz="6" w:space="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3">
    <w:name w:val="Table Subtle 2"/>
    <w:basedOn w:val="78"/>
    <w:semiHidden/>
    <w:qFormat/>
    <w:uiPriority w:val="0"/>
    <w:pPr>
      <w:widowControl w:val="0"/>
      <w:jc w:val="both"/>
    </w:pPr>
    <w:tblPr>
      <w:tblBorders>
        <w:left w:val="single" w:color="000000" w:sz="6" w:space="0"/>
        <w:right w:val="single" w:color="000000" w:sz="6" w:space="0"/>
      </w:tblBorders>
    </w:tblPr>
    <w:tblStylePr w:type="firstRow">
      <w:tblPr/>
      <w:tcPr>
        <w:tcBorders>
          <w:top w:val="nil"/>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firstCol">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cPr>
        <w:tcBorders>
          <w:top w:val="nil"/>
          <w:left w:val="single" w:color="000000" w:sz="12" w:space="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4">
    <w:name w:val="Table 3D effects 1"/>
    <w:basedOn w:val="78"/>
    <w:semiHidden/>
    <w:qFormat/>
    <w:uiPriority w:val="0"/>
    <w:pPr>
      <w:widowControl w:val="0"/>
      <w:jc w:val="both"/>
    </w:pPr>
    <w:tblPr/>
    <w:tcPr>
      <w:shd w:val="solid" w:color="C0C0C0" w:fill="FFFFFF"/>
    </w:tcPr>
    <w:tblStylePr w:type="firstRow">
      <w:rPr>
        <w:b/>
        <w:bCs/>
        <w:color w:val="800080"/>
      </w:rPr>
      <w:tblPr/>
      <w:tcPr>
        <w:tcBorders>
          <w:top w:val="nil"/>
          <w:left w:val="nil"/>
          <w:bottom w:val="single" w:color="808080" w:sz="6" w:space="0"/>
          <w:right w:val="nil"/>
          <w:insideH w:val="nil"/>
          <w:insideV w:val="nil"/>
          <w:tl2br w:val="nil"/>
          <w:tr2bl w:val="nil"/>
        </w:tcBorders>
      </w:tcPr>
    </w:tblStylePr>
    <w:tblStylePr w:type="lastRow">
      <w:tblPr/>
      <w:tcPr>
        <w:tcBorders>
          <w:top w:val="single" w:color="FFFFFF"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808080" w:sz="6" w:space="0"/>
          <w:insideH w:val="nil"/>
          <w:insideV w:val="nil"/>
          <w:tl2br w:val="nil"/>
          <w:tr2bl w:val="nil"/>
        </w:tcBorders>
      </w:tcPr>
    </w:tblStylePr>
    <w:tblStylePr w:type="lastCol">
      <w:tblPr/>
      <w:tcPr>
        <w:tcBorders>
          <w:top w:val="nil"/>
          <w:left w:val="single" w:color="FFFFFF" w:sz="6" w:space="0"/>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95">
    <w:name w:val="Table 3D effects 2"/>
    <w:basedOn w:val="78"/>
    <w:semiHidden/>
    <w:qFormat/>
    <w:uiPriority w:val="0"/>
    <w:pPr>
      <w:widowControl w:val="0"/>
      <w:jc w:val="both"/>
    </w:pPr>
    <w:tblPr>
      <w:tblStyleRowBandSize w:val="1"/>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Horz">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6">
    <w:name w:val="Table 3D effects 3"/>
    <w:basedOn w:val="78"/>
    <w:semiHidden/>
    <w:qFormat/>
    <w:uiPriority w:val="0"/>
    <w:pPr>
      <w:widowControl w:val="0"/>
      <w:jc w:val="both"/>
    </w:p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7">
    <w:name w:val="Table List 1"/>
    <w:basedOn w:val="78"/>
    <w:semiHidden/>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nil"/>
          <w:bottom w:val="single" w:color="000000" w:sz="6" w:space="0"/>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8">
    <w:name w:val="Table List 2"/>
    <w:basedOn w:val="78"/>
    <w:semiHidden/>
    <w:qFormat/>
    <w:uiPriority w:val="0"/>
    <w:pPr>
      <w:widowControl w:val="0"/>
      <w:jc w:val="both"/>
    </w:pPr>
    <w:tblPr>
      <w:tblBorders>
        <w:bottom w:val="single" w:color="808080" w:sz="12" w:space="0"/>
      </w:tblBorders>
    </w:tblPr>
    <w:tblStylePr w:type="firstRow">
      <w:rPr>
        <w:b/>
        <w:bCs/>
        <w:color w:val="FFFFFF"/>
      </w:rPr>
      <w:tblPr/>
      <w:tcPr>
        <w:tcBorders>
          <w:top w:val="nil"/>
          <w:left w:val="nil"/>
          <w:bottom w:val="single" w:color="000000" w:sz="6" w:space="0"/>
          <w:right w:val="nil"/>
          <w:insideH w:val="nil"/>
          <w:insideV w:val="nil"/>
          <w:tl2br w:val="nil"/>
          <w:tr2bl w:val="nil"/>
        </w:tcBorders>
        <w:shd w:val="pct75" w:color="008080" w:fill="008000"/>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9">
    <w:name w:val="Table List 3"/>
    <w:basedOn w:val="78"/>
    <w:semiHidden/>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top w:val="nil"/>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100">
    <w:name w:val="Table List 4"/>
    <w:basedOn w:val="78"/>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top w:val="nil"/>
          <w:left w:val="nil"/>
          <w:bottom w:val="single" w:color="000000" w:sz="12" w:space="0"/>
          <w:right w:val="nil"/>
          <w:insideH w:val="nil"/>
          <w:insideV w:val="nil"/>
          <w:tl2br w:val="nil"/>
          <w:tr2bl w:val="nil"/>
        </w:tcBorders>
        <w:shd w:val="solid" w:color="808080" w:fill="FFFFFF"/>
      </w:tcPr>
    </w:tblStylePr>
  </w:style>
  <w:style w:type="table" w:styleId="101">
    <w:name w:val="Table List 5"/>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top w:val="nil"/>
          <w:left w:val="nil"/>
          <w:bottom w:val="single" w:color="000000" w:sz="12" w:space="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102">
    <w:name w:val="Table List 6"/>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top w:val="nil"/>
          <w:left w:val="nil"/>
          <w:bottom w:val="single" w:color="000000" w:sz="12" w:space="0"/>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03">
    <w:name w:val="Table List 7"/>
    <w:basedOn w:val="78"/>
    <w:semiHidden/>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top w:val="nil"/>
          <w:left w:val="nil"/>
          <w:bottom w:val="single" w:color="008000" w:sz="12" w:space="0"/>
          <w:right w:val="nil"/>
          <w:insideH w:val="nil"/>
          <w:insideV w:val="nil"/>
          <w:tl2br w:val="nil"/>
          <w:tr2bl w:val="nil"/>
        </w:tcBorders>
        <w:shd w:val="solid" w:color="C0C0C0" w:fill="FFFFFF"/>
      </w:tcPr>
    </w:tblStylePr>
    <w:tblStylePr w:type="lastRow">
      <w:rPr>
        <w:b/>
        <w:bCs/>
      </w:rPr>
      <w:tblPr/>
      <w:tcPr>
        <w:tcBorders>
          <w:top w:val="single" w:color="008000" w:sz="12"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104">
    <w:name w:val="Table List 8"/>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top w:val="nil"/>
          <w:left w:val="nil"/>
          <w:bottom w:val="single" w:color="000000" w:sz="6" w:space="0"/>
          <w:right w:val="nil"/>
          <w:insideH w:val="nil"/>
          <w:insideV w:val="nil"/>
          <w:tl2br w:val="nil"/>
          <w:tr2bl w:val="nil"/>
        </w:tcBorders>
        <w:shd w:val="solid" w:color="FFFF00" w:fill="FFFFFF"/>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tblStylePr w:type="nwCell">
      <w:tblPr/>
      <w:tcPr>
        <w:tcBorders>
          <w:top w:val="nil"/>
          <w:left w:val="nil"/>
          <w:bottom w:val="nil"/>
          <w:right w:val="nil"/>
          <w:insideH w:val="nil"/>
          <w:insideV w:val="nil"/>
          <w:tl2br w:val="single" w:color="auto" w:sz="6" w:space="0"/>
          <w:tr2bl w:val="nil"/>
        </w:tcBorders>
      </w:tcPr>
    </w:tblStylePr>
  </w:style>
  <w:style w:type="table" w:styleId="105">
    <w:name w:val="Table Contemporary"/>
    <w:basedOn w:val="78"/>
    <w:semiHidden/>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106">
    <w:name w:val="Table Columns 1"/>
    <w:basedOn w:val="78"/>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top w:val="nil"/>
          <w:left w:val="nil"/>
          <w:bottom w:val="double" w:color="000000" w:sz="6" w:space="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7">
    <w:name w:val="Table Columns 2"/>
    <w:basedOn w:val="78"/>
    <w:semiHidden/>
    <w:qFormat/>
    <w:uiPriority w:val="0"/>
    <w:pPr>
      <w:widowControl w:val="0"/>
      <w:jc w:val="both"/>
    </w:pPr>
    <w:rPr>
      <w:b/>
      <w:bCs/>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8">
    <w:name w:val="Table Columns 3"/>
    <w:basedOn w:val="78"/>
    <w:semiHidden/>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color="00008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109">
    <w:name w:val="Table Columns 4"/>
    <w:basedOn w:val="78"/>
    <w:semiHidden/>
    <w:qFormat/>
    <w:uiPriority w:val="0"/>
    <w:pPr>
      <w:widowControl w:val="0"/>
      <w:jc w:val="both"/>
    </w:p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0">
    <w:name w:val="Table Columns 5"/>
    <w:basedOn w:val="78"/>
    <w:semiHidden/>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top w:val="nil"/>
          <w:left w:val="nil"/>
          <w:bottom w:val="single" w:color="808080" w:sz="6" w:space="0"/>
          <w:right w:val="nil"/>
          <w:insideH w:val="nil"/>
          <w:insideV w:val="nil"/>
          <w:tl2br w:val="nil"/>
          <w:tr2bl w:val="nil"/>
        </w:tcBorders>
      </w:tcPr>
    </w:tblStylePr>
    <w:tblStylePr w:type="lastRow">
      <w:rPr>
        <w:b/>
        <w:bCs/>
      </w:rPr>
      <w:tblPr/>
      <w:tcPr>
        <w:tcBorders>
          <w:top w:val="single" w:color="80808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1">
    <w:name w:val="Table Grid 1"/>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2">
    <w:name w:val="Table Grid 2"/>
    <w:basedOn w:val="78"/>
    <w:semiHidden/>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13">
    <w:name w:val="Table Grid 3"/>
    <w:basedOn w:val="78"/>
    <w:semiHidden/>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4">
    <w:name w:val="Table Grid 4"/>
    <w:basedOn w:val="78"/>
    <w:semiHidden/>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color w:val="auto"/>
      </w:rPr>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15">
    <w:name w:val="Table Grid 5"/>
    <w:basedOn w:val="78"/>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6">
    <w:name w:val="Table Grid 6"/>
    <w:basedOn w:val="78"/>
    <w:semiHidden/>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7">
    <w:name w:val="Table Grid 7"/>
    <w:basedOn w:val="78"/>
    <w:semiHidden/>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top w:val="nil"/>
          <w:left w:val="nil"/>
          <w:bottom w:val="single" w:color="000000" w:sz="12" w:space="0"/>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8">
    <w:name w:val="Table Grid 8"/>
    <w:basedOn w:val="78"/>
    <w:semiHidden/>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19">
    <w:name w:val="Table Web 1"/>
    <w:basedOn w:val="78"/>
    <w:semiHidden/>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20">
    <w:name w:val="Table Web 2"/>
    <w:basedOn w:val="78"/>
    <w:semiHidden/>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21">
    <w:name w:val="Table Web 3"/>
    <w:basedOn w:val="78"/>
    <w:semiHidden/>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22">
    <w:name w:val="Table Professional"/>
    <w:basedOn w:val="78"/>
    <w:semiHidden/>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124">
    <w:name w:val="line number"/>
    <w:semiHidden/>
    <w:qFormat/>
    <w:uiPriority w:val="0"/>
  </w:style>
  <w:style w:type="character" w:styleId="125">
    <w:name w:val="HTML Definition"/>
    <w:semiHidden/>
    <w:qFormat/>
    <w:uiPriority w:val="0"/>
    <w:rPr>
      <w:i/>
      <w:iCs/>
    </w:rPr>
  </w:style>
  <w:style w:type="character" w:styleId="126">
    <w:name w:val="HTML Typewriter"/>
    <w:semiHidden/>
    <w:qFormat/>
    <w:uiPriority w:val="0"/>
    <w:rPr>
      <w:rFonts w:ascii="Courier New" w:hAnsi="Courier New" w:cs="Courier New"/>
      <w:sz w:val="20"/>
      <w:szCs w:val="20"/>
    </w:rPr>
  </w:style>
  <w:style w:type="character" w:styleId="127">
    <w:name w:val="HTML Acronym"/>
    <w:semiHidden/>
    <w:qFormat/>
    <w:uiPriority w:val="0"/>
  </w:style>
  <w:style w:type="character" w:styleId="128">
    <w:name w:val="HTML Variable"/>
    <w:semiHidden/>
    <w:qFormat/>
    <w:uiPriority w:val="0"/>
    <w:rPr>
      <w:i/>
      <w:iCs/>
    </w:rPr>
  </w:style>
  <w:style w:type="character" w:styleId="129">
    <w:name w:val="Hyperlink"/>
    <w:basedOn w:val="123"/>
    <w:unhideWhenUsed/>
    <w:qFormat/>
    <w:uiPriority w:val="99"/>
    <w:rPr>
      <w:color w:val="0000FF"/>
      <w:u w:val="single"/>
    </w:rPr>
  </w:style>
  <w:style w:type="character" w:styleId="130">
    <w:name w:val="HTML Code"/>
    <w:semiHidden/>
    <w:qFormat/>
    <w:uiPriority w:val="0"/>
    <w:rPr>
      <w:rFonts w:ascii="Courier New" w:hAnsi="Courier New" w:cs="Courier New"/>
      <w:sz w:val="20"/>
      <w:szCs w:val="20"/>
    </w:rPr>
  </w:style>
  <w:style w:type="character" w:styleId="131">
    <w:name w:val="annotation reference"/>
    <w:semiHidden/>
    <w:qFormat/>
    <w:uiPriority w:val="0"/>
    <w:rPr>
      <w:sz w:val="21"/>
      <w:szCs w:val="21"/>
    </w:rPr>
  </w:style>
  <w:style w:type="character" w:styleId="132">
    <w:name w:val="HTML Cite"/>
    <w:semiHidden/>
    <w:qFormat/>
    <w:uiPriority w:val="0"/>
    <w:rPr>
      <w:i/>
      <w:iCs/>
    </w:rPr>
  </w:style>
  <w:style w:type="character" w:styleId="133">
    <w:name w:val="footnote reference"/>
    <w:basedOn w:val="123"/>
    <w:semiHidden/>
    <w:unhideWhenUsed/>
    <w:qFormat/>
    <w:uiPriority w:val="99"/>
    <w:rPr>
      <w:vertAlign w:val="superscript"/>
    </w:rPr>
  </w:style>
  <w:style w:type="character" w:styleId="134">
    <w:name w:val="HTML Keyboard"/>
    <w:semiHidden/>
    <w:qFormat/>
    <w:uiPriority w:val="0"/>
    <w:rPr>
      <w:rFonts w:ascii="Courier New" w:hAnsi="Courier New" w:cs="Courier New"/>
      <w:sz w:val="20"/>
      <w:szCs w:val="20"/>
    </w:rPr>
  </w:style>
  <w:style w:type="character" w:styleId="135">
    <w:name w:val="HTML Sample"/>
    <w:semiHidden/>
    <w:qFormat/>
    <w:uiPriority w:val="0"/>
    <w:rPr>
      <w:rFonts w:ascii="Courier New" w:hAnsi="Courier New" w:cs="Courier New"/>
    </w:rPr>
  </w:style>
  <w:style w:type="character" w:customStyle="1" w:styleId="136">
    <w:name w:val="标题 1 字符"/>
    <w:basedOn w:val="123"/>
    <w:link w:val="2"/>
    <w:qFormat/>
    <w:uiPriority w:val="0"/>
    <w:rPr>
      <w:rFonts w:ascii="Times New Roman" w:hAnsi="Times New Roman" w:eastAsia="宋体" w:cs="Calibri"/>
      <w:b/>
      <w:kern w:val="0"/>
      <w:sz w:val="32"/>
      <w:szCs w:val="20"/>
    </w:rPr>
  </w:style>
  <w:style w:type="character" w:customStyle="1" w:styleId="137">
    <w:name w:val="标题 2 字符"/>
    <w:basedOn w:val="123"/>
    <w:link w:val="3"/>
    <w:qFormat/>
    <w:uiPriority w:val="0"/>
    <w:rPr>
      <w:rFonts w:ascii="Times New Roman" w:hAnsi="Times New Roman" w:eastAsia="宋体" w:cs="Calibri"/>
      <w:b/>
      <w:kern w:val="0"/>
      <w:sz w:val="28"/>
      <w:szCs w:val="20"/>
    </w:rPr>
  </w:style>
  <w:style w:type="character" w:customStyle="1" w:styleId="138">
    <w:name w:val="标题 3 字符"/>
    <w:basedOn w:val="123"/>
    <w:link w:val="4"/>
    <w:qFormat/>
    <w:uiPriority w:val="0"/>
    <w:rPr>
      <w:rFonts w:ascii="Times New Roman" w:hAnsi="Times New Roman" w:eastAsia="宋体" w:cs="Calibri"/>
      <w:b/>
      <w:kern w:val="0"/>
      <w:sz w:val="24"/>
      <w:szCs w:val="20"/>
    </w:rPr>
  </w:style>
  <w:style w:type="character" w:customStyle="1" w:styleId="139">
    <w:name w:val="标题 4 字符"/>
    <w:basedOn w:val="123"/>
    <w:link w:val="5"/>
    <w:qFormat/>
    <w:uiPriority w:val="0"/>
    <w:rPr>
      <w:rFonts w:ascii="Times New Roman" w:hAnsi="Times New Roman" w:eastAsia="宋体" w:cs="Calibri"/>
      <w:b/>
      <w:kern w:val="0"/>
      <w:sz w:val="22"/>
      <w:szCs w:val="20"/>
    </w:rPr>
  </w:style>
  <w:style w:type="character" w:customStyle="1" w:styleId="140">
    <w:name w:val="标题 5 字符"/>
    <w:basedOn w:val="123"/>
    <w:link w:val="6"/>
    <w:qFormat/>
    <w:uiPriority w:val="0"/>
    <w:rPr>
      <w:rFonts w:ascii="Times New Roman" w:hAnsi="Times New Roman" w:eastAsia="宋体" w:cs="Calibri"/>
      <w:kern w:val="0"/>
      <w:sz w:val="20"/>
      <w:szCs w:val="20"/>
    </w:rPr>
  </w:style>
  <w:style w:type="character" w:customStyle="1" w:styleId="141">
    <w:name w:val="标题 6 字符"/>
    <w:basedOn w:val="123"/>
    <w:link w:val="7"/>
    <w:qFormat/>
    <w:uiPriority w:val="0"/>
    <w:rPr>
      <w:rFonts w:ascii="Times New Roman" w:hAnsi="Times New Roman" w:eastAsia="宋体" w:cs="Calibri"/>
      <w:kern w:val="0"/>
      <w:sz w:val="20"/>
      <w:szCs w:val="20"/>
    </w:rPr>
  </w:style>
  <w:style w:type="character" w:customStyle="1" w:styleId="142">
    <w:name w:val="标题 7 字符"/>
    <w:basedOn w:val="123"/>
    <w:link w:val="8"/>
    <w:qFormat/>
    <w:uiPriority w:val="0"/>
    <w:rPr>
      <w:rFonts w:ascii="Times New Roman" w:hAnsi="Times New Roman" w:eastAsia="宋体" w:cs="Calibri"/>
      <w:kern w:val="0"/>
      <w:sz w:val="20"/>
      <w:szCs w:val="20"/>
    </w:rPr>
  </w:style>
  <w:style w:type="character" w:customStyle="1" w:styleId="143">
    <w:name w:val="标题 8 字符"/>
    <w:basedOn w:val="123"/>
    <w:link w:val="9"/>
    <w:qFormat/>
    <w:uiPriority w:val="0"/>
    <w:rPr>
      <w:rFonts w:ascii="Times New Roman" w:hAnsi="Times New Roman" w:eastAsia="宋体" w:cs="Calibri"/>
      <w:kern w:val="0"/>
      <w:sz w:val="20"/>
      <w:szCs w:val="20"/>
    </w:rPr>
  </w:style>
  <w:style w:type="character" w:customStyle="1" w:styleId="144">
    <w:name w:val="标题 9 字符"/>
    <w:basedOn w:val="123"/>
    <w:link w:val="10"/>
    <w:qFormat/>
    <w:uiPriority w:val="0"/>
    <w:rPr>
      <w:rFonts w:cs="Calibri"/>
    </w:rPr>
  </w:style>
  <w:style w:type="character" w:customStyle="1" w:styleId="145">
    <w:name w:val="f142"/>
    <w:semiHidden/>
    <w:qFormat/>
    <w:uiPriority w:val="0"/>
    <w:rPr>
      <w:sz w:val="21"/>
      <w:szCs w:val="21"/>
    </w:rPr>
  </w:style>
  <w:style w:type="character" w:customStyle="1" w:styleId="146">
    <w:name w:val="页眉 字符"/>
    <w:link w:val="52"/>
    <w:qFormat/>
    <w:uiPriority w:val="0"/>
    <w:rPr>
      <w:rFonts w:ascii="Times New Roman" w:hAnsi="Times New Roman" w:eastAsia="宋体" w:cs="Times New Roman"/>
      <w:sz w:val="18"/>
      <w:szCs w:val="18"/>
    </w:rPr>
  </w:style>
  <w:style w:type="character" w:customStyle="1" w:styleId="147">
    <w:name w:val="f14b1"/>
    <w:semiHidden/>
    <w:qFormat/>
    <w:uiPriority w:val="0"/>
    <w:rPr>
      <w:b/>
      <w:bCs/>
      <w:sz w:val="21"/>
      <w:szCs w:val="21"/>
    </w:rPr>
  </w:style>
  <w:style w:type="character" w:customStyle="1" w:styleId="148">
    <w:name w:val="HTML 地址 字符"/>
    <w:link w:val="37"/>
    <w:semiHidden/>
    <w:qFormat/>
    <w:uiPriority w:val="0"/>
    <w:rPr>
      <w:rFonts w:ascii="Times New Roman" w:hAnsi="Times New Roman" w:eastAsia="宋体" w:cs="Times New Roman"/>
      <w:i/>
      <w:iCs/>
      <w:szCs w:val="24"/>
    </w:rPr>
  </w:style>
  <w:style w:type="character" w:customStyle="1" w:styleId="149">
    <w:name w:val="批注文字 字符"/>
    <w:link w:val="24"/>
    <w:qFormat/>
    <w:uiPriority w:val="0"/>
    <w:rPr>
      <w:rFonts w:ascii="Times New Roman" w:hAnsi="Times New Roman" w:eastAsia="宋体" w:cs="Times New Roman"/>
      <w:szCs w:val="20"/>
    </w:rPr>
  </w:style>
  <w:style w:type="character" w:customStyle="1" w:styleId="150">
    <w:name w:val="日期 字符"/>
    <w:link w:val="46"/>
    <w:qFormat/>
    <w:uiPriority w:val="0"/>
    <w:rPr>
      <w:rFonts w:ascii="Times New Roman" w:hAnsi="Times New Roman" w:eastAsia="宋体" w:cs="Times New Roman"/>
      <w:szCs w:val="20"/>
    </w:rPr>
  </w:style>
  <w:style w:type="character" w:customStyle="1" w:styleId="151">
    <w:name w:val="unnamed211"/>
    <w:semiHidden/>
    <w:qFormat/>
    <w:uiPriority w:val="0"/>
    <w:rPr>
      <w:sz w:val="23"/>
      <w:szCs w:val="23"/>
    </w:rPr>
  </w:style>
  <w:style w:type="character" w:customStyle="1" w:styleId="152">
    <w:name w:val="纯文本 字符"/>
    <w:basedOn w:val="123"/>
    <w:link w:val="41"/>
    <w:qFormat/>
    <w:uiPriority w:val="0"/>
    <w:rPr>
      <w:rFonts w:ascii="宋体" w:hAnsi="Courier New"/>
      <w:szCs w:val="21"/>
    </w:rPr>
  </w:style>
  <w:style w:type="character" w:customStyle="1" w:styleId="153">
    <w:name w:val="结束语 字符"/>
    <w:link w:val="28"/>
    <w:semiHidden/>
    <w:qFormat/>
    <w:uiPriority w:val="0"/>
    <w:rPr>
      <w:rFonts w:ascii="Times New Roman" w:hAnsi="Times New Roman" w:eastAsia="宋体" w:cs="Times New Roman"/>
      <w:szCs w:val="24"/>
    </w:rPr>
  </w:style>
  <w:style w:type="character" w:customStyle="1" w:styleId="154">
    <w:name w:val="信息标题 字符"/>
    <w:link w:val="70"/>
    <w:semiHidden/>
    <w:qFormat/>
    <w:uiPriority w:val="0"/>
    <w:rPr>
      <w:rFonts w:ascii="Arial" w:hAnsi="Arial" w:eastAsia="宋体" w:cs="Arial"/>
      <w:sz w:val="24"/>
      <w:szCs w:val="24"/>
      <w:shd w:val="pct20" w:color="auto" w:fill="auto"/>
    </w:rPr>
  </w:style>
  <w:style w:type="character" w:customStyle="1" w:styleId="155">
    <w:name w:val="正文文本缩进 字符"/>
    <w:basedOn w:val="123"/>
    <w:link w:val="31"/>
    <w:qFormat/>
    <w:uiPriority w:val="99"/>
  </w:style>
  <w:style w:type="character" w:customStyle="1" w:styleId="156">
    <w:name w:val="文档结构图 字符"/>
    <w:link w:val="22"/>
    <w:semiHidden/>
    <w:qFormat/>
    <w:uiPriority w:val="0"/>
    <w:rPr>
      <w:rFonts w:ascii="Times New Roman" w:hAnsi="Times New Roman" w:eastAsia="宋体" w:cs="Times New Roman"/>
      <w:szCs w:val="20"/>
      <w:shd w:val="clear" w:color="auto" w:fill="000080"/>
    </w:rPr>
  </w:style>
  <w:style w:type="character" w:customStyle="1" w:styleId="157">
    <w:name w:val="页脚 字符"/>
    <w:link w:val="50"/>
    <w:qFormat/>
    <w:uiPriority w:val="99"/>
    <w:rPr>
      <w:rFonts w:ascii="Times New Roman" w:hAnsi="Times New Roman" w:eastAsia="宋体" w:cs="Times New Roman"/>
      <w:sz w:val="18"/>
      <w:szCs w:val="18"/>
    </w:rPr>
  </w:style>
  <w:style w:type="character" w:customStyle="1" w:styleId="158">
    <w:name w:val="正文文本 字符"/>
    <w:basedOn w:val="123"/>
    <w:link w:val="30"/>
    <w:qFormat/>
    <w:uiPriority w:val="99"/>
  </w:style>
  <w:style w:type="character" w:customStyle="1" w:styleId="159">
    <w:name w:val="注释标题 字符"/>
    <w:link w:val="14"/>
    <w:semiHidden/>
    <w:qFormat/>
    <w:uiPriority w:val="0"/>
    <w:rPr>
      <w:rFonts w:ascii="Times New Roman" w:hAnsi="Times New Roman" w:eastAsia="宋体" w:cs="Times New Roman"/>
      <w:szCs w:val="24"/>
    </w:rPr>
  </w:style>
  <w:style w:type="character" w:customStyle="1" w:styleId="160">
    <w:name w:val="z-窗体底端 字符"/>
    <w:link w:val="161"/>
    <w:qFormat/>
    <w:uiPriority w:val="99"/>
    <w:rPr>
      <w:rFonts w:ascii="Arial" w:hAnsi="Arial" w:eastAsia="宋体" w:cs="Times New Roman"/>
      <w:vanish/>
      <w:kern w:val="0"/>
      <w:sz w:val="16"/>
      <w:szCs w:val="16"/>
    </w:rPr>
  </w:style>
  <w:style w:type="paragraph" w:customStyle="1" w:styleId="161">
    <w:name w:val="z-窗体底端1"/>
    <w:basedOn w:val="1"/>
    <w:next w:val="1"/>
    <w:link w:val="160"/>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162">
    <w:name w:val="批注主题 字符"/>
    <w:link w:val="75"/>
    <w:semiHidden/>
    <w:qFormat/>
    <w:uiPriority w:val="0"/>
    <w:rPr>
      <w:rFonts w:ascii="Times New Roman" w:hAnsi="Times New Roman" w:eastAsia="宋体" w:cs="Times New Roman"/>
      <w:b/>
      <w:bCs/>
      <w:szCs w:val="24"/>
    </w:rPr>
  </w:style>
  <w:style w:type="character" w:customStyle="1" w:styleId="163">
    <w:name w:val="电子邮件签名 字符"/>
    <w:link w:val="17"/>
    <w:semiHidden/>
    <w:qFormat/>
    <w:uiPriority w:val="0"/>
    <w:rPr>
      <w:rFonts w:ascii="Times New Roman" w:hAnsi="Times New Roman" w:eastAsia="宋体" w:cs="Times New Roman"/>
      <w:szCs w:val="24"/>
    </w:rPr>
  </w:style>
  <w:style w:type="character" w:customStyle="1" w:styleId="164">
    <w:name w:val="ss1"/>
    <w:semiHidden/>
    <w:qFormat/>
    <w:uiPriority w:val="0"/>
    <w:rPr>
      <w:rFonts w:hint="default" w:ascii="ˎ̥" w:hAnsi="ˎ̥"/>
      <w:color w:val="000000"/>
      <w:sz w:val="18"/>
      <w:szCs w:val="18"/>
      <w:u w:val="none"/>
    </w:rPr>
  </w:style>
  <w:style w:type="character" w:customStyle="1" w:styleId="165">
    <w:name w:val="称呼 字符"/>
    <w:link w:val="26"/>
    <w:semiHidden/>
    <w:qFormat/>
    <w:uiPriority w:val="0"/>
    <w:rPr>
      <w:rFonts w:ascii="Times New Roman" w:hAnsi="Times New Roman" w:eastAsia="宋体" w:cs="Times New Roman"/>
      <w:szCs w:val="24"/>
    </w:rPr>
  </w:style>
  <w:style w:type="character" w:customStyle="1" w:styleId="166">
    <w:name w:val="正文文本缩进 2 字符"/>
    <w:link w:val="47"/>
    <w:semiHidden/>
    <w:qFormat/>
    <w:uiPriority w:val="0"/>
    <w:rPr>
      <w:rFonts w:ascii="Times New Roman" w:hAnsi="Times New Roman" w:eastAsia="宋体" w:cs="Times New Roman"/>
      <w:szCs w:val="24"/>
    </w:rPr>
  </w:style>
  <w:style w:type="character" w:customStyle="1" w:styleId="167">
    <w:name w:val="正文首行缩进 字符"/>
    <w:link w:val="76"/>
    <w:semiHidden/>
    <w:qFormat/>
    <w:uiPriority w:val="0"/>
    <w:rPr>
      <w:rFonts w:ascii="Times New Roman" w:hAnsi="Times New Roman" w:eastAsia="宋体" w:cs="Times New Roman"/>
      <w:szCs w:val="24"/>
    </w:rPr>
  </w:style>
  <w:style w:type="character" w:customStyle="1" w:styleId="168">
    <w:name w:val="批注框文本 字符"/>
    <w:link w:val="49"/>
    <w:semiHidden/>
    <w:qFormat/>
    <w:uiPriority w:val="0"/>
    <w:rPr>
      <w:rFonts w:ascii="Times New Roman" w:hAnsi="Times New Roman" w:eastAsia="宋体" w:cs="Times New Roman"/>
      <w:sz w:val="18"/>
      <w:szCs w:val="18"/>
    </w:rPr>
  </w:style>
  <w:style w:type="character" w:customStyle="1" w:styleId="169">
    <w:name w:val="正文首行缩进 2 字符"/>
    <w:link w:val="77"/>
    <w:semiHidden/>
    <w:qFormat/>
    <w:uiPriority w:val="0"/>
    <w:rPr>
      <w:rFonts w:ascii="Times New Roman" w:hAnsi="Times New Roman" w:eastAsia="宋体" w:cs="Times New Roman"/>
      <w:szCs w:val="24"/>
    </w:rPr>
  </w:style>
  <w:style w:type="character" w:customStyle="1" w:styleId="170">
    <w:name w:val="z-窗体顶端 字符"/>
    <w:link w:val="171"/>
    <w:qFormat/>
    <w:uiPriority w:val="99"/>
    <w:rPr>
      <w:rFonts w:ascii="Arial" w:hAnsi="Arial" w:eastAsia="宋体" w:cs="Times New Roman"/>
      <w:vanish/>
      <w:kern w:val="0"/>
      <w:sz w:val="16"/>
      <w:szCs w:val="16"/>
    </w:rPr>
  </w:style>
  <w:style w:type="paragraph" w:customStyle="1" w:styleId="171">
    <w:name w:val="z-窗体顶端1"/>
    <w:basedOn w:val="1"/>
    <w:next w:val="1"/>
    <w:link w:val="170"/>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172">
    <w:name w:val="HTML 预设格式 字符"/>
    <w:link w:val="71"/>
    <w:semiHidden/>
    <w:qFormat/>
    <w:uiPriority w:val="0"/>
    <w:rPr>
      <w:rFonts w:ascii="宋体" w:hAnsi="宋体" w:eastAsia="宋体" w:cs="宋体"/>
      <w:color w:val="000000"/>
      <w:kern w:val="0"/>
      <w:sz w:val="24"/>
      <w:szCs w:val="24"/>
    </w:rPr>
  </w:style>
  <w:style w:type="character" w:customStyle="1" w:styleId="173">
    <w:name w:val="正文文本 3 字符"/>
    <w:link w:val="27"/>
    <w:semiHidden/>
    <w:qFormat/>
    <w:uiPriority w:val="0"/>
    <w:rPr>
      <w:rFonts w:ascii="Times New Roman" w:hAnsi="Times New Roman" w:eastAsia="宋体" w:cs="Times New Roman"/>
      <w:sz w:val="16"/>
      <w:szCs w:val="16"/>
    </w:rPr>
  </w:style>
  <w:style w:type="character" w:customStyle="1" w:styleId="174">
    <w:name w:val="ggwenhao"/>
    <w:semiHidden/>
    <w:qFormat/>
    <w:uiPriority w:val="0"/>
  </w:style>
  <w:style w:type="character" w:customStyle="1" w:styleId="175">
    <w:name w:val="签名 字符"/>
    <w:link w:val="53"/>
    <w:semiHidden/>
    <w:qFormat/>
    <w:uiPriority w:val="0"/>
    <w:rPr>
      <w:rFonts w:ascii="Times New Roman" w:hAnsi="Times New Roman" w:eastAsia="宋体" w:cs="Times New Roman"/>
      <w:szCs w:val="24"/>
    </w:rPr>
  </w:style>
  <w:style w:type="character" w:customStyle="1" w:styleId="176">
    <w:name w:val="日期 字符1"/>
    <w:basedOn w:val="123"/>
    <w:semiHidden/>
    <w:qFormat/>
    <w:uiPriority w:val="99"/>
  </w:style>
  <w:style w:type="character" w:customStyle="1" w:styleId="177">
    <w:name w:val="正文文本 字符1"/>
    <w:basedOn w:val="123"/>
    <w:semiHidden/>
    <w:qFormat/>
    <w:uiPriority w:val="99"/>
  </w:style>
  <w:style w:type="character" w:customStyle="1" w:styleId="178">
    <w:name w:val="文档结构图 字符1"/>
    <w:basedOn w:val="123"/>
    <w:semiHidden/>
    <w:qFormat/>
    <w:uiPriority w:val="99"/>
    <w:rPr>
      <w:rFonts w:ascii="Microsoft YaHei UI" w:eastAsia="Microsoft YaHei UI"/>
      <w:sz w:val="18"/>
      <w:szCs w:val="18"/>
    </w:rPr>
  </w:style>
  <w:style w:type="character" w:customStyle="1" w:styleId="179">
    <w:name w:val="HTML 地址 字符1"/>
    <w:basedOn w:val="123"/>
    <w:semiHidden/>
    <w:qFormat/>
    <w:uiPriority w:val="99"/>
    <w:rPr>
      <w:i/>
      <w:iCs/>
    </w:rPr>
  </w:style>
  <w:style w:type="character" w:customStyle="1" w:styleId="180">
    <w:name w:val="结束语 字符1"/>
    <w:basedOn w:val="123"/>
    <w:semiHidden/>
    <w:qFormat/>
    <w:uiPriority w:val="99"/>
  </w:style>
  <w:style w:type="character" w:customStyle="1" w:styleId="181">
    <w:name w:val="注释标题 字符1"/>
    <w:basedOn w:val="123"/>
    <w:semiHidden/>
    <w:qFormat/>
    <w:uiPriority w:val="99"/>
  </w:style>
  <w:style w:type="character" w:customStyle="1" w:styleId="182">
    <w:name w:val="正文文本 3 字符1"/>
    <w:basedOn w:val="123"/>
    <w:semiHidden/>
    <w:qFormat/>
    <w:uiPriority w:val="99"/>
    <w:rPr>
      <w:sz w:val="16"/>
      <w:szCs w:val="16"/>
    </w:rPr>
  </w:style>
  <w:style w:type="character" w:customStyle="1" w:styleId="183">
    <w:name w:val="称呼 字符1"/>
    <w:basedOn w:val="123"/>
    <w:semiHidden/>
    <w:qFormat/>
    <w:uiPriority w:val="99"/>
  </w:style>
  <w:style w:type="character" w:customStyle="1" w:styleId="184">
    <w:name w:val="纯文本 字符1"/>
    <w:basedOn w:val="123"/>
    <w:semiHidden/>
    <w:qFormat/>
    <w:uiPriority w:val="99"/>
    <w:rPr>
      <w:rFonts w:hAnsi="Courier New" w:cs="Courier New" w:asciiTheme="minorEastAsia"/>
    </w:rPr>
  </w:style>
  <w:style w:type="character" w:customStyle="1" w:styleId="185">
    <w:name w:val="批注文字 字符1"/>
    <w:basedOn w:val="123"/>
    <w:semiHidden/>
    <w:qFormat/>
    <w:uiPriority w:val="99"/>
  </w:style>
  <w:style w:type="character" w:customStyle="1" w:styleId="186">
    <w:name w:val="正文文本缩进 2 字符1"/>
    <w:basedOn w:val="123"/>
    <w:semiHidden/>
    <w:qFormat/>
    <w:uiPriority w:val="99"/>
  </w:style>
  <w:style w:type="character" w:customStyle="1" w:styleId="187">
    <w:name w:val="正文文本缩进 字符1"/>
    <w:basedOn w:val="123"/>
    <w:semiHidden/>
    <w:qFormat/>
    <w:uiPriority w:val="99"/>
  </w:style>
  <w:style w:type="character" w:customStyle="1" w:styleId="188">
    <w:name w:val="电子邮件签名 字符1"/>
    <w:basedOn w:val="123"/>
    <w:semiHidden/>
    <w:qFormat/>
    <w:uiPriority w:val="99"/>
  </w:style>
  <w:style w:type="character" w:customStyle="1" w:styleId="189">
    <w:name w:val="批注框文本 字符1"/>
    <w:basedOn w:val="123"/>
    <w:semiHidden/>
    <w:qFormat/>
    <w:uiPriority w:val="99"/>
    <w:rPr>
      <w:sz w:val="18"/>
      <w:szCs w:val="18"/>
    </w:rPr>
  </w:style>
  <w:style w:type="character" w:customStyle="1" w:styleId="190">
    <w:name w:val="页脚 字符1"/>
    <w:basedOn w:val="123"/>
    <w:semiHidden/>
    <w:qFormat/>
    <w:uiPriority w:val="99"/>
    <w:rPr>
      <w:sz w:val="18"/>
      <w:szCs w:val="18"/>
    </w:rPr>
  </w:style>
  <w:style w:type="character" w:customStyle="1" w:styleId="191">
    <w:name w:val="页眉 字符1"/>
    <w:basedOn w:val="123"/>
    <w:semiHidden/>
    <w:qFormat/>
    <w:uiPriority w:val="99"/>
    <w:rPr>
      <w:sz w:val="18"/>
      <w:szCs w:val="18"/>
    </w:rPr>
  </w:style>
  <w:style w:type="character" w:customStyle="1" w:styleId="192">
    <w:name w:val="签名 字符1"/>
    <w:basedOn w:val="123"/>
    <w:semiHidden/>
    <w:qFormat/>
    <w:uiPriority w:val="99"/>
  </w:style>
  <w:style w:type="character" w:customStyle="1" w:styleId="193">
    <w:name w:val="信息标题 字符1"/>
    <w:basedOn w:val="123"/>
    <w:semiHidden/>
    <w:qFormat/>
    <w:uiPriority w:val="99"/>
    <w:rPr>
      <w:rFonts w:asciiTheme="majorHAnsi" w:hAnsiTheme="majorHAnsi" w:eastAsiaTheme="majorEastAsia" w:cstheme="majorBidi"/>
      <w:sz w:val="24"/>
      <w:szCs w:val="24"/>
      <w:shd w:val="pct20" w:color="auto" w:fill="auto"/>
    </w:rPr>
  </w:style>
  <w:style w:type="character" w:customStyle="1" w:styleId="194">
    <w:name w:val="HTML 预设格式 字符1"/>
    <w:basedOn w:val="123"/>
    <w:semiHidden/>
    <w:qFormat/>
    <w:uiPriority w:val="99"/>
    <w:rPr>
      <w:rFonts w:ascii="Courier New" w:hAnsi="Courier New" w:cs="Courier New"/>
      <w:sz w:val="20"/>
      <w:szCs w:val="20"/>
    </w:rPr>
  </w:style>
  <w:style w:type="character" w:customStyle="1" w:styleId="195">
    <w:name w:val="批注主题 字符1"/>
    <w:basedOn w:val="185"/>
    <w:semiHidden/>
    <w:qFormat/>
    <w:uiPriority w:val="99"/>
    <w:rPr>
      <w:b/>
      <w:bCs/>
    </w:rPr>
  </w:style>
  <w:style w:type="character" w:customStyle="1" w:styleId="196">
    <w:name w:val="正文文本首行缩进 字符1"/>
    <w:basedOn w:val="177"/>
    <w:semiHidden/>
    <w:qFormat/>
    <w:uiPriority w:val="99"/>
  </w:style>
  <w:style w:type="character" w:customStyle="1" w:styleId="197">
    <w:name w:val="正文文本首行缩进 2 字符1"/>
    <w:basedOn w:val="187"/>
    <w:semiHidden/>
    <w:qFormat/>
    <w:uiPriority w:val="99"/>
  </w:style>
  <w:style w:type="paragraph" w:customStyle="1" w:styleId="198">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199">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character" w:customStyle="1" w:styleId="200">
    <w:name w:val="z-窗体顶端 字符1"/>
    <w:basedOn w:val="123"/>
    <w:semiHidden/>
    <w:qFormat/>
    <w:uiPriority w:val="99"/>
    <w:rPr>
      <w:rFonts w:ascii="Arial" w:hAnsi="Arial" w:cs="Arial"/>
      <w:vanish/>
      <w:sz w:val="16"/>
      <w:szCs w:val="16"/>
    </w:rPr>
  </w:style>
  <w:style w:type="paragraph" w:customStyle="1" w:styleId="201">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2">
    <w:name w:val="WPSOffice手动目录 1"/>
    <w:qFormat/>
    <w:uiPriority w:val="0"/>
    <w:rPr>
      <w:rFonts w:ascii="Calibri" w:hAnsi="Calibri" w:eastAsia="宋体" w:cs="Calibri"/>
      <w:lang w:val="en-US" w:eastAsia="zh-CN" w:bidi="ar-SA"/>
    </w:rPr>
  </w:style>
  <w:style w:type="character" w:customStyle="1" w:styleId="203">
    <w:name w:val="z-窗体底端 字符1"/>
    <w:basedOn w:val="123"/>
    <w:semiHidden/>
    <w:qFormat/>
    <w:uiPriority w:val="99"/>
    <w:rPr>
      <w:rFonts w:ascii="Arial" w:hAnsi="Arial" w:cs="Arial"/>
      <w:vanish/>
      <w:sz w:val="16"/>
      <w:szCs w:val="16"/>
    </w:rPr>
  </w:style>
  <w:style w:type="paragraph" w:customStyle="1" w:styleId="204">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customXml" Target="ink/ink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units="cm"/>
          <inkml:channel name="Y" type="integer" units="cm"/>
          <inkml:channel name="F" type="integer" max="1023" units="cm"/>
        </inkml:traceFormat>
        <inkml:channelProperties>
          <inkml:channelProperty channel="X" name="resolution" value="28.3464566929134" units="1/cm"/>
          <inkml:channelProperty channel="Y" name="resolution" value="28.3464566929134" units="1/cm"/>
          <inkml:channelProperty channel="F" name="resolution" value="2.84167" units="1/cm"/>
        </inkml:channelProperties>
      </inkml:inkSource>
      <inkml:timestamp xml:id="ts0" timeString="2024-11-20T08:26:57"/>
    </inkml:context>
    <inkml:brush xml:id="br0">
      <inkml:brushProperty name="width" value="0.0529194456206428" units="cm"/>
      <inkml:brushProperty name="height" value="0.0529194456206428" units="cm"/>
      <inkml:brushProperty name="color" value="#f80600"/>
      <inkml:brushProperty name="ignorePressure" value="0"/>
    </inkml:brush>
  </inkml:definitions>
  <inkml:trace contextRef="#ctx0" brushRef="#br0">6557.000 433841.000 767</inkml:trace>
</inkml:ink>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59</Pages>
  <Words>26830</Words>
  <Characters>28380</Characters>
  <Lines>221</Lines>
  <Paragraphs>62</Paragraphs>
  <TotalTime>2</TotalTime>
  <ScaleCrop>false</ScaleCrop>
  <LinksUpToDate>false</LinksUpToDate>
  <CharactersWithSpaces>30794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2021-11-02T19:20:00Z</dcterms:created>
  <dc:creator>靳 欢</dc:creator>
  <cp:lastModifiedBy>LINHENG</cp:lastModifiedBy>
  <dcterms:modified xsi:type="dcterms:W3CDTF">2025-12-23T07:30:46Z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1A435793E6A6432FB5A048250A407715</vt:lpwstr>
  </property>
  <property fmtid="{D5CDD505-2E9C-101B-9397-08002B2CF9AE}" pid="4" name="KSOTemplateDocerSaveRecord">
    <vt:lpwstr>eyJoZGlkIjoiMjgxNDIzNjM1OWU4NDRiM2NkZjUzMDIwMzcyZjAzYmEiLCJ1c2VySWQiOiIzMTY4Njk4MDUifQ==</vt:lpwstr>
  </property>
</Properties>
</file>